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REGLAMENTO DE CARRERA ACADÉMICA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67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Dir.Docencia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El artículo 67 del Estatuto sobre Carrera Académica.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La Ley 21.094 sobre Universidades del Estado.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Las Políticas de Desarrollo Institucional relativas a carrera académica.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reglamento de carrera académica,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67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reglamento establece las normas que regulan la carrera académica en la Universidad de Magallanes, incluyendo criterios de ingreso, permanencia, evaluación, promoción y cesación de académicos.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(Principios) </w:t>
      </w:r>
      <w:r>
        <w:rPr>
          <w:rFonts w:ascii="Arial" w:cs="Arial" w:eastAsia="Arial" w:hAnsi="Arial"/>
          <w:sz w:val="22"/>
          <w:szCs w:val="22"/>
        </w:rPr>
        <w:t xml:space="preserve">La carrera académica se rige por los principios de: a) Mérito y capacidad profesional; b) Transparencia en evaluaciones; c) Igualdad de oportunidades; d) Respeto a la libertad académica; e) Evaluación integral considerando docencia, investigación y extensión.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JERARQUÍA ACADÉMICA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(Categorías) </w:t>
      </w:r>
      <w:r>
        <w:rPr>
          <w:rFonts w:ascii="Arial" w:cs="Arial" w:eastAsia="Arial" w:hAnsi="Arial"/>
          <w:sz w:val="22"/>
          <w:szCs w:val="22"/>
        </w:rPr>
        <w:t xml:space="preserve">La carrera académica comprende las siguientes jerarquías: a) Profesor Titular; b) Profesor Asociado; c) Profesor Asistente; d) Instructor. Cada una corresponde a un nivel específico de formación, experiencia y desempeño que deberá demostrarse según los criterios de promoción establecidos.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(Requisitos de entrada) </w:t>
      </w:r>
      <w:r>
        <w:rPr>
          <w:rFonts w:ascii="Arial" w:cs="Arial" w:eastAsia="Arial" w:hAnsi="Arial"/>
          <w:sz w:val="22"/>
          <w:szCs w:val="22"/>
        </w:rPr>
        <w:t xml:space="preserve">Para ingresar a la carrera académica se requiere: a) Grado académico mínimo de Licenciado o equivalente según disciplina; b) Suscripción de contrato con dedicación definida; c) Aceptación de la Política de Desarrollo Institucional y obligaciones de evaluación periódica.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EVALUACIÓN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(Evaluación de desempeño) </w:t>
      </w:r>
      <w:r>
        <w:rPr>
          <w:rFonts w:ascii="Arial" w:cs="Arial" w:eastAsia="Arial" w:hAnsi="Arial"/>
          <w:sz w:val="22"/>
          <w:szCs w:val="22"/>
        </w:rPr>
        <w:t xml:space="preserve">Todo académico será evaluado anualmente por comisión designada por el Director Académico de su unidad. La evaluación considerará: a) Desempeño docente; b) Actividades de investigación o especialización; c) Contribución a extensión y vinculación con el medio; d) Cumplimiento de funciones administrativas; e) Contribución al Plan de Desarrollo Institucional.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(Consecuencias de evaluación) </w:t>
      </w:r>
      <w:r>
        <w:rPr>
          <w:rFonts w:ascii="Arial" w:cs="Arial" w:eastAsia="Arial" w:hAnsi="Arial"/>
          <w:sz w:val="22"/>
          <w:szCs w:val="22"/>
        </w:rPr>
        <w:t xml:space="preserve">Resultados de evaluación pueden derivar en: a) Felicitación y estímulo para el período siguiente; b) Plan de mejoramiento si el desempeño es insuficiente; c) Cambios de dedicación o función; d) Proceso de no renovación de contrato en casos de incumplimiento grave; e) Acceso a beneficios de promoción en caso de desempeño destacado.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PROMOCIÓN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(Criterios generales) </w:t>
      </w:r>
      <w:r>
        <w:rPr>
          <w:rFonts w:ascii="Arial" w:cs="Arial" w:eastAsia="Arial" w:hAnsi="Arial"/>
          <w:sz w:val="22"/>
          <w:szCs w:val="22"/>
        </w:rPr>
        <w:t xml:space="preserve">La promoción de académico a jerarquía superior requiere: a) Cumplimiento de tiempo mínimo en jerarquía actual; b) Evaluaciones positivas consecutivas; c) Contribución demostrada en docencia, investigación y extensión; d) Aprobación por comisión de promoción; e) Recomendación favorable del respectivo Decano.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(Procedimiento) </w:t>
      </w:r>
      <w:r>
        <w:rPr>
          <w:rFonts w:ascii="Arial" w:cs="Arial" w:eastAsia="Arial" w:hAnsi="Arial"/>
          <w:sz w:val="22"/>
          <w:szCs w:val="22"/>
        </w:rPr>
        <w:t xml:space="preserve">Los académicos interesados en promoción presentan solicitud con documentación de logros, publicaciones, proyectos y evaluaciones. La comisión de promoción, constituida por académicos de mayor jerarquía, realiza evaluación integral en plazo de 60 días. Resultado es comunicado por escrito con fundamentos.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5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CESACIÓN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(Causales) </w:t>
      </w:r>
      <w:r>
        <w:rPr>
          <w:rFonts w:ascii="Arial" w:cs="Arial" w:eastAsia="Arial" w:hAnsi="Arial"/>
          <w:sz w:val="22"/>
          <w:szCs w:val="22"/>
        </w:rPr>
        <w:t xml:space="preserve">La relación contractual de académico cesa por: a) Término del contrato por no renovación; b) Renuncia voluntaria; c) Retiro por edad; d) Incapacidad comprobada para desempeño de funciones; e) Remociónpor falta grave; f) Muerte del académico.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(Procedimiento de remoción) </w:t>
      </w:r>
      <w:r>
        <w:rPr>
          <w:rFonts w:ascii="Arial" w:cs="Arial" w:eastAsia="Arial" w:hAnsi="Arial"/>
          <w:sz w:val="22"/>
          <w:szCs w:val="22"/>
        </w:rPr>
        <w:t xml:space="preserve">La remoción por causa justificada requiere: a) Investigación administrativa; b) Derecho a ser oído del académico; c) Resolución fundamentada del Rector; d) Aprobación del Consejo Superior cuando se trata de académico de carrera; e) Derecho a recurso de apelación ante Consejo Universitario.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Reglamento de Carrera Académica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2026-04-04T19:45:09.907Z</dcterms:created>
  <dcterms:modified xsi:type="dcterms:W3CDTF">2026-04-04T19:45:09.907Z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