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SOBRE ADMINISTRACIÓN FINANCIERA Y PATRIMONIAL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86g, 89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VRAF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Los artículos 86g) y 89 del Estatuto sobre administración patrimonial.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 sobre Universidades del Estado.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La Ley 19.886 sobre Bases de Contratación Pública.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sobre administración financiera y patrimonial,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86g, 89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regula los procedimientos y controles para administración del patrimonio universitario, incluyendo bienes inmuebles, muebles y financieros, de conformidad con la legislación vigente.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(Principios) </w:t>
      </w:r>
      <w:r>
        <w:rPr>
          <w:rFonts w:ascii="Arial" w:cs="Arial" w:eastAsia="Arial" w:hAnsi="Arial"/>
          <w:sz w:val="22"/>
          <w:szCs w:val="22"/>
        </w:rPr>
        <w:t xml:space="preserve">La administración patrimonial se regirá por: a) Legalidad de actos; b) Eficiencia en uso de recursos; c) Transparencia y rendición de cuentas; d) Preservación del patrimonio; e) Generación de valor institucional.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ENAJENACIÓN DE BIENES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(Requisitos generales) </w:t>
      </w:r>
      <w:r>
        <w:rPr>
          <w:rFonts w:ascii="Arial" w:cs="Arial" w:eastAsia="Arial" w:hAnsi="Arial"/>
          <w:sz w:val="22"/>
          <w:szCs w:val="22"/>
        </w:rPr>
        <w:t xml:space="preserve">La venta o enajenación de bienes patrimoniales requiere: a) Acuerdo del Consejo Superior fundado en razones de utilidad pública o interés institucional; b) Evaluación de tasación realizada por perito independiente; c) Publicidad del procedimiento; d) Acta de sesión del Consejo que autoriza.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(Bienes inmuebles) </w:t>
      </w:r>
      <w:r>
        <w:rPr>
          <w:rFonts w:ascii="Arial" w:cs="Arial" w:eastAsia="Arial" w:hAnsi="Arial"/>
          <w:sz w:val="22"/>
          <w:szCs w:val="22"/>
        </w:rPr>
        <w:t xml:space="preserve">La enajenación de inmuebles requiere además: a) Informe de Dirección de Infraestructura sobre disponibilidad; b) Evaluación de opciones de uso alternativo; c) Consulta al Consejo Académico si afecta funciones docentes o investigativas; d) Notaría pública para formalizar.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(Bienes muebles) </w:t>
      </w:r>
      <w:r>
        <w:rPr>
          <w:rFonts w:ascii="Arial" w:cs="Arial" w:eastAsia="Arial" w:hAnsi="Arial"/>
          <w:sz w:val="22"/>
          <w:szCs w:val="22"/>
        </w:rPr>
        <w:t xml:space="preserve">Bienes muebles (vehículos, equipos, mobiliario) pueden ser enajenados conforme procedimiento simplificado aprobado por Rectoría cuando: a) Han cumplido vida útil; b) Consejo Superior autoriza; c) Se obtiene mejor precio posible.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GRAVAMEN DE BIENES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(Hipoteca de bienes inmuebles) </w:t>
      </w:r>
      <w:r>
        <w:rPr>
          <w:rFonts w:ascii="Arial" w:cs="Arial" w:eastAsia="Arial" w:hAnsi="Arial"/>
          <w:sz w:val="22"/>
          <w:szCs w:val="22"/>
        </w:rPr>
        <w:t xml:space="preserve">La constitución de hipoteca sobre inmuebles universitarios solo procede cuando: a) Consejo Superior aprueba expresamente; b) Recurso hipotecado será destinado a fines educacionales; c) Se demuestra imposibilidad de financiamiento alternativo; d) Relación deuda-patrimonio permite operación segura.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(Prenda de bienes muebles) </w:t>
      </w:r>
      <w:r>
        <w:rPr>
          <w:rFonts w:ascii="Arial" w:cs="Arial" w:eastAsia="Arial" w:hAnsi="Arial"/>
          <w:sz w:val="22"/>
          <w:szCs w:val="22"/>
        </w:rPr>
        <w:t xml:space="preserve">Bienes muebles pueden ser prendados solo para obtención de financiamiento de inversiones académicas o de infraestructura, con aprobación de Consejo Superior y respaldados por póliza de seguro.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GESTIÓN FINANCIERA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(Plan financiero institucional) </w:t>
      </w:r>
      <w:r>
        <w:rPr>
          <w:rFonts w:ascii="Arial" w:cs="Arial" w:eastAsia="Arial" w:hAnsi="Arial"/>
          <w:sz w:val="22"/>
          <w:szCs w:val="22"/>
        </w:rPr>
        <w:t xml:space="preserve">Anualmente se elaborará plan financiero integral que: a) Proyecta ingresos según fuentes identificadas; b) Estima gastos operacionales y de inversión; c) Asigna presupuesto por dependencia; d) Es aprobado por Consejo Superior; e) Es publicado para comunidad.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(Ejecución presupuestaria) </w:t>
      </w:r>
      <w:r>
        <w:rPr>
          <w:rFonts w:ascii="Arial" w:cs="Arial" w:eastAsia="Arial" w:hAnsi="Arial"/>
          <w:sz w:val="22"/>
          <w:szCs w:val="22"/>
        </w:rPr>
        <w:t xml:space="preserve">La Vicerrectoría de Administración y Finanzas administra ejecución del presupuesto según lo aprobado. Modificaciones requieren: a) Solicitud fundamentada de unidad; b) Análisis de disponibilidad; c) Aprobación de Rectoría o Consejo según monto.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(Rendición de cuentas) </w:t>
      </w:r>
      <w:r>
        <w:rPr>
          <w:rFonts w:ascii="Arial" w:cs="Arial" w:eastAsia="Arial" w:hAnsi="Arial"/>
          <w:sz w:val="22"/>
          <w:szCs w:val="22"/>
        </w:rPr>
        <w:t xml:space="preserve">Semestralmente se presenta informe financiero al Consejo Superior con: a) Ejecución presupuestaria detallada; b) Análisis de desviaciones; c) Tesorería y liquidez disponible; d) Evaluación de cumplimiento de metas; e) Proyecciones al cierre del ejercicio.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TRANSPARENCIA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(Publicidad de información) </w:t>
      </w:r>
      <w:r>
        <w:rPr>
          <w:rFonts w:ascii="Arial" w:cs="Arial" w:eastAsia="Arial" w:hAnsi="Arial"/>
          <w:sz w:val="22"/>
          <w:szCs w:val="22"/>
        </w:rPr>
        <w:t xml:space="preserve">La Universidad publica anualmente: a) Estados financieros consolidados; b) Remuneraciones de personal directivo (según ley); c) Contratos celebrados (conforme ley de acceso a información); d) Reportes de auditoría interna y externa.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sobre Administración Financiera y Patrimonial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2026-04-04T19:45:12.302Z</dcterms:created>
  <dcterms:modified xsi:type="dcterms:W3CDTF">2026-04-04T19:45:12.302Z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