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NORMATIVA RELATIVA PARA LA EMISIÓN DE NORMAS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89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Secretaría General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89 del Estatuto sobre jerarquía y procedimientos normativos.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Principios de legalidad y transparencia administrativa.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normativa relativa para la emisión de normas,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89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normativa regula los procedimientos para dictar, modificar y derogar normas universitarias, estableciendo jerarquía de actos y garantizando transparencia, legitimidad y participación en generación de normativa.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(Jerarquía normativa) </w:t>
      </w:r>
      <w:r>
        <w:rPr>
          <w:rFonts w:ascii="Arial" w:cs="Arial" w:eastAsia="Arial" w:hAnsi="Arial"/>
          <w:sz w:val="22"/>
          <w:szCs w:val="22"/>
        </w:rPr>
        <w:t xml:space="preserve">Se reconoce la siguiente jerarquía: a) Estatuto del DFL Núm. 27; b) Reglamentos dictados por Consejo Superior; c) Decretos universitarios del Rector; d) Resoluciones de Vicerrectores; e) Instrucciones de Directores; f) Normas administrativas internas.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ELABORACIÓN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(Iniciativa normativa) </w:t>
      </w:r>
      <w:r>
        <w:rPr>
          <w:rFonts w:ascii="Arial" w:cs="Arial" w:eastAsia="Arial" w:hAnsi="Arial"/>
          <w:sz w:val="22"/>
          <w:szCs w:val="22"/>
        </w:rPr>
        <w:t xml:space="preserve">Pueden proponer nuevas normas: a) El Rector; b) Los Vicerrectores; c) El Consejo Superior; d) El Consejo Universitario; e) Cualquier Facultad o unidad académica cuando le sea propia.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(Evaluación preliminar) </w:t>
      </w:r>
      <w:r>
        <w:rPr>
          <w:rFonts w:ascii="Arial" w:cs="Arial" w:eastAsia="Arial" w:hAnsi="Arial"/>
          <w:sz w:val="22"/>
          <w:szCs w:val="22"/>
        </w:rPr>
        <w:t xml:space="preserve">Toda propuesta de norma debe: a) Identificar el problema que soluciona; b) Demostrar que no existe norma similar vigente; c) Analizar impacto en otras áreas; d) Consultar con unidades afectadas; e) Presentar versión preliminar a Secretaría General.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(Participación) </w:t>
      </w:r>
      <w:r>
        <w:rPr>
          <w:rFonts w:ascii="Arial" w:cs="Arial" w:eastAsia="Arial" w:hAnsi="Arial"/>
          <w:sz w:val="22"/>
          <w:szCs w:val="22"/>
        </w:rPr>
        <w:t xml:space="preserve">Según tipo de norma: a) Reglamentos: participación de académicos y estudiantes mediante consulta pública de al menos 15 días; b) Decretos: consulta a áreas directamente afectadas; c) Resoluciones: comunicación previa a afectados.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PROCEDIMIENTO DE APROBACIÓN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(Trámite legislativo) </w:t>
      </w:r>
      <w:r>
        <w:rPr>
          <w:rFonts w:ascii="Arial" w:cs="Arial" w:eastAsia="Arial" w:hAnsi="Arial"/>
          <w:sz w:val="22"/>
          <w:szCs w:val="22"/>
        </w:rPr>
        <w:t xml:space="preserve">Las normas siguen procedimiento: a) Presentación a órgano competente; b) Debate en sesión formal; c) Votación según quórum requerido; d) Aprobación con mayoría requerida; e) Promulgación por autoridad competente.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(Reglamentos) </w:t>
      </w:r>
      <w:r>
        <w:rPr>
          <w:rFonts w:ascii="Arial" w:cs="Arial" w:eastAsia="Arial" w:hAnsi="Arial"/>
          <w:sz w:val="22"/>
          <w:szCs w:val="22"/>
        </w:rPr>
        <w:t xml:space="preserve">Se aprueban por Consejo Superior con votación unánime o mayoría calificada según materia. Requieren debate en al menos dos sesiones. Versión aprobada es refrendada por Rector.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(Decretos y Resoluciones) </w:t>
      </w:r>
      <w:r>
        <w:rPr>
          <w:rFonts w:ascii="Arial" w:cs="Arial" w:eastAsia="Arial" w:hAnsi="Arial"/>
          <w:sz w:val="22"/>
          <w:szCs w:val="22"/>
        </w:rPr>
        <w:t xml:space="preserve">Aprobados por Rector o Vicerrector según competencia. Deben ser refrendados por autoridad superior si corresponde. Se publican mediante intranet y comunicación oficial.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PUBLICIDAD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(Publicación) </w:t>
      </w:r>
      <w:r>
        <w:rPr>
          <w:rFonts w:ascii="Arial" w:cs="Arial" w:eastAsia="Arial" w:hAnsi="Arial"/>
          <w:sz w:val="22"/>
          <w:szCs w:val="22"/>
        </w:rPr>
        <w:t xml:space="preserve">Toda norma aprobada debe: a) Ser publicada en la página web institucional; b) Indicar fecha de entrada en vigencia; c) Especificar órgano que la aprobó; d) Incluir número y año de aprobación; e) Estar disponible en formato digital accesible.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(Vigencia) </w:t>
      </w:r>
      <w:r>
        <w:rPr>
          <w:rFonts w:ascii="Arial" w:cs="Arial" w:eastAsia="Arial" w:hAnsi="Arial"/>
          <w:sz w:val="22"/>
          <w:szCs w:val="22"/>
        </w:rPr>
        <w:t xml:space="preserve">Las normas entran en vigencia: a) En la fecha indicada en el acto que las aprueba; b) Si no se indica fecha, a los 5 días hábiles de publicación; c) Pueden tener vigencia diferida cuando así se justifique; d) Se presume conocimiento después de publicación.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LAS REFORMAS Y DEROGACIÓN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(Modificación) </w:t>
      </w:r>
      <w:r>
        <w:rPr>
          <w:rFonts w:ascii="Arial" w:cs="Arial" w:eastAsia="Arial" w:hAnsi="Arial"/>
          <w:sz w:val="22"/>
          <w:szCs w:val="22"/>
        </w:rPr>
        <w:t xml:space="preserve">Las normas pueden ser modificadas mediante procedimiento similar al de su aprobación. Modificación debe identificar claramente artículos que se cambian y justificar razones de la reforma.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(Derogación) </w:t>
      </w:r>
      <w:r>
        <w:rPr>
          <w:rFonts w:ascii="Arial" w:cs="Arial" w:eastAsia="Arial" w:hAnsi="Arial"/>
          <w:sz w:val="22"/>
          <w:szCs w:val="22"/>
        </w:rPr>
        <w:t xml:space="preserve">La derogación de normas requiere: a) Acto expreso de autoridad competente; b) Identificación precisa de norma derogada; c) Justificación de la derogación; d) Efectos sobre derechos adquiridos. Derogación tácita no es aplicable.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Normativa Relativa para la Emisión de Normas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2026-04-04T19:45:14.779Z</dcterms:created>
  <dcterms:modified xsi:type="dcterms:W3CDTF">2026-04-04T19:45:14.780Z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