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UNIVERSIDAD DE MAGALLANES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Punta Arenas, Chile</w:t>
      </w:r>
    </w:p>
    <w:p>
      <w:pPr>
        <w:pBdr>
          <w:bottom w:val="single" w:color="003366" w:sz="6"/>
        </w:pBdr>
        <w:spacing w:after="0"/>
        <w:jc w:val="center"/>
      </w:pPr>
    </w:p>
    <w:p>
      <w:pPr>
        <w:spacing w:after="4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CC0000"/>
          <w:sz w:val="24"/>
          <w:szCs w:val="24"/>
        </w:rPr>
        <w:t xml:space="preserve">BORRADOR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REGLAMENTO DE VOTACIONES BIENESTAR</w:t>
      </w:r>
    </w:p>
    <w:p>
      <w:pPr>
        <w:spacing w:after="60"/>
        <w:ind w:left="720"/>
      </w:pPr>
      <w:r>
        <w:rPr>
          <w:rFonts w:ascii="Arial" w:cs="Arial" w:eastAsia="Arial" w:hAnsi="Arial"/>
          <w:b/>
          <w:bCs/>
          <w:color w:val="003366"/>
          <w:sz w:val="20"/>
          <w:szCs w:val="20"/>
        </w:rPr>
        <w:t xml:space="preserve">Fundamento estatutario: </w:t>
      </w:r>
      <w:r>
        <w:rPr>
          <w:rFonts w:ascii="Arial" w:cs="Arial" w:eastAsia="Arial" w:hAnsi="Arial"/>
          <w:sz w:val="20"/>
          <w:szCs w:val="20"/>
        </w:rPr>
        <w:t xml:space="preserve">Art. 78d + Ley 21.094 Art. 6</w:t>
      </w:r>
    </w:p>
    <w:p>
      <w:pPr>
        <w:spacing w:after="60"/>
        <w:ind w:left="720"/>
      </w:pPr>
      <w:r>
        <w:rPr>
          <w:rFonts w:ascii="Arial" w:cs="Arial" w:eastAsia="Arial" w:hAnsi="Arial"/>
          <w:b/>
          <w:bCs/>
          <w:color w:val="003366"/>
          <w:sz w:val="20"/>
          <w:szCs w:val="20"/>
        </w:rPr>
        <w:t xml:space="preserve">Responsable: </w:t>
      </w:r>
      <w:r>
        <w:rPr>
          <w:rFonts w:ascii="Arial" w:cs="Arial" w:eastAsia="Arial" w:hAnsi="Arial"/>
          <w:sz w:val="20"/>
          <w:szCs w:val="20"/>
        </w:rPr>
        <w:t xml:space="preserve">VRAE/Bienestar</w:t>
      </w:r>
    </w:p>
    <w:p>
      <w:pPr>
        <w:spacing w:after="60"/>
        <w:ind w:left="720"/>
      </w:pPr>
      <w:r>
        <w:rPr>
          <w:rFonts w:ascii="Arial" w:cs="Arial" w:eastAsia="Arial" w:hAnsi="Arial"/>
          <w:b/>
          <w:bCs/>
          <w:color w:val="003366"/>
          <w:sz w:val="20"/>
          <w:szCs w:val="20"/>
        </w:rPr>
        <w:t xml:space="preserve">Aprobación requerida: </w:t>
      </w:r>
      <w:r>
        <w:rPr>
          <w:rFonts w:ascii="Arial" w:cs="Arial" w:eastAsia="Arial" w:hAnsi="Arial"/>
          <w:sz w:val="20"/>
          <w:szCs w:val="20"/>
        </w:rPr>
        <w:t xml:space="preserve">Consejo Superior / Consejo Universitario</w:t>
      </w:r>
    </w:p>
    <w:p>
      <w:pPr>
        <w:spacing w:after="400"/>
      </w:pP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VISTOS: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1. El DFL Núm. 27, de 2024, del Estatuto de la Universidad de Magallanes.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2. El artículo 78 d) del Estatuto sobre votación de beneficios.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3. La Ley 21.094, artículo 6, sobre participación en cuerpos de bienestar.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4. Principios de participación democrática en comunidad universitaria.</w:t>
      </w:r>
    </w:p>
    <w:p>
      <w:pPr>
        <w:spacing w:after="200"/>
      </w:pP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CONSIDERANDO: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Que es necesario contar con un cuerpo normativo que regule de manera integral las materias relativas a reglamento de votaciones bienestar, en concordancia con el nuevo Estatuto de la Universidad;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Que el Art. 78d + Ley 21.094 Art. 6 del Estatuto establece expresamente la obligación de dictar la normativa correspondiente;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Que el Consejo Superior ha aprobado el presente reglamento en sesión de fecha [COMPLETAR];</w:t>
      </w:r>
    </w:p>
    <w:p>
      <w:pPr>
        <w:spacing w:after="400"/>
        <w:ind w:left="7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DECRETO:</w:t>
      </w:r>
    </w:p>
    <w:p>
      <w:pPr>
        <w:spacing w:after="200" w:before="300"/>
        <w:jc w:val="center"/>
      </w:pPr>
      <w:r>
        <w:rPr>
          <w:rFonts w:ascii="Arial" w:cs="Arial" w:eastAsia="Arial" w:hAnsi="Arial"/>
          <w:b/>
          <w:bCs/>
          <w:color w:val="003366"/>
          <w:sz w:val="26"/>
          <w:szCs w:val="26"/>
        </w:rPr>
        <w:t xml:space="preserve">TÍTULO 1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003366"/>
          <w:sz w:val="24"/>
          <w:szCs w:val="24"/>
        </w:rPr>
        <w:t xml:space="preserve">DISPOSICIONES GENERALES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1°.-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(Objeto) </w:t>
      </w:r>
      <w:r>
        <w:rPr>
          <w:rFonts w:ascii="Arial" w:cs="Arial" w:eastAsia="Arial" w:hAnsi="Arial"/>
          <w:sz w:val="22"/>
          <w:szCs w:val="22"/>
        </w:rPr>
        <w:t xml:space="preserve">El presente reglamento regula el procedimiento electoral para selección de representantes en órganos y cuerpos de bienestar estudiantil, garantizando participación democrática de estudiantes en decisiones sobre beneficios y servicios que los afectan.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2°.-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(Beneficios sujetos a votación) </w:t>
      </w:r>
      <w:r>
        <w:rPr>
          <w:rFonts w:ascii="Arial" w:cs="Arial" w:eastAsia="Arial" w:hAnsi="Arial"/>
          <w:sz w:val="22"/>
          <w:szCs w:val="22"/>
        </w:rPr>
        <w:t xml:space="preserve">Se someten a votación estudiantil decisiones sobre: a) Distribución de fondos de bienestar; b) Creación de nuevos beneficios; c) Modificación de aranceles de servicios de bienestar; d) Selección de representantes en Consejo de Bienestar; e) Prioridades de programas de apoyo estudiantil.</w:t>
      </w:r>
    </w:p>
    <w:p>
      <w:r>
        <w:br w:type="page"/>
      </w:r>
    </w:p>
    <w:p>
      <w:pPr>
        <w:spacing w:after="200" w:before="300"/>
        <w:jc w:val="center"/>
      </w:pPr>
      <w:r>
        <w:rPr>
          <w:rFonts w:ascii="Arial" w:cs="Arial" w:eastAsia="Arial" w:hAnsi="Arial"/>
          <w:b/>
          <w:bCs/>
          <w:color w:val="003366"/>
          <w:sz w:val="26"/>
          <w:szCs w:val="26"/>
        </w:rPr>
        <w:t xml:space="preserve">TÍTULO 2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003366"/>
          <w:sz w:val="24"/>
          <w:szCs w:val="24"/>
        </w:rPr>
        <w:t xml:space="preserve">DEL CUERPO ELECTORAL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3°.-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(Quién vota) </w:t>
      </w:r>
      <w:r>
        <w:rPr>
          <w:rFonts w:ascii="Arial" w:cs="Arial" w:eastAsia="Arial" w:hAnsi="Arial"/>
          <w:sz w:val="22"/>
          <w:szCs w:val="22"/>
        </w:rPr>
        <w:t xml:space="preserve">Tienen derecho a voto: a) Estudiantes de pregrado matriculados en el semestre de elección; b) Estudiantes de postgrado que cotizan a cuerpo de bienestar; c) Estudiantes de programas especiales inscritos; d) Se excluyen estudiantes con más de dos semestres sin pagar arancel de bienestar.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4°.-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(Padrón electoral) </w:t>
      </w:r>
      <w:r>
        <w:rPr>
          <w:rFonts w:ascii="Arial" w:cs="Arial" w:eastAsia="Arial" w:hAnsi="Arial"/>
          <w:sz w:val="22"/>
          <w:szCs w:val="22"/>
        </w:rPr>
        <w:t xml:space="preserve">Se elabora padrón con: a) Listado de estudiantes habilitados; b) Identificación única de cada elector; c) Verificación de duplicados o registros inconsistentes; d) Publicación con derecho a reclamo por 5 días hábiles; e) Padrón definitivo tres días antes de votación.</w:t>
      </w:r>
    </w:p>
    <w:p>
      <w:r>
        <w:br w:type="page"/>
      </w:r>
    </w:p>
    <w:p>
      <w:pPr>
        <w:spacing w:after="200" w:before="300"/>
        <w:jc w:val="center"/>
      </w:pPr>
      <w:r>
        <w:rPr>
          <w:rFonts w:ascii="Arial" w:cs="Arial" w:eastAsia="Arial" w:hAnsi="Arial"/>
          <w:b/>
          <w:bCs/>
          <w:color w:val="003366"/>
          <w:sz w:val="26"/>
          <w:szCs w:val="26"/>
        </w:rPr>
        <w:t xml:space="preserve">TÍTULO 3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003366"/>
          <w:sz w:val="24"/>
          <w:szCs w:val="24"/>
        </w:rPr>
        <w:t xml:space="preserve">DEL PROCEDIMIENTO ELECTORAL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5°.-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(Convocatoria) </w:t>
      </w:r>
      <w:r>
        <w:rPr>
          <w:rFonts w:ascii="Arial" w:cs="Arial" w:eastAsia="Arial" w:hAnsi="Arial"/>
          <w:sz w:val="22"/>
          <w:szCs w:val="22"/>
        </w:rPr>
        <w:t xml:space="preserve">La Vicerrectoría de Asuntos Estudiantiles convoca a votación con: a) Publicación 20 días de anticipación; b) Especificación clara de materia a votar; c) Definición de fechas y lugares de votación; d) Información sobre quién puede votar; e) Aclaraciones sobre cada propuesta sometida.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6°.-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(Modalidades de votación) </w:t>
      </w:r>
      <w:r>
        <w:rPr>
          <w:rFonts w:ascii="Arial" w:cs="Arial" w:eastAsia="Arial" w:hAnsi="Arial"/>
          <w:sz w:val="22"/>
          <w:szCs w:val="22"/>
        </w:rPr>
        <w:t xml:space="preserve">Se realiza mediante: a) Votación electrónica en línea con credenciales de estudiante; b) Votación presencial en urnas con supervisión; c) Votación mixta si programa de bienestar lo requiere; d) Voto secreto garantizado en todas las modalidades.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7°.-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(Período de votación) </w:t>
      </w:r>
      <w:r>
        <w:rPr>
          <w:rFonts w:ascii="Arial" w:cs="Arial" w:eastAsia="Arial" w:hAnsi="Arial"/>
          <w:sz w:val="22"/>
          <w:szCs w:val="22"/>
        </w:rPr>
        <w:t xml:space="preserve">Se abre por un mínimo de 3 días consecutivos, con horarios: a) De 08:00 a 20:00 horas en votación presencial; b) De 00:00 a 23:59 horas en modalidad electrónica; c) Posibilidad de votación adelantada en circunstancias justificadas; d) Facilidades de acceso para estudiantes con discapacidad.</w:t>
      </w:r>
    </w:p>
    <w:p>
      <w:r>
        <w:br w:type="page"/>
      </w:r>
    </w:p>
    <w:p>
      <w:pPr>
        <w:spacing w:after="200" w:before="300"/>
        <w:jc w:val="center"/>
      </w:pPr>
      <w:r>
        <w:rPr>
          <w:rFonts w:ascii="Arial" w:cs="Arial" w:eastAsia="Arial" w:hAnsi="Arial"/>
          <w:b/>
          <w:bCs/>
          <w:color w:val="003366"/>
          <w:sz w:val="26"/>
          <w:szCs w:val="26"/>
        </w:rPr>
        <w:t xml:space="preserve">TÍTULO 4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003366"/>
          <w:sz w:val="24"/>
          <w:szCs w:val="24"/>
        </w:rPr>
        <w:t xml:space="preserve">DE LA ESCRUTINÍA Y RESULTADOS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8°.-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(Recuento de votos) </w:t>
      </w:r>
      <w:r>
        <w:rPr>
          <w:rFonts w:ascii="Arial" w:cs="Arial" w:eastAsia="Arial" w:hAnsi="Arial"/>
          <w:sz w:val="22"/>
          <w:szCs w:val="22"/>
        </w:rPr>
        <w:t xml:space="preserve">El escrutinio: a) Se realiza públicamente con observadores de estudiantes; b) Se verifica integridad de sistema electrónico si aplica; c) Se levanta acta con resultado detallado; d) Se contabilizan votos válidamente emitidos; e) Se desechen votos nulos en proporción transparente.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9°.-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(Proclamación) </w:t>
      </w:r>
      <w:r>
        <w:rPr>
          <w:rFonts w:ascii="Arial" w:cs="Arial" w:eastAsia="Arial" w:hAnsi="Arial"/>
          <w:sz w:val="22"/>
          <w:szCs w:val="22"/>
        </w:rPr>
        <w:t xml:space="preserve">Se proclaman resultados mediante: a) Publicación en sitio web de bienestar estudiantil; b) Comunicación oficial a comunidad; c) Notificación a candidatos o beneficiarios; d) Copia de acta de escrutinio disponible para consulta; e) Explicación de implicancias de los resultados.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10°.-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(Reclamos) </w:t>
      </w:r>
      <w:r>
        <w:rPr>
          <w:rFonts w:ascii="Arial" w:cs="Arial" w:eastAsia="Arial" w:hAnsi="Arial"/>
          <w:sz w:val="22"/>
          <w:szCs w:val="22"/>
        </w:rPr>
        <w:t xml:space="preserve">Se admiten reclamos sobre: a) Irregularidades en votación; b) Errores en escrutinio; c) Exclusión irregular de electores; d) Presión o coacción sobre votantes; e) Reclamo presentado dentro 3 días hábiles de proclamación.</w:t>
      </w:r>
    </w:p>
    <w:p>
      <w:r>
        <w:br w:type="page"/>
      </w:r>
    </w:p>
    <w:p>
      <w:pPr>
        <w:spacing w:after="200" w:before="300"/>
        <w:jc w:val="center"/>
      </w:pPr>
      <w:r>
        <w:rPr>
          <w:rFonts w:ascii="Arial" w:cs="Arial" w:eastAsia="Arial" w:hAnsi="Arial"/>
          <w:b/>
          <w:bCs/>
          <w:color w:val="003366"/>
          <w:sz w:val="26"/>
          <w:szCs w:val="26"/>
        </w:rPr>
        <w:t xml:space="preserve">TÍTULO 5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003366"/>
          <w:sz w:val="24"/>
          <w:szCs w:val="24"/>
        </w:rPr>
        <w:t xml:space="preserve">DE LA PARTICIPACIÓN DEMOCRÁTICA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11°.-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(Garantías de equidad) </w:t>
      </w:r>
      <w:r>
        <w:rPr>
          <w:rFonts w:ascii="Arial" w:cs="Arial" w:eastAsia="Arial" w:hAnsi="Arial"/>
          <w:sz w:val="22"/>
          <w:szCs w:val="22"/>
        </w:rPr>
        <w:t xml:space="preserve">Se garantiza: a) Acceso equitativo a información sobre propuestas; b) Prohibición de presión o coerción sobre electores; c) Acceso a recursos para candidatos o representantes; d) Participación de todos los estamentos según ley; e) Transparencia total en procedimiento electoral.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12°.-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(Implementación de resultados) </w:t>
      </w:r>
      <w:r>
        <w:rPr>
          <w:rFonts w:ascii="Arial" w:cs="Arial" w:eastAsia="Arial" w:hAnsi="Arial"/>
          <w:sz w:val="22"/>
          <w:szCs w:val="22"/>
        </w:rPr>
        <w:t xml:space="preserve">Los resultados de votación deben ser: a) Implementados fielmente por autoridades; b) Documentados en decisiones de políticas de bienestar; c) Evaluados en cuanto a cumplimiento en período siguiente; d) Objeto de informe semestral a estudiantes sobre ejecución.</w:t>
      </w:r>
    </w:p>
    <w:p>
      <w:pPr>
        <w:spacing w:before="800"/>
      </w:pPr>
    </w:p>
    <w:p>
      <w:pPr>
        <w:pBdr>
          <w:top w:val="single" w:color="999999" w:sz="1"/>
        </w:pBdr>
        <w:spacing w:after="0"/>
        <w:jc w:val="center"/>
      </w:pPr>
    </w:p>
    <w:p>
      <w:pPr>
        <w:spacing w:after="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ANÓTESE, COMUNÍQUESE Y PUBLÍQUESE</w:t>
      </w:r>
    </w:p>
    <w:p>
      <w:pPr>
        <w:spacing w:after="0" w:before="6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</w:t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RECTOR(A)</w:t>
      </w:r>
    </w:p>
    <w:p>
      <w:pPr>
        <w:spacing w:after="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Universidad de Magallanes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BORRADOR — Sujeto a revisión y aprobación — Página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UMAG — Reglamento de Votaciones Bienestar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2026-04-04T19:45:15.323Z</dcterms:created>
  <dcterms:modified xsi:type="dcterms:W3CDTF">2026-04-04T19:45:15.323Z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