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UNIVERSIDAD DE MAGALLANES</w:t>
      </w:r>
    </w:p>
    <w:p>
      <w:pPr>
        <w:spacing w:after="2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Punta Arenas, Chile</w:t>
      </w:r>
    </w:p>
    <w:p>
      <w:pPr>
        <w:pBdr>
          <w:bottom w:val="single" w:color="003366" w:sz="6"/>
        </w:pBdr>
        <w:spacing w:after="0"/>
        <w:jc w:val="center"/>
      </w:pPr>
    </w:p>
    <w:p>
      <w:pPr>
        <w:spacing w:after="4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CC0000"/>
          <w:sz w:val="24"/>
          <w:szCs w:val="24"/>
        </w:rPr>
        <w:t xml:space="preserve">BORRADOR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REGLAMENTO DE INCENTIVO AL RETIRO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Fundamento estatutario: </w:t>
      </w:r>
      <w:r>
        <w:rPr>
          <w:rFonts w:ascii="Arial" w:cs="Arial" w:eastAsia="Arial" w:hAnsi="Arial"/>
          <w:sz w:val="20"/>
          <w:szCs w:val="20"/>
        </w:rPr>
        <w:t xml:space="preserve">Art. 71 derivado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Responsable: </w:t>
      </w:r>
      <w:r>
        <w:rPr>
          <w:rFonts w:ascii="Arial" w:cs="Arial" w:eastAsia="Arial" w:hAnsi="Arial"/>
          <w:sz w:val="20"/>
          <w:szCs w:val="20"/>
        </w:rPr>
        <w:t xml:space="preserve">VRAF</w:t>
      </w:r>
    </w:p>
    <w:p>
      <w:pPr>
        <w:spacing w:after="60"/>
        <w:ind w:left="720"/>
      </w:pPr>
      <w:r>
        <w:rPr>
          <w:rFonts w:ascii="Arial" w:cs="Arial" w:eastAsia="Arial" w:hAnsi="Arial"/>
          <w:b/>
          <w:bCs/>
          <w:color w:val="003366"/>
          <w:sz w:val="20"/>
          <w:szCs w:val="20"/>
        </w:rPr>
        <w:t xml:space="preserve">Aprobación requerida: </w:t>
      </w:r>
      <w:r>
        <w:rPr>
          <w:rFonts w:ascii="Arial" w:cs="Arial" w:eastAsia="Arial" w:hAnsi="Arial"/>
          <w:sz w:val="20"/>
          <w:szCs w:val="20"/>
        </w:rPr>
        <w:t xml:space="preserve">Consejo Superior / Consejo Universitario</w:t>
      </w:r>
    </w:p>
    <w:p>
      <w:pPr>
        <w:spacing w:after="4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VISTOS: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1. El DFL Núm. 27, de 2024, del Estatuto de la Universidad de Magallanes.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2. El artículo 71 del Estatuto sobre beneficios de personal.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3. El Código del Trabajo, especialmente sobre beneficios de retiro.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4. Políticas de renovación y desarrollo institucional.</w:t>
      </w:r>
    </w:p>
    <w:p>
      <w:pPr>
        <w:spacing w:after="200"/>
      </w:pP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CONSIDERANDO: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es necesario contar con un cuerpo normativo que regule de manera integral las materias relativas a reglamento de incentivo al retiro, en concordancia con el nuevo Estatuto de la Universidad;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Art. 71 derivado del Estatuto establece expresamente la obligación de dictar la normativa correspondiente;</w:t>
      </w:r>
    </w:p>
    <w:p>
      <w:pPr>
        <w:spacing w:after="100"/>
        <w:ind w:left="720"/>
      </w:pPr>
      <w:r>
        <w:rPr>
          <w:rFonts w:ascii="Arial" w:cs="Arial" w:eastAsia="Arial" w:hAnsi="Arial"/>
          <w:sz w:val="22"/>
          <w:szCs w:val="22"/>
        </w:rPr>
        <w:t xml:space="preserve">Que el Consejo Superior ha aprobado el presente reglamento en sesión de fecha [COMPLETAR];</w:t>
      </w:r>
    </w:p>
    <w:p>
      <w:pPr>
        <w:spacing w:after="400"/>
        <w:ind w:left="7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DECRETO:</w:t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1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DISPOSICIONES GENERALES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(Objeto) </w:t>
      </w:r>
      <w:r>
        <w:rPr>
          <w:rFonts w:ascii="Arial" w:cs="Arial" w:eastAsia="Arial" w:hAnsi="Arial"/>
          <w:sz w:val="22"/>
          <w:szCs w:val="22"/>
        </w:rPr>
        <w:t xml:space="preserve">El presente reglamento establece condiciones, procedimientos y beneficios para que académicos y funcionarios puedan acceder a retiro incentivado, promoviendo renovación organizacional y reconocimiento de trayectoria institucional.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(Objetivos) </w:t>
      </w:r>
      <w:r>
        <w:rPr>
          <w:rFonts w:ascii="Arial" w:cs="Arial" w:eastAsia="Arial" w:hAnsi="Arial"/>
          <w:sz w:val="22"/>
          <w:szCs w:val="22"/>
        </w:rPr>
        <w:t xml:space="preserve">Busca: a) Facilitar acceso de personas con larga trayectoria al retiro digno; b) Permitir rejuvenecimiento de equipos de trabajo; c) Reducir presión presupuestaria de remuneraciones altas; d) Reconocer contribución de jubilados a la institución.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2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REQUISITOS DE ACCESO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3°.-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(Requisitos personales) </w:t>
      </w:r>
      <w:r>
        <w:rPr>
          <w:rFonts w:ascii="Arial" w:cs="Arial" w:eastAsia="Arial" w:hAnsi="Arial"/>
          <w:sz w:val="22"/>
          <w:szCs w:val="22"/>
        </w:rPr>
        <w:t xml:space="preserve">Pueden acceder al incentivo de retiro: a) Académicos y funcionarios con antigüedad mínima de 20 años en la Universidad; b) Edad mínima de 50 años para hombres, 48 años para mujeres; c) Que hayan cumplido sus obligaciones institucionales de manera satisfactoria; d) Que no registren sanciones disciplinarias vigentes graves.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4°.-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(Requisitos financieros) </w:t>
      </w:r>
      <w:r>
        <w:rPr>
          <w:rFonts w:ascii="Arial" w:cs="Arial" w:eastAsia="Arial" w:hAnsi="Arial"/>
          <w:sz w:val="22"/>
          <w:szCs w:val="22"/>
        </w:rPr>
        <w:t xml:space="preserve">La Universidad evalúa: a) Disponibilidad presupuestaria para financiar incentivo; b) Impacto en continuidad operacional de unidades afectadas; c) Período óptimo para transición de funciones; d) Costo-beneficio del incentivo propuesto.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5°.-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(Solicitud) </w:t>
      </w:r>
      <w:r>
        <w:rPr>
          <w:rFonts w:ascii="Arial" w:cs="Arial" w:eastAsia="Arial" w:hAnsi="Arial"/>
          <w:sz w:val="22"/>
          <w:szCs w:val="22"/>
        </w:rPr>
        <w:t xml:space="preserve">Interesado presenta solicitud a VRAF con: a) Antecedentes de contratación y antigüedad; b) Cargo y competencias actuales; c) Documentación de desempeño reciente; d) Justificación de intención de retiro; e) Información de cálculo preliminar de beneficios.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3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LOS BENEFICIOS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6°.-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(Bonificación de retiro) </w:t>
      </w:r>
      <w:r>
        <w:rPr>
          <w:rFonts w:ascii="Arial" w:cs="Arial" w:eastAsia="Arial" w:hAnsi="Arial"/>
          <w:sz w:val="22"/>
          <w:szCs w:val="22"/>
        </w:rPr>
        <w:t xml:space="preserve">Se otorga bonificación única equivalente a: a) Para 20-24 años: 3 meses de última remuneración; b) Para 25-29 años: 5 meses de última remuneración; c) Para 30 o más años: 7 meses de última remuneración; d) Montos se calculan sobre base que incluye asignaciones fijas.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7°.-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(Cobertura de salud) </w:t>
      </w:r>
      <w:r>
        <w:rPr>
          <w:rFonts w:ascii="Arial" w:cs="Arial" w:eastAsia="Arial" w:hAnsi="Arial"/>
          <w:sz w:val="22"/>
          <w:szCs w:val="22"/>
        </w:rPr>
        <w:t xml:space="preserve">Se mantiene: a) Cobertura de salud hasta los 60 años de edad; b) Para jubilados con descuentos en copagos; c) Extensión de beneficios a grupo familiar según ley; d) Opción de continuar con plan complementario privado si existe.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8°.-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(Otros beneficios) </w:t>
      </w:r>
      <w:r>
        <w:rPr>
          <w:rFonts w:ascii="Arial" w:cs="Arial" w:eastAsia="Arial" w:hAnsi="Arial"/>
          <w:sz w:val="22"/>
          <w:szCs w:val="22"/>
        </w:rPr>
        <w:t xml:space="preserve">Incluye: a) Certificación de competencias y trayectoria; b) Acceso a biblioteca universitaria por vida; c) Invitación a actividades de exalumnos y ex-funcionarios; d) Posibilidad de continuar como profesor emérito si se solicita y aprueba.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4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TRANSICIÓN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9°.-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(Período de transición) </w:t>
      </w:r>
      <w:r>
        <w:rPr>
          <w:rFonts w:ascii="Arial" w:cs="Arial" w:eastAsia="Arial" w:hAnsi="Arial"/>
          <w:sz w:val="22"/>
          <w:szCs w:val="22"/>
        </w:rPr>
        <w:t xml:space="preserve">Se establece período de hasta 6 meses donde: a) Persona continúa en funciones reducidas; b) Transfiere conocimientos y responsabilidades; c) Prepara documentación de procesos; d) Capacita a su reemplazo; e) Recibe compensación especial por jornada reducida.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10°.-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(Selección de reemplazo) </w:t>
      </w:r>
      <w:r>
        <w:rPr>
          <w:rFonts w:ascii="Arial" w:cs="Arial" w:eastAsia="Arial" w:hAnsi="Arial"/>
          <w:sz w:val="22"/>
          <w:szCs w:val="22"/>
        </w:rPr>
        <w:t xml:space="preserve">La unidad: a) Abre proceso de selección paralelo a transición; b) Contrata reemplazo con tiempo de sobreposición; c) Invierte en capacitación de nuevo personal; d) Planifica adecuadamente renovación de equipos.</w:t>
      </w:r>
    </w:p>
    <w:p>
      <w:r>
        <w:br w:type="page"/>
      </w:r>
    </w:p>
    <w:p>
      <w:pPr>
        <w:spacing w:after="200" w:before="300"/>
        <w:jc w:val="center"/>
      </w:pPr>
      <w:r>
        <w:rPr>
          <w:rFonts w:ascii="Arial" w:cs="Arial" w:eastAsia="Arial" w:hAnsi="Arial"/>
          <w:b/>
          <w:bCs/>
          <w:color w:val="003366"/>
          <w:sz w:val="26"/>
          <w:szCs w:val="26"/>
        </w:rPr>
        <w:t xml:space="preserve">TÍTULO 5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003366"/>
          <w:sz w:val="24"/>
          <w:szCs w:val="24"/>
        </w:rPr>
        <w:t xml:space="preserve">DE LA IMPLEMENTACIÓN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11°.-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(Evaluación y aprobación) </w:t>
      </w:r>
      <w:r>
        <w:rPr>
          <w:rFonts w:ascii="Arial" w:cs="Arial" w:eastAsia="Arial" w:hAnsi="Arial"/>
          <w:sz w:val="22"/>
          <w:szCs w:val="22"/>
        </w:rPr>
        <w:t xml:space="preserve">VRAF evalúa solicitud en 30 días verificando: a) Cumplimiento de requisitos; b) Disponibilidad presupuestaria; c) Conveniencia para institución; d) Aprobación de Rectoría cuando monto es significativo.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Artículo 12°.- </w:t>
      </w: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(Liquidación) </w:t>
      </w:r>
      <w:r>
        <w:rPr>
          <w:rFonts w:ascii="Arial" w:cs="Arial" w:eastAsia="Arial" w:hAnsi="Arial"/>
          <w:sz w:val="22"/>
          <w:szCs w:val="22"/>
        </w:rPr>
        <w:t xml:space="preserve">Una vez aprobado: a) Se calcula montos exactos con asesoría legal; b) Se procesa pago de beneficios; c) Se tramita traspaso de beneficios de salud; d) Se genera acta de despedida institucional.</w:t>
      </w:r>
    </w:p>
    <w:p>
      <w:pPr>
        <w:spacing w:before="800"/>
      </w:pPr>
    </w:p>
    <w:p>
      <w:pPr>
        <w:pBdr>
          <w:top w:val="single" w:color="999999" w:sz="1"/>
        </w:pBdr>
        <w:spacing w:after="0"/>
        <w:jc w:val="center"/>
      </w:pP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ANÓTESE, COMUNÍQUESE Y PUBLÍQUESE</w:t>
      </w:r>
    </w:p>
    <w:p>
      <w:pPr>
        <w:spacing w:after="0" w:before="60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_______________________________</w:t>
      </w:r>
    </w:p>
    <w:p>
      <w:pPr>
        <w:spacing w:after="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RECTOR(A)</w:t>
      </w:r>
    </w:p>
    <w:p>
      <w:pPr>
        <w:spacing w:after="0"/>
        <w:jc w:val="center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Universidad de Magallanes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BORRADOR — Sujeto a revisión y aprobación — Página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UMAG — Reglamento de Incentivo al Retiro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2026-04-04T19:45:15.225Z</dcterms:created>
  <dcterms:modified xsi:type="dcterms:W3CDTF">2026-04-04T19:45:15.225Z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