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sz w:val="28"/>
          <w:szCs w:val="28"/>
        </w:rPr>
        <w:t xml:space="preserve">UNIVERSIDAD DE MAGALLANES</w:t>
      </w:r>
    </w:p>
    <w:p>
      <w:pPr>
        <w:spacing w:after="200"/>
        <w:jc w:val="center"/>
      </w:pPr>
      <w:r>
        <w:rPr>
          <w:rFonts w:ascii="Arial" w:cs="Arial" w:eastAsia="Arial" w:hAnsi="Arial"/>
          <w:color w:val="666666"/>
          <w:sz w:val="20"/>
          <w:szCs w:val="20"/>
        </w:rPr>
        <w:t xml:space="preserve">Punta Arenas, Chile</w:t>
      </w:r>
    </w:p>
    <w:p>
      <w:pPr>
        <w:pBdr>
          <w:bottom w:val="single" w:color="003366" w:sz="6"/>
        </w:pBdr>
        <w:spacing w:after="0"/>
        <w:jc w:val="center"/>
      </w:pPr>
    </w:p>
    <w:p>
      <w:pPr>
        <w:spacing w:after="400"/>
      </w:pPr>
    </w:p>
    <w:p>
      <w:pPr>
        <w:spacing w:after="100"/>
        <w:jc w:val="center"/>
      </w:pPr>
      <w:r>
        <w:rPr>
          <w:rFonts w:ascii="Arial" w:cs="Arial" w:eastAsia="Arial" w:hAnsi="Arial"/>
          <w:b/>
          <w:bCs/>
          <w:color w:val="CC0000"/>
          <w:sz w:val="24"/>
          <w:szCs w:val="24"/>
        </w:rPr>
        <w:t xml:space="preserve">BORRADOR</w:t>
      </w:r>
    </w:p>
    <w:p>
      <w:pPr>
        <w:spacing w:after="400"/>
        <w:jc w:val="center"/>
      </w:pPr>
      <w:r>
        <w:rPr>
          <w:rFonts w:ascii="Arial" w:cs="Arial" w:eastAsia="Arial" w:hAnsi="Arial"/>
          <w:b/>
          <w:bCs/>
          <w:sz w:val="32"/>
          <w:szCs w:val="32"/>
        </w:rPr>
        <w:t xml:space="preserve">DECLARACIÓN DE BIENES DE ESPECIAL INTERÉS INSTITUCIONAL</w:t>
      </w:r>
    </w:p>
    <w:p>
      <w:pPr>
        <w:spacing w:after="60"/>
        <w:ind w:left="720"/>
      </w:pPr>
      <w:r>
        <w:rPr>
          <w:rFonts w:ascii="Arial" w:cs="Arial" w:eastAsia="Arial" w:hAnsi="Arial"/>
          <w:b/>
          <w:bCs/>
          <w:color w:val="003366"/>
          <w:sz w:val="20"/>
          <w:szCs w:val="20"/>
        </w:rPr>
        <w:t xml:space="preserve">Fundamento estatutario: </w:t>
      </w:r>
      <w:r>
        <w:rPr>
          <w:rFonts w:ascii="Arial" w:cs="Arial" w:eastAsia="Arial" w:hAnsi="Arial"/>
          <w:sz w:val="20"/>
          <w:szCs w:val="20"/>
        </w:rPr>
        <w:t xml:space="preserve">Art. 18 letra g)</w:t>
      </w:r>
    </w:p>
    <w:p>
      <w:pPr>
        <w:spacing w:after="60"/>
        <w:ind w:left="720"/>
      </w:pPr>
      <w:r>
        <w:rPr>
          <w:rFonts w:ascii="Arial" w:cs="Arial" w:eastAsia="Arial" w:hAnsi="Arial"/>
          <w:b/>
          <w:bCs/>
          <w:color w:val="003366"/>
          <w:sz w:val="20"/>
          <w:szCs w:val="20"/>
        </w:rPr>
        <w:t xml:space="preserve">Responsable: </w:t>
      </w:r>
      <w:r>
        <w:rPr>
          <w:rFonts w:ascii="Arial" w:cs="Arial" w:eastAsia="Arial" w:hAnsi="Arial"/>
          <w:sz w:val="20"/>
          <w:szCs w:val="20"/>
        </w:rPr>
        <w:t xml:space="preserve">VRAF</w:t>
      </w:r>
    </w:p>
    <w:p>
      <w:pPr>
        <w:spacing w:after="60"/>
        <w:ind w:left="720"/>
      </w:pPr>
      <w:r>
        <w:rPr>
          <w:rFonts w:ascii="Arial" w:cs="Arial" w:eastAsia="Arial" w:hAnsi="Arial"/>
          <w:b/>
          <w:bCs/>
          <w:color w:val="003366"/>
          <w:sz w:val="20"/>
          <w:szCs w:val="20"/>
        </w:rPr>
        <w:t xml:space="preserve">Aprobación requerida: </w:t>
      </w:r>
      <w:r>
        <w:rPr>
          <w:rFonts w:ascii="Arial" w:cs="Arial" w:eastAsia="Arial" w:hAnsi="Arial"/>
          <w:sz w:val="20"/>
          <w:szCs w:val="20"/>
        </w:rPr>
        <w:t xml:space="preserve">Consejo Superior / Consejo Universitario</w:t>
      </w:r>
    </w:p>
    <w:p>
      <w:pPr>
        <w:spacing w:after="400"/>
      </w:pPr>
    </w:p>
    <w:p>
      <w:pPr>
        <w:spacing w:after="200"/>
      </w:pPr>
      <w:r>
        <w:rPr>
          <w:rFonts w:ascii="Arial" w:cs="Arial" w:eastAsia="Arial" w:hAnsi="Arial"/>
          <w:b/>
          <w:bCs/>
          <w:sz w:val="24"/>
          <w:szCs w:val="24"/>
        </w:rPr>
        <w:t xml:space="preserve">VISTOS:</w:t>
      </w:r>
    </w:p>
    <w:p>
      <w:pPr>
        <w:spacing w:after="100"/>
        <w:ind w:left="720"/>
      </w:pPr>
      <w:r>
        <w:rPr>
          <w:rFonts w:ascii="Arial" w:cs="Arial" w:eastAsia="Arial" w:hAnsi="Arial"/>
          <w:sz w:val="22"/>
          <w:szCs w:val="22"/>
        </w:rPr>
        <w:t xml:space="preserve">1. El DFL Núm. 27, de 2024, que fija el texto refundido del Estatuto de la Universidad de Magallanes.</w:t>
      </w:r>
    </w:p>
    <w:p>
      <w:pPr>
        <w:spacing w:after="100"/>
        <w:ind w:left="720"/>
      </w:pPr>
      <w:r>
        <w:rPr>
          <w:rFonts w:ascii="Arial" w:cs="Arial" w:eastAsia="Arial" w:hAnsi="Arial"/>
          <w:sz w:val="22"/>
          <w:szCs w:val="22"/>
        </w:rPr>
        <w:t xml:space="preserve">2. Lo dispuesto en el artículo 18, letra g), del Estatuto, que establece que la declaración de bienes de especial interés institucional se sujetará a la normativa y procedimientos definidos en un reglamento dictado por el Rector con aprobación del Consejo Universitario.</w:t>
      </w:r>
    </w:p>
    <w:p>
      <w:pPr>
        <w:spacing w:after="100"/>
        <w:ind w:left="720"/>
      </w:pPr>
      <w:r>
        <w:rPr>
          <w:rFonts w:ascii="Arial" w:cs="Arial" w:eastAsia="Arial" w:hAnsi="Arial"/>
          <w:sz w:val="22"/>
          <w:szCs w:val="22"/>
        </w:rPr>
        <w:t xml:space="preserve">3. La Ley 21.094 sobre Universidades del Estado, en lo pertinente a la transparencia y probidad.</w:t>
      </w:r>
    </w:p>
    <w:p>
      <w:pPr>
        <w:spacing w:after="100"/>
        <w:ind w:left="720"/>
      </w:pPr>
      <w:r>
        <w:rPr>
          <w:rFonts w:ascii="Arial" w:cs="Arial" w:eastAsia="Arial" w:hAnsi="Arial"/>
          <w:sz w:val="22"/>
          <w:szCs w:val="22"/>
        </w:rPr>
        <w:t xml:space="preserve">4. La normativa vigente del Servicio Nacional de Patrimonio Cultural, en lo que resulte aplicable.</w:t>
      </w:r>
    </w:p>
    <w:p>
      <w:pPr>
        <w:spacing w:after="200"/>
      </w:pPr>
    </w:p>
    <w:p>
      <w:pPr>
        <w:spacing w:after="200"/>
      </w:pPr>
      <w:r>
        <w:rPr>
          <w:rFonts w:ascii="Arial" w:cs="Arial" w:eastAsia="Arial" w:hAnsi="Arial"/>
          <w:b/>
          <w:bCs/>
          <w:sz w:val="24"/>
          <w:szCs w:val="24"/>
        </w:rPr>
        <w:t xml:space="preserve">CONSIDERANDO:</w:t>
      </w:r>
    </w:p>
    <w:p>
      <w:pPr>
        <w:spacing w:after="100"/>
        <w:ind w:left="720"/>
      </w:pPr>
      <w:r>
        <w:rPr>
          <w:rFonts w:ascii="Arial" w:cs="Arial" w:eastAsia="Arial" w:hAnsi="Arial"/>
          <w:sz w:val="22"/>
          <w:szCs w:val="22"/>
        </w:rPr>
        <w:t xml:space="preserve">Que es necesario contar con un cuerpo normativo que regule de manera integral las materias relativas a declaración de bienes de especial interés institucional, en concordancia con el nuevo Estatuto de la Universidad;</w:t>
      </w:r>
    </w:p>
    <w:p>
      <w:pPr>
        <w:spacing w:after="100"/>
        <w:ind w:left="720"/>
      </w:pPr>
      <w:r>
        <w:rPr>
          <w:rFonts w:ascii="Arial" w:cs="Arial" w:eastAsia="Arial" w:hAnsi="Arial"/>
          <w:sz w:val="22"/>
          <w:szCs w:val="22"/>
        </w:rPr>
        <w:t xml:space="preserve">Que el Art. 18 letra g) del Estatuto establece expresamente la obligación de dictar la normativa correspondiente;</w:t>
      </w:r>
    </w:p>
    <w:p>
      <w:pPr>
        <w:spacing w:after="100"/>
        <w:ind w:left="720"/>
      </w:pPr>
      <w:r>
        <w:rPr>
          <w:rFonts w:ascii="Arial" w:cs="Arial" w:eastAsia="Arial" w:hAnsi="Arial"/>
          <w:sz w:val="22"/>
          <w:szCs w:val="22"/>
        </w:rPr>
        <w:t xml:space="preserve">Que el Consejo Superior ha aprobado el presente reglamento en sesión de fecha [COMPLETAR];</w:t>
      </w:r>
    </w:p>
    <w:p>
      <w:pPr>
        <w:spacing w:after="400"/>
        <w:ind w:left="720"/>
      </w:pPr>
      <w:r>
        <w:rPr>
          <w:rFonts w:ascii="Arial" w:cs="Arial" w:eastAsia="Arial" w:hAnsi="Arial"/>
          <w:b/>
          <w:bCs/>
          <w:sz w:val="24"/>
          <w:szCs w:val="24"/>
        </w:rPr>
        <w:t xml:space="preserve">DECRETO:</w:t>
      </w:r>
    </w:p>
    <w:p>
      <w:pPr>
        <w:spacing w:after="200" w:before="300"/>
        <w:jc w:val="center"/>
      </w:pPr>
      <w:r>
        <w:rPr>
          <w:rFonts w:ascii="Arial" w:cs="Arial" w:eastAsia="Arial" w:hAnsi="Arial"/>
          <w:b/>
          <w:bCs/>
          <w:color w:val="003366"/>
          <w:sz w:val="26"/>
          <w:szCs w:val="26"/>
        </w:rPr>
        <w:t xml:space="preserve">TÍTULO 1</w:t>
      </w:r>
    </w:p>
    <w:p>
      <w:pPr>
        <w:spacing w:after="300"/>
        <w:jc w:val="center"/>
      </w:pPr>
      <w:r>
        <w:rPr>
          <w:rFonts w:ascii="Arial" w:cs="Arial" w:eastAsia="Arial" w:hAnsi="Arial"/>
          <w:b/>
          <w:bCs/>
          <w:color w:val="003366"/>
          <w:sz w:val="24"/>
          <w:szCs w:val="24"/>
        </w:rPr>
        <w:t xml:space="preserve">DISPOSICIONES GENERALES</w:t>
      </w:r>
    </w:p>
    <w:p>
      <w:pPr>
        <w:spacing w:after="80" w:before="200"/>
      </w:pPr>
      <w:r>
        <w:rPr>
          <w:rFonts w:ascii="Arial" w:cs="Arial" w:eastAsia="Arial" w:hAnsi="Arial"/>
          <w:b/>
          <w:bCs/>
          <w:sz w:val="22"/>
          <w:szCs w:val="22"/>
        </w:rPr>
        <w:t xml:space="preserve">Artículo 1°.- </w:t>
      </w:r>
      <w:r>
        <w:rPr>
          <w:rFonts w:ascii="Arial" w:cs="Arial" w:eastAsia="Arial" w:hAnsi="Arial"/>
          <w:b/>
          <w:bCs/>
          <w:i/>
          <w:iCs/>
          <w:color w:val="555555"/>
          <w:sz w:val="22"/>
          <w:szCs w:val="22"/>
        </w:rPr>
        <w:t xml:space="preserve">(Objeto) </w:t>
      </w:r>
      <w:r>
        <w:rPr>
          <w:rFonts w:ascii="Arial" w:cs="Arial" w:eastAsia="Arial" w:hAnsi="Arial"/>
          <w:sz w:val="22"/>
          <w:szCs w:val="22"/>
        </w:rPr>
        <w:t xml:space="preserve">El presente reglamento tiene por objeto establecer las normas y procedimientos para la declaración, identificación, registro, protección y administración de los bienes de especial interés institucional de la Universidad de Magallanes, en conformidad con lo dispuesto en el artículo 18, letra g), del Estatuto.</w:t>
      </w:r>
    </w:p>
    <w:p>
      <w:pPr>
        <w:spacing w:after="80" w:before="200"/>
      </w:pPr>
      <w:r>
        <w:rPr>
          <w:rFonts w:ascii="Arial" w:cs="Arial" w:eastAsia="Arial" w:hAnsi="Arial"/>
          <w:b/>
          <w:bCs/>
          <w:sz w:val="22"/>
          <w:szCs w:val="22"/>
        </w:rPr>
        <w:t xml:space="preserve">Artículo 2°.- </w:t>
      </w:r>
      <w:r>
        <w:rPr>
          <w:rFonts w:ascii="Arial" w:cs="Arial" w:eastAsia="Arial" w:hAnsi="Arial"/>
          <w:b/>
          <w:bCs/>
          <w:i/>
          <w:iCs/>
          <w:color w:val="555555"/>
          <w:sz w:val="22"/>
          <w:szCs w:val="22"/>
        </w:rPr>
        <w:t xml:space="preserve">(Alcance) </w:t>
      </w:r>
      <w:r>
        <w:rPr>
          <w:rFonts w:ascii="Arial" w:cs="Arial" w:eastAsia="Arial" w:hAnsi="Arial"/>
          <w:sz w:val="22"/>
          <w:szCs w:val="22"/>
        </w:rPr>
        <w:t xml:space="preserve">Las disposiciones de este reglamento se aplican a todos los bienes muebles e inmuebles de la Universidad que, por su valor histórico, científico, cultural, artístico, patrimonial o estratégico, sean declarados de especial interés institucional.</w:t>
      </w:r>
    </w:p>
    <w:p>
      <w:pPr>
        <w:spacing w:after="80" w:before="200"/>
      </w:pPr>
      <w:r>
        <w:rPr>
          <w:rFonts w:ascii="Arial" w:cs="Arial" w:eastAsia="Arial" w:hAnsi="Arial"/>
          <w:b/>
          <w:bCs/>
          <w:sz w:val="22"/>
          <w:szCs w:val="22"/>
        </w:rPr>
        <w:t xml:space="preserve">Artículo 3°.- </w:t>
      </w:r>
      <w:r>
        <w:rPr>
          <w:rFonts w:ascii="Arial" w:cs="Arial" w:eastAsia="Arial" w:hAnsi="Arial"/>
          <w:b/>
          <w:bCs/>
          <w:i/>
          <w:iCs/>
          <w:color w:val="555555"/>
          <w:sz w:val="22"/>
          <w:szCs w:val="22"/>
        </w:rPr>
        <w:t xml:space="preserve">(Definiciones) </w:t>
      </w:r>
      <w:r>
        <w:rPr>
          <w:rFonts w:ascii="Arial" w:cs="Arial" w:eastAsia="Arial" w:hAnsi="Arial"/>
          <w:sz w:val="22"/>
          <w:szCs w:val="22"/>
        </w:rPr>
        <w:t xml:space="preserve">Para los efectos del presente reglamento, se entenderá por: a) Bienes de especial interés institucional: aquellos bienes muebles o inmuebles que posean valor histórico, científico, cultural, artístico, patrimonial o estratégico para la Universidad; b) Inventario Patrimonial: el registro oficial de todos los bienes declarados de especial interés; c) Comité de Patrimonio: el órgano encargado de evaluar y proponer la declaración de bienes de especial interés.</w:t>
      </w:r>
    </w:p>
    <w:p>
      <w:r>
        <w:br w:type="page"/>
      </w:r>
    </w:p>
    <w:p>
      <w:pPr>
        <w:spacing w:after="200" w:before="300"/>
        <w:jc w:val="center"/>
      </w:pPr>
      <w:r>
        <w:rPr>
          <w:rFonts w:ascii="Arial" w:cs="Arial" w:eastAsia="Arial" w:hAnsi="Arial"/>
          <w:b/>
          <w:bCs/>
          <w:color w:val="003366"/>
          <w:sz w:val="26"/>
          <w:szCs w:val="26"/>
        </w:rPr>
        <w:t xml:space="preserve">TÍTULO 2</w:t>
      </w:r>
    </w:p>
    <w:p>
      <w:pPr>
        <w:spacing w:after="300"/>
        <w:jc w:val="center"/>
      </w:pPr>
      <w:r>
        <w:rPr>
          <w:rFonts w:ascii="Arial" w:cs="Arial" w:eastAsia="Arial" w:hAnsi="Arial"/>
          <w:b/>
          <w:bCs/>
          <w:color w:val="003366"/>
          <w:sz w:val="24"/>
          <w:szCs w:val="24"/>
        </w:rPr>
        <w:t xml:space="preserve">DEL COMITÉ DE PATRIMONIO INSTITUCIONAL</w:t>
      </w:r>
    </w:p>
    <w:p>
      <w:pPr>
        <w:spacing w:after="80" w:before="200"/>
      </w:pPr>
      <w:r>
        <w:rPr>
          <w:rFonts w:ascii="Arial" w:cs="Arial" w:eastAsia="Arial" w:hAnsi="Arial"/>
          <w:b/>
          <w:bCs/>
          <w:sz w:val="22"/>
          <w:szCs w:val="22"/>
        </w:rPr>
        <w:t xml:space="preserve">Artículo 4°.- </w:t>
      </w:r>
      <w:r>
        <w:rPr>
          <w:rFonts w:ascii="Arial" w:cs="Arial" w:eastAsia="Arial" w:hAnsi="Arial"/>
          <w:b/>
          <w:bCs/>
          <w:i/>
          <w:iCs/>
          <w:color w:val="555555"/>
          <w:sz w:val="22"/>
          <w:szCs w:val="22"/>
        </w:rPr>
        <w:t xml:space="preserve">(Composición) </w:t>
      </w:r>
      <w:r>
        <w:rPr>
          <w:rFonts w:ascii="Arial" w:cs="Arial" w:eastAsia="Arial" w:hAnsi="Arial"/>
          <w:sz w:val="22"/>
          <w:szCs w:val="22"/>
        </w:rPr>
        <w:t xml:space="preserve">El Comité de Patrimonio Institucional estará integrado por: a) El Vicerrector de Administración y Finanzas, quien lo presidirá; b) El Director de Infraestructura y Operaciones; c) Un representante de la Dirección de Bibliotecas y Archivos; d) Un académico especialista en patrimonio designado por el Consejo Universitario; e) El Jefe de la Unidad de Inventarios, quien actuará como Secretario Ejecutivo.</w:t>
      </w:r>
    </w:p>
    <w:p>
      <w:pPr>
        <w:spacing w:after="80" w:before="200"/>
      </w:pPr>
      <w:r>
        <w:rPr>
          <w:rFonts w:ascii="Arial" w:cs="Arial" w:eastAsia="Arial" w:hAnsi="Arial"/>
          <w:b/>
          <w:bCs/>
          <w:sz w:val="22"/>
          <w:szCs w:val="22"/>
        </w:rPr>
        <w:t xml:space="preserve">Artículo 5°.- </w:t>
      </w:r>
      <w:r>
        <w:rPr>
          <w:rFonts w:ascii="Arial" w:cs="Arial" w:eastAsia="Arial" w:hAnsi="Arial"/>
          <w:b/>
          <w:bCs/>
          <w:i/>
          <w:iCs/>
          <w:color w:val="555555"/>
          <w:sz w:val="22"/>
          <w:szCs w:val="22"/>
        </w:rPr>
        <w:t xml:space="preserve">(Funciones) </w:t>
      </w:r>
      <w:r>
        <w:rPr>
          <w:rFonts w:ascii="Arial" w:cs="Arial" w:eastAsia="Arial" w:hAnsi="Arial"/>
          <w:sz w:val="22"/>
          <w:szCs w:val="22"/>
        </w:rPr>
        <w:t xml:space="preserve">Corresponderá al Comité: a) Evaluar las solicitudes de declaración de bienes de especial interés; b) Proponer al Rector la declaración o exclusión de bienes del inventario patrimonial; c) Establecer criterios de clasificación y valoración; d) Supervisar el estado de conservación de los bienes declarados; e) Proponer medidas de protección, restauración o intervención; f) Elaborar un informe anual sobre el estado del patrimonio institucional.</w:t>
      </w:r>
    </w:p>
    <w:p>
      <w:pPr>
        <w:spacing w:after="80" w:before="200"/>
      </w:pPr>
      <w:r>
        <w:rPr>
          <w:rFonts w:ascii="Arial" w:cs="Arial" w:eastAsia="Arial" w:hAnsi="Arial"/>
          <w:b/>
          <w:bCs/>
          <w:sz w:val="22"/>
          <w:szCs w:val="22"/>
        </w:rPr>
        <w:t xml:space="preserve">Artículo 6°.- </w:t>
      </w:r>
      <w:r>
        <w:rPr>
          <w:rFonts w:ascii="Arial" w:cs="Arial" w:eastAsia="Arial" w:hAnsi="Arial"/>
          <w:b/>
          <w:bCs/>
          <w:i/>
          <w:iCs/>
          <w:color w:val="555555"/>
          <w:sz w:val="22"/>
          <w:szCs w:val="22"/>
        </w:rPr>
        <w:t xml:space="preserve">(Sesiones) </w:t>
      </w:r>
      <w:r>
        <w:rPr>
          <w:rFonts w:ascii="Arial" w:cs="Arial" w:eastAsia="Arial" w:hAnsi="Arial"/>
          <w:sz w:val="22"/>
          <w:szCs w:val="22"/>
        </w:rPr>
        <w:t xml:space="preserve">El Comité sesionará de forma ordinaria al menos una vez por trimestre y extraordinariamente cuando lo convoque su presidente o lo soliciten al menos dos de sus miembros. El quórum para sesionar será de la mayoría absoluta de sus integrantes y los acuerdos se adoptarán por mayoría simple de los presentes.</w:t>
      </w:r>
    </w:p>
    <w:p>
      <w:r>
        <w:br w:type="page"/>
      </w:r>
    </w:p>
    <w:p>
      <w:pPr>
        <w:spacing w:after="200" w:before="300"/>
        <w:jc w:val="center"/>
      </w:pPr>
      <w:r>
        <w:rPr>
          <w:rFonts w:ascii="Arial" w:cs="Arial" w:eastAsia="Arial" w:hAnsi="Arial"/>
          <w:b/>
          <w:bCs/>
          <w:color w:val="003366"/>
          <w:sz w:val="26"/>
          <w:szCs w:val="26"/>
        </w:rPr>
        <w:t xml:space="preserve">TÍTULO 3</w:t>
      </w:r>
    </w:p>
    <w:p>
      <w:pPr>
        <w:spacing w:after="300"/>
        <w:jc w:val="center"/>
      </w:pPr>
      <w:r>
        <w:rPr>
          <w:rFonts w:ascii="Arial" w:cs="Arial" w:eastAsia="Arial" w:hAnsi="Arial"/>
          <w:b/>
          <w:bCs/>
          <w:color w:val="003366"/>
          <w:sz w:val="24"/>
          <w:szCs w:val="24"/>
        </w:rPr>
        <w:t xml:space="preserve">DEL PROCEDIMIENTO DE DECLARACIÓN</w:t>
      </w:r>
    </w:p>
    <w:p>
      <w:pPr>
        <w:spacing w:after="80" w:before="200"/>
      </w:pPr>
      <w:r>
        <w:rPr>
          <w:rFonts w:ascii="Arial" w:cs="Arial" w:eastAsia="Arial" w:hAnsi="Arial"/>
          <w:b/>
          <w:bCs/>
          <w:sz w:val="22"/>
          <w:szCs w:val="22"/>
        </w:rPr>
        <w:t xml:space="preserve">Artículo 7°.- </w:t>
      </w:r>
      <w:r>
        <w:rPr>
          <w:rFonts w:ascii="Arial" w:cs="Arial" w:eastAsia="Arial" w:hAnsi="Arial"/>
          <w:b/>
          <w:bCs/>
          <w:i/>
          <w:iCs/>
          <w:color w:val="555555"/>
          <w:sz w:val="22"/>
          <w:szCs w:val="22"/>
        </w:rPr>
        <w:t xml:space="preserve">(Iniciativa) </w:t>
      </w:r>
      <w:r>
        <w:rPr>
          <w:rFonts w:ascii="Arial" w:cs="Arial" w:eastAsia="Arial" w:hAnsi="Arial"/>
          <w:sz w:val="22"/>
          <w:szCs w:val="22"/>
        </w:rPr>
        <w:t xml:space="preserve">La declaración de un bien como de especial interés institucional podrá ser solicitada por: a) Cualquier miembro del Comité de Patrimonio; b) Los Decanos de Facultad; c) Los Directores de Departamento o Instituto; d) El Consejo Universitario.</w:t>
      </w:r>
    </w:p>
    <w:p>
      <w:pPr>
        <w:spacing w:after="80" w:before="200"/>
      </w:pPr>
      <w:r>
        <w:rPr>
          <w:rFonts w:ascii="Arial" w:cs="Arial" w:eastAsia="Arial" w:hAnsi="Arial"/>
          <w:b/>
          <w:bCs/>
          <w:sz w:val="22"/>
          <w:szCs w:val="22"/>
        </w:rPr>
        <w:t xml:space="preserve">Artículo 8°.- </w:t>
      </w:r>
      <w:r>
        <w:rPr>
          <w:rFonts w:ascii="Arial" w:cs="Arial" w:eastAsia="Arial" w:hAnsi="Arial"/>
          <w:b/>
          <w:bCs/>
          <w:i/>
          <w:iCs/>
          <w:color w:val="555555"/>
          <w:sz w:val="22"/>
          <w:szCs w:val="22"/>
        </w:rPr>
        <w:t xml:space="preserve">(Evaluación) </w:t>
      </w:r>
      <w:r>
        <w:rPr>
          <w:rFonts w:ascii="Arial" w:cs="Arial" w:eastAsia="Arial" w:hAnsi="Arial"/>
          <w:sz w:val="22"/>
          <w:szCs w:val="22"/>
        </w:rPr>
        <w:t xml:space="preserve">Recibida la solicitud, el Comité dispondrá de un plazo de treinta días hábiles para evaluar la pertinencia de la declaración, considerando los siguientes criterios: a) Valor histórico o antigüedad; b) Valor científico o tecnológico; c) Valor cultural o artístico; d) Singularidad o carácter irreemplazable; e) Relevancia estratégica para la misión institucional.</w:t>
      </w:r>
    </w:p>
    <w:p>
      <w:pPr>
        <w:spacing w:after="80" w:before="200"/>
      </w:pPr>
      <w:r>
        <w:rPr>
          <w:rFonts w:ascii="Arial" w:cs="Arial" w:eastAsia="Arial" w:hAnsi="Arial"/>
          <w:b/>
          <w:bCs/>
          <w:sz w:val="22"/>
          <w:szCs w:val="22"/>
        </w:rPr>
        <w:t xml:space="preserve">Artículo 9°.- </w:t>
      </w:r>
      <w:r>
        <w:rPr>
          <w:rFonts w:ascii="Arial" w:cs="Arial" w:eastAsia="Arial" w:hAnsi="Arial"/>
          <w:b/>
          <w:bCs/>
          <w:i/>
          <w:iCs/>
          <w:color w:val="555555"/>
          <w:sz w:val="22"/>
          <w:szCs w:val="22"/>
        </w:rPr>
        <w:t xml:space="preserve">(Resolución) </w:t>
      </w:r>
      <w:r>
        <w:rPr>
          <w:rFonts w:ascii="Arial" w:cs="Arial" w:eastAsia="Arial" w:hAnsi="Arial"/>
          <w:sz w:val="22"/>
          <w:szCs w:val="22"/>
        </w:rPr>
        <w:t xml:space="preserve">Concluida la evaluación, el Comité emitirá un informe fundado al Rector, quien resolverá mediante decreto universitario. La declaración de bienes cuyo valor de tasación exceda las 1.000 UTM requerirá, adicionalmente, la aprobación del Consejo Universitario.</w:t>
      </w:r>
    </w:p>
    <w:p>
      <w:pPr>
        <w:spacing w:after="80" w:before="200"/>
      </w:pPr>
      <w:r>
        <w:rPr>
          <w:rFonts w:ascii="Arial" w:cs="Arial" w:eastAsia="Arial" w:hAnsi="Arial"/>
          <w:b/>
          <w:bCs/>
          <w:sz w:val="22"/>
          <w:szCs w:val="22"/>
        </w:rPr>
        <w:t xml:space="preserve">Artículo 10°.- </w:t>
      </w:r>
      <w:r>
        <w:rPr>
          <w:rFonts w:ascii="Arial" w:cs="Arial" w:eastAsia="Arial" w:hAnsi="Arial"/>
          <w:b/>
          <w:bCs/>
          <w:i/>
          <w:iCs/>
          <w:color w:val="555555"/>
          <w:sz w:val="22"/>
          <w:szCs w:val="22"/>
        </w:rPr>
        <w:t xml:space="preserve">(Registro) </w:t>
      </w:r>
      <w:r>
        <w:rPr>
          <w:rFonts w:ascii="Arial" w:cs="Arial" w:eastAsia="Arial" w:hAnsi="Arial"/>
          <w:sz w:val="22"/>
          <w:szCs w:val="22"/>
        </w:rPr>
        <w:t xml:space="preserve">Los bienes declarados de especial interés institucional serán incorporados al Inventario Patrimonial, el cual contendrá al menos: a) Identificación y descripción del bien; b) Ubicación y estado de conservación; c) Fecha de declaración y decreto respectivo; d) Valor estimado; e) Historial de intervenciones; f) Fotografías y documentación de respaldo.</w:t>
      </w:r>
    </w:p>
    <w:p>
      <w:r>
        <w:br w:type="page"/>
      </w:r>
    </w:p>
    <w:p>
      <w:pPr>
        <w:spacing w:after="200" w:before="300"/>
        <w:jc w:val="center"/>
      </w:pPr>
      <w:r>
        <w:rPr>
          <w:rFonts w:ascii="Arial" w:cs="Arial" w:eastAsia="Arial" w:hAnsi="Arial"/>
          <w:b/>
          <w:bCs/>
          <w:color w:val="003366"/>
          <w:sz w:val="26"/>
          <w:szCs w:val="26"/>
        </w:rPr>
        <w:t xml:space="preserve">TÍTULO 4</w:t>
      </w:r>
    </w:p>
    <w:p>
      <w:pPr>
        <w:spacing w:after="300"/>
        <w:jc w:val="center"/>
      </w:pPr>
      <w:r>
        <w:rPr>
          <w:rFonts w:ascii="Arial" w:cs="Arial" w:eastAsia="Arial" w:hAnsi="Arial"/>
          <w:b/>
          <w:bCs/>
          <w:color w:val="003366"/>
          <w:sz w:val="24"/>
          <w:szCs w:val="24"/>
        </w:rPr>
        <w:t xml:space="preserve">DE LA PROTECCIÓN Y ADMINISTRACIÓN</w:t>
      </w:r>
    </w:p>
    <w:p>
      <w:pPr>
        <w:spacing w:after="80" w:before="200"/>
      </w:pPr>
      <w:r>
        <w:rPr>
          <w:rFonts w:ascii="Arial" w:cs="Arial" w:eastAsia="Arial" w:hAnsi="Arial"/>
          <w:b/>
          <w:bCs/>
          <w:sz w:val="22"/>
          <w:szCs w:val="22"/>
        </w:rPr>
        <w:t xml:space="preserve">Artículo 11°.- </w:t>
      </w:r>
      <w:r>
        <w:rPr>
          <w:rFonts w:ascii="Arial" w:cs="Arial" w:eastAsia="Arial" w:hAnsi="Arial"/>
          <w:b/>
          <w:bCs/>
          <w:i/>
          <w:iCs/>
          <w:color w:val="555555"/>
          <w:sz w:val="22"/>
          <w:szCs w:val="22"/>
        </w:rPr>
        <w:t xml:space="preserve">(Obligaciones de conservación) </w:t>
      </w:r>
      <w:r>
        <w:rPr>
          <w:rFonts w:ascii="Arial" w:cs="Arial" w:eastAsia="Arial" w:hAnsi="Arial"/>
          <w:sz w:val="22"/>
          <w:szCs w:val="22"/>
        </w:rPr>
        <w:t xml:space="preserve">La unidad que tenga bajo su custodia un bien declarado de especial interés institucional estará obligada a: a) Mantenerlo en condiciones adecuadas de conservación; b) No realizar intervenciones sin autorización previa del Comité; c) Reportar de inmediato cualquier daño, deterioro o riesgo; d) Facilitar el acceso del Comité para inspecciones periódicas.</w:t>
      </w:r>
    </w:p>
    <w:p>
      <w:pPr>
        <w:spacing w:after="80" w:before="200"/>
      </w:pPr>
      <w:r>
        <w:rPr>
          <w:rFonts w:ascii="Arial" w:cs="Arial" w:eastAsia="Arial" w:hAnsi="Arial"/>
          <w:b/>
          <w:bCs/>
          <w:sz w:val="22"/>
          <w:szCs w:val="22"/>
        </w:rPr>
        <w:t xml:space="preserve">Artículo 12°.- </w:t>
      </w:r>
      <w:r>
        <w:rPr>
          <w:rFonts w:ascii="Arial" w:cs="Arial" w:eastAsia="Arial" w:hAnsi="Arial"/>
          <w:b/>
          <w:bCs/>
          <w:i/>
          <w:iCs/>
          <w:color w:val="555555"/>
          <w:sz w:val="22"/>
          <w:szCs w:val="22"/>
        </w:rPr>
        <w:t xml:space="preserve">(Prohibiciones) </w:t>
      </w:r>
      <w:r>
        <w:rPr>
          <w:rFonts w:ascii="Arial" w:cs="Arial" w:eastAsia="Arial" w:hAnsi="Arial"/>
          <w:sz w:val="22"/>
          <w:szCs w:val="22"/>
        </w:rPr>
        <w:t xml:space="preserve">Los bienes declarados de especial interés institucional no podrán ser enajenados, transferidos, dados en comodato ni destruidos sin la autorización previa del Consejo Superior, previo informe favorable del Comité de Patrimonio y del Consejo Universitario.</w:t>
      </w:r>
    </w:p>
    <w:p>
      <w:pPr>
        <w:spacing w:after="80" w:before="200"/>
      </w:pPr>
      <w:r>
        <w:rPr>
          <w:rFonts w:ascii="Arial" w:cs="Arial" w:eastAsia="Arial" w:hAnsi="Arial"/>
          <w:b/>
          <w:bCs/>
          <w:sz w:val="22"/>
          <w:szCs w:val="22"/>
        </w:rPr>
        <w:t xml:space="preserve">Artículo 13°.- </w:t>
      </w:r>
      <w:r>
        <w:rPr>
          <w:rFonts w:ascii="Arial" w:cs="Arial" w:eastAsia="Arial" w:hAnsi="Arial"/>
          <w:b/>
          <w:bCs/>
          <w:i/>
          <w:iCs/>
          <w:color w:val="555555"/>
          <w:sz w:val="22"/>
          <w:szCs w:val="22"/>
        </w:rPr>
        <w:t xml:space="preserve">(Financiamiento) </w:t>
      </w:r>
      <w:r>
        <w:rPr>
          <w:rFonts w:ascii="Arial" w:cs="Arial" w:eastAsia="Arial" w:hAnsi="Arial"/>
          <w:sz w:val="22"/>
          <w:szCs w:val="22"/>
        </w:rPr>
        <w:t xml:space="preserve">La Universidad contemplará anualmente, dentro de su presupuesto, los recursos necesarios para la conservación, restauración y gestión de los bienes declarados de especial interés institucional.</w:t>
      </w:r>
    </w:p>
    <w:p>
      <w:r>
        <w:br w:type="page"/>
      </w:r>
    </w:p>
    <w:p>
      <w:pPr>
        <w:spacing w:after="200" w:before="300"/>
        <w:jc w:val="center"/>
      </w:pPr>
      <w:r>
        <w:rPr>
          <w:rFonts w:ascii="Arial" w:cs="Arial" w:eastAsia="Arial" w:hAnsi="Arial"/>
          <w:b/>
          <w:bCs/>
          <w:color w:val="003366"/>
          <w:sz w:val="26"/>
          <w:szCs w:val="26"/>
        </w:rPr>
        <w:t xml:space="preserve">TÍTULO 5</w:t>
      </w:r>
    </w:p>
    <w:p>
      <w:pPr>
        <w:spacing w:after="300"/>
        <w:jc w:val="center"/>
      </w:pPr>
      <w:r>
        <w:rPr>
          <w:rFonts w:ascii="Arial" w:cs="Arial" w:eastAsia="Arial" w:hAnsi="Arial"/>
          <w:b/>
          <w:bCs/>
          <w:color w:val="003366"/>
          <w:sz w:val="24"/>
          <w:szCs w:val="24"/>
        </w:rPr>
        <w:t xml:space="preserve">DISPOSICIONES TRANSITORIAS</w:t>
      </w:r>
    </w:p>
    <w:p>
      <w:pPr>
        <w:spacing w:after="80" w:before="200"/>
      </w:pPr>
      <w:r>
        <w:rPr>
          <w:rFonts w:ascii="Arial" w:cs="Arial" w:eastAsia="Arial" w:hAnsi="Arial"/>
          <w:b/>
          <w:bCs/>
          <w:sz w:val="22"/>
          <w:szCs w:val="22"/>
        </w:rPr>
        <w:t xml:space="preserve">Artículo 1 Transitorio.- </w:t>
      </w:r>
      <w:r>
        <w:rPr>
          <w:rFonts w:ascii="Arial" w:cs="Arial" w:eastAsia="Arial" w:hAnsi="Arial"/>
          <w:b/>
          <w:bCs/>
          <w:i/>
          <w:iCs/>
          <w:color w:val="555555"/>
          <w:sz w:val="22"/>
          <w:szCs w:val="22"/>
        </w:rPr>
        <w:t xml:space="preserve">(Primer transitorio) </w:t>
      </w:r>
      <w:r>
        <w:rPr>
          <w:rFonts w:ascii="Arial" w:cs="Arial" w:eastAsia="Arial" w:hAnsi="Arial"/>
          <w:sz w:val="22"/>
          <w:szCs w:val="22"/>
        </w:rPr>
        <w:t xml:space="preserve">Dentro del plazo de seis meses contado desde la entrada en vigencia del presente reglamento, la Vicerrectoría de Administración y Finanzas realizará un levantamiento general de los bienes que pudieren calificar como de especial interés institucional.</w:t>
      </w:r>
    </w:p>
    <w:p>
      <w:pPr>
        <w:spacing w:after="80" w:before="200"/>
      </w:pPr>
      <w:r>
        <w:rPr>
          <w:rFonts w:ascii="Arial" w:cs="Arial" w:eastAsia="Arial" w:hAnsi="Arial"/>
          <w:b/>
          <w:bCs/>
          <w:sz w:val="22"/>
          <w:szCs w:val="22"/>
        </w:rPr>
        <w:t xml:space="preserve">Artículo 2 Transitorio.- </w:t>
      </w:r>
      <w:r>
        <w:rPr>
          <w:rFonts w:ascii="Arial" w:cs="Arial" w:eastAsia="Arial" w:hAnsi="Arial"/>
          <w:b/>
          <w:bCs/>
          <w:i/>
          <w:iCs/>
          <w:color w:val="555555"/>
          <w:sz w:val="22"/>
          <w:szCs w:val="22"/>
        </w:rPr>
        <w:t xml:space="preserve">(Segundo transitorio) </w:t>
      </w:r>
      <w:r>
        <w:rPr>
          <w:rFonts w:ascii="Arial" w:cs="Arial" w:eastAsia="Arial" w:hAnsi="Arial"/>
          <w:sz w:val="22"/>
          <w:szCs w:val="22"/>
        </w:rPr>
        <w:t xml:space="preserve">El Comité de Patrimonio Institucional deberá constituirse dentro de los sesenta días siguientes a la publicación del presente reglamento.</w:t>
      </w:r>
    </w:p>
    <w:p>
      <w:pPr>
        <w:spacing w:before="800"/>
      </w:pPr>
    </w:p>
    <w:p>
      <w:pPr>
        <w:pBdr>
          <w:top w:val="single" w:color="999999" w:sz="1"/>
        </w:pBdr>
        <w:spacing w:after="0"/>
        <w:jc w:val="center"/>
      </w:pPr>
    </w:p>
    <w:p>
      <w:pPr>
        <w:spacing w:after="0" w:before="200"/>
        <w:jc w:val="center"/>
      </w:pPr>
      <w:r>
        <w:rPr>
          <w:rFonts w:ascii="Arial" w:cs="Arial" w:eastAsia="Arial" w:hAnsi="Arial"/>
          <w:b/>
          <w:bCs/>
          <w:sz w:val="20"/>
          <w:szCs w:val="20"/>
        </w:rPr>
        <w:t xml:space="preserve">ANÓTESE, COMUNÍQUESE Y PUBLÍQUESE</w:t>
      </w:r>
    </w:p>
    <w:p>
      <w:pPr>
        <w:spacing w:after="0" w:before="600"/>
        <w:jc w:val="center"/>
      </w:pPr>
      <w:r>
        <w:rPr>
          <w:rFonts w:ascii="Arial" w:cs="Arial" w:eastAsia="Arial" w:hAnsi="Arial"/>
          <w:color w:val="999999"/>
          <w:sz w:val="20"/>
          <w:szCs w:val="20"/>
        </w:rPr>
        <w:t xml:space="preserve">_______________________________</w:t>
      </w:r>
    </w:p>
    <w:p>
      <w:pPr>
        <w:spacing w:after="0"/>
        <w:jc w:val="center"/>
      </w:pPr>
      <w:r>
        <w:rPr>
          <w:rFonts w:ascii="Arial" w:cs="Arial" w:eastAsia="Arial" w:hAnsi="Arial"/>
          <w:b/>
          <w:bCs/>
          <w:sz w:val="20"/>
          <w:szCs w:val="20"/>
        </w:rPr>
        <w:t xml:space="preserve">RECTOR(A)</w:t>
      </w:r>
    </w:p>
    <w:p>
      <w:pPr>
        <w:spacing w:after="0"/>
        <w:jc w:val="center"/>
      </w:pPr>
      <w:r>
        <w:rPr>
          <w:rFonts w:ascii="Arial" w:cs="Arial" w:eastAsia="Arial" w:hAnsi="Arial"/>
          <w:color w:val="666666"/>
          <w:sz w:val="18"/>
          <w:szCs w:val="18"/>
        </w:rPr>
        <w:t xml:space="preserve">Universidad de Magallanes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999999"/>
        <w:sz w:val="16"/>
        <w:szCs w:val="16"/>
      </w:rPr>
      <w:t xml:space="preserve">BORRADOR — Sujeto a revisión y aprobación — 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UMAG — Declaración de Bienes de Especial Interés Institucional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28"/>
      <w:szCs w:val="28"/>
    </w:rPr>
  </w:style>
  <w:style w:type="paragraph" w:styleId="Heading2">
    <w:name w:val="Heading 2"/>
    <w:basedOn w:val="Normal"/>
    <w:next w:val="Normal"/>
    <w:qFormat/>
    <w:pPr>
      <w:spacing w:after="18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2026-04-04T19:36:27.524Z</dcterms:created>
  <dcterms:modified xsi:type="dcterms:W3CDTF">2026-04-04T19:36:27.524Z</dcterms:modified>
</cp:coreProperties>
</file>

<file path=docProps/custom.xml><?xml version="1.0" encoding="utf-8"?>
<Properties xmlns="http://schemas.openxmlformats.org/officeDocument/2006/custom-properties" xmlns:vt="http://schemas.openxmlformats.org/officeDocument/2006/docPropsVTypes"/>
</file>