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28"/>
          <w:szCs w:val="28"/>
        </w:rPr>
        <w:t xml:space="preserve">UNIVERSIDAD DE MAGALLANES</w:t>
      </w:r>
    </w:p>
    <w:p>
      <w:pPr>
        <w:spacing w:after="200"/>
        <w:jc w:val="center"/>
      </w:pPr>
      <w:r>
        <w:rPr>
          <w:rFonts w:ascii="Arial" w:cs="Arial" w:eastAsia="Arial" w:hAnsi="Arial"/>
          <w:color w:val="666666"/>
          <w:sz w:val="20"/>
          <w:szCs w:val="20"/>
        </w:rPr>
        <w:t xml:space="preserve">Punta Arenas, Chile</w:t>
      </w:r>
    </w:p>
    <w:p>
      <w:pPr>
        <w:pBdr>
          <w:bottom w:val="single" w:color="003366" w:sz="6"/>
        </w:pBdr>
        <w:spacing w:after="0"/>
        <w:jc w:val="center"/>
      </w:pPr>
    </w:p>
    <w:p>
      <w:pPr>
        <w:spacing w:after="400"/>
      </w:pPr>
    </w:p>
    <w:p>
      <w:pPr>
        <w:spacing w:after="100"/>
        <w:jc w:val="center"/>
      </w:pPr>
      <w:r>
        <w:rPr>
          <w:rFonts w:ascii="Arial" w:cs="Arial" w:eastAsia="Arial" w:hAnsi="Arial"/>
          <w:b/>
          <w:bCs/>
          <w:color w:val="CC0000"/>
          <w:sz w:val="24"/>
          <w:szCs w:val="24"/>
        </w:rPr>
        <w:t xml:space="preserve">BORRADOR</w:t>
      </w:r>
    </w:p>
    <w:p>
      <w:pPr>
        <w:spacing w:after="400"/>
        <w:jc w:val="center"/>
      </w:pPr>
      <w:r>
        <w:rPr>
          <w:rFonts w:ascii="Arial" w:cs="Arial" w:eastAsia="Arial" w:hAnsi="Arial"/>
          <w:b/>
          <w:bCs/>
          <w:sz w:val="32"/>
          <w:szCs w:val="32"/>
        </w:rPr>
        <w:t xml:space="preserve">REGLAMENTO DE ELECCIÓN DEL RECTOR O RECTORA</w:t>
      </w:r>
    </w:p>
    <w:p>
      <w:pPr>
        <w:spacing w:after="60"/>
        <w:ind w:left="720"/>
      </w:pPr>
      <w:r>
        <w:rPr>
          <w:rFonts w:ascii="Arial" w:cs="Arial" w:eastAsia="Arial" w:hAnsi="Arial"/>
          <w:b/>
          <w:bCs/>
          <w:color w:val="003366"/>
          <w:sz w:val="20"/>
          <w:szCs w:val="20"/>
        </w:rPr>
        <w:t xml:space="preserve">Fundamento estatutario: </w:t>
      </w:r>
      <w:r>
        <w:rPr>
          <w:rFonts w:ascii="Arial" w:cs="Arial" w:eastAsia="Arial" w:hAnsi="Arial"/>
          <w:sz w:val="20"/>
          <w:szCs w:val="20"/>
        </w:rPr>
        <w:t xml:space="preserve">Art. 22</w:t>
      </w:r>
    </w:p>
    <w:p>
      <w:pPr>
        <w:spacing w:after="60"/>
        <w:ind w:left="720"/>
      </w:pPr>
      <w:r>
        <w:rPr>
          <w:rFonts w:ascii="Arial" w:cs="Arial" w:eastAsia="Arial" w:hAnsi="Arial"/>
          <w:b/>
          <w:bCs/>
          <w:color w:val="003366"/>
          <w:sz w:val="20"/>
          <w:szCs w:val="20"/>
        </w:rPr>
        <w:t xml:space="preserve">Responsable: </w:t>
      </w:r>
      <w:r>
        <w:rPr>
          <w:rFonts w:ascii="Arial" w:cs="Arial" w:eastAsia="Arial" w:hAnsi="Arial"/>
          <w:sz w:val="20"/>
          <w:szCs w:val="20"/>
        </w:rPr>
        <w:t xml:space="preserve">Secretaría General</w:t>
      </w:r>
    </w:p>
    <w:p>
      <w:pPr>
        <w:spacing w:after="60"/>
        <w:ind w:left="720"/>
      </w:pPr>
      <w:r>
        <w:rPr>
          <w:rFonts w:ascii="Arial" w:cs="Arial" w:eastAsia="Arial" w:hAnsi="Arial"/>
          <w:b/>
          <w:bCs/>
          <w:color w:val="003366"/>
          <w:sz w:val="20"/>
          <w:szCs w:val="20"/>
        </w:rPr>
        <w:t xml:space="preserve">Aprobación requerida: </w:t>
      </w:r>
      <w:r>
        <w:rPr>
          <w:rFonts w:ascii="Arial" w:cs="Arial" w:eastAsia="Arial" w:hAnsi="Arial"/>
          <w:sz w:val="20"/>
          <w:szCs w:val="20"/>
        </w:rPr>
        <w:t xml:space="preserve">Consejo Superior / Consejo Universitario</w:t>
      </w:r>
    </w:p>
    <w:p>
      <w:pPr>
        <w:spacing w:after="400"/>
      </w:pPr>
    </w:p>
    <w:p>
      <w:pPr>
        <w:spacing w:after="200"/>
      </w:pPr>
      <w:r>
        <w:rPr>
          <w:rFonts w:ascii="Arial" w:cs="Arial" w:eastAsia="Arial" w:hAnsi="Arial"/>
          <w:b/>
          <w:bCs/>
          <w:sz w:val="24"/>
          <w:szCs w:val="24"/>
        </w:rPr>
        <w:t xml:space="preserve">VISTOS:</w:t>
      </w:r>
    </w:p>
    <w:p>
      <w:pPr>
        <w:spacing w:after="100"/>
        <w:ind w:left="720"/>
      </w:pPr>
      <w:r>
        <w:rPr>
          <w:rFonts w:ascii="Arial" w:cs="Arial" w:eastAsia="Arial" w:hAnsi="Arial"/>
          <w:sz w:val="22"/>
          <w:szCs w:val="22"/>
        </w:rPr>
        <w:t xml:space="preserve">1. El DFL Núm. 27, de 2024, del Estatuto de la Universidad de Magallanes.</w:t>
      </w:r>
    </w:p>
    <w:p>
      <w:pPr>
        <w:spacing w:after="100"/>
        <w:ind w:left="720"/>
      </w:pPr>
      <w:r>
        <w:rPr>
          <w:rFonts w:ascii="Arial" w:cs="Arial" w:eastAsia="Arial" w:hAnsi="Arial"/>
          <w:sz w:val="22"/>
          <w:szCs w:val="22"/>
        </w:rPr>
        <w:t xml:space="preserve">2. Lo dispuesto en el artículo 22 del Estatuto, que establece que el Rector se elegirá conforme a la Ley 19.305 y al reglamento de elección.</w:t>
      </w:r>
    </w:p>
    <w:p>
      <w:pPr>
        <w:spacing w:after="100"/>
        <w:ind w:left="720"/>
      </w:pPr>
      <w:r>
        <w:rPr>
          <w:rFonts w:ascii="Arial" w:cs="Arial" w:eastAsia="Arial" w:hAnsi="Arial"/>
          <w:sz w:val="22"/>
          <w:szCs w:val="22"/>
        </w:rPr>
        <w:t xml:space="preserve">3. La Ley 19.305, que regula la elección de rectores de universidades del Estado.</w:t>
      </w:r>
    </w:p>
    <w:p>
      <w:pPr>
        <w:spacing w:after="100"/>
        <w:ind w:left="720"/>
      </w:pPr>
      <w:r>
        <w:rPr>
          <w:rFonts w:ascii="Arial" w:cs="Arial" w:eastAsia="Arial" w:hAnsi="Arial"/>
          <w:sz w:val="22"/>
          <w:szCs w:val="22"/>
        </w:rPr>
        <w:t xml:space="preserve">4. La Ley 21.094 sobre Universidades del Estado.</w:t>
      </w:r>
    </w:p>
    <w:p>
      <w:pPr>
        <w:spacing w:after="100"/>
        <w:ind w:left="720"/>
      </w:pPr>
      <w:r>
        <w:rPr>
          <w:rFonts w:ascii="Arial" w:cs="Arial" w:eastAsia="Arial" w:hAnsi="Arial"/>
          <w:sz w:val="22"/>
          <w:szCs w:val="22"/>
        </w:rPr>
        <w:t xml:space="preserve">5. El artículo 21 del Estatuto, sobre requisitos para ser elegido Rector.</w:t>
      </w:r>
    </w:p>
    <w:p>
      <w:pPr>
        <w:spacing w:after="200"/>
      </w:pPr>
    </w:p>
    <w:p>
      <w:pPr>
        <w:spacing w:after="200"/>
      </w:pPr>
      <w:r>
        <w:rPr>
          <w:rFonts w:ascii="Arial" w:cs="Arial" w:eastAsia="Arial" w:hAnsi="Arial"/>
          <w:b/>
          <w:bCs/>
          <w:sz w:val="24"/>
          <w:szCs w:val="24"/>
        </w:rPr>
        <w:t xml:space="preserve">CONSIDERANDO:</w:t>
      </w:r>
    </w:p>
    <w:p>
      <w:pPr>
        <w:spacing w:after="100"/>
        <w:ind w:left="720"/>
      </w:pPr>
      <w:r>
        <w:rPr>
          <w:rFonts w:ascii="Arial" w:cs="Arial" w:eastAsia="Arial" w:hAnsi="Arial"/>
          <w:sz w:val="22"/>
          <w:szCs w:val="22"/>
        </w:rPr>
        <w:t xml:space="preserve">Que es necesario contar con un cuerpo normativo que regule de manera integral las materias relativas a reglamento de elección del rector o rectora, en concordancia con el nuevo Estatuto de la Universidad;</w:t>
      </w:r>
    </w:p>
    <w:p>
      <w:pPr>
        <w:spacing w:after="100"/>
        <w:ind w:left="720"/>
      </w:pPr>
      <w:r>
        <w:rPr>
          <w:rFonts w:ascii="Arial" w:cs="Arial" w:eastAsia="Arial" w:hAnsi="Arial"/>
          <w:sz w:val="22"/>
          <w:szCs w:val="22"/>
        </w:rPr>
        <w:t xml:space="preserve">Que el Art. 22 del Estatuto establece expresamente la obligación de dictar la normativa correspondiente;</w:t>
      </w:r>
    </w:p>
    <w:p>
      <w:pPr>
        <w:spacing w:after="100"/>
        <w:ind w:left="720"/>
      </w:pPr>
      <w:r>
        <w:rPr>
          <w:rFonts w:ascii="Arial" w:cs="Arial" w:eastAsia="Arial" w:hAnsi="Arial"/>
          <w:sz w:val="22"/>
          <w:szCs w:val="22"/>
        </w:rPr>
        <w:t xml:space="preserve">Que el Consejo Superior ha aprobado el presente reglamento en sesión de fecha [COMPLETAR];</w:t>
      </w:r>
    </w:p>
    <w:p>
      <w:pPr>
        <w:spacing w:after="400"/>
        <w:ind w:left="720"/>
      </w:pPr>
      <w:r>
        <w:rPr>
          <w:rFonts w:ascii="Arial" w:cs="Arial" w:eastAsia="Arial" w:hAnsi="Arial"/>
          <w:b/>
          <w:bCs/>
          <w:sz w:val="24"/>
          <w:szCs w:val="24"/>
        </w:rPr>
        <w:t xml:space="preserve">DECRETO:</w:t>
      </w:r>
    </w:p>
    <w:p>
      <w:pPr>
        <w:spacing w:after="200" w:before="300"/>
        <w:jc w:val="center"/>
      </w:pPr>
      <w:r>
        <w:rPr>
          <w:rFonts w:ascii="Arial" w:cs="Arial" w:eastAsia="Arial" w:hAnsi="Arial"/>
          <w:b/>
          <w:bCs/>
          <w:color w:val="003366"/>
          <w:sz w:val="26"/>
          <w:szCs w:val="26"/>
        </w:rPr>
        <w:t xml:space="preserve">TÍTULO 1</w:t>
      </w:r>
    </w:p>
    <w:p>
      <w:pPr>
        <w:spacing w:after="300"/>
        <w:jc w:val="center"/>
      </w:pPr>
      <w:r>
        <w:rPr>
          <w:rFonts w:ascii="Arial" w:cs="Arial" w:eastAsia="Arial" w:hAnsi="Arial"/>
          <w:b/>
          <w:bCs/>
          <w:color w:val="003366"/>
          <w:sz w:val="24"/>
          <w:szCs w:val="24"/>
        </w:rPr>
        <w:t xml:space="preserve">DISPOSICIONES GENERALES</w:t>
      </w:r>
    </w:p>
    <w:p>
      <w:pPr>
        <w:spacing w:after="80" w:before="200"/>
      </w:pPr>
      <w:r>
        <w:rPr>
          <w:rFonts w:ascii="Arial" w:cs="Arial" w:eastAsia="Arial" w:hAnsi="Arial"/>
          <w:b/>
          <w:bCs/>
          <w:sz w:val="22"/>
          <w:szCs w:val="22"/>
        </w:rPr>
        <w:t xml:space="preserve">Artículo 1°.- </w:t>
      </w:r>
      <w:r>
        <w:rPr>
          <w:rFonts w:ascii="Arial" w:cs="Arial" w:eastAsia="Arial" w:hAnsi="Arial"/>
          <w:b/>
          <w:bCs/>
          <w:i/>
          <w:iCs/>
          <w:color w:val="555555"/>
          <w:sz w:val="22"/>
          <w:szCs w:val="22"/>
        </w:rPr>
        <w:t xml:space="preserve">(Objeto) </w:t>
      </w:r>
      <w:r>
        <w:rPr>
          <w:rFonts w:ascii="Arial" w:cs="Arial" w:eastAsia="Arial" w:hAnsi="Arial"/>
          <w:sz w:val="22"/>
          <w:szCs w:val="22"/>
        </w:rPr>
        <w:t xml:space="preserve">El presente reglamento regula el proceso de elección del Rector o Rectora de la Universidad de Magallanes, en conformidad con lo dispuesto en el artículo 22 del Estatuto, la Ley 19.305 y la legislación aplicable a las universidades del Estado.</w:t>
      </w:r>
    </w:p>
    <w:p>
      <w:pPr>
        <w:spacing w:after="80" w:before="200"/>
      </w:pPr>
      <w:r>
        <w:rPr>
          <w:rFonts w:ascii="Arial" w:cs="Arial" w:eastAsia="Arial" w:hAnsi="Arial"/>
          <w:b/>
          <w:bCs/>
          <w:sz w:val="22"/>
          <w:szCs w:val="22"/>
        </w:rPr>
        <w:t xml:space="preserve">Artículo 2°.- </w:t>
      </w:r>
      <w:r>
        <w:rPr>
          <w:rFonts w:ascii="Arial" w:cs="Arial" w:eastAsia="Arial" w:hAnsi="Arial"/>
          <w:b/>
          <w:bCs/>
          <w:i/>
          <w:iCs/>
          <w:color w:val="555555"/>
          <w:sz w:val="22"/>
          <w:szCs w:val="22"/>
        </w:rPr>
        <w:t xml:space="preserve">(Principios) </w:t>
      </w:r>
      <w:r>
        <w:rPr>
          <w:rFonts w:ascii="Arial" w:cs="Arial" w:eastAsia="Arial" w:hAnsi="Arial"/>
          <w:sz w:val="22"/>
          <w:szCs w:val="22"/>
        </w:rPr>
        <w:t xml:space="preserve">El proceso electoral se regirá por los principios de transparencia, publicidad, igualdad de oportunidades, secreto del voto, imparcialidad de los órganos electorales y respeto a la autonomía universitaria.</w:t>
      </w:r>
    </w:p>
    <w:p>
      <w:pPr>
        <w:spacing w:after="80" w:before="200"/>
      </w:pPr>
      <w:r>
        <w:rPr>
          <w:rFonts w:ascii="Arial" w:cs="Arial" w:eastAsia="Arial" w:hAnsi="Arial"/>
          <w:b/>
          <w:bCs/>
          <w:sz w:val="22"/>
          <w:szCs w:val="22"/>
        </w:rPr>
        <w:t xml:space="preserve">Artículo 3°.- </w:t>
      </w:r>
      <w:r>
        <w:rPr>
          <w:rFonts w:ascii="Arial" w:cs="Arial" w:eastAsia="Arial" w:hAnsi="Arial"/>
          <w:b/>
          <w:bCs/>
          <w:i/>
          <w:iCs/>
          <w:color w:val="555555"/>
          <w:sz w:val="22"/>
          <w:szCs w:val="22"/>
        </w:rPr>
        <w:t xml:space="preserve">(Requisitos para ser candidato) </w:t>
      </w:r>
      <w:r>
        <w:rPr>
          <w:rFonts w:ascii="Arial" w:cs="Arial" w:eastAsia="Arial" w:hAnsi="Arial"/>
          <w:sz w:val="22"/>
          <w:szCs w:val="22"/>
        </w:rPr>
        <w:t xml:space="preserve">Podrán postular al cargo de Rector o Rectora quienes cumplan con los requisitos establecidos en el artículo 21 del Estatuto: a) Ser ciudadano con derecho a sufragio; b) Tener el grado de Doctor o Licenciado; c) Poseer una vasta experiencia académica; d) No encontrarse afecto a inhabilidades o incompatibilidades establecidas en la ley.</w:t>
      </w:r>
    </w:p>
    <w:p>
      <w:r>
        <w:br w:type="page"/>
      </w:r>
    </w:p>
    <w:p>
      <w:pPr>
        <w:spacing w:after="200" w:before="300"/>
        <w:jc w:val="center"/>
      </w:pPr>
      <w:r>
        <w:rPr>
          <w:rFonts w:ascii="Arial" w:cs="Arial" w:eastAsia="Arial" w:hAnsi="Arial"/>
          <w:b/>
          <w:bCs/>
          <w:color w:val="003366"/>
          <w:sz w:val="26"/>
          <w:szCs w:val="26"/>
        </w:rPr>
        <w:t xml:space="preserve">TÍTULO 2</w:t>
      </w:r>
    </w:p>
    <w:p>
      <w:pPr>
        <w:spacing w:after="300"/>
        <w:jc w:val="center"/>
      </w:pPr>
      <w:r>
        <w:rPr>
          <w:rFonts w:ascii="Arial" w:cs="Arial" w:eastAsia="Arial" w:hAnsi="Arial"/>
          <w:b/>
          <w:bCs/>
          <w:color w:val="003366"/>
          <w:sz w:val="24"/>
          <w:szCs w:val="24"/>
        </w:rPr>
        <w:t xml:space="preserve">DEL CUERPO ELECTORAL</w:t>
      </w:r>
    </w:p>
    <w:p>
      <w:pPr>
        <w:spacing w:after="80" w:before="200"/>
      </w:pPr>
      <w:r>
        <w:rPr>
          <w:rFonts w:ascii="Arial" w:cs="Arial" w:eastAsia="Arial" w:hAnsi="Arial"/>
          <w:b/>
          <w:bCs/>
          <w:sz w:val="22"/>
          <w:szCs w:val="22"/>
        </w:rPr>
        <w:t xml:space="preserve">Artículo 4°.- </w:t>
      </w:r>
      <w:r>
        <w:rPr>
          <w:rFonts w:ascii="Arial" w:cs="Arial" w:eastAsia="Arial" w:hAnsi="Arial"/>
          <w:b/>
          <w:bCs/>
          <w:i/>
          <w:iCs/>
          <w:color w:val="555555"/>
          <w:sz w:val="22"/>
          <w:szCs w:val="22"/>
        </w:rPr>
        <w:t xml:space="preserve">(Composición) </w:t>
      </w:r>
      <w:r>
        <w:rPr>
          <w:rFonts w:ascii="Arial" w:cs="Arial" w:eastAsia="Arial" w:hAnsi="Arial"/>
          <w:sz w:val="22"/>
          <w:szCs w:val="22"/>
        </w:rPr>
        <w:t xml:space="preserve">El cuerpo electoral estará compuesto por los académicos que, al momento de la convocatoria, tengan nombramiento vigente en la planta o a contrata de la Universidad, pertenecientes a las jerarquías de Profesor Titular, Profesor Asociado, Profesor Asistente o Instructor, conforme al artículo 22 del Estatuto y la Ley 19.305.</w:t>
      </w:r>
    </w:p>
    <w:p>
      <w:pPr>
        <w:spacing w:after="80" w:before="200"/>
      </w:pPr>
      <w:r>
        <w:rPr>
          <w:rFonts w:ascii="Arial" w:cs="Arial" w:eastAsia="Arial" w:hAnsi="Arial"/>
          <w:b/>
          <w:bCs/>
          <w:sz w:val="22"/>
          <w:szCs w:val="22"/>
        </w:rPr>
        <w:t xml:space="preserve">Artículo 5°.- </w:t>
      </w:r>
      <w:r>
        <w:rPr>
          <w:rFonts w:ascii="Arial" w:cs="Arial" w:eastAsia="Arial" w:hAnsi="Arial"/>
          <w:b/>
          <w:bCs/>
          <w:i/>
          <w:iCs/>
          <w:color w:val="555555"/>
          <w:sz w:val="22"/>
          <w:szCs w:val="22"/>
        </w:rPr>
        <w:t xml:space="preserve">(Padrón electoral) </w:t>
      </w:r>
      <w:r>
        <w:rPr>
          <w:rFonts w:ascii="Arial" w:cs="Arial" w:eastAsia="Arial" w:hAnsi="Arial"/>
          <w:sz w:val="22"/>
          <w:szCs w:val="22"/>
        </w:rPr>
        <w:t xml:space="preserve">La Secretaría General elaborará el padrón electoral definitivo con al menos cuarenta y cinco días de anticipación a la fecha de la elección. Dicho padrón será publicado y cualquier académico podrá reclamar su inclusión o exclusión dentro de los diez días siguientes a su publicación.</w:t>
      </w:r>
    </w:p>
    <w:p>
      <w:pPr>
        <w:spacing w:after="80" w:before="200"/>
      </w:pPr>
      <w:r>
        <w:rPr>
          <w:rFonts w:ascii="Arial" w:cs="Arial" w:eastAsia="Arial" w:hAnsi="Arial"/>
          <w:b/>
          <w:bCs/>
          <w:sz w:val="22"/>
          <w:szCs w:val="22"/>
        </w:rPr>
        <w:t xml:space="preserve">Artículo 6°.- </w:t>
      </w:r>
      <w:r>
        <w:rPr>
          <w:rFonts w:ascii="Arial" w:cs="Arial" w:eastAsia="Arial" w:hAnsi="Arial"/>
          <w:b/>
          <w:bCs/>
          <w:i/>
          <w:iCs/>
          <w:color w:val="555555"/>
          <w:sz w:val="22"/>
          <w:szCs w:val="22"/>
        </w:rPr>
        <w:t xml:space="preserve">(Voto ponderado) </w:t>
      </w:r>
      <w:r>
        <w:rPr>
          <w:rFonts w:ascii="Arial" w:cs="Arial" w:eastAsia="Arial" w:hAnsi="Arial"/>
          <w:sz w:val="22"/>
          <w:szCs w:val="22"/>
        </w:rPr>
        <w:t xml:space="preserve">El voto de cada académico tendrá la ponderación que establezca la Ley 19.305 según su jerarquía y dedicación horaria. La Secretaría General calculará y publicará la ponderación correspondiente a cada elector junto con el padrón definitivo.</w:t>
      </w:r>
    </w:p>
    <w:p>
      <w:r>
        <w:br w:type="page"/>
      </w:r>
    </w:p>
    <w:p>
      <w:pPr>
        <w:spacing w:after="200" w:before="300"/>
        <w:jc w:val="center"/>
      </w:pPr>
      <w:r>
        <w:rPr>
          <w:rFonts w:ascii="Arial" w:cs="Arial" w:eastAsia="Arial" w:hAnsi="Arial"/>
          <w:b/>
          <w:bCs/>
          <w:color w:val="003366"/>
          <w:sz w:val="26"/>
          <w:szCs w:val="26"/>
        </w:rPr>
        <w:t xml:space="preserve">TÍTULO 3</w:t>
      </w:r>
    </w:p>
    <w:p>
      <w:pPr>
        <w:spacing w:after="300"/>
        <w:jc w:val="center"/>
      </w:pPr>
      <w:r>
        <w:rPr>
          <w:rFonts w:ascii="Arial" w:cs="Arial" w:eastAsia="Arial" w:hAnsi="Arial"/>
          <w:b/>
          <w:bCs/>
          <w:color w:val="003366"/>
          <w:sz w:val="24"/>
          <w:szCs w:val="24"/>
        </w:rPr>
        <w:t xml:space="preserve">DE LA CONVOCATORIA Y CANDIDATURAS</w:t>
      </w:r>
    </w:p>
    <w:p>
      <w:pPr>
        <w:spacing w:after="80" w:before="200"/>
      </w:pPr>
      <w:r>
        <w:rPr>
          <w:rFonts w:ascii="Arial" w:cs="Arial" w:eastAsia="Arial" w:hAnsi="Arial"/>
          <w:b/>
          <w:bCs/>
          <w:sz w:val="22"/>
          <w:szCs w:val="22"/>
        </w:rPr>
        <w:t xml:space="preserve">Artículo 7°.- </w:t>
      </w:r>
      <w:r>
        <w:rPr>
          <w:rFonts w:ascii="Arial" w:cs="Arial" w:eastAsia="Arial" w:hAnsi="Arial"/>
          <w:b/>
          <w:bCs/>
          <w:i/>
          <w:iCs/>
          <w:color w:val="555555"/>
          <w:sz w:val="22"/>
          <w:szCs w:val="22"/>
        </w:rPr>
        <w:t xml:space="preserve">(Convocatoria) </w:t>
      </w:r>
      <w:r>
        <w:rPr>
          <w:rFonts w:ascii="Arial" w:cs="Arial" w:eastAsia="Arial" w:hAnsi="Arial"/>
          <w:sz w:val="22"/>
          <w:szCs w:val="22"/>
        </w:rPr>
        <w:t xml:space="preserve">El Consejo Superior convocará a elección de Rector con al menos noventa días de anticipación a la fecha de término del mandato del Rector en ejercicio. La convocatoria se publicará en el Diario Oficial, en el sitio web institucional y mediante comunicación interna.</w:t>
      </w:r>
    </w:p>
    <w:p>
      <w:pPr>
        <w:spacing w:after="80" w:before="200"/>
      </w:pPr>
      <w:r>
        <w:rPr>
          <w:rFonts w:ascii="Arial" w:cs="Arial" w:eastAsia="Arial" w:hAnsi="Arial"/>
          <w:b/>
          <w:bCs/>
          <w:sz w:val="22"/>
          <w:szCs w:val="22"/>
        </w:rPr>
        <w:t xml:space="preserve">Artículo 8°.- </w:t>
      </w:r>
      <w:r>
        <w:rPr>
          <w:rFonts w:ascii="Arial" w:cs="Arial" w:eastAsia="Arial" w:hAnsi="Arial"/>
          <w:b/>
          <w:bCs/>
          <w:i/>
          <w:iCs/>
          <w:color w:val="555555"/>
          <w:sz w:val="22"/>
          <w:szCs w:val="22"/>
        </w:rPr>
        <w:t xml:space="preserve">(Inscripción de candidaturas) </w:t>
      </w:r>
      <w:r>
        <w:rPr>
          <w:rFonts w:ascii="Arial" w:cs="Arial" w:eastAsia="Arial" w:hAnsi="Arial"/>
          <w:sz w:val="22"/>
          <w:szCs w:val="22"/>
        </w:rPr>
        <w:t xml:space="preserve">Las candidaturas deberán inscribirse ante la Junta Electoral dentro de los treinta días siguientes a la convocatoria, acompañando: a) Declaración jurada de cumplimiento de requisitos; b) Programa de gobierno universitario; c) Patrocinio de al menos el diez por ciento de los académicos con derecho a voto.</w:t>
      </w:r>
    </w:p>
    <w:p>
      <w:pPr>
        <w:spacing w:after="80" w:before="200"/>
      </w:pPr>
      <w:r>
        <w:rPr>
          <w:rFonts w:ascii="Arial" w:cs="Arial" w:eastAsia="Arial" w:hAnsi="Arial"/>
          <w:b/>
          <w:bCs/>
          <w:sz w:val="22"/>
          <w:szCs w:val="22"/>
        </w:rPr>
        <w:t xml:space="preserve">Artículo 9°.- </w:t>
      </w:r>
      <w:r>
        <w:rPr>
          <w:rFonts w:ascii="Arial" w:cs="Arial" w:eastAsia="Arial" w:hAnsi="Arial"/>
          <w:b/>
          <w:bCs/>
          <w:i/>
          <w:iCs/>
          <w:color w:val="555555"/>
          <w:sz w:val="22"/>
          <w:szCs w:val="22"/>
        </w:rPr>
        <w:t xml:space="preserve">(Calificación) </w:t>
      </w:r>
      <w:r>
        <w:rPr>
          <w:rFonts w:ascii="Arial" w:cs="Arial" w:eastAsia="Arial" w:hAnsi="Arial"/>
          <w:sz w:val="22"/>
          <w:szCs w:val="22"/>
        </w:rPr>
        <w:t xml:space="preserve">La Junta Electoral resolverá sobre la admisibilidad de las candidaturas dentro de los diez días hábiles siguientes al cierre de inscripción. Las candidaturas rechazadas podrán reclamar ante la misma Junta dentro de los cinco días hábiles siguientes a la notificación.</w:t>
      </w:r>
    </w:p>
    <w:p>
      <w:r>
        <w:br w:type="page"/>
      </w:r>
    </w:p>
    <w:p>
      <w:pPr>
        <w:spacing w:after="200" w:before="300"/>
        <w:jc w:val="center"/>
      </w:pPr>
      <w:r>
        <w:rPr>
          <w:rFonts w:ascii="Arial" w:cs="Arial" w:eastAsia="Arial" w:hAnsi="Arial"/>
          <w:b/>
          <w:bCs/>
          <w:color w:val="003366"/>
          <w:sz w:val="26"/>
          <w:szCs w:val="26"/>
        </w:rPr>
        <w:t xml:space="preserve">TÍTULO 4</w:t>
      </w:r>
    </w:p>
    <w:p>
      <w:pPr>
        <w:spacing w:after="300"/>
        <w:jc w:val="center"/>
      </w:pPr>
      <w:r>
        <w:rPr>
          <w:rFonts w:ascii="Arial" w:cs="Arial" w:eastAsia="Arial" w:hAnsi="Arial"/>
          <w:b/>
          <w:bCs/>
          <w:color w:val="003366"/>
          <w:sz w:val="24"/>
          <w:szCs w:val="24"/>
        </w:rPr>
        <w:t xml:space="preserve">DE LA JUNTA ELECTORAL</w:t>
      </w:r>
    </w:p>
    <w:p>
      <w:pPr>
        <w:spacing w:after="80" w:before="200"/>
      </w:pPr>
      <w:r>
        <w:rPr>
          <w:rFonts w:ascii="Arial" w:cs="Arial" w:eastAsia="Arial" w:hAnsi="Arial"/>
          <w:b/>
          <w:bCs/>
          <w:sz w:val="22"/>
          <w:szCs w:val="22"/>
        </w:rPr>
        <w:t xml:space="preserve">Artículo 10°.- </w:t>
      </w:r>
      <w:r>
        <w:rPr>
          <w:rFonts w:ascii="Arial" w:cs="Arial" w:eastAsia="Arial" w:hAnsi="Arial"/>
          <w:b/>
          <w:bCs/>
          <w:i/>
          <w:iCs/>
          <w:color w:val="555555"/>
          <w:sz w:val="22"/>
          <w:szCs w:val="22"/>
        </w:rPr>
        <w:t xml:space="preserve">(Composición de la Junta) </w:t>
      </w:r>
      <w:r>
        <w:rPr>
          <w:rFonts w:ascii="Arial" w:cs="Arial" w:eastAsia="Arial" w:hAnsi="Arial"/>
          <w:sz w:val="22"/>
          <w:szCs w:val="22"/>
        </w:rPr>
        <w:t xml:space="preserve">La Junta Electoral estará compuesta por: a) El Secretario General, quien la presidirá; b) El Contralor Universitario; c) El académico de mayor jerarquía y antigüedad de cada Facultad, excluidos los candidatos; d) Un representante del Ministerio de Educación en calidad de ministro de fe.</w:t>
      </w:r>
    </w:p>
    <w:p>
      <w:pPr>
        <w:spacing w:after="80" w:before="200"/>
      </w:pPr>
      <w:r>
        <w:rPr>
          <w:rFonts w:ascii="Arial" w:cs="Arial" w:eastAsia="Arial" w:hAnsi="Arial"/>
          <w:b/>
          <w:bCs/>
          <w:sz w:val="22"/>
          <w:szCs w:val="22"/>
        </w:rPr>
        <w:t xml:space="preserve">Artículo 11°.- </w:t>
      </w:r>
      <w:r>
        <w:rPr>
          <w:rFonts w:ascii="Arial" w:cs="Arial" w:eastAsia="Arial" w:hAnsi="Arial"/>
          <w:b/>
          <w:bCs/>
          <w:i/>
          <w:iCs/>
          <w:color w:val="555555"/>
          <w:sz w:val="22"/>
          <w:szCs w:val="22"/>
        </w:rPr>
        <w:t xml:space="preserve">(Funciones) </w:t>
      </w:r>
      <w:r>
        <w:rPr>
          <w:rFonts w:ascii="Arial" w:cs="Arial" w:eastAsia="Arial" w:hAnsi="Arial"/>
          <w:sz w:val="22"/>
          <w:szCs w:val="22"/>
        </w:rPr>
        <w:t xml:space="preserve">Corresponderá a la Junta Electoral: a) Calificar las candidaturas; b) Designar las mesas receptoras de sufragios; c) Resolver las reclamaciones electorales; d) Efectuar el escrutinio y proclamar al candidato electo; e) Velar por el correcto desarrollo del proceso.</w:t>
      </w:r>
    </w:p>
    <w:p>
      <w:r>
        <w:br w:type="page"/>
      </w:r>
    </w:p>
    <w:p>
      <w:pPr>
        <w:spacing w:after="200" w:before="300"/>
        <w:jc w:val="center"/>
      </w:pPr>
      <w:r>
        <w:rPr>
          <w:rFonts w:ascii="Arial" w:cs="Arial" w:eastAsia="Arial" w:hAnsi="Arial"/>
          <w:b/>
          <w:bCs/>
          <w:color w:val="003366"/>
          <w:sz w:val="26"/>
          <w:szCs w:val="26"/>
        </w:rPr>
        <w:t xml:space="preserve">TÍTULO 5</w:t>
      </w:r>
    </w:p>
    <w:p>
      <w:pPr>
        <w:spacing w:after="300"/>
        <w:jc w:val="center"/>
      </w:pPr>
      <w:r>
        <w:rPr>
          <w:rFonts w:ascii="Arial" w:cs="Arial" w:eastAsia="Arial" w:hAnsi="Arial"/>
          <w:b/>
          <w:bCs/>
          <w:color w:val="003366"/>
          <w:sz w:val="24"/>
          <w:szCs w:val="24"/>
        </w:rPr>
        <w:t xml:space="preserve">DEL ACTO ELECCIONARIO</w:t>
      </w:r>
    </w:p>
    <w:p>
      <w:pPr>
        <w:spacing w:after="80" w:before="200"/>
      </w:pPr>
      <w:r>
        <w:rPr>
          <w:rFonts w:ascii="Arial" w:cs="Arial" w:eastAsia="Arial" w:hAnsi="Arial"/>
          <w:b/>
          <w:bCs/>
          <w:sz w:val="22"/>
          <w:szCs w:val="22"/>
        </w:rPr>
        <w:t xml:space="preserve">Artículo 12°.- </w:t>
      </w:r>
      <w:r>
        <w:rPr>
          <w:rFonts w:ascii="Arial" w:cs="Arial" w:eastAsia="Arial" w:hAnsi="Arial"/>
          <w:b/>
          <w:bCs/>
          <w:i/>
          <w:iCs/>
          <w:color w:val="555555"/>
          <w:sz w:val="22"/>
          <w:szCs w:val="22"/>
        </w:rPr>
        <w:t xml:space="preserve">(Votación) </w:t>
      </w:r>
      <w:r>
        <w:rPr>
          <w:rFonts w:ascii="Arial" w:cs="Arial" w:eastAsia="Arial" w:hAnsi="Arial"/>
          <w:sz w:val="22"/>
          <w:szCs w:val="22"/>
        </w:rPr>
        <w:t xml:space="preserve">La votación se realizará en un solo día, en horario de 09:00 a 17:00 horas, en las sedes de votación que determine la Junta Electoral. El voto será personal, secreto, informado e igualitario en su ponderación según jerarquía.</w:t>
      </w:r>
    </w:p>
    <w:p>
      <w:pPr>
        <w:spacing w:after="80" w:before="200"/>
      </w:pPr>
      <w:r>
        <w:rPr>
          <w:rFonts w:ascii="Arial" w:cs="Arial" w:eastAsia="Arial" w:hAnsi="Arial"/>
          <w:b/>
          <w:bCs/>
          <w:sz w:val="22"/>
          <w:szCs w:val="22"/>
        </w:rPr>
        <w:t xml:space="preserve">Artículo 13°.- </w:t>
      </w:r>
      <w:r>
        <w:rPr>
          <w:rFonts w:ascii="Arial" w:cs="Arial" w:eastAsia="Arial" w:hAnsi="Arial"/>
          <w:b/>
          <w:bCs/>
          <w:i/>
          <w:iCs/>
          <w:color w:val="555555"/>
          <w:sz w:val="22"/>
          <w:szCs w:val="22"/>
        </w:rPr>
        <w:t xml:space="preserve">(Quórum de participación) </w:t>
      </w:r>
      <w:r>
        <w:rPr>
          <w:rFonts w:ascii="Arial" w:cs="Arial" w:eastAsia="Arial" w:hAnsi="Arial"/>
          <w:sz w:val="22"/>
          <w:szCs w:val="22"/>
        </w:rPr>
        <w:t xml:space="preserve">Para que la elección sea válida, deberá sufragar al menos el cincuenta por ciento más uno de los académicos habilitados según el padrón electoral definitivo.</w:t>
      </w:r>
    </w:p>
    <w:p>
      <w:pPr>
        <w:spacing w:after="80" w:before="200"/>
      </w:pPr>
      <w:r>
        <w:rPr>
          <w:rFonts w:ascii="Arial" w:cs="Arial" w:eastAsia="Arial" w:hAnsi="Arial"/>
          <w:b/>
          <w:bCs/>
          <w:sz w:val="22"/>
          <w:szCs w:val="22"/>
        </w:rPr>
        <w:t xml:space="preserve">Artículo 14°.- </w:t>
      </w:r>
      <w:r>
        <w:rPr>
          <w:rFonts w:ascii="Arial" w:cs="Arial" w:eastAsia="Arial" w:hAnsi="Arial"/>
          <w:b/>
          <w:bCs/>
          <w:i/>
          <w:iCs/>
          <w:color w:val="555555"/>
          <w:sz w:val="22"/>
          <w:szCs w:val="22"/>
        </w:rPr>
        <w:t xml:space="preserve">(Mayoría requerida) </w:t>
      </w:r>
      <w:r>
        <w:rPr>
          <w:rFonts w:ascii="Arial" w:cs="Arial" w:eastAsia="Arial" w:hAnsi="Arial"/>
          <w:sz w:val="22"/>
          <w:szCs w:val="22"/>
        </w:rPr>
        <w:t xml:space="preserve">Resultará electo el candidato que obtenga la mayoría absoluta de los votos válidamente emitidos, ponderados conforme a la Ley 19.305. Si ningún candidato la obtuviere, se procederá a segunda votación entre los dos candidatos más votados, dentro de los quince días siguientes.</w:t>
      </w:r>
    </w:p>
    <w:p>
      <w:pPr>
        <w:spacing w:after="80" w:before="200"/>
      </w:pPr>
      <w:r>
        <w:rPr>
          <w:rFonts w:ascii="Arial" w:cs="Arial" w:eastAsia="Arial" w:hAnsi="Arial"/>
          <w:b/>
          <w:bCs/>
          <w:sz w:val="22"/>
          <w:szCs w:val="22"/>
        </w:rPr>
        <w:t xml:space="preserve">Artículo 15°.- </w:t>
      </w:r>
      <w:r>
        <w:rPr>
          <w:rFonts w:ascii="Arial" w:cs="Arial" w:eastAsia="Arial" w:hAnsi="Arial"/>
          <w:b/>
          <w:bCs/>
          <w:i/>
          <w:iCs/>
          <w:color w:val="555555"/>
          <w:sz w:val="22"/>
          <w:szCs w:val="22"/>
        </w:rPr>
        <w:t xml:space="preserve">(Proclamación) </w:t>
      </w:r>
      <w:r>
        <w:rPr>
          <w:rFonts w:ascii="Arial" w:cs="Arial" w:eastAsia="Arial" w:hAnsi="Arial"/>
          <w:sz w:val="22"/>
          <w:szCs w:val="22"/>
        </w:rPr>
        <w:t xml:space="preserve">La Junta Electoral proclamará al Rector o Rectora electa dentro de las cuarenta y ocho horas siguientes al escrutinio, comunicando el resultado al Consejo Superior, al Ministerio de Educación y a la comunidad universitaria.</w:t>
      </w:r>
    </w:p>
    <w:p>
      <w:r>
        <w:br w:type="page"/>
      </w:r>
    </w:p>
    <w:p>
      <w:pPr>
        <w:spacing w:after="200" w:before="300"/>
        <w:jc w:val="center"/>
      </w:pPr>
      <w:r>
        <w:rPr>
          <w:rFonts w:ascii="Arial" w:cs="Arial" w:eastAsia="Arial" w:hAnsi="Arial"/>
          <w:b/>
          <w:bCs/>
          <w:color w:val="003366"/>
          <w:sz w:val="26"/>
          <w:szCs w:val="26"/>
        </w:rPr>
        <w:t xml:space="preserve">TÍTULO 6</w:t>
      </w:r>
    </w:p>
    <w:p>
      <w:pPr>
        <w:spacing w:after="300"/>
        <w:jc w:val="center"/>
      </w:pPr>
      <w:r>
        <w:rPr>
          <w:rFonts w:ascii="Arial" w:cs="Arial" w:eastAsia="Arial" w:hAnsi="Arial"/>
          <w:b/>
          <w:bCs/>
          <w:color w:val="003366"/>
          <w:sz w:val="24"/>
          <w:szCs w:val="24"/>
        </w:rPr>
        <w:t xml:space="preserve">DE LA CAMPAÑA ELECTORAL</w:t>
      </w:r>
    </w:p>
    <w:p>
      <w:pPr>
        <w:spacing w:after="80" w:before="200"/>
      </w:pPr>
      <w:r>
        <w:rPr>
          <w:rFonts w:ascii="Arial" w:cs="Arial" w:eastAsia="Arial" w:hAnsi="Arial"/>
          <w:b/>
          <w:bCs/>
          <w:sz w:val="22"/>
          <w:szCs w:val="22"/>
        </w:rPr>
        <w:t xml:space="preserve">Artículo 16°.- </w:t>
      </w:r>
      <w:r>
        <w:rPr>
          <w:rFonts w:ascii="Arial" w:cs="Arial" w:eastAsia="Arial" w:hAnsi="Arial"/>
          <w:b/>
          <w:bCs/>
          <w:i/>
          <w:iCs/>
          <w:color w:val="555555"/>
          <w:sz w:val="22"/>
          <w:szCs w:val="22"/>
        </w:rPr>
        <w:t xml:space="preserve">(Período de campaña) </w:t>
      </w:r>
      <w:r>
        <w:rPr>
          <w:rFonts w:ascii="Arial" w:cs="Arial" w:eastAsia="Arial" w:hAnsi="Arial"/>
          <w:sz w:val="22"/>
          <w:szCs w:val="22"/>
        </w:rPr>
        <w:t xml:space="preserve">La campaña electoral se iniciará el día siguiente a la publicación de las candidaturas calificadas y se extenderá hasta las veinticuatro horas anteriores al día de la votación.</w:t>
      </w:r>
    </w:p>
    <w:p>
      <w:pPr>
        <w:spacing w:after="80" w:before="200"/>
      </w:pPr>
      <w:r>
        <w:rPr>
          <w:rFonts w:ascii="Arial" w:cs="Arial" w:eastAsia="Arial" w:hAnsi="Arial"/>
          <w:b/>
          <w:bCs/>
          <w:sz w:val="22"/>
          <w:szCs w:val="22"/>
        </w:rPr>
        <w:t xml:space="preserve">Artículo 17°.- </w:t>
      </w:r>
      <w:r>
        <w:rPr>
          <w:rFonts w:ascii="Arial" w:cs="Arial" w:eastAsia="Arial" w:hAnsi="Arial"/>
          <w:b/>
          <w:bCs/>
          <w:i/>
          <w:iCs/>
          <w:color w:val="555555"/>
          <w:sz w:val="22"/>
          <w:szCs w:val="22"/>
        </w:rPr>
        <w:t xml:space="preserve">(Restricciones) </w:t>
      </w:r>
      <w:r>
        <w:rPr>
          <w:rFonts w:ascii="Arial" w:cs="Arial" w:eastAsia="Arial" w:hAnsi="Arial"/>
          <w:sz w:val="22"/>
          <w:szCs w:val="22"/>
        </w:rPr>
        <w:t xml:space="preserve">Se prohíbe durante el proceso electoral: a) El uso de recursos institucionales para fines de campaña; b) La presión o coacción sobre los electores; c) La publicidad que atente contra la dignidad de los candidatos; d) Toda forma de intervención de personas ajenas a la comunidad universitaria en la campaña.</w:t>
      </w:r>
    </w:p>
    <w:p>
      <w:r>
        <w:br w:type="page"/>
      </w:r>
    </w:p>
    <w:p>
      <w:pPr>
        <w:spacing w:after="200" w:before="300"/>
        <w:jc w:val="center"/>
      </w:pPr>
      <w:r>
        <w:rPr>
          <w:rFonts w:ascii="Arial" w:cs="Arial" w:eastAsia="Arial" w:hAnsi="Arial"/>
          <w:b/>
          <w:bCs/>
          <w:color w:val="003366"/>
          <w:sz w:val="26"/>
          <w:szCs w:val="26"/>
        </w:rPr>
        <w:t xml:space="preserve">TÍTULO 7</w:t>
      </w:r>
    </w:p>
    <w:p>
      <w:pPr>
        <w:spacing w:after="300"/>
        <w:jc w:val="center"/>
      </w:pPr>
      <w:r>
        <w:rPr>
          <w:rFonts w:ascii="Arial" w:cs="Arial" w:eastAsia="Arial" w:hAnsi="Arial"/>
          <w:b/>
          <w:bCs/>
          <w:color w:val="003366"/>
          <w:sz w:val="24"/>
          <w:szCs w:val="24"/>
        </w:rPr>
        <w:t xml:space="preserve">DISPOSICIONES TRANSITORIAS</w:t>
      </w:r>
    </w:p>
    <w:p>
      <w:pPr>
        <w:spacing w:after="80" w:before="200"/>
      </w:pPr>
      <w:r>
        <w:rPr>
          <w:rFonts w:ascii="Arial" w:cs="Arial" w:eastAsia="Arial" w:hAnsi="Arial"/>
          <w:b/>
          <w:bCs/>
          <w:sz w:val="22"/>
          <w:szCs w:val="22"/>
        </w:rPr>
        <w:t xml:space="preserve">Artículo 1 Transitorio.- </w:t>
      </w:r>
      <w:r>
        <w:rPr>
          <w:rFonts w:ascii="Arial" w:cs="Arial" w:eastAsia="Arial" w:hAnsi="Arial"/>
          <w:b/>
          <w:bCs/>
          <w:i/>
          <w:iCs/>
          <w:color w:val="555555"/>
          <w:sz w:val="22"/>
          <w:szCs w:val="22"/>
        </w:rPr>
        <w:t xml:space="preserve">(Primer transitorio) </w:t>
      </w:r>
      <w:r>
        <w:rPr>
          <w:rFonts w:ascii="Arial" w:cs="Arial" w:eastAsia="Arial" w:hAnsi="Arial"/>
          <w:sz w:val="22"/>
          <w:szCs w:val="22"/>
        </w:rPr>
        <w:t xml:space="preserve">El presente reglamento entrará en vigencia a partir de su publicación mediante decreto universitario y será aplicable a la próxima elección de Rector que se convoque.</w:t>
      </w:r>
    </w:p>
    <w:p>
      <w:pPr>
        <w:spacing w:after="80" w:before="200"/>
      </w:pPr>
      <w:r>
        <w:rPr>
          <w:rFonts w:ascii="Arial" w:cs="Arial" w:eastAsia="Arial" w:hAnsi="Arial"/>
          <w:b/>
          <w:bCs/>
          <w:sz w:val="22"/>
          <w:szCs w:val="22"/>
        </w:rPr>
        <w:t xml:space="preserve">Artículo 2 Transitorio.- </w:t>
      </w:r>
      <w:r>
        <w:rPr>
          <w:rFonts w:ascii="Arial" w:cs="Arial" w:eastAsia="Arial" w:hAnsi="Arial"/>
          <w:b/>
          <w:bCs/>
          <w:i/>
          <w:iCs/>
          <w:color w:val="555555"/>
          <w:sz w:val="22"/>
          <w:szCs w:val="22"/>
        </w:rPr>
        <w:t xml:space="preserve">(Segundo transitorio) </w:t>
      </w:r>
      <w:r>
        <w:rPr>
          <w:rFonts w:ascii="Arial" w:cs="Arial" w:eastAsia="Arial" w:hAnsi="Arial"/>
          <w:sz w:val="22"/>
          <w:szCs w:val="22"/>
        </w:rPr>
        <w:t xml:space="preserve">Mientras no se constituya la Junta Electoral conforme al presente reglamento, sus funciones serán ejercidas por una comisión designada por el Consejo Superior.</w:t>
      </w:r>
    </w:p>
    <w:p>
      <w:pPr>
        <w:spacing w:before="800"/>
      </w:pPr>
    </w:p>
    <w:p>
      <w:pPr>
        <w:pBdr>
          <w:top w:val="single" w:color="999999" w:sz="1"/>
        </w:pBdr>
        <w:spacing w:after="0"/>
        <w:jc w:val="center"/>
      </w:pPr>
    </w:p>
    <w:p>
      <w:pPr>
        <w:spacing w:after="0" w:before="200"/>
        <w:jc w:val="center"/>
      </w:pPr>
      <w:r>
        <w:rPr>
          <w:rFonts w:ascii="Arial" w:cs="Arial" w:eastAsia="Arial" w:hAnsi="Arial"/>
          <w:b/>
          <w:bCs/>
          <w:sz w:val="20"/>
          <w:szCs w:val="20"/>
        </w:rPr>
        <w:t xml:space="preserve">ANÓTESE, COMUNÍQUESE Y PUBLÍQUESE</w:t>
      </w:r>
    </w:p>
    <w:p>
      <w:pPr>
        <w:spacing w:after="0" w:before="600"/>
        <w:jc w:val="center"/>
      </w:pPr>
      <w:r>
        <w:rPr>
          <w:rFonts w:ascii="Arial" w:cs="Arial" w:eastAsia="Arial" w:hAnsi="Arial"/>
          <w:color w:val="999999"/>
          <w:sz w:val="20"/>
          <w:szCs w:val="20"/>
        </w:rPr>
        <w:t xml:space="preserve">_______________________________</w:t>
      </w:r>
    </w:p>
    <w:p>
      <w:pPr>
        <w:spacing w:after="0"/>
        <w:jc w:val="center"/>
      </w:pPr>
      <w:r>
        <w:rPr>
          <w:rFonts w:ascii="Arial" w:cs="Arial" w:eastAsia="Arial" w:hAnsi="Arial"/>
          <w:b/>
          <w:bCs/>
          <w:sz w:val="20"/>
          <w:szCs w:val="20"/>
        </w:rPr>
        <w:t xml:space="preserve">RECTOR(A)</w:t>
      </w:r>
    </w:p>
    <w:p>
      <w:pPr>
        <w:spacing w:after="0"/>
        <w:jc w:val="center"/>
      </w:pPr>
      <w:r>
        <w:rPr>
          <w:rFonts w:ascii="Arial" w:cs="Arial" w:eastAsia="Arial" w:hAnsi="Arial"/>
          <w:color w:val="666666"/>
          <w:sz w:val="18"/>
          <w:szCs w:val="18"/>
        </w:rPr>
        <w:t xml:space="preserve">Universidad de Magallanes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999999"/>
        <w:sz w:val="16"/>
        <w:szCs w:val="16"/>
      </w:rPr>
      <w:t xml:space="preserve">BORRADOR — Sujeto a revisión y aprobación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UMAG — Reglamento de Elección del Rector o Rectora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28"/>
      <w:szCs w:val="28"/>
    </w:rPr>
  </w:style>
  <w:style w:type="paragraph" w:styleId="Heading2">
    <w:name w:val="Heading 2"/>
    <w:basedOn w:val="Normal"/>
    <w:next w:val="Normal"/>
    <w:qFormat/>
    <w:pPr>
      <w:spacing w:after="1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2026-04-04T19:36:27.679Z</dcterms:created>
  <dcterms:modified xsi:type="dcterms:W3CDTF">2026-04-04T19:36:27.679Z</dcterms:modified>
</cp:coreProperties>
</file>

<file path=docProps/custom.xml><?xml version="1.0" encoding="utf-8"?>
<Properties xmlns="http://schemas.openxmlformats.org/officeDocument/2006/custom-properties" xmlns:vt="http://schemas.openxmlformats.org/officeDocument/2006/docPropsVTypes"/>
</file>