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Arial" w:cs="Arial" w:eastAsia="Arial" w:hAnsi="Arial"/>
          <w:b/>
          <w:bCs/>
          <w:sz w:val="28"/>
          <w:szCs w:val="28"/>
        </w:rPr>
        <w:t xml:space="preserve">UNIVERSIDAD DE MAGALLANES</w:t>
      </w:r>
    </w:p>
    <w:p>
      <w:pPr>
        <w:spacing w:after="200"/>
        <w:jc w:val="center"/>
      </w:pPr>
      <w:r>
        <w:rPr>
          <w:rFonts w:ascii="Arial" w:cs="Arial" w:eastAsia="Arial" w:hAnsi="Arial"/>
          <w:color w:val="666666"/>
          <w:sz w:val="20"/>
          <w:szCs w:val="20"/>
        </w:rPr>
        <w:t xml:space="preserve">Punta Arenas, Chile</w:t>
      </w:r>
    </w:p>
    <w:p>
      <w:pPr>
        <w:pBdr>
          <w:bottom w:val="single" w:color="003366" w:sz="6"/>
        </w:pBdr>
        <w:spacing w:after="0"/>
        <w:jc w:val="center"/>
      </w:pPr>
    </w:p>
    <w:p>
      <w:pPr>
        <w:spacing w:after="400"/>
      </w:pPr>
    </w:p>
    <w:p>
      <w:pPr>
        <w:spacing w:after="100"/>
        <w:jc w:val="center"/>
      </w:pPr>
      <w:r>
        <w:rPr>
          <w:rFonts w:ascii="Arial" w:cs="Arial" w:eastAsia="Arial" w:hAnsi="Arial"/>
          <w:b/>
          <w:bCs/>
          <w:color w:val="CC0000"/>
          <w:sz w:val="24"/>
          <w:szCs w:val="24"/>
        </w:rPr>
        <w:t xml:space="preserve">BORRADOR</w:t>
      </w:r>
    </w:p>
    <w:p>
      <w:pPr>
        <w:spacing w:after="400"/>
        <w:jc w:val="center"/>
      </w:pPr>
      <w:r>
        <w:rPr>
          <w:rFonts w:ascii="Arial" w:cs="Arial" w:eastAsia="Arial" w:hAnsi="Arial"/>
          <w:b/>
          <w:bCs/>
          <w:sz w:val="32"/>
          <w:szCs w:val="32"/>
        </w:rPr>
        <w:t xml:space="preserve">REGLAMENTO DE ESTUDIOS</w:t>
      </w:r>
    </w:p>
    <w:p>
      <w:pPr>
        <w:spacing w:after="60"/>
        <w:ind w:left="720"/>
      </w:pPr>
      <w:r>
        <w:rPr>
          <w:rFonts w:ascii="Arial" w:cs="Arial" w:eastAsia="Arial" w:hAnsi="Arial"/>
          <w:b/>
          <w:bCs/>
          <w:color w:val="003366"/>
          <w:sz w:val="20"/>
          <w:szCs w:val="20"/>
        </w:rPr>
        <w:t xml:space="preserve">Fundamento estatutario: </w:t>
      </w:r>
      <w:r>
        <w:rPr>
          <w:rFonts w:ascii="Arial" w:cs="Arial" w:eastAsia="Arial" w:hAnsi="Arial"/>
          <w:sz w:val="20"/>
          <w:szCs w:val="20"/>
        </w:rPr>
        <w:t xml:space="preserve">Art. 55</w:t>
      </w:r>
    </w:p>
    <w:p>
      <w:pPr>
        <w:spacing w:after="60"/>
        <w:ind w:left="720"/>
      </w:pPr>
      <w:r>
        <w:rPr>
          <w:rFonts w:ascii="Arial" w:cs="Arial" w:eastAsia="Arial" w:hAnsi="Arial"/>
          <w:b/>
          <w:bCs/>
          <w:color w:val="003366"/>
          <w:sz w:val="20"/>
          <w:szCs w:val="20"/>
        </w:rPr>
        <w:t xml:space="preserve">Responsable: </w:t>
      </w:r>
      <w:r>
        <w:rPr>
          <w:rFonts w:ascii="Arial" w:cs="Arial" w:eastAsia="Arial" w:hAnsi="Arial"/>
          <w:sz w:val="20"/>
          <w:szCs w:val="20"/>
        </w:rPr>
        <w:t xml:space="preserve">VRAC</w:t>
      </w:r>
    </w:p>
    <w:p>
      <w:pPr>
        <w:spacing w:after="60"/>
        <w:ind w:left="720"/>
      </w:pPr>
      <w:r>
        <w:rPr>
          <w:rFonts w:ascii="Arial" w:cs="Arial" w:eastAsia="Arial" w:hAnsi="Arial"/>
          <w:b/>
          <w:bCs/>
          <w:color w:val="003366"/>
          <w:sz w:val="20"/>
          <w:szCs w:val="20"/>
        </w:rPr>
        <w:t xml:space="preserve">Aprobación requerida: </w:t>
      </w:r>
      <w:r>
        <w:rPr>
          <w:rFonts w:ascii="Arial" w:cs="Arial" w:eastAsia="Arial" w:hAnsi="Arial"/>
          <w:sz w:val="20"/>
          <w:szCs w:val="20"/>
        </w:rPr>
        <w:t xml:space="preserve">Consejo Superior / Consejo Universitario</w:t>
      </w:r>
    </w:p>
    <w:p>
      <w:pPr>
        <w:spacing w:after="400"/>
      </w:pPr>
    </w:p>
    <w:p>
      <w:pPr>
        <w:spacing w:after="200"/>
      </w:pPr>
      <w:r>
        <w:rPr>
          <w:rFonts w:ascii="Arial" w:cs="Arial" w:eastAsia="Arial" w:hAnsi="Arial"/>
          <w:b/>
          <w:bCs/>
          <w:sz w:val="24"/>
          <w:szCs w:val="24"/>
        </w:rPr>
        <w:t xml:space="preserve">VISTOS:</w:t>
      </w:r>
    </w:p>
    <w:p>
      <w:pPr>
        <w:spacing w:after="100"/>
        <w:ind w:left="720"/>
      </w:pPr>
      <w:r>
        <w:rPr>
          <w:rFonts w:ascii="Arial" w:cs="Arial" w:eastAsia="Arial" w:hAnsi="Arial"/>
          <w:sz w:val="22"/>
          <w:szCs w:val="22"/>
        </w:rPr>
        <w:t xml:space="preserve">1. El DFL Núm. 27, de 2024, del Estatuto de la Universidad de Magallanes.</w:t>
      </w:r>
    </w:p>
    <w:p>
      <w:pPr>
        <w:spacing w:after="100"/>
        <w:ind w:left="720"/>
      </w:pPr>
      <w:r>
        <w:rPr>
          <w:rFonts w:ascii="Arial" w:cs="Arial" w:eastAsia="Arial" w:hAnsi="Arial"/>
          <w:sz w:val="22"/>
          <w:szCs w:val="22"/>
        </w:rPr>
        <w:t xml:space="preserve">2. El artículo 55 del Estatuto, que dispone la dictación de un reglamento de estudios.</w:t>
      </w:r>
    </w:p>
    <w:p>
      <w:pPr>
        <w:spacing w:after="100"/>
        <w:ind w:left="720"/>
      </w:pPr>
      <w:r>
        <w:rPr>
          <w:rFonts w:ascii="Arial" w:cs="Arial" w:eastAsia="Arial" w:hAnsi="Arial"/>
          <w:sz w:val="22"/>
          <w:szCs w:val="22"/>
        </w:rPr>
        <w:t xml:space="preserve">3. La Ley 21.091 sobre Educación Superior.</w:t>
      </w:r>
    </w:p>
    <w:p>
      <w:pPr>
        <w:spacing w:after="100"/>
        <w:ind w:left="720"/>
      </w:pPr>
      <w:r>
        <w:rPr>
          <w:rFonts w:ascii="Arial" w:cs="Arial" w:eastAsia="Arial" w:hAnsi="Arial"/>
          <w:sz w:val="22"/>
          <w:szCs w:val="22"/>
        </w:rPr>
        <w:t xml:space="preserve">4. La Ley 21.094 sobre Universidades del Estado.</w:t>
      </w:r>
    </w:p>
    <w:p>
      <w:pPr>
        <w:spacing w:after="200"/>
      </w:pPr>
    </w:p>
    <w:p>
      <w:pPr>
        <w:spacing w:after="200"/>
      </w:pPr>
      <w:r>
        <w:rPr>
          <w:rFonts w:ascii="Arial" w:cs="Arial" w:eastAsia="Arial" w:hAnsi="Arial"/>
          <w:b/>
          <w:bCs/>
          <w:sz w:val="24"/>
          <w:szCs w:val="24"/>
        </w:rPr>
        <w:t xml:space="preserve">CONSIDERANDO:</w:t>
      </w:r>
    </w:p>
    <w:p>
      <w:pPr>
        <w:spacing w:after="100"/>
        <w:ind w:left="720"/>
      </w:pPr>
      <w:r>
        <w:rPr>
          <w:rFonts w:ascii="Arial" w:cs="Arial" w:eastAsia="Arial" w:hAnsi="Arial"/>
          <w:sz w:val="22"/>
          <w:szCs w:val="22"/>
        </w:rPr>
        <w:t xml:space="preserve">Que es necesario contar con un cuerpo normativo que regule de manera integral las materias relativas a reglamento de estudios, en concordancia con el nuevo Estatuto de la Universidad;</w:t>
      </w:r>
    </w:p>
    <w:p>
      <w:pPr>
        <w:spacing w:after="100"/>
        <w:ind w:left="720"/>
      </w:pPr>
      <w:r>
        <w:rPr>
          <w:rFonts w:ascii="Arial" w:cs="Arial" w:eastAsia="Arial" w:hAnsi="Arial"/>
          <w:sz w:val="22"/>
          <w:szCs w:val="22"/>
        </w:rPr>
        <w:t xml:space="preserve">Que el Art. 55 del Estatuto establece expresamente la obligación de dictar la normativa correspondiente;</w:t>
      </w:r>
    </w:p>
    <w:p>
      <w:pPr>
        <w:spacing w:after="100"/>
        <w:ind w:left="720"/>
      </w:pPr>
      <w:r>
        <w:rPr>
          <w:rFonts w:ascii="Arial" w:cs="Arial" w:eastAsia="Arial" w:hAnsi="Arial"/>
          <w:sz w:val="22"/>
          <w:szCs w:val="22"/>
        </w:rPr>
        <w:t xml:space="preserve">Que el Consejo Superior ha aprobado el presente reglamento en sesión de fecha [COMPLETAR];</w:t>
      </w:r>
    </w:p>
    <w:p>
      <w:pPr>
        <w:spacing w:after="400"/>
        <w:ind w:left="720"/>
      </w:pPr>
      <w:r>
        <w:rPr>
          <w:rFonts w:ascii="Arial" w:cs="Arial" w:eastAsia="Arial" w:hAnsi="Arial"/>
          <w:b/>
          <w:bCs/>
          <w:sz w:val="24"/>
          <w:szCs w:val="24"/>
        </w:rPr>
        <w:t xml:space="preserve">DECRETO:</w:t>
      </w:r>
    </w:p>
    <w:p>
      <w:pPr>
        <w:spacing w:after="200" w:before="300"/>
        <w:jc w:val="center"/>
      </w:pPr>
      <w:r>
        <w:rPr>
          <w:rFonts w:ascii="Arial" w:cs="Arial" w:eastAsia="Arial" w:hAnsi="Arial"/>
          <w:b/>
          <w:bCs/>
          <w:color w:val="003366"/>
          <w:sz w:val="26"/>
          <w:szCs w:val="26"/>
        </w:rPr>
        <w:t xml:space="preserve">TÍTULO 1</w:t>
      </w:r>
    </w:p>
    <w:p>
      <w:pPr>
        <w:spacing w:after="300"/>
        <w:jc w:val="center"/>
      </w:pPr>
      <w:r>
        <w:rPr>
          <w:rFonts w:ascii="Arial" w:cs="Arial" w:eastAsia="Arial" w:hAnsi="Arial"/>
          <w:b/>
          <w:bCs/>
          <w:color w:val="003366"/>
          <w:sz w:val="24"/>
          <w:szCs w:val="24"/>
        </w:rPr>
        <w:t xml:space="preserve">DISPOSICIONES GENERALES</w:t>
      </w:r>
    </w:p>
    <w:p>
      <w:pPr>
        <w:spacing w:after="80" w:before="200"/>
      </w:pPr>
      <w:r>
        <w:rPr>
          <w:rFonts w:ascii="Arial" w:cs="Arial" w:eastAsia="Arial" w:hAnsi="Arial"/>
          <w:b/>
          <w:bCs/>
          <w:sz w:val="22"/>
          <w:szCs w:val="22"/>
        </w:rPr>
        <w:t xml:space="preserve">Artículo 1°.- </w:t>
      </w:r>
      <w:r>
        <w:rPr>
          <w:rFonts w:ascii="Arial" w:cs="Arial" w:eastAsia="Arial" w:hAnsi="Arial"/>
          <w:b/>
          <w:bCs/>
          <w:i/>
          <w:iCs/>
          <w:color w:val="555555"/>
          <w:sz w:val="22"/>
          <w:szCs w:val="22"/>
        </w:rPr>
        <w:t xml:space="preserve">(Objeto) </w:t>
      </w:r>
      <w:r>
        <w:rPr>
          <w:rFonts w:ascii="Arial" w:cs="Arial" w:eastAsia="Arial" w:hAnsi="Arial"/>
          <w:sz w:val="22"/>
          <w:szCs w:val="22"/>
        </w:rPr>
        <w:t xml:space="preserve">El presente reglamento establece la duración de los períodos lectivos, las exigencias académicas, los requisitos de aprobación y el sistema de medición de los estudios de pregrado en la Universidad de Magallanes, en conformidad con el artículo 55 del Estatuto.</w:t>
      </w:r>
    </w:p>
    <w:p>
      <w:pPr>
        <w:spacing w:after="80" w:before="200"/>
      </w:pPr>
      <w:r>
        <w:rPr>
          <w:rFonts w:ascii="Arial" w:cs="Arial" w:eastAsia="Arial" w:hAnsi="Arial"/>
          <w:b/>
          <w:bCs/>
          <w:sz w:val="22"/>
          <w:szCs w:val="22"/>
        </w:rPr>
        <w:t xml:space="preserve">Artículo 2°.- </w:t>
      </w:r>
      <w:r>
        <w:rPr>
          <w:rFonts w:ascii="Arial" w:cs="Arial" w:eastAsia="Arial" w:hAnsi="Arial"/>
          <w:b/>
          <w:bCs/>
          <w:i/>
          <w:iCs/>
          <w:color w:val="555555"/>
          <w:sz w:val="22"/>
          <w:szCs w:val="22"/>
        </w:rPr>
        <w:t xml:space="preserve">(Modalidades) </w:t>
      </w:r>
      <w:r>
        <w:rPr>
          <w:rFonts w:ascii="Arial" w:cs="Arial" w:eastAsia="Arial" w:hAnsi="Arial"/>
          <w:sz w:val="22"/>
          <w:szCs w:val="22"/>
        </w:rPr>
        <w:t xml:space="preserve">La Universidad impartirá sus programas de pregrado en las modalidades presencial, semipresencial y a distancia, conforme a los estándares de calidad definidos por la institución y la normativa vigente.</w:t>
      </w:r>
    </w:p>
    <w:p>
      <w:pPr>
        <w:spacing w:after="80" w:before="200"/>
      </w:pPr>
      <w:r>
        <w:rPr>
          <w:rFonts w:ascii="Arial" w:cs="Arial" w:eastAsia="Arial" w:hAnsi="Arial"/>
          <w:b/>
          <w:bCs/>
          <w:sz w:val="22"/>
          <w:szCs w:val="22"/>
        </w:rPr>
        <w:t xml:space="preserve">Artículo 3°.- </w:t>
      </w:r>
      <w:r>
        <w:rPr>
          <w:rFonts w:ascii="Arial" w:cs="Arial" w:eastAsia="Arial" w:hAnsi="Arial"/>
          <w:b/>
          <w:bCs/>
          <w:i/>
          <w:iCs/>
          <w:color w:val="555555"/>
          <w:sz w:val="22"/>
          <w:szCs w:val="22"/>
        </w:rPr>
        <w:t xml:space="preserve">(Sistema de créditos) </w:t>
      </w:r>
      <w:r>
        <w:rPr>
          <w:rFonts w:ascii="Arial" w:cs="Arial" w:eastAsia="Arial" w:hAnsi="Arial"/>
          <w:sz w:val="22"/>
          <w:szCs w:val="22"/>
        </w:rPr>
        <w:t xml:space="preserve">La Universidad adoptará el Sistema de Créditos Transferibles (SCT-Chile) como unidad de medida de la carga académica de los estudiantes. Un crédito SCT equivale a entre veinticinco y treinta horas de trabajo del estudiante.</w:t>
      </w:r>
    </w:p>
    <w:p>
      <w:r>
        <w:br w:type="page"/>
      </w:r>
    </w:p>
    <w:p>
      <w:pPr>
        <w:spacing w:after="200" w:before="300"/>
        <w:jc w:val="center"/>
      </w:pPr>
      <w:r>
        <w:rPr>
          <w:rFonts w:ascii="Arial" w:cs="Arial" w:eastAsia="Arial" w:hAnsi="Arial"/>
          <w:b/>
          <w:bCs/>
          <w:color w:val="003366"/>
          <w:sz w:val="26"/>
          <w:szCs w:val="26"/>
        </w:rPr>
        <w:t xml:space="preserve">TÍTULO 2</w:t>
      </w:r>
    </w:p>
    <w:p>
      <w:pPr>
        <w:spacing w:after="300"/>
        <w:jc w:val="center"/>
      </w:pPr>
      <w:r>
        <w:rPr>
          <w:rFonts w:ascii="Arial" w:cs="Arial" w:eastAsia="Arial" w:hAnsi="Arial"/>
          <w:b/>
          <w:bCs/>
          <w:color w:val="003366"/>
          <w:sz w:val="24"/>
          <w:szCs w:val="24"/>
        </w:rPr>
        <w:t xml:space="preserve">DE LOS PERÍODOS LECTIVOS</w:t>
      </w:r>
    </w:p>
    <w:p>
      <w:pPr>
        <w:spacing w:after="80" w:before="200"/>
      </w:pPr>
      <w:r>
        <w:rPr>
          <w:rFonts w:ascii="Arial" w:cs="Arial" w:eastAsia="Arial" w:hAnsi="Arial"/>
          <w:b/>
          <w:bCs/>
          <w:sz w:val="22"/>
          <w:szCs w:val="22"/>
        </w:rPr>
        <w:t xml:space="preserve">Artículo 4°.- </w:t>
      </w:r>
      <w:r>
        <w:rPr>
          <w:rFonts w:ascii="Arial" w:cs="Arial" w:eastAsia="Arial" w:hAnsi="Arial"/>
          <w:b/>
          <w:bCs/>
          <w:i/>
          <w:iCs/>
          <w:color w:val="555555"/>
          <w:sz w:val="22"/>
          <w:szCs w:val="22"/>
        </w:rPr>
        <w:t xml:space="preserve">(Año académico) </w:t>
      </w:r>
      <w:r>
        <w:rPr>
          <w:rFonts w:ascii="Arial" w:cs="Arial" w:eastAsia="Arial" w:hAnsi="Arial"/>
          <w:sz w:val="22"/>
          <w:szCs w:val="22"/>
        </w:rPr>
        <w:t xml:space="preserve">El año académico se dividirá en dos semestres regulares y podrá contemplar un período de verano. El calendario académico será fijado anualmente por el Rector, a propuesta de la Vicerrectoría Académica.</w:t>
      </w:r>
    </w:p>
    <w:p>
      <w:pPr>
        <w:spacing w:after="80" w:before="200"/>
      </w:pPr>
      <w:r>
        <w:rPr>
          <w:rFonts w:ascii="Arial" w:cs="Arial" w:eastAsia="Arial" w:hAnsi="Arial"/>
          <w:b/>
          <w:bCs/>
          <w:sz w:val="22"/>
          <w:szCs w:val="22"/>
        </w:rPr>
        <w:t xml:space="preserve">Artículo 5°.- </w:t>
      </w:r>
      <w:r>
        <w:rPr>
          <w:rFonts w:ascii="Arial" w:cs="Arial" w:eastAsia="Arial" w:hAnsi="Arial"/>
          <w:b/>
          <w:bCs/>
          <w:i/>
          <w:iCs/>
          <w:color w:val="555555"/>
          <w:sz w:val="22"/>
          <w:szCs w:val="22"/>
        </w:rPr>
        <w:t xml:space="preserve">(Duración) </w:t>
      </w:r>
      <w:r>
        <w:rPr>
          <w:rFonts w:ascii="Arial" w:cs="Arial" w:eastAsia="Arial" w:hAnsi="Arial"/>
          <w:sz w:val="22"/>
          <w:szCs w:val="22"/>
        </w:rPr>
        <w:t xml:space="preserve">Cada semestre regular tendrá una duración mínima de dieciséis semanas de actividades lectivas, más los períodos de evaluación. El período de verano no excederá de ocho semanas.</w:t>
      </w:r>
    </w:p>
    <w:p>
      <w:r>
        <w:br w:type="page"/>
      </w:r>
    </w:p>
    <w:p>
      <w:pPr>
        <w:spacing w:after="200" w:before="300"/>
        <w:jc w:val="center"/>
      </w:pPr>
      <w:r>
        <w:rPr>
          <w:rFonts w:ascii="Arial" w:cs="Arial" w:eastAsia="Arial" w:hAnsi="Arial"/>
          <w:b/>
          <w:bCs/>
          <w:color w:val="003366"/>
          <w:sz w:val="26"/>
          <w:szCs w:val="26"/>
        </w:rPr>
        <w:t xml:space="preserve">TÍTULO 3</w:t>
      </w:r>
    </w:p>
    <w:p>
      <w:pPr>
        <w:spacing w:after="300"/>
        <w:jc w:val="center"/>
      </w:pPr>
      <w:r>
        <w:rPr>
          <w:rFonts w:ascii="Arial" w:cs="Arial" w:eastAsia="Arial" w:hAnsi="Arial"/>
          <w:b/>
          <w:bCs/>
          <w:color w:val="003366"/>
          <w:sz w:val="24"/>
          <w:szCs w:val="24"/>
        </w:rPr>
        <w:t xml:space="preserve">DE LA INSCRIPCIÓN ACADÉMICA</w:t>
      </w:r>
    </w:p>
    <w:p>
      <w:pPr>
        <w:spacing w:after="80" w:before="200"/>
      </w:pPr>
      <w:r>
        <w:rPr>
          <w:rFonts w:ascii="Arial" w:cs="Arial" w:eastAsia="Arial" w:hAnsi="Arial"/>
          <w:b/>
          <w:bCs/>
          <w:sz w:val="22"/>
          <w:szCs w:val="22"/>
        </w:rPr>
        <w:t xml:space="preserve">Artículo 6°.- </w:t>
      </w:r>
      <w:r>
        <w:rPr>
          <w:rFonts w:ascii="Arial" w:cs="Arial" w:eastAsia="Arial" w:hAnsi="Arial"/>
          <w:b/>
          <w:bCs/>
          <w:i/>
          <w:iCs/>
          <w:color w:val="555555"/>
          <w:sz w:val="22"/>
          <w:szCs w:val="22"/>
        </w:rPr>
        <w:t xml:space="preserve">(Inscripción de asignaturas) </w:t>
      </w:r>
      <w:r>
        <w:rPr>
          <w:rFonts w:ascii="Arial" w:cs="Arial" w:eastAsia="Arial" w:hAnsi="Arial"/>
          <w:sz w:val="22"/>
          <w:szCs w:val="22"/>
        </w:rPr>
        <w:t xml:space="preserve">Los estudiantes deberán inscribir sus asignaturas dentro de los plazos establecidos en el calendario académico. La inscripción se realizará a través del sistema informático habilitado para tal efecto.</w:t>
      </w:r>
    </w:p>
    <w:p>
      <w:pPr>
        <w:spacing w:after="80" w:before="200"/>
      </w:pPr>
      <w:r>
        <w:rPr>
          <w:rFonts w:ascii="Arial" w:cs="Arial" w:eastAsia="Arial" w:hAnsi="Arial"/>
          <w:b/>
          <w:bCs/>
          <w:sz w:val="22"/>
          <w:szCs w:val="22"/>
        </w:rPr>
        <w:t xml:space="preserve">Artículo 7°.- </w:t>
      </w:r>
      <w:r>
        <w:rPr>
          <w:rFonts w:ascii="Arial" w:cs="Arial" w:eastAsia="Arial" w:hAnsi="Arial"/>
          <w:b/>
          <w:bCs/>
          <w:i/>
          <w:iCs/>
          <w:color w:val="555555"/>
          <w:sz w:val="22"/>
          <w:szCs w:val="22"/>
        </w:rPr>
        <w:t xml:space="preserve">(Carga académica) </w:t>
      </w:r>
      <w:r>
        <w:rPr>
          <w:rFonts w:ascii="Arial" w:cs="Arial" w:eastAsia="Arial" w:hAnsi="Arial"/>
          <w:sz w:val="22"/>
          <w:szCs w:val="22"/>
        </w:rPr>
        <w:t xml:space="preserve">La carga académica regular será de treinta créditos SCT por semestre. Los estudiantes podrán solicitar aumento o disminución de carga, con autorización del Director de Escuela respectivo, conforme a los límites que establezca este reglamento.</w:t>
      </w:r>
    </w:p>
    <w:p>
      <w:pPr>
        <w:spacing w:after="80" w:before="200"/>
      </w:pPr>
      <w:r>
        <w:rPr>
          <w:rFonts w:ascii="Arial" w:cs="Arial" w:eastAsia="Arial" w:hAnsi="Arial"/>
          <w:b/>
          <w:bCs/>
          <w:sz w:val="22"/>
          <w:szCs w:val="22"/>
        </w:rPr>
        <w:t xml:space="preserve">Artículo 8°.- </w:t>
      </w:r>
      <w:r>
        <w:rPr>
          <w:rFonts w:ascii="Arial" w:cs="Arial" w:eastAsia="Arial" w:hAnsi="Arial"/>
          <w:b/>
          <w:bCs/>
          <w:i/>
          <w:iCs/>
          <w:color w:val="555555"/>
          <w:sz w:val="22"/>
          <w:szCs w:val="22"/>
        </w:rPr>
        <w:t xml:space="preserve">(Requisitos y prerrequisitos) </w:t>
      </w:r>
      <w:r>
        <w:rPr>
          <w:rFonts w:ascii="Arial" w:cs="Arial" w:eastAsia="Arial" w:hAnsi="Arial"/>
          <w:sz w:val="22"/>
          <w:szCs w:val="22"/>
        </w:rPr>
        <w:t xml:space="preserve">Las asignaturas podrán tener requisitos de aprobación previa. No se permitirá la inscripción en asignaturas cuyos prerrequisitos no hayan sido aprobados, salvo autorización fundada del Director de Escuela.</w:t>
      </w:r>
    </w:p>
    <w:p>
      <w:r>
        <w:br w:type="page"/>
      </w:r>
    </w:p>
    <w:p>
      <w:pPr>
        <w:spacing w:after="200" w:before="300"/>
        <w:jc w:val="center"/>
      </w:pPr>
      <w:r>
        <w:rPr>
          <w:rFonts w:ascii="Arial" w:cs="Arial" w:eastAsia="Arial" w:hAnsi="Arial"/>
          <w:b/>
          <w:bCs/>
          <w:color w:val="003366"/>
          <w:sz w:val="26"/>
          <w:szCs w:val="26"/>
        </w:rPr>
        <w:t xml:space="preserve">TÍTULO 4</w:t>
      </w:r>
    </w:p>
    <w:p>
      <w:pPr>
        <w:spacing w:after="300"/>
        <w:jc w:val="center"/>
      </w:pPr>
      <w:r>
        <w:rPr>
          <w:rFonts w:ascii="Arial" w:cs="Arial" w:eastAsia="Arial" w:hAnsi="Arial"/>
          <w:b/>
          <w:bCs/>
          <w:color w:val="003366"/>
          <w:sz w:val="24"/>
          <w:szCs w:val="24"/>
        </w:rPr>
        <w:t xml:space="preserve">DEL SISTEMA DE EVALUACIÓN Y CALIFICACIONES</w:t>
      </w:r>
    </w:p>
    <w:p>
      <w:pPr>
        <w:spacing w:after="80" w:before="200"/>
      </w:pPr>
      <w:r>
        <w:rPr>
          <w:rFonts w:ascii="Arial" w:cs="Arial" w:eastAsia="Arial" w:hAnsi="Arial"/>
          <w:b/>
          <w:bCs/>
          <w:sz w:val="22"/>
          <w:szCs w:val="22"/>
        </w:rPr>
        <w:t xml:space="preserve">Artículo 9°.- </w:t>
      </w:r>
      <w:r>
        <w:rPr>
          <w:rFonts w:ascii="Arial" w:cs="Arial" w:eastAsia="Arial" w:hAnsi="Arial"/>
          <w:b/>
          <w:bCs/>
          <w:i/>
          <w:iCs/>
          <w:color w:val="555555"/>
          <w:sz w:val="22"/>
          <w:szCs w:val="22"/>
        </w:rPr>
        <w:t xml:space="preserve">(Escala de calificaciones) </w:t>
      </w:r>
      <w:r>
        <w:rPr>
          <w:rFonts w:ascii="Arial" w:cs="Arial" w:eastAsia="Arial" w:hAnsi="Arial"/>
          <w:sz w:val="22"/>
          <w:szCs w:val="22"/>
        </w:rPr>
        <w:t xml:space="preserve">Las calificaciones se expresarán en la escala de uno punto cero (1,0) a siete punto cero (7,0), con un decimal. La nota mínima de aprobación será de cuatro punto cero (4,0).</w:t>
      </w:r>
    </w:p>
    <w:p>
      <w:pPr>
        <w:spacing w:after="80" w:before="200"/>
      </w:pPr>
      <w:r>
        <w:rPr>
          <w:rFonts w:ascii="Arial" w:cs="Arial" w:eastAsia="Arial" w:hAnsi="Arial"/>
          <w:b/>
          <w:bCs/>
          <w:sz w:val="22"/>
          <w:szCs w:val="22"/>
        </w:rPr>
        <w:t xml:space="preserve">Artículo 10°.- </w:t>
      </w:r>
      <w:r>
        <w:rPr>
          <w:rFonts w:ascii="Arial" w:cs="Arial" w:eastAsia="Arial" w:hAnsi="Arial"/>
          <w:b/>
          <w:bCs/>
          <w:i/>
          <w:iCs/>
          <w:color w:val="555555"/>
          <w:sz w:val="22"/>
          <w:szCs w:val="22"/>
        </w:rPr>
        <w:t xml:space="preserve">(Evaluaciones) </w:t>
      </w:r>
      <w:r>
        <w:rPr>
          <w:rFonts w:ascii="Arial" w:cs="Arial" w:eastAsia="Arial" w:hAnsi="Arial"/>
          <w:sz w:val="22"/>
          <w:szCs w:val="22"/>
        </w:rPr>
        <w:t xml:space="preserve">Cada asignatura contemplará al menos tres evaluaciones parciales durante el semestre. El programa de la asignatura deberá establecer con anticipación el número, tipo y ponderación de las evaluaciones.</w:t>
      </w:r>
    </w:p>
    <w:p>
      <w:pPr>
        <w:spacing w:after="80" w:before="200"/>
      </w:pPr>
      <w:r>
        <w:rPr>
          <w:rFonts w:ascii="Arial" w:cs="Arial" w:eastAsia="Arial" w:hAnsi="Arial"/>
          <w:b/>
          <w:bCs/>
          <w:sz w:val="22"/>
          <w:szCs w:val="22"/>
        </w:rPr>
        <w:t xml:space="preserve">Artículo 11°.- </w:t>
      </w:r>
      <w:r>
        <w:rPr>
          <w:rFonts w:ascii="Arial" w:cs="Arial" w:eastAsia="Arial" w:hAnsi="Arial"/>
          <w:b/>
          <w:bCs/>
          <w:i/>
          <w:iCs/>
          <w:color w:val="555555"/>
          <w:sz w:val="22"/>
          <w:szCs w:val="22"/>
        </w:rPr>
        <w:t xml:space="preserve">(Examen de repetición) </w:t>
      </w:r>
      <w:r>
        <w:rPr>
          <w:rFonts w:ascii="Arial" w:cs="Arial" w:eastAsia="Arial" w:hAnsi="Arial"/>
          <w:sz w:val="22"/>
          <w:szCs w:val="22"/>
        </w:rPr>
        <w:t xml:space="preserve">Los estudiantes que reprueben una asignatura con nota igual o superior a tres punto cero (3,0) tendrán derecho a rendir un examen de repetición, cuya nota reemplazará la calificación final, con un máximo de cuatro punto cero (4,0).</w:t>
      </w:r>
    </w:p>
    <w:p>
      <w:pPr>
        <w:spacing w:after="80" w:before="200"/>
      </w:pPr>
      <w:r>
        <w:rPr>
          <w:rFonts w:ascii="Arial" w:cs="Arial" w:eastAsia="Arial" w:hAnsi="Arial"/>
          <w:b/>
          <w:bCs/>
          <w:sz w:val="22"/>
          <w:szCs w:val="22"/>
        </w:rPr>
        <w:t xml:space="preserve">Artículo 12°.- </w:t>
      </w:r>
      <w:r>
        <w:rPr>
          <w:rFonts w:ascii="Arial" w:cs="Arial" w:eastAsia="Arial" w:hAnsi="Arial"/>
          <w:b/>
          <w:bCs/>
          <w:i/>
          <w:iCs/>
          <w:color w:val="555555"/>
          <w:sz w:val="22"/>
          <w:szCs w:val="22"/>
        </w:rPr>
        <w:t xml:space="preserve">(Inasistencia a evaluaciones) </w:t>
      </w:r>
      <w:r>
        <w:rPr>
          <w:rFonts w:ascii="Arial" w:cs="Arial" w:eastAsia="Arial" w:hAnsi="Arial"/>
          <w:sz w:val="22"/>
          <w:szCs w:val="22"/>
        </w:rPr>
        <w:t xml:space="preserve">El estudiante que no se presente a una evaluación deberá justificar su inasistencia dentro de los cinco días hábiles siguientes. La Dirección de Escuela resolverá la justificación y fijará nueva fecha.</w:t>
      </w:r>
    </w:p>
    <w:p>
      <w:r>
        <w:br w:type="page"/>
      </w:r>
    </w:p>
    <w:p>
      <w:pPr>
        <w:spacing w:after="200" w:before="300"/>
        <w:jc w:val="center"/>
      </w:pPr>
      <w:r>
        <w:rPr>
          <w:rFonts w:ascii="Arial" w:cs="Arial" w:eastAsia="Arial" w:hAnsi="Arial"/>
          <w:b/>
          <w:bCs/>
          <w:color w:val="003366"/>
          <w:sz w:val="26"/>
          <w:szCs w:val="26"/>
        </w:rPr>
        <w:t xml:space="preserve">TÍTULO 5</w:t>
      </w:r>
    </w:p>
    <w:p>
      <w:pPr>
        <w:spacing w:after="300"/>
        <w:jc w:val="center"/>
      </w:pPr>
      <w:r>
        <w:rPr>
          <w:rFonts w:ascii="Arial" w:cs="Arial" w:eastAsia="Arial" w:hAnsi="Arial"/>
          <w:b/>
          <w:bCs/>
          <w:color w:val="003366"/>
          <w:sz w:val="24"/>
          <w:szCs w:val="24"/>
        </w:rPr>
        <w:t xml:space="preserve">DE LA APROBACIÓN Y TITULACIÓN</w:t>
      </w:r>
    </w:p>
    <w:p>
      <w:pPr>
        <w:spacing w:after="80" w:before="200"/>
      </w:pPr>
      <w:r>
        <w:rPr>
          <w:rFonts w:ascii="Arial" w:cs="Arial" w:eastAsia="Arial" w:hAnsi="Arial"/>
          <w:b/>
          <w:bCs/>
          <w:sz w:val="22"/>
          <w:szCs w:val="22"/>
        </w:rPr>
        <w:t xml:space="preserve">Artículo 13°.- </w:t>
      </w:r>
      <w:r>
        <w:rPr>
          <w:rFonts w:ascii="Arial" w:cs="Arial" w:eastAsia="Arial" w:hAnsi="Arial"/>
          <w:b/>
          <w:bCs/>
          <w:i/>
          <w:iCs/>
          <w:color w:val="555555"/>
          <w:sz w:val="22"/>
          <w:szCs w:val="22"/>
        </w:rPr>
        <w:t xml:space="preserve">(Aprobación del plan) </w:t>
      </w:r>
      <w:r>
        <w:rPr>
          <w:rFonts w:ascii="Arial" w:cs="Arial" w:eastAsia="Arial" w:hAnsi="Arial"/>
          <w:sz w:val="22"/>
          <w:szCs w:val="22"/>
        </w:rPr>
        <w:t xml:space="preserve">Para obtener el grado o título respectivo, el estudiante deberá aprobar la totalidad de las asignaturas del plan de estudios, la práctica profesional cuando corresponda, y la actividad de titulación o graduación definida en el programa.</w:t>
      </w:r>
    </w:p>
    <w:p>
      <w:pPr>
        <w:spacing w:after="80" w:before="200"/>
      </w:pPr>
      <w:r>
        <w:rPr>
          <w:rFonts w:ascii="Arial" w:cs="Arial" w:eastAsia="Arial" w:hAnsi="Arial"/>
          <w:b/>
          <w:bCs/>
          <w:sz w:val="22"/>
          <w:szCs w:val="22"/>
        </w:rPr>
        <w:t xml:space="preserve">Artículo 14°.- </w:t>
      </w:r>
      <w:r>
        <w:rPr>
          <w:rFonts w:ascii="Arial" w:cs="Arial" w:eastAsia="Arial" w:hAnsi="Arial"/>
          <w:b/>
          <w:bCs/>
          <w:i/>
          <w:iCs/>
          <w:color w:val="555555"/>
          <w:sz w:val="22"/>
          <w:szCs w:val="22"/>
        </w:rPr>
        <w:t xml:space="preserve">(Duración máxima) </w:t>
      </w:r>
      <w:r>
        <w:rPr>
          <w:rFonts w:ascii="Arial" w:cs="Arial" w:eastAsia="Arial" w:hAnsi="Arial"/>
          <w:sz w:val="22"/>
          <w:szCs w:val="22"/>
        </w:rPr>
        <w:t xml:space="preserve">Los estudiantes dispondrán de un plazo máximo equivalente al doble de la duración formal del programa para completar su plan de estudios. Excepcionalmente, el Consejo de Facultad podrá autorizar una prórroga fundada.</w:t>
      </w:r>
    </w:p>
    <w:p>
      <w:r>
        <w:br w:type="page"/>
      </w:r>
    </w:p>
    <w:p>
      <w:pPr>
        <w:spacing w:after="200" w:before="300"/>
        <w:jc w:val="center"/>
      </w:pPr>
      <w:r>
        <w:rPr>
          <w:rFonts w:ascii="Arial" w:cs="Arial" w:eastAsia="Arial" w:hAnsi="Arial"/>
          <w:b/>
          <w:bCs/>
          <w:color w:val="003366"/>
          <w:sz w:val="26"/>
          <w:szCs w:val="26"/>
        </w:rPr>
        <w:t xml:space="preserve">TÍTULO 6</w:t>
      </w:r>
    </w:p>
    <w:p>
      <w:pPr>
        <w:spacing w:after="300"/>
        <w:jc w:val="center"/>
      </w:pPr>
      <w:r>
        <w:rPr>
          <w:rFonts w:ascii="Arial" w:cs="Arial" w:eastAsia="Arial" w:hAnsi="Arial"/>
          <w:b/>
          <w:bCs/>
          <w:color w:val="003366"/>
          <w:sz w:val="24"/>
          <w:szCs w:val="24"/>
        </w:rPr>
        <w:t xml:space="preserve">DISPOSICIONES TRANSITORIAS</w:t>
      </w:r>
    </w:p>
    <w:p>
      <w:pPr>
        <w:spacing w:after="80" w:before="200"/>
      </w:pPr>
      <w:r>
        <w:rPr>
          <w:rFonts w:ascii="Arial" w:cs="Arial" w:eastAsia="Arial" w:hAnsi="Arial"/>
          <w:b/>
          <w:bCs/>
          <w:sz w:val="22"/>
          <w:szCs w:val="22"/>
        </w:rPr>
        <w:t xml:space="preserve">Artículo 1 Transitorio.- </w:t>
      </w:r>
      <w:r>
        <w:rPr>
          <w:rFonts w:ascii="Arial" w:cs="Arial" w:eastAsia="Arial" w:hAnsi="Arial"/>
          <w:b/>
          <w:bCs/>
          <w:i/>
          <w:iCs/>
          <w:color w:val="555555"/>
          <w:sz w:val="22"/>
          <w:szCs w:val="22"/>
        </w:rPr>
        <w:t xml:space="preserve">(Primer transitorio) </w:t>
      </w:r>
      <w:r>
        <w:rPr>
          <w:rFonts w:ascii="Arial" w:cs="Arial" w:eastAsia="Arial" w:hAnsi="Arial"/>
          <w:sz w:val="22"/>
          <w:szCs w:val="22"/>
        </w:rPr>
        <w:t xml:space="preserve">Los estudiantes que se encuentren cursando programas a la fecha de entrada en vigencia del presente reglamento podrán optar por regirse por el reglamento anterior o por el presente, dentro del plazo de un semestre.</w:t>
      </w:r>
    </w:p>
    <w:p>
      <w:pPr>
        <w:spacing w:after="80" w:before="200"/>
      </w:pPr>
      <w:r>
        <w:rPr>
          <w:rFonts w:ascii="Arial" w:cs="Arial" w:eastAsia="Arial" w:hAnsi="Arial"/>
          <w:b/>
          <w:bCs/>
          <w:sz w:val="22"/>
          <w:szCs w:val="22"/>
        </w:rPr>
        <w:t xml:space="preserve">Artículo 2 Transitorio.- </w:t>
      </w:r>
      <w:r>
        <w:rPr>
          <w:rFonts w:ascii="Arial" w:cs="Arial" w:eastAsia="Arial" w:hAnsi="Arial"/>
          <w:b/>
          <w:bCs/>
          <w:i/>
          <w:iCs/>
          <w:color w:val="555555"/>
          <w:sz w:val="22"/>
          <w:szCs w:val="22"/>
        </w:rPr>
        <w:t xml:space="preserve">(Segundo transitorio) </w:t>
      </w:r>
      <w:r>
        <w:rPr>
          <w:rFonts w:ascii="Arial" w:cs="Arial" w:eastAsia="Arial" w:hAnsi="Arial"/>
          <w:sz w:val="22"/>
          <w:szCs w:val="22"/>
        </w:rPr>
        <w:t xml:space="preserve">Las adecuaciones a los planes de estudio que sean necesarias para la implementación del sistema SCT-Chile se realizarán dentro de los dos años siguientes a la entrada en vigencia del presente reglamento.</w:t>
      </w:r>
    </w:p>
    <w:p>
      <w:pPr>
        <w:spacing w:before="800"/>
      </w:pPr>
    </w:p>
    <w:p>
      <w:pPr>
        <w:pBdr>
          <w:top w:val="single" w:color="999999" w:sz="1"/>
        </w:pBdr>
        <w:spacing w:after="0"/>
        <w:jc w:val="center"/>
      </w:pPr>
    </w:p>
    <w:p>
      <w:pPr>
        <w:spacing w:after="0" w:before="200"/>
        <w:jc w:val="center"/>
      </w:pPr>
      <w:r>
        <w:rPr>
          <w:rFonts w:ascii="Arial" w:cs="Arial" w:eastAsia="Arial" w:hAnsi="Arial"/>
          <w:b/>
          <w:bCs/>
          <w:sz w:val="20"/>
          <w:szCs w:val="20"/>
        </w:rPr>
        <w:t xml:space="preserve">ANÓTESE, COMUNÍQUESE Y PUBLÍQUESE</w:t>
      </w:r>
    </w:p>
    <w:p>
      <w:pPr>
        <w:spacing w:after="0" w:before="600"/>
        <w:jc w:val="center"/>
      </w:pPr>
      <w:r>
        <w:rPr>
          <w:rFonts w:ascii="Arial" w:cs="Arial" w:eastAsia="Arial" w:hAnsi="Arial"/>
          <w:color w:val="999999"/>
          <w:sz w:val="20"/>
          <w:szCs w:val="20"/>
        </w:rPr>
        <w:t xml:space="preserve">_______________________________</w:t>
      </w:r>
    </w:p>
    <w:p>
      <w:pPr>
        <w:spacing w:after="0"/>
        <w:jc w:val="center"/>
      </w:pPr>
      <w:r>
        <w:rPr>
          <w:rFonts w:ascii="Arial" w:cs="Arial" w:eastAsia="Arial" w:hAnsi="Arial"/>
          <w:b/>
          <w:bCs/>
          <w:sz w:val="20"/>
          <w:szCs w:val="20"/>
        </w:rPr>
        <w:t xml:space="preserve">RECTOR(A)</w:t>
      </w:r>
    </w:p>
    <w:p>
      <w:pPr>
        <w:spacing w:after="0"/>
        <w:jc w:val="center"/>
      </w:pPr>
      <w:r>
        <w:rPr>
          <w:rFonts w:ascii="Arial" w:cs="Arial" w:eastAsia="Arial" w:hAnsi="Arial"/>
          <w:color w:val="666666"/>
          <w:sz w:val="18"/>
          <w:szCs w:val="18"/>
        </w:rPr>
        <w:t xml:space="preserve">Universidad de Magallanes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pBdr>
      <w:jc w:val="center"/>
    </w:pPr>
    <w:r>
      <w:rPr>
        <w:rFonts w:ascii="Arial" w:cs="Arial" w:eastAsia="Arial" w:hAnsi="Arial"/>
        <w:color w:val="999999"/>
        <w:sz w:val="16"/>
        <w:szCs w:val="16"/>
      </w:rPr>
      <w:t xml:space="preserve">BORRADOR — Sujeto a revisión y aprobación — Página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UMAG — Reglamento de Estudios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28"/>
      <w:szCs w:val="28"/>
    </w:rPr>
  </w:style>
  <w:style w:type="paragraph" w:styleId="Heading2">
    <w:name w:val="Heading 2"/>
    <w:basedOn w:val="Normal"/>
    <w:next w:val="Normal"/>
    <w:qFormat/>
    <w:pPr>
      <w:spacing w:after="18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2026-04-04T19:36:27.924Z</dcterms:created>
  <dcterms:modified xsi:type="dcterms:W3CDTF">2026-04-04T19:36:27.924Z</dcterms:modified>
</cp:coreProperties>
</file>

<file path=docProps/custom.xml><?xml version="1.0" encoding="utf-8"?>
<Properties xmlns="http://schemas.openxmlformats.org/officeDocument/2006/custom-properties" xmlns:vt="http://schemas.openxmlformats.org/officeDocument/2006/docPropsVTypes"/>
</file>