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4A60" w:rsidRDefault="00DA6725">
      <w:pPr>
        <w:spacing w:after="40"/>
      </w:pPr>
      <w:r>
        <w:rPr>
          <w:rFonts w:ascii="Calibri" w:eastAsia="Calibri" w:hAnsi="Calibri" w:cs="Calibri"/>
          <w:b/>
          <w:bCs/>
          <w:color w:val="0B2540"/>
          <w:sz w:val="34"/>
          <w:szCs w:val="34"/>
        </w:rPr>
        <w:t>Quarterly Business Review</w:t>
      </w:r>
    </w:p>
    <w:p w:rsidR="00464A60" w:rsidRDefault="00DA6725">
      <w:pPr>
        <w:spacing w:after="40"/>
      </w:pPr>
      <w:proofErr w:type="spellStart"/>
      <w:r>
        <w:rPr>
          <w:rFonts w:ascii="Calibri" w:eastAsia="Calibri" w:hAnsi="Calibri" w:cs="Calibri"/>
          <w:b/>
          <w:bCs/>
          <w:color w:val="0F6E56"/>
          <w:sz w:val="22"/>
          <w:szCs w:val="22"/>
        </w:rPr>
        <w:t>SaaS</w:t>
      </w:r>
      <w:proofErr w:type="spellEnd"/>
      <w:r>
        <w:rPr>
          <w:rFonts w:ascii="Calibri" w:eastAsia="Calibri" w:hAnsi="Calibri" w:cs="Calibri"/>
          <w:b/>
          <w:bCs/>
          <w:color w:val="0F6E56"/>
          <w:sz w:val="22"/>
          <w:szCs w:val="22"/>
        </w:rPr>
        <w:t xml:space="preserve"> Web Application — </w:t>
      </w:r>
      <w:proofErr w:type="spellStart"/>
      <w:r>
        <w:rPr>
          <w:rFonts w:ascii="Calibri" w:eastAsia="Calibri" w:hAnsi="Calibri" w:cs="Calibri"/>
          <w:b/>
          <w:bCs/>
          <w:color w:val="0F6E56"/>
          <w:sz w:val="22"/>
          <w:szCs w:val="22"/>
        </w:rPr>
        <w:t>DigitalOcean</w:t>
      </w:r>
      <w:proofErr w:type="spellEnd"/>
      <w:r>
        <w:rPr>
          <w:rFonts w:ascii="Calibri" w:eastAsia="Calibri" w:hAnsi="Calibri" w:cs="Calibri"/>
          <w:b/>
          <w:bCs/>
          <w:color w:val="0F6E56"/>
          <w:sz w:val="22"/>
          <w:szCs w:val="22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F6E56"/>
          <w:sz w:val="22"/>
          <w:szCs w:val="22"/>
        </w:rPr>
        <w:t>Kubernetes</w:t>
      </w:r>
      <w:proofErr w:type="spellEnd"/>
      <w:r>
        <w:rPr>
          <w:rFonts w:ascii="Calibri" w:eastAsia="Calibri" w:hAnsi="Calibri" w:cs="Calibri"/>
          <w:b/>
          <w:bCs/>
          <w:color w:val="0F6E56"/>
          <w:sz w:val="22"/>
          <w:szCs w:val="22"/>
        </w:rPr>
        <w:t xml:space="preserve"> (DOKS)</w:t>
      </w:r>
    </w:p>
    <w:p w:rsidR="00464A60" w:rsidRDefault="00DA6725">
      <w:pPr>
        <w:spacing w:after="220"/>
      </w:pPr>
      <w:r>
        <w:rPr>
          <w:rFonts w:ascii="Calibri" w:eastAsia="Calibri" w:hAnsi="Calibri" w:cs="Calibri"/>
          <w:i/>
          <w:iCs/>
          <w:color w:val="5B7280"/>
          <w:sz w:val="18"/>
          <w:szCs w:val="18"/>
        </w:rPr>
        <w:t xml:space="preserve">Prepared by: </w:t>
      </w:r>
      <w:proofErr w:type="spellStart"/>
      <w:r>
        <w:rPr>
          <w:rFonts w:ascii="Calibri" w:eastAsia="Calibri" w:hAnsi="Calibri" w:cs="Calibri"/>
          <w:i/>
          <w:iCs/>
          <w:color w:val="5B7280"/>
          <w:sz w:val="18"/>
          <w:szCs w:val="18"/>
        </w:rPr>
        <w:t>DigitalOcean</w:t>
      </w:r>
      <w:proofErr w:type="spellEnd"/>
      <w:r>
        <w:rPr>
          <w:rFonts w:ascii="Calibri" w:eastAsia="Calibri" w:hAnsi="Calibri" w:cs="Calibri"/>
          <w:i/>
          <w:iCs/>
          <w:color w:val="5B7280"/>
          <w:sz w:val="18"/>
          <w:szCs w:val="18"/>
        </w:rPr>
        <w:t xml:space="preserve"> Customer Success Engineering   |   Period: Initial deployment &amp; first review cycle</w:t>
      </w:r>
    </w:p>
    <w:p w:rsidR="00464A60" w:rsidRDefault="00DA6725">
      <w:pPr>
        <w:pStyle w:val="Heading1"/>
        <w:spacing w:before="260" w:after="120"/>
      </w:pPr>
      <w:r>
        <w:t>1. Current infrastructure &amp; performance</w:t>
      </w:r>
    </w:p>
    <w:p w:rsidR="00464A60" w:rsidRDefault="00DA6725">
      <w:pPr>
        <w:spacing w:after="120"/>
      </w:pPr>
      <w:r>
        <w:rPr>
          <w:rFonts w:ascii="Calibri" w:eastAsia="Calibri" w:hAnsi="Calibri" w:cs="Calibri"/>
        </w:rPr>
        <w:t xml:space="preserve">The application runs as a 2-node </w:t>
      </w:r>
      <w:proofErr w:type="spellStart"/>
      <w:proofErr w:type="gramStart"/>
      <w:r>
        <w:rPr>
          <w:rFonts w:ascii="Calibri" w:eastAsia="Calibri" w:hAnsi="Calibri" w:cs="Calibri"/>
        </w:rPr>
        <w:t>DigitalOcean</w:t>
      </w:r>
      <w:proofErr w:type="spellEnd"/>
      <w:r w:rsidR="00F4342F">
        <w:rPr>
          <w:rFonts w:ascii="Calibri" w:eastAsia="Calibri" w:hAnsi="Calibri" w:cs="Calibri"/>
        </w:rPr>
        <w:t>(</w:t>
      </w:r>
      <w:proofErr w:type="gramEnd"/>
      <w:r w:rsidR="00F4342F">
        <w:rPr>
          <w:rFonts w:ascii="Calibri" w:eastAsia="Calibri" w:hAnsi="Calibri" w:cs="Calibri"/>
        </w:rPr>
        <w:t>DO)</w:t>
      </w:r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Kubernetes</w:t>
      </w:r>
      <w:proofErr w:type="spellEnd"/>
      <w:r>
        <w:rPr>
          <w:rFonts w:ascii="Calibri" w:eastAsia="Calibri" w:hAnsi="Calibri" w:cs="Calibri"/>
        </w:rPr>
        <w:t xml:space="preserve"> cluster (2 </w:t>
      </w:r>
      <w:proofErr w:type="spellStart"/>
      <w:r>
        <w:rPr>
          <w:rFonts w:ascii="Calibri" w:eastAsia="Calibri" w:hAnsi="Calibri" w:cs="Calibri"/>
        </w:rPr>
        <w:t>vCPU</w:t>
      </w:r>
      <w:proofErr w:type="spellEnd"/>
      <w:r>
        <w:rPr>
          <w:rFonts w:ascii="Calibri" w:eastAsia="Calibri" w:hAnsi="Calibri" w:cs="Calibri"/>
        </w:rPr>
        <w:t xml:space="preserve"> / 4GB droplets), fronted by a </w:t>
      </w:r>
      <w:proofErr w:type="spellStart"/>
      <w:r>
        <w:rPr>
          <w:rFonts w:ascii="Calibri" w:eastAsia="Calibri" w:hAnsi="Calibri" w:cs="Calibri"/>
        </w:rPr>
        <w:t>DigitalOcean</w:t>
      </w:r>
      <w:proofErr w:type="spellEnd"/>
      <w:r>
        <w:rPr>
          <w:rFonts w:ascii="Calibri" w:eastAsia="Calibri" w:hAnsi="Calibri" w:cs="Calibri"/>
        </w:rPr>
        <w:t xml:space="preserve"> Load Balancer that health-checks pods on a dedicated /</w:t>
      </w:r>
      <w:proofErr w:type="spellStart"/>
      <w:r>
        <w:rPr>
          <w:rFonts w:ascii="Calibri" w:eastAsia="Calibri" w:hAnsi="Calibri" w:cs="Calibri"/>
        </w:rPr>
        <w:t>healthz</w:t>
      </w:r>
      <w:proofErr w:type="spellEnd"/>
      <w:r>
        <w:rPr>
          <w:rFonts w:ascii="Calibri" w:eastAsia="Calibri" w:hAnsi="Calibri" w:cs="Calibri"/>
        </w:rPr>
        <w:t xml:space="preserve"> endpoint before routing traffic. The container image is built and stored in a </w:t>
      </w:r>
      <w:r>
        <w:rPr>
          <w:rFonts w:ascii="Calibri" w:eastAsia="Calibri" w:hAnsi="Calibri" w:cs="Calibri"/>
        </w:rPr>
        <w:t xml:space="preserve">private, same-region </w:t>
      </w:r>
      <w:proofErr w:type="spellStart"/>
      <w:r>
        <w:rPr>
          <w:rFonts w:ascii="Calibri" w:eastAsia="Calibri" w:hAnsi="Calibri" w:cs="Calibri"/>
        </w:rPr>
        <w:t>DigitalOcean</w:t>
      </w:r>
      <w:proofErr w:type="spellEnd"/>
      <w:r>
        <w:rPr>
          <w:rFonts w:ascii="Calibri" w:eastAsia="Calibri" w:hAnsi="Calibri" w:cs="Calibri"/>
        </w:rPr>
        <w:t xml:space="preserve"> Container Registry (DOCR).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Deployment: 2 baseline replicas, </w:t>
      </w:r>
      <w:proofErr w:type="spellStart"/>
      <w:r>
        <w:rPr>
          <w:rFonts w:ascii="Calibri" w:eastAsia="Calibri" w:hAnsi="Calibri" w:cs="Calibri"/>
        </w:rPr>
        <w:t>RollingUpdate</w:t>
      </w:r>
      <w:proofErr w:type="spellEnd"/>
      <w:r>
        <w:rPr>
          <w:rFonts w:ascii="Calibri" w:eastAsia="Calibri" w:hAnsi="Calibri" w:cs="Calibri"/>
        </w:rPr>
        <w:t xml:space="preserve"> strategy with </w:t>
      </w:r>
      <w:proofErr w:type="spellStart"/>
      <w:r>
        <w:rPr>
          <w:rFonts w:ascii="Calibri" w:eastAsia="Calibri" w:hAnsi="Calibri" w:cs="Calibri"/>
        </w:rPr>
        <w:t>maxUnavailable</w:t>
      </w:r>
      <w:proofErr w:type="spellEnd"/>
      <w:r>
        <w:rPr>
          <w:rFonts w:ascii="Calibri" w:eastAsia="Calibri" w:hAnsi="Calibri" w:cs="Calibri"/>
        </w:rPr>
        <w:t>: 0, giving zero-downtime deploys.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</w:rPr>
        <w:t>Autoscaling</w:t>
      </w:r>
      <w:proofErr w:type="spellEnd"/>
      <w:r>
        <w:rPr>
          <w:rFonts w:ascii="Calibri" w:eastAsia="Calibri" w:hAnsi="Calibri" w:cs="Calibri"/>
        </w:rPr>
        <w:t xml:space="preserve">: </w:t>
      </w:r>
      <w:proofErr w:type="spellStart"/>
      <w:r>
        <w:rPr>
          <w:rFonts w:ascii="Calibri" w:eastAsia="Calibri" w:hAnsi="Calibri" w:cs="Calibri"/>
        </w:rPr>
        <w:t>HorizontalPodAutoscaler</w:t>
      </w:r>
      <w:proofErr w:type="spellEnd"/>
      <w:r>
        <w:rPr>
          <w:rFonts w:ascii="Calibri" w:eastAsia="Calibri" w:hAnsi="Calibri" w:cs="Calibri"/>
        </w:rPr>
        <w:t xml:space="preserve"> configured to scale 2→6 replicas at 60% average </w:t>
      </w:r>
      <w:r>
        <w:rPr>
          <w:rFonts w:ascii="Calibri" w:eastAsia="Calibri" w:hAnsi="Calibri" w:cs="Calibri"/>
        </w:rPr>
        <w:t>CPU utilization.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Load balancing: public IP provisioned automatically via the </w:t>
      </w:r>
      <w:proofErr w:type="spellStart"/>
      <w:r>
        <w:rPr>
          <w:rFonts w:ascii="Calibri" w:eastAsia="Calibri" w:hAnsi="Calibri" w:cs="Calibri"/>
        </w:rPr>
        <w:t>Kubernetes</w:t>
      </w:r>
      <w:proofErr w:type="spellEnd"/>
      <w:r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LoadBalancer</w:t>
      </w:r>
      <w:proofErr w:type="spellEnd"/>
      <w:r>
        <w:rPr>
          <w:rFonts w:ascii="Calibri" w:eastAsia="Calibri" w:hAnsi="Calibri" w:cs="Calibri"/>
        </w:rPr>
        <w:t xml:space="preserve"> Service; DO Load Balancer health checks keep traffic off unhealthy pods.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Availability: rolling updates verified with zero dropped requests; a single pod fa</w:t>
      </w:r>
      <w:r>
        <w:rPr>
          <w:rFonts w:ascii="Calibri" w:eastAsia="Calibri" w:hAnsi="Calibri" w:cs="Calibri"/>
        </w:rPr>
        <w:t>ilure does not interrupt service.</w:t>
      </w:r>
    </w:p>
    <w:p w:rsidR="00464A60" w:rsidRDefault="00DA6725">
      <w:pPr>
        <w:spacing w:after="120"/>
      </w:pPr>
      <w:r>
        <w:rPr>
          <w:rFonts w:ascii="Calibri" w:eastAsia="Calibri" w:hAnsi="Calibri" w:cs="Calibri"/>
          <w:i/>
          <w:iCs/>
        </w:rPr>
        <w:t xml:space="preserve">Formal load testing (latency and throughput under sustained CPU load, with a before/after comparison across an </w:t>
      </w:r>
      <w:proofErr w:type="spellStart"/>
      <w:r>
        <w:rPr>
          <w:rFonts w:ascii="Calibri" w:eastAsia="Calibri" w:hAnsi="Calibri" w:cs="Calibri"/>
          <w:i/>
          <w:iCs/>
        </w:rPr>
        <w:t>autoscaling</w:t>
      </w:r>
      <w:proofErr w:type="spellEnd"/>
      <w:r>
        <w:rPr>
          <w:rFonts w:ascii="Calibri" w:eastAsia="Calibri" w:hAnsi="Calibri" w:cs="Calibri"/>
          <w:i/>
          <w:iCs/>
        </w:rPr>
        <w:t xml:space="preserve"> event) is scheduled as the immediate next step — see Recommendations. We do not want to report perf</w:t>
      </w:r>
      <w:r>
        <w:rPr>
          <w:rFonts w:ascii="Calibri" w:eastAsia="Calibri" w:hAnsi="Calibri" w:cs="Calibri"/>
          <w:i/>
          <w:iCs/>
        </w:rPr>
        <w:t>ormance numbers until they're measured from the live environment rather than estimated.</w:t>
      </w:r>
    </w:p>
    <w:p w:rsidR="00464A60" w:rsidRDefault="00DA6725">
      <w:pPr>
        <w:pStyle w:val="Heading1"/>
        <w:spacing w:before="260" w:after="120"/>
      </w:pPr>
      <w:r>
        <w:t>2. Recommendations for scaling &amp; improve resilience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 xml:space="preserve">Enable node-pool (cluster) </w:t>
      </w:r>
      <w:proofErr w:type="spellStart"/>
      <w:r>
        <w:rPr>
          <w:rFonts w:ascii="Calibri" w:eastAsia="Calibri" w:hAnsi="Calibri" w:cs="Calibri"/>
        </w:rPr>
        <w:t>autoscaling</w:t>
      </w:r>
      <w:proofErr w:type="spellEnd"/>
      <w:r>
        <w:rPr>
          <w:rFonts w:ascii="Calibri" w:eastAsia="Calibri" w:hAnsi="Calibri" w:cs="Calibri"/>
        </w:rPr>
        <w:t>, not just pod-level HPA. The node pool is currently fixed at 2 nodes; if the H</w:t>
      </w:r>
      <w:r>
        <w:rPr>
          <w:rFonts w:ascii="Calibri" w:eastAsia="Calibri" w:hAnsi="Calibri" w:cs="Calibri"/>
        </w:rPr>
        <w:t>PA needs to schedule more pods than 2 nodes can hold, pods will sit Pending instead of scaling. Recommend min-nodes=2, max-nodes=4 as a starting range.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Add memory as a second HPA signal alongside CPU, so scaling responds to either bottleneck rather than CP</w:t>
      </w:r>
      <w:r>
        <w:rPr>
          <w:rFonts w:ascii="Calibri" w:eastAsia="Calibri" w:hAnsi="Calibri" w:cs="Calibri"/>
        </w:rPr>
        <w:t>U alone.</w:t>
      </w:r>
    </w:p>
    <w:p w:rsidR="00464A60" w:rsidRDefault="00F4342F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Consider enabling high availability control plane to maximize cluster access and uptime with a 99.95% SLA for $40/month.</w:t>
      </w:r>
    </w:p>
    <w:p w:rsidR="00464A60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Stand up a stag</w:t>
      </w:r>
      <w:bookmarkStart w:id="0" w:name="_GoBack"/>
      <w:bookmarkEnd w:id="0"/>
      <w:r>
        <w:rPr>
          <w:rFonts w:ascii="Calibri" w:eastAsia="Calibri" w:hAnsi="Calibri" w:cs="Calibri"/>
        </w:rPr>
        <w:t>ing namespace before the next release; all testing cu</w:t>
      </w:r>
      <w:r>
        <w:rPr>
          <w:rFonts w:ascii="Calibri" w:eastAsia="Calibri" w:hAnsi="Calibri" w:cs="Calibri"/>
        </w:rPr>
        <w:t>rrently happens against the same cluster serving real traffic.</w:t>
      </w:r>
    </w:p>
    <w:p w:rsidR="00464A60" w:rsidRPr="00DA6725" w:rsidRDefault="00DA6725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</w:rPr>
        <w:t>If the product la</w:t>
      </w:r>
      <w:r>
        <w:rPr>
          <w:rFonts w:ascii="Calibri" w:eastAsia="Calibri" w:hAnsi="Calibri" w:cs="Calibri"/>
        </w:rPr>
        <w:t>ter adds a static frontend or user-uploaded media (images, downloads, JS/CSS bundles), front those with DO Spaces + Spaces CDN rather than serving them from the app pods — offloads origin traffic entirely and directly he</w:t>
      </w:r>
      <w:r w:rsidR="00F4342F">
        <w:rPr>
          <w:rFonts w:ascii="Calibri" w:eastAsia="Calibri" w:hAnsi="Calibri" w:cs="Calibri"/>
        </w:rPr>
        <w:t>lps geographically spread users. It helps with latency, increase reliability and</w:t>
      </w:r>
      <w:r>
        <w:rPr>
          <w:rFonts w:ascii="Calibri" w:eastAsia="Calibri" w:hAnsi="Calibri" w:cs="Calibri"/>
        </w:rPr>
        <w:t xml:space="preserve"> protects against DDOS attack.</w:t>
      </w:r>
    </w:p>
    <w:p w:rsidR="00DA6725" w:rsidRDefault="00DA6725" w:rsidP="00DA6725">
      <w:pPr>
        <w:pStyle w:val="ListParagraph"/>
        <w:spacing w:after="60"/>
        <w:ind w:left="380"/>
      </w:pPr>
    </w:p>
    <w:p w:rsidR="00464A60" w:rsidRDefault="00DA6725">
      <w:pPr>
        <w:pStyle w:val="Heading1"/>
        <w:spacing w:before="260" w:after="120"/>
      </w:pPr>
      <w:r>
        <w:t xml:space="preserve">3. </w:t>
      </w:r>
      <w:r>
        <w:t>Cost snapshot</w:t>
      </w:r>
    </w:p>
    <w:p w:rsidR="00464A60" w:rsidRDefault="00DA6725">
      <w:pPr>
        <w:spacing w:after="120"/>
      </w:pPr>
      <w:r>
        <w:rPr>
          <w:rFonts w:ascii="Calibri" w:eastAsia="Calibri" w:hAnsi="Calibri" w:cs="Calibri"/>
        </w:rPr>
        <w:t>Based on actual account configuration and billing, not estimates.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42"/>
        <w:gridCol w:w="5944"/>
        <w:gridCol w:w="1314"/>
      </w:tblGrid>
      <w:tr w:rsidR="00464A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2540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0B2540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Spec / usage</w:t>
            </w:r>
          </w:p>
        </w:tc>
        <w:tc>
          <w:tcPr>
            <w:tcW w:w="0" w:type="auto"/>
            <w:shd w:val="clear" w:color="auto" w:fill="0B2540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Monthly cost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Container Registry</w:t>
            </w:r>
          </w:p>
        </w:tc>
        <w:tc>
          <w:tcPr>
            <w:tcW w:w="0" w:type="auto"/>
          </w:tcPr>
          <w:p w:rsidR="00464A60" w:rsidRDefault="00DA6725"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saasappregistry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, 55.25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MiB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 used (Starter plan, free ≤ 500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MiB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)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$0.00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DOKS control plane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1 managed cluster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$0.00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Regional Load Balancer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1 node, flat rate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$15.00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Worker nodes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2 × s-1vcpu-2gb @ $12/node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$24.00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142433"/>
                <w:sz w:val="18"/>
                <w:szCs w:val="18"/>
              </w:rPr>
              <w:t>Total baseline</w:t>
            </w:r>
          </w:p>
        </w:tc>
        <w:tc>
          <w:tcPr>
            <w:tcW w:w="0" w:type="auto"/>
          </w:tcPr>
          <w:p w:rsidR="00464A60" w:rsidRDefault="00464A60"/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0F6E56"/>
                <w:sz w:val="18"/>
                <w:szCs w:val="18"/>
              </w:rPr>
              <w:t>$36.00</w:t>
            </w:r>
          </w:p>
        </w:tc>
      </w:tr>
    </w:tbl>
    <w:p w:rsidR="00464A60" w:rsidRDefault="00DA6725">
      <w:pPr>
        <w:spacing w:after="120"/>
      </w:pPr>
      <w:r>
        <w:rPr>
          <w:rFonts w:ascii="Calibri" w:eastAsia="Calibri" w:hAnsi="Calibri" w:cs="Calibri"/>
          <w:i/>
          <w:iCs/>
        </w:rPr>
        <w:t>Bandwidth: inbound traffic is always free; each node carries a bundled outbound allowance, pooled across the account, with flat $0.01/G</w:t>
      </w:r>
      <w:r>
        <w:rPr>
          <w:rFonts w:ascii="Calibri" w:eastAsia="Calibri" w:hAnsi="Calibri" w:cs="Calibri"/>
          <w:i/>
          <w:iCs/>
        </w:rPr>
        <w:t>B overage beyond that — no meaningful egress risk at current traffic levels.</w:t>
      </w:r>
    </w:p>
    <w:p w:rsidR="00464A60" w:rsidRDefault="00DA6725">
      <w:pPr>
        <w:spacing w:after="120"/>
      </w:pPr>
      <w:r>
        <w:rPr>
          <w:rFonts w:ascii="Calibri" w:eastAsia="Calibri" w:hAnsi="Calibri" w:cs="Calibri"/>
          <w:i/>
          <w:iCs/>
        </w:rPr>
        <w:t xml:space="preserve">If node-pool </w:t>
      </w:r>
      <w:proofErr w:type="spellStart"/>
      <w:r>
        <w:rPr>
          <w:rFonts w:ascii="Calibri" w:eastAsia="Calibri" w:hAnsi="Calibri" w:cs="Calibri"/>
          <w:i/>
          <w:iCs/>
        </w:rPr>
        <w:t>autoscaling</w:t>
      </w:r>
      <w:proofErr w:type="spellEnd"/>
      <w:r>
        <w:rPr>
          <w:rFonts w:ascii="Calibri" w:eastAsia="Calibri" w:hAnsi="Calibri" w:cs="Calibri"/>
          <w:i/>
          <w:iCs/>
        </w:rPr>
        <w:t xml:space="preserve"> is enabled per the recommendation above (2→4 nodes), peak sustained cost rises to approximately $63.00/month (4 × $12 nodes + $15 LB) — a ceiling for sust</w:t>
      </w:r>
      <w:r>
        <w:rPr>
          <w:rFonts w:ascii="Calibri" w:eastAsia="Calibri" w:hAnsi="Calibri" w:cs="Calibri"/>
          <w:i/>
          <w:iCs/>
        </w:rPr>
        <w:t>ained peak, not the expected steady-state.</w:t>
      </w:r>
    </w:p>
    <w:p w:rsidR="00464A60" w:rsidRDefault="00DA6725">
      <w:pPr>
        <w:pStyle w:val="Heading1"/>
        <w:spacing w:before="260" w:after="120"/>
      </w:pPr>
      <w:r>
        <w:t>4. Risks to monitor &amp; mitigation strategies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2"/>
        <w:gridCol w:w="3784"/>
        <w:gridCol w:w="3784"/>
      </w:tblGrid>
      <w:tr w:rsidR="00464A6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B2540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Risk</w:t>
            </w:r>
          </w:p>
        </w:tc>
        <w:tc>
          <w:tcPr>
            <w:tcW w:w="0" w:type="auto"/>
            <w:shd w:val="clear" w:color="auto" w:fill="0B2540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0" w:type="auto"/>
            <w:shd w:val="clear" w:color="auto" w:fill="0B2540"/>
          </w:tcPr>
          <w:p w:rsidR="00464A60" w:rsidRDefault="00DA6725"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Mitigation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In-memory / no persistent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datastore</w:t>
            </w:r>
            <w:proofErr w:type="spellEnd"/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Data loss on pod restart; not production-viable as-is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Migrate to DO Managed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Postgres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 before general availability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Fixed 2-node pool (no </w:t>
            </w:r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lastRenderedPageBreak/>
              <w:t xml:space="preserve">node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autoscaling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 yet)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lastRenderedPageBreak/>
              <w:t xml:space="preserve">HPA can request more pods than the pool can </w:t>
            </w:r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lastRenderedPageBreak/>
              <w:t>schedule, leaving pods stuck Pending during real spikes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lastRenderedPageBreak/>
              <w:t xml:space="preserve">Enable node-pool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autoscaling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 (see </w:t>
            </w:r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lastRenderedPageBreak/>
              <w:t>Recommendations)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lastRenderedPageBreak/>
              <w:t>metrics-server is a manual install on DOKS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Not preinstalled like on some platforms; a rebuilt cluster silently loses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autoscaling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 until reinstalled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Document as a required day-0 step in the </w:t>
            </w:r>
            <w:proofErr w:type="spellStart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runbook</w:t>
            </w:r>
            <w:proofErr w:type="spellEnd"/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 xml:space="preserve"> (now captured in the setup guide)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No automated alerting con</w:t>
            </w:r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figured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Team may not notice a degraded state (e.g. HPA pinned at max) until users report it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Wire up DO Monitoring alerts for pod restarts, HPA-at-ceiling, and Load Balancer error rates</w:t>
            </w:r>
          </w:p>
        </w:tc>
      </w:tr>
      <w:tr w:rsidR="00464A60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Single-region deployment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A regional outage takes the app down entirely</w:t>
            </w:r>
          </w:p>
        </w:tc>
        <w:tc>
          <w:tcPr>
            <w:tcW w:w="0" w:type="auto"/>
          </w:tcPr>
          <w:p w:rsidR="00464A60" w:rsidRDefault="00DA6725">
            <w:r>
              <w:rPr>
                <w:rFonts w:ascii="Calibri" w:eastAsia="Calibri" w:hAnsi="Calibri" w:cs="Calibri"/>
                <w:color w:val="142433"/>
                <w:sz w:val="18"/>
                <w:szCs w:val="18"/>
              </w:rPr>
              <w:t>Evaluate multi-region/DR once uptime SLAs are defined with the business</w:t>
            </w:r>
          </w:p>
        </w:tc>
      </w:tr>
    </w:tbl>
    <w:p w:rsidR="00464A60" w:rsidRDefault="00DA6725">
      <w:pPr>
        <w:spacing w:before="200"/>
      </w:pPr>
      <w:r>
        <w:rPr>
          <w:rFonts w:ascii="Calibri" w:eastAsia="Calibri" w:hAnsi="Calibri" w:cs="Calibri"/>
          <w:i/>
          <w:iCs/>
          <w:color w:val="5B7280"/>
          <w:sz w:val="19"/>
          <w:szCs w:val="19"/>
        </w:rPr>
        <w:t xml:space="preserve">Next review: after 30 days of production traffic, to validate </w:t>
      </w:r>
      <w:proofErr w:type="spellStart"/>
      <w:r>
        <w:rPr>
          <w:rFonts w:ascii="Calibri" w:eastAsia="Calibri" w:hAnsi="Calibri" w:cs="Calibri"/>
          <w:i/>
          <w:iCs/>
          <w:color w:val="5B7280"/>
          <w:sz w:val="19"/>
          <w:szCs w:val="19"/>
        </w:rPr>
        <w:t>autoscaling</w:t>
      </w:r>
      <w:proofErr w:type="spellEnd"/>
      <w:r>
        <w:rPr>
          <w:rFonts w:ascii="Calibri" w:eastAsia="Calibri" w:hAnsi="Calibri" w:cs="Calibri"/>
          <w:i/>
          <w:iCs/>
          <w:color w:val="5B7280"/>
          <w:sz w:val="19"/>
          <w:szCs w:val="19"/>
        </w:rPr>
        <w:t xml:space="preserve"> thresholds against real usage and refine the cost model with actual (not estimated) numbers.</w:t>
      </w:r>
    </w:p>
    <w:sectPr w:rsidR="00464A60"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3D06FE"/>
    <w:multiLevelType w:val="hybridMultilevel"/>
    <w:tmpl w:val="D304F570"/>
    <w:lvl w:ilvl="0" w:tplc="53044AFE">
      <w:start w:val="1"/>
      <w:numFmt w:val="bullet"/>
      <w:lvlText w:val="●"/>
      <w:lvlJc w:val="left"/>
      <w:pPr>
        <w:ind w:left="720" w:hanging="360"/>
      </w:pPr>
    </w:lvl>
    <w:lvl w:ilvl="1" w:tplc="535A2D50">
      <w:start w:val="1"/>
      <w:numFmt w:val="bullet"/>
      <w:lvlText w:val="○"/>
      <w:lvlJc w:val="left"/>
      <w:pPr>
        <w:ind w:left="1440" w:hanging="360"/>
      </w:pPr>
    </w:lvl>
    <w:lvl w:ilvl="2" w:tplc="BEB49BFA">
      <w:start w:val="1"/>
      <w:numFmt w:val="bullet"/>
      <w:lvlText w:val="■"/>
      <w:lvlJc w:val="left"/>
      <w:pPr>
        <w:ind w:left="2160" w:hanging="360"/>
      </w:pPr>
    </w:lvl>
    <w:lvl w:ilvl="3" w:tplc="596A8C88">
      <w:start w:val="1"/>
      <w:numFmt w:val="bullet"/>
      <w:lvlText w:val="●"/>
      <w:lvlJc w:val="left"/>
      <w:pPr>
        <w:ind w:left="2880" w:hanging="360"/>
      </w:pPr>
    </w:lvl>
    <w:lvl w:ilvl="4" w:tplc="C4884278">
      <w:start w:val="1"/>
      <w:numFmt w:val="bullet"/>
      <w:lvlText w:val="○"/>
      <w:lvlJc w:val="left"/>
      <w:pPr>
        <w:ind w:left="3600" w:hanging="360"/>
      </w:pPr>
    </w:lvl>
    <w:lvl w:ilvl="5" w:tplc="53265B34">
      <w:start w:val="1"/>
      <w:numFmt w:val="bullet"/>
      <w:lvlText w:val="■"/>
      <w:lvlJc w:val="left"/>
      <w:pPr>
        <w:ind w:left="4320" w:hanging="360"/>
      </w:pPr>
    </w:lvl>
    <w:lvl w:ilvl="6" w:tplc="6F825C14">
      <w:start w:val="1"/>
      <w:numFmt w:val="bullet"/>
      <w:lvlText w:val="●"/>
      <w:lvlJc w:val="left"/>
      <w:pPr>
        <w:ind w:left="5040" w:hanging="360"/>
      </w:pPr>
    </w:lvl>
    <w:lvl w:ilvl="7" w:tplc="EDB49672">
      <w:start w:val="1"/>
      <w:numFmt w:val="bullet"/>
      <w:lvlText w:val="●"/>
      <w:lvlJc w:val="left"/>
      <w:pPr>
        <w:ind w:left="5760" w:hanging="360"/>
      </w:pPr>
    </w:lvl>
    <w:lvl w:ilvl="8" w:tplc="2C04FEA4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4F5C507F"/>
    <w:multiLevelType w:val="hybridMultilevel"/>
    <w:tmpl w:val="CA0CC77E"/>
    <w:lvl w:ilvl="0" w:tplc="EA06997A">
      <w:start w:val="1"/>
      <w:numFmt w:val="bullet"/>
      <w:lvlText w:val="•"/>
      <w:lvlJc w:val="left"/>
      <w:pPr>
        <w:ind w:left="380" w:hanging="240"/>
      </w:pPr>
    </w:lvl>
    <w:lvl w:ilvl="1" w:tplc="71484936">
      <w:numFmt w:val="decimal"/>
      <w:lvlText w:val=""/>
      <w:lvlJc w:val="left"/>
    </w:lvl>
    <w:lvl w:ilvl="2" w:tplc="2B6E9A42">
      <w:numFmt w:val="decimal"/>
      <w:lvlText w:val=""/>
      <w:lvlJc w:val="left"/>
    </w:lvl>
    <w:lvl w:ilvl="3" w:tplc="5BD0D7C4">
      <w:numFmt w:val="decimal"/>
      <w:lvlText w:val=""/>
      <w:lvlJc w:val="left"/>
    </w:lvl>
    <w:lvl w:ilvl="4" w:tplc="12E8AF4E">
      <w:numFmt w:val="decimal"/>
      <w:lvlText w:val=""/>
      <w:lvlJc w:val="left"/>
    </w:lvl>
    <w:lvl w:ilvl="5" w:tplc="CEA4DF2E">
      <w:numFmt w:val="decimal"/>
      <w:lvlText w:val=""/>
      <w:lvlJc w:val="left"/>
    </w:lvl>
    <w:lvl w:ilvl="6" w:tplc="AC12B318">
      <w:numFmt w:val="decimal"/>
      <w:lvlText w:val=""/>
      <w:lvlJc w:val="left"/>
    </w:lvl>
    <w:lvl w:ilvl="7" w:tplc="3B744ADE">
      <w:numFmt w:val="decimal"/>
      <w:lvlText w:val=""/>
      <w:lvlJc w:val="left"/>
    </w:lvl>
    <w:lvl w:ilvl="8" w:tplc="BC243402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464A60"/>
    <w:rsid w:val="00464A60"/>
    <w:rsid w:val="00DA6725"/>
    <w:rsid w:val="00F43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650</Words>
  <Characters>3705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HOME</cp:lastModifiedBy>
  <cp:revision>2</cp:revision>
  <dcterms:created xsi:type="dcterms:W3CDTF">2026-07-19T05:28:00Z</dcterms:created>
  <dcterms:modified xsi:type="dcterms:W3CDTF">2026-07-19T05:45:00Z</dcterms:modified>
</cp:coreProperties>
</file>