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5.png" ContentType="image/png"/>
  <Override PartName="/word/media/rId118.png" ContentType="image/png"/>
  <Override PartName="/word/media/rId196.png" ContentType="image/png"/>
  <Override PartName="/word/media/rId167.png" ContentType="image/png"/>
  <Override PartName="/word/media/rId50.png" ContentType="image/png"/>
  <Override PartName="/word/media/rId84.png" ContentType="image/png"/>
  <Override PartName="/word/media/rId106.png" ContentType="image/png"/>
  <Override PartName="/word/media/rId191.png" ContentType="image/png"/>
  <Override PartName="/word/media/rId127.png" ContentType="image/png"/>
  <Override PartName="/word/media/rId162.png" ContentType="image/png"/>
  <Override PartName="/word/media/rId137.png" ContentType="image/png"/>
  <Override PartName="/word/media/rId71.png" ContentType="image/png"/>
  <Override PartName="/word/media/rId62.png" ContentType="image/png"/>
  <Override PartName="/word/media/rId144.png" ContentType="image/png"/>
  <Override PartName="/word/media/rId42.png" ContentType="image/png"/>
  <Override PartName="/word/media/rId174.png" ContentType="image/png"/>
  <Override PartName="/word/media/rId206.png" ContentType="image/png"/>
  <Override PartName="/word/media/rId9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23"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CE2026AceiteProduccion">
        <w:r>
          <w:rPr>
            <w:rStyle w:val="Hyperlink"/>
            <w:smallCaps/>
          </w:rPr>
          <w:t xml:space="preserve">Comisión Europea</w:t>
        </w:r>
        <w:r>
          <w:rPr>
            <w:rStyle w:val="Hyperlink"/>
          </w:rPr>
          <w:t xml:space="preserve"> </w:t>
        </w:r>
        <w:r>
          <w:rPr>
            <w:rStyle w:val="Hyperlink"/>
          </w:rPr>
          <w:t xml:space="preserve">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CE2026AceitePrecios">
        <w:r>
          <w:rPr>
            <w:rStyle w:val="Hyperlink"/>
            <w:smallCaps/>
          </w:rPr>
          <w:t xml:space="preserve">Comisión Europea</w:t>
        </w:r>
        <w:r>
          <w:rPr>
            <w:rStyle w:val="Hyperlink"/>
          </w:rPr>
          <w:t xml:space="preserve"> </w:t>
        </w:r>
        <w:r>
          <w:rPr>
            <w:rStyle w:val="Hyperlink"/>
          </w:rPr>
          <w:t xml:space="preserve">2026a</w:t>
        </w:r>
      </w:hyperlink>
      <w:r>
        <w:t xml:space="preserve">)</w:t>
      </w:r>
      <w:r>
        <w:t xml:space="preserve">, y en las tiendas el índice de precios de los aceites vegetales bajó un 45 % entre abril de 2024 y septiembre de 2025</w:t>
      </w:r>
      <w:r>
        <w:t xml:space="preserve"> </w:t>
      </w:r>
      <w:r>
        <w:t xml:space="preserve">(</w:t>
      </w:r>
      <w:hyperlink w:anchor="ref-INE2026IPCAceites">
        <w:r>
          <w:rPr>
            <w:rStyle w:val="Hyperlink"/>
            <w:smallCaps/>
          </w:rPr>
          <w:t xml:space="preserve">Instituto Nacional de Estadística</w:t>
        </w:r>
        <w:r>
          <w:rPr>
            <w:rStyle w:val="Hyperlink"/>
          </w:rPr>
          <w:t xml:space="preserve"> </w:t>
        </w:r>
        <w:r>
          <w:rPr>
            <w:rStyle w:val="Hyperlink"/>
          </w:rPr>
          <w:t xml:space="preserve">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r>
        <w:rPr>
          <w:rStyle w:val="Referenciaatema"/>
        </w:rPr>
        <w:t xml:space="preserve">[ver tema 3.A.8]</w:t>
      </w:r>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qué consumir sujetos a su restricción presupuestaria</w:t>
      </w:r>
      <w:r>
        <w:t xml:space="preserve"> </w:t>
      </w:r>
      <w:r>
        <w:rPr>
          <w:rStyle w:val="Referenciaatema"/>
        </w:rPr>
        <w:t xml:space="preserve">[ver tema 3.A.8]</w:t>
      </w:r>
      <w:r>
        <w:t xml:space="preserve">, y los productores transforman factores en productos con la tecnología disponible y al menor coste posible</w:t>
      </w:r>
      <w:r>
        <w:t xml:space="preserve"> </w:t>
      </w:r>
      <w:r>
        <w:rPr>
          <w:rStyle w:val="Referenciaatema"/>
        </w:rPr>
        <w:t xml:space="preserve">[ver tema 3.A.11]</w:t>
      </w:r>
      <w:r>
        <w:t xml:space="preserve"> </w:t>
      </w:r>
      <w:r>
        <w:rPr>
          <w:rStyle w:val="Referenciaatema"/>
        </w:rPr>
        <w:t xml:space="preserve">[ver tema 3.A.12]</w:t>
      </w:r>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2"/>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la pérdida de eficiencia del monopolio o del oligopolio se mide como distancia al equilibrio competitivo. Es también la versión más sencilla del primer teorema fundamental de la economía del bienestar</w:t>
      </w:r>
      <w:r>
        <w:t xml:space="preserve"> </w:t>
      </w:r>
      <w:r>
        <w:rPr>
          <w:rStyle w:val="Referenciaatema"/>
        </w:rPr>
        <w:t xml:space="preserve">[ver tema 3.A.22]</w:t>
      </w:r>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r>
        <w:rPr>
          <w:rStyle w:val="Referenciaatema"/>
        </w:rPr>
        <w:t xml:space="preserve">[ver tema 4.A.15]</w:t>
      </w:r>
      <w:r>
        <w:t xml:space="preserve"> </w:t>
      </w:r>
      <w:r>
        <w:t xml:space="preserve">y el punto de partida para saber quién soporta un impuesto y cuánto bienestar destruye</w:t>
      </w:r>
      <w:r>
        <w:t xml:space="preserve"> </w:t>
      </w:r>
      <w:r>
        <w:rPr>
          <w:rStyle w:val="Referenciaatema"/>
        </w:rPr>
        <w:t xml:space="preserve">[ver tema 4.B.8]</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 </w:t>
      </w:r>
      <w:r>
        <w:rPr>
          <w:rStyle w:val="Referenciaatema"/>
        </w:rPr>
        <w:t xml:space="preserve">[ver tema 3.A.2]</w:t>
      </w:r>
      <w:r>
        <w:t xml:space="preserve">. Las herramientas llegan con los precursores del marginalismo:</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HET2026Jenkin">
        <w:r>
          <w:rPr>
            <w:rStyle w:val="Hyperlink"/>
            <w:smallCaps/>
          </w:rPr>
          <w:t xml:space="preserve">The History of Economic Thought Website</w:t>
        </w:r>
        <w:r>
          <w:rPr>
            <w:rStyle w:val="Hyperlink"/>
          </w:rPr>
          <w:t xml:space="preserve"> </w:t>
        </w:r>
        <w:r>
          <w:rPr>
            <w:rStyle w:val="Hyperlink"/>
          </w:rPr>
          <w:t xml:space="preserve">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estudia todos los mercados a la vez</w:t>
      </w:r>
      <w:r>
        <w:t xml:space="preserve"> </w:t>
      </w:r>
      <w:r>
        <w:rPr>
          <w:rStyle w:val="Referenciaatema"/>
        </w:rPr>
        <w:t xml:space="preserve">[ver tema 3.A.21]</w:t>
      </w:r>
      <w:r>
        <w:t xml:space="preserve">, y Alfred</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r>
        <w:rPr>
          <w:rStyle w:val="Referenciaatema"/>
        </w:rPr>
        <w:t xml:space="preserve">[ver tema 3.A.3]</w:t>
      </w:r>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r>
        <w:rPr>
          <w:rStyle w:val="Referenciaatema"/>
        </w:rPr>
        <w:t xml:space="preserve">[ver tema 3.A.12]</w:t>
      </w:r>
      <w:r>
        <w:t xml:space="preserve">; las dinámicas de ajuste, con el modelo de la telaraña</w:t>
      </w:r>
      <w:r>
        <w:t xml:space="preserve"> </w:t>
      </w:r>
      <w:r>
        <w:t xml:space="preserve">(</w:t>
      </w:r>
      <w:hyperlink w:anchor="ref-Kaldor1934Classificatory">
        <w:r>
          <w:rPr>
            <w:rStyle w:val="Hyperlink"/>
            <w:smallCaps/>
          </w:rPr>
          <w:t xml:space="preserve">Kaldor</w:t>
        </w:r>
        <w:r>
          <w:rPr>
            <w:rStyle w:val="Hyperlink"/>
          </w:rPr>
          <w:t xml:space="preserve"> </w:t>
        </w:r>
        <w:r>
          <w:rPr>
            <w:rStyle w:val="Hyperlink"/>
          </w:rPr>
          <w:t xml:space="preserve">1934</w:t>
        </w:r>
      </w:hyperlink>
      <w:r>
        <w:t xml:space="preserve">;</w:t>
      </w:r>
      <w:r>
        <w:t xml:space="preserve"> </w:t>
      </w:r>
      <w:hyperlink w:anchor="ref-Ezekiel1938Cobweb">
        <w:r>
          <w:rPr>
            <w:rStyle w:val="Hyperlink"/>
            <w:smallCaps/>
          </w:rPr>
          <w:t xml:space="preserve">Ezekiel</w:t>
        </w:r>
        <w:r>
          <w:rPr>
            <w:rStyle w:val="Hyperlink"/>
          </w:rPr>
          <w:t xml:space="preserve"> </w:t>
        </w:r>
        <w:r>
          <w:rPr>
            <w:rStyle w:val="Hyperlink"/>
          </w:rPr>
          <w:t xml:space="preserve">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23"/>
    <w:bookmarkStart w:id="56" w:name="X7381ab0a9d9824c0661231bda6db6ac08494b82"/>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III el número de empresas está fijo.</w:t>
      </w:r>
    </w:p>
    <w:p>
      <w:pPr>
        <w:pStyle w:val="Notaalopositor"/>
      </w:pPr>
      <w:r>
        <w:rPr>
          <w:b/>
          <w:bCs/>
        </w:rPr>
        <w:t xml:space="preserve">Nota al opositor. </w:t>
      </w:r>
      <w:r>
        <w:t xml:space="preserve">En el cante de I (8′30″):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27" w:name="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1).</w:t>
      </w:r>
    </w:p>
    <w:bookmarkStart w:id="24" w:name="tab: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24"/>
    <w:p>
      <w:pPr>
        <w:pStyle w:val="BodyText"/>
        <w:keepNext/>
      </w:pPr>
      <w:r>
        <w:rPr>
          <w:i/>
          <w:iCs/>
        </w:rPr>
        <w:t xml:space="preserve">Fuente: elaboración propia.</w:t>
      </w:r>
    </w:p>
    <w:p>
      <w:pPr>
        <w:numPr>
          <w:ilvl w:val="0"/>
          <w:numId w:val="1010"/>
        </w:numPr>
      </w:pPr>
      <w:r>
        <w:t xml:space="preserve">Con información perfecta y producto homogéneo (supuestos 2 y 3) hay un solo precio: nadie pagaría más por un producto idéntico que se vende más barato.</w:t>
      </w:r>
      <w:r>
        <w:rPr>
          <w:rStyle w:val="FootnoteReference"/>
        </w:rPr>
        <w:footnoteReference w:id="25"/>
      </w:r>
      <w:r>
        <w:t xml:space="preserve"> </w:t>
      </w:r>
      <w:r>
        <w:t xml:space="preserve">La libre entrada (supuesto 5) solo actúa a largo plazo: hasta el bloque III el número de empresas está fijo.</w:t>
      </w:r>
    </w:p>
    <w:p>
      <w:pPr>
        <w:pStyle w:val="Notaalopositor"/>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26"/>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r>
        <w:rPr>
          <w:rStyle w:val="Referenciaatema"/>
        </w:rPr>
        <w:t xml:space="preserve">[ver tema 3.A.21]</w:t>
      </w:r>
      <w:r>
        <w:t xml:space="preserve">. Los 2 enfoques no se oponen: con utilidad cuasilineal, el equilibrio general de esta economía con numerario coincide con el equilibrio parcial del mercado del bien (anexo D).</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r>
        <w:rPr>
          <w:rStyle w:val="Referenciaatema"/>
        </w:rPr>
        <w:t xml:space="preserve">[ver tema 3.A.21]</w:t>
      </w:r>
      <w:r>
        <w:t xml:space="preserve">. Conviene decirlo en el cante para que el equilibrio parcial no parezca un equilibrio general con un solo mercado.</w:t>
      </w:r>
    </w:p>
    <w:bookmarkEnd w:id="27"/>
    <w:bookmarkStart w:id="55" w:name="modelo"/>
    <w:p>
      <w:pPr>
        <w:pStyle w:val="Heading2"/>
      </w:pPr>
      <w:r>
        <w:t xml:space="preserve">I.2.</w:t>
      </w:r>
      <w:r>
        <w:t xml:space="preserve"> </w:t>
      </w:r>
      <w:r>
        <w:t xml:space="preserve">Modelo</w:t>
      </w:r>
    </w:p>
    <w:bookmarkStart w:id="29" w:name="i-supuestos"/>
    <w:p>
      <w:pPr>
        <w:pStyle w:val="Heading4"/>
      </w:pPr>
      <w:r>
        <w:t xml:space="preserve">i) Supuestos</w:t>
      </w:r>
    </w:p>
    <w:p>
      <w:pPr>
        <w:pStyle w:val="FirstParagraph"/>
        <w:keepNext/>
      </w:pPr>
      <w:r>
        <w:t xml:space="preserve">Una vez justificado el enfoque, describimos la economía. Los 5 supuestos de I.1 (tabla 1)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4"/>
        </w:numPr>
      </w:pPr>
      <w:r>
        <w:rPr>
          <w:b/>
          <w:bCs/>
        </w:rPr>
        <w:t xml:space="preserve">Agentes precio-aceptantes</w:t>
      </w:r>
      <w:r>
        <w:t xml:space="preserve"> </w:t>
      </w:r>
      <w:r>
        <w:t xml:space="preserve">(supuesto 4), que optimizan (supuesto 1):</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28"/>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I y II no hay entrada ni salida y no hay costes hundidos. Es el largo plazo sin libre entrada; el corto plazo y la libre entrada, el supuesto 5, se estudian en el bloque III. Por eso la oferta de mercado de I y II no es perfectamente elástica.</w:t>
      </w:r>
    </w:p>
    <w:bookmarkEnd w:id="29"/>
    <w:bookmarkStart w:id="48" w:name="ii-desarrollo"/>
    <w:p>
      <w:pPr>
        <w:pStyle w:val="Heading4"/>
      </w:pPr>
      <w:r>
        <w:t xml:space="preserve">ii) Desarrollo</w:t>
      </w:r>
    </w:p>
    <w:p>
      <w:pPr>
        <w:pStyle w:val="FirstParagraph"/>
      </w:pPr>
      <w:r>
        <w:t xml:space="preserve">Fijados los supuestos, obtenemos el comportamiento de cada lado del mercado: primero la demanda y después la oferta.</w:t>
      </w:r>
    </w:p>
    <w:bookmarkStart w:id="39" w:name="X9fc0444852c2964da4c7f3b2b66f4564265650e"/>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r>
        <w:rPr>
          <w:rStyle w:val="Referenciaatema"/>
        </w:rPr>
        <w:t xml:space="preserve">[ver tema 3.A.8]</w:t>
      </w:r>
      <w:r>
        <w:t xml:space="preserve">,</w:t>
      </w:r>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30"/>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31"/>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32"/>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r>
        <w:rPr>
          <w:rStyle w:val="Referenciaatema"/>
        </w:rPr>
        <w:t xml:space="preserve">[ver tema 3.A.8]</w:t>
      </w:r>
      <w:r>
        <w:t xml:space="preserve">. Sin efecto renta, coincide con la hicksiana</w:t>
      </w:r>
      <w:r>
        <w:t xml:space="preserve"> </w:t>
      </w:r>
      <w:r>
        <w:rPr>
          <w:rStyle w:val="Referenciaatema"/>
        </w:rPr>
        <w:t xml:space="preserve">[ver tema 3.A.9]</w:t>
      </w:r>
      <w:r>
        <w:t xml:space="preserve">.</w:t>
      </w:r>
      <w:r>
        <w:rPr>
          <w:rStyle w:val="FootnoteReference"/>
        </w:rPr>
        <w:footnoteReference w:id="33"/>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1): a cada precio se suman las cantidades que compra cada consumidor,</w:t>
      </w:r>
      <w:r>
        <w:rPr>
          <w:rStyle w:val="FootnoteReference"/>
        </w:rPr>
        <w:footnoteReference w:id="34"/>
      </w:r>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38" w:name="fig:agregacion-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 title="" id="36" name="Picture"/>
            <a:graphic>
              <a:graphicData uri="http://schemas.openxmlformats.org/drawingml/2006/picture">
                <pic:pic>
                  <pic:nvPicPr>
                    <pic:cNvPr descr="C:\Users\vgutierrez\Documents\src\victorgutierrezmarcos.github.io-revision\oposicion\temario\fuentes\3A16\graficos/agregacion-demanda.png" id="37" name="Picture"/>
                    <pic:cNvPicPr>
                      <a:picLocks noChangeArrowheads="1" noChangeAspect="1"/>
                    </pic:cNvPicPr>
                  </pic:nvPicPr>
                  <pic:blipFill>
                    <a:blip r:embed="rId35"/>
                    <a:stretch>
                      <a:fillRect/>
                    </a:stretch>
                  </pic:blipFill>
                  <pic:spPr bwMode="auto">
                    <a:xfrm>
                      <a:off x="0" y="0"/>
                      <a:ext cx="5073650" cy="1713792"/>
                    </a:xfrm>
                    <a:prstGeom prst="rect">
                      <a:avLst/>
                    </a:prstGeom>
                    <a:noFill/>
                    <a:ln w="9525">
                      <a:noFill/>
                      <a:headEnd/>
                      <a:tailEnd/>
                    </a:ln>
                  </pic:spPr>
                </pic:pic>
              </a:graphicData>
            </a:graphic>
          </wp:inline>
        </w:drawing>
      </w:r>
    </w:p>
    <w:bookmarkEnd w:id="3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39"/>
    <w:bookmarkStart w:id="47" w:name="X263f96a3e288f3f6d8f4ddc285f5a100a9a10d2"/>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r>
        <w:rPr>
          <w:rStyle w:val="Referenciaatema"/>
        </w:rPr>
        <w:t xml:space="preserve">[ver tema 3.A.11]</w:t>
      </w:r>
      <w:r>
        <w:t xml:space="preserve">. Elige su producción en</w:t>
      </w:r>
      <w:r>
        <w:t xml:space="preserve"> </w:t>
      </w:r>
      <w:r>
        <w:rPr>
          <w:b/>
          <w:bCs/>
        </w:rPr>
        <w:t xml:space="preserve">2 etapas</w:t>
      </w:r>
      <w:r>
        <w:t xml:space="preserve"> </w:t>
      </w:r>
      <w:r>
        <w:rPr>
          <w:rStyle w:val="Referenciaatema"/>
        </w:rPr>
        <w:t xml:space="preserve">[ver tema 3.A.12]</w:t>
      </w:r>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40"/>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41"/>
      </w:r>
    </w:p>
    <w:p>
      <w:pPr>
        <w:numPr>
          <w:ilvl w:val="0"/>
          <w:numId w:val="1018"/>
        </w:numPr>
      </w:pPr>
      <w:r>
        <w:rPr>
          <w:i/>
          <w:iCs/>
        </w:rPr>
        <w:t xml:space="preserve">Problema</w:t>
      </w:r>
      <w:r>
        <w:t xml:space="preserve">: dado el precio, la empresa elige la producción que maximiza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r>
        <w:rPr>
          <w:rStyle w:val="Referenciaatema"/>
        </w:rPr>
        <w:t xml:space="preserve">[ver tema 3.A.17]</w:t>
      </w:r>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 I y II,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 III.1).</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2). Este salto es el que pone en riesgo la existencia del equilibrio (II.1.1) y el que fija el tamaño de las empresas con libre entrada (III.3). Los casos según la forma de los costes están en el anexo B.</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45" w:name="fig:oferta-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 title="" id="43" name="Picture"/>
            <a:graphic>
              <a:graphicData uri="http://schemas.openxmlformats.org/drawingml/2006/picture">
                <pic:pic>
                  <pic:nvPicPr>
                    <pic:cNvPr descr="C:\Users\vgutierrez\Documents\src\victorgutierrezmarcos.github.io-revision\oposicion\temario\fuentes\3A16\graficos/oferta-empresa.png" id="44" name="Picture"/>
                    <pic:cNvPicPr>
                      <a:picLocks noChangeArrowheads="1" noChangeAspect="1"/>
                    </pic:cNvPicPr>
                  </pic:nvPicPr>
                  <pic:blipFill>
                    <a:blip r:embed="rId42"/>
                    <a:stretch>
                      <a:fillRect/>
                    </a:stretch>
                  </pic:blipFill>
                  <pic:spPr bwMode="auto">
                    <a:xfrm>
                      <a:off x="0" y="0"/>
                      <a:ext cx="3282950" cy="2410267"/>
                    </a:xfrm>
                    <a:prstGeom prst="rect">
                      <a:avLst/>
                    </a:prstGeom>
                    <a:noFill/>
                    <a:ln w="9525">
                      <a:noFill/>
                      <a:headEnd/>
                      <a:tailEnd/>
                    </a:ln>
                  </pic:spPr>
                </pic:pic>
              </a:graphicData>
            </a:graphic>
          </wp:inline>
        </w:drawing>
      </w:r>
    </w:p>
    <w:bookmarkEnd w:id="4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3, izquierda),</w:t>
      </w:r>
      <w:r>
        <w:rPr>
          <w:rStyle w:val="FootnoteReference"/>
        </w:rPr>
        <w:footnoteReference w:id="46"/>
      </w:r>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47"/>
    <w:bookmarkEnd w:id="48"/>
    <w:bookmarkStart w:id="54" w:name="X77dcd809b4c944edf6d3939720790bc5087a316"/>
    <w:p>
      <w:pPr>
        <w:pStyle w:val="Heading4"/>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49"/>
      </w:r>
    </w:p>
    <w:p>
      <w:pPr>
        <w:numPr>
          <w:ilvl w:val="0"/>
          <w:numId w:val="1021"/>
        </w:numPr>
      </w:pPr>
      <w:r>
        <w:rPr>
          <w:i/>
          <w:iCs/>
        </w:rPr>
        <w:t xml:space="preserve">Interpretación gráfica</w:t>
      </w:r>
      <w:r>
        <w:t xml:space="preserve">: el equilibrio es el corte de la demanda y la oferta de mercado (gráfico 3,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(II.2).</w:t>
      </w:r>
    </w:p>
    <w:bookmarkStart w:id="53" w:name="fig: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 title="" id="51" name="Picture"/>
            <a:graphic>
              <a:graphicData uri="http://schemas.openxmlformats.org/drawingml/2006/picture">
                <pic:pic>
                  <pic:nvPicPr>
                    <pic:cNvPr descr="C:\Users\vgutierrez\Documents\src\victorgutierrezmarcos.github.io-revision\oposicion\temario\fuentes\3A16\graficos/equilibrio.png" id="52" name="Picture"/>
                    <pic:cNvPicPr>
                      <a:picLocks noChangeArrowheads="1" noChangeAspect="1"/>
                    </pic:cNvPicPr>
                  </pic:nvPicPr>
                  <pic:blipFill>
                    <a:blip r:embed="rId50"/>
                    <a:stretch>
                      <a:fillRect/>
                    </a:stretch>
                  </pic:blipFill>
                  <pic:spPr bwMode="auto">
                    <a:xfrm>
                      <a:off x="0" y="0"/>
                      <a:ext cx="4825830" cy="1929720"/>
                    </a:xfrm>
                    <a:prstGeom prst="rect">
                      <a:avLst/>
                    </a:prstGeom>
                    <a:noFill/>
                    <a:ln w="9525">
                      <a:noFill/>
                      <a:headEnd/>
                      <a:tailEnd/>
                    </a:ln>
                  </pic:spPr>
                </pic:pic>
              </a:graphicData>
            </a:graphic>
          </wp:inline>
        </w:drawing>
      </w:r>
    </w:p>
    <w:bookmarkEnd w:id="5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54"/>
    <w:bookmarkEnd w:id="55"/>
    <w:bookmarkEnd w:id="56"/>
    <w:bookmarkStart w:id="135" w:name="X37e5b3a08ef21cf40eefaa0bbf103ad8c5a4f89"/>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 II (12′):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02" w:name="análisis-positivo-del-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67" w:name="existencia"/>
    <w:p>
      <w:pPr>
        <w:pStyle w:val="Heading3"/>
      </w:pPr>
      <w:r>
        <w:t xml:space="preserve">II.1.1.</w:t>
      </w:r>
      <w:r>
        <w:t xml:space="preserve"> </w:t>
      </w:r>
      <w:r>
        <w:t xml:space="preserve">Existencia</w:t>
      </w:r>
    </w:p>
    <w:bookmarkStart w:id="57" w:name="a-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57"/>
    <w:bookmarkStart w:id="61" w:name="b-modelo"/>
    <w:p>
      <w:pPr>
        <w:pStyle w:val="Heading4"/>
      </w:pPr>
      <w:r>
        <w:t xml:space="preserve">b) Modelo</w:t>
      </w:r>
    </w:p>
    <w:bookmarkStart w:id="58" w:name="i-supuestos-1"/>
    <w:p>
      <w:pPr>
        <w:pStyle w:val="Heading5"/>
      </w:pPr>
      <w:r>
        <w:t xml:space="preserve">i) Supuestos</w:t>
      </w:r>
    </w:p>
    <w:p>
      <w:pPr>
        <w:numPr>
          <w:ilvl w:val="0"/>
          <w:numId w:val="1029"/>
        </w:numPr>
      </w:pPr>
      <w:r>
        <w:t xml:space="preserve">Los de I.2:</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58"/>
    <w:bookmarkStart w:id="59" w:name="ii-desarrollo-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Bolzano1817Beweis">
        <w:r>
          <w:rPr>
            <w:rStyle w:val="Hyperlink"/>
            <w:smallCaps/>
          </w:rPr>
          <w:t xml:space="preserve">Bolzano</w:t>
        </w:r>
        <w:r>
          <w:rPr>
            <w:rStyle w:val="Hyperlink"/>
          </w:rPr>
          <w:t xml:space="preserve"> </w:t>
        </w:r>
        <w:r>
          <w:rPr>
            <w:rStyle w:val="Hyperlink"/>
          </w:rPr>
          <w:t xml:space="preserve">1817</w:t>
        </w:r>
      </w:hyperlink>
      <w:r>
        <w:t xml:space="preserve">;</w:t>
      </w:r>
      <w:r>
        <w:t xml:space="preserve"> </w:t>
      </w:r>
      <w:hyperlink w:anchor="ref-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r>
        <w:rPr>
          <w:rStyle w:val="Referenciaatema"/>
        </w:rPr>
        <w:t xml:space="preserve">[ver tema 3.A.21]</w:t>
      </w:r>
      <w:r>
        <w:t xml:space="preserve">.</w:t>
      </w:r>
    </w:p>
    <w:bookmarkEnd w:id="59"/>
    <w:bookmarkStart w:id="60" w:name="iii-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(II.1.2).</w:t>
      </w:r>
    </w:p>
    <w:bookmarkEnd w:id="60"/>
    <w:bookmarkEnd w:id="61"/>
    <w:bookmarkStart w:id="66" w:name="c-valoració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(I.2). Con una sola empresa, si a ese precio la demanda es menor que</w:t>
      </w:r>
      <w:r>
        <w:t xml:space="preserve"> </w:t>
      </w:r>
      <m:oMath>
        <m:bar>
          <m:barPr>
            <m:pos m:val="top"/>
          </m:barPr>
          <m:e>
            <m:r>
              <m:t>q</m:t>
            </m:r>
          </m:e>
        </m:bar>
      </m:oMath>
      <w:r>
        <w:t xml:space="preserve">, oferta y demanda no se cortan: no hay equilibrio competitivo (gráfico 4).</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r>
        <w:rPr>
          <w:rStyle w:val="Referenciaatema"/>
        </w:rPr>
        <w:t xml:space="preserve">[ver tema 3.A.17]</w:t>
      </w:r>
      <w:r>
        <w:t xml:space="preserve"> </w:t>
      </w:r>
      <w:r>
        <w:rPr>
          <w:rStyle w:val="Referenciaatema"/>
        </w:rPr>
        <w:t xml:space="preserve">[ver tema 3.A.20]</w:t>
      </w:r>
      <w:r>
        <w:t xml:space="preserve">.</w:t>
      </w:r>
    </w:p>
    <w:bookmarkStart w:id="65" w:name="fig:no-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 title="" id="63" name="Picture"/>
            <a:graphic>
              <a:graphicData uri="http://schemas.openxmlformats.org/drawingml/2006/picture">
                <pic:pic>
                  <pic:nvPicPr>
                    <pic:cNvPr descr="C:\Users\vgutierrez\Documents\src\victorgutierrezmarcos.github.io-revision\oposicion\temario\fuentes\3A16\graficos/no-convexidad.png" id="64" name="Picture"/>
                    <pic:cNvPicPr>
                      <a:picLocks noChangeArrowheads="1" noChangeAspect="1"/>
                    </pic:cNvPicPr>
                  </pic:nvPicPr>
                  <pic:blipFill>
                    <a:blip r:embed="rId62"/>
                    <a:stretch>
                      <a:fillRect/>
                    </a:stretch>
                  </pic:blipFill>
                  <pic:spPr bwMode="auto">
                    <a:xfrm>
                      <a:off x="0" y="0"/>
                      <a:ext cx="2431264" cy="2419031"/>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 </w:t>
      </w:r>
      <w:r>
        <w:t xml:space="preserve">y § 10.F)</w:t>
      </w:r>
      <w:r>
        <w:t xml:space="preserve">.</w:t>
      </w:r>
    </w:p>
    <w:bookmarkEnd w:id="66"/>
    <w:bookmarkEnd w:id="67"/>
    <w:bookmarkStart w:id="78" w:name="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68" w:name="a-idea-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68"/>
    <w:bookmarkStart w:id="76" w:name="b-modelo-1"/>
    <w:p>
      <w:pPr>
        <w:pStyle w:val="Heading4"/>
      </w:pPr>
      <w:r>
        <w:t xml:space="preserve">b) Modelo</w:t>
      </w:r>
    </w:p>
    <w:bookmarkStart w:id="69" w:name="i-supuestos-2"/>
    <w:p>
      <w:pPr>
        <w:pStyle w:val="Heading5"/>
      </w:pPr>
      <w:r>
        <w:t xml:space="preserve">i) Supuestos</w:t>
      </w:r>
    </w:p>
    <w:p>
      <w:pPr>
        <w:numPr>
          <w:ilvl w:val="0"/>
          <w:numId w:val="1035"/>
        </w:numPr>
      </w:pPr>
      <w:r>
        <w:t xml:space="preserve">Los de la existencia: demanda estrictamente decreciente y oferta no decreciente.</w:t>
      </w:r>
    </w:p>
    <w:bookmarkEnd w:id="69"/>
    <w:bookmarkStart w:id="70" w:name="ii-desarrollo-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bookmarkEnd w:id="70"/>
    <w:bookmarkStart w:id="75" w:name="iii-implicaciones-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5).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(III.3);</w:t>
      </w:r>
    </w:p>
    <w:p>
      <w:pPr>
        <w:numPr>
          <w:ilvl w:val="1"/>
          <w:numId w:val="1038"/>
        </w:numPr>
      </w:pPr>
      <w:r>
        <w:rPr>
          <w:i/>
          <w:iCs/>
        </w:rPr>
        <w:t xml:space="preserve">pendientes anómalas</w:t>
      </w:r>
      <w:r>
        <w:t xml:space="preserve">: si la oferta de la industria es decreciente (economías externas, III.3) o la demanda creciente (un bien</w:t>
      </w:r>
      <w:r>
        <w:t xml:space="preserve"> </w:t>
      </w:r>
      <w:r>
        <w:rPr>
          <w:smallCaps/>
        </w:rPr>
        <w:t xml:space="preserve">Giffen</w:t>
      </w:r>
      <w:r>
        <w:t xml:space="preserve">, imposible con utilidad cuasilineal), las curvas pueden cortarse varias veces y hay varios equilibrios, unos estables y otros no (II.1.3).</w:t>
      </w:r>
    </w:p>
    <w:bookmarkStart w:id="74" w:name="fig: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 title="" id="72" name="Picture"/>
            <a:graphic>
              <a:graphicData uri="http://schemas.openxmlformats.org/drawingml/2006/picture">
                <pic:pic>
                  <pic:nvPicPr>
                    <pic:cNvPr descr="C:\Users\vgutierrez\Documents\src\victorgutierrezmarcos.github.io-revision\oposicion\temario\fuentes\3A16\graficos/multiplicidad.png" id="73" name="Picture"/>
                    <pic:cNvPicPr>
                      <a:picLocks noChangeArrowheads="1" noChangeAspect="1"/>
                    </pic:cNvPicPr>
                  </pic:nvPicPr>
                  <pic:blipFill>
                    <a:blip r:embed="rId71"/>
                    <a:stretch>
                      <a:fillRect/>
                    </a:stretch>
                  </pic:blipFill>
                  <pic:spPr bwMode="auto">
                    <a:xfrm>
                      <a:off x="0" y="0"/>
                      <a:ext cx="2686050" cy="2142864"/>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75"/>
    <w:bookmarkEnd w:id="76"/>
    <w:bookmarkStart w:id="77" w:name="c-valoración-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77"/>
    <w:bookmarkEnd w:id="78"/>
    <w:bookmarkStart w:id="101" w:name="estabilidad-dinámicas-de-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79" w:name="a-idea-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(II.3);</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r>
        <w:rPr>
          <w:rStyle w:val="Referenciaatema"/>
        </w:rPr>
        <w:t xml:space="preserve">[ver tema 3.B.38]</w:t>
      </w:r>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79"/>
    <w:bookmarkStart w:id="89" w:name="b-modelo-2"/>
    <w:p>
      <w:pPr>
        <w:pStyle w:val="Heading4"/>
      </w:pPr>
      <w:r>
        <w:t xml:space="preserve">b) Modelo</w:t>
      </w:r>
    </w:p>
    <w:bookmarkStart w:id="81" w:name="i-supuestos-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 I.2 (o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80"/>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III, § 6)</w:t>
      </w:r>
      <w:r>
        <w:t xml:space="preserve">: cuando el precio de demanda supera al de oferta, la cantidad producida tiende a aumentar.</w:t>
      </w:r>
    </w:p>
    <w:bookmarkEnd w:id="81"/>
    <w:bookmarkStart w:id="82" w:name="ii-desarrollo-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82"/>
    <w:bookmarkStart w:id="88" w:name="iii-implicaciones-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2 y primer panel del gráfico 6). Es el caso del modelo de I.2.</w:t>
      </w:r>
    </w:p>
    <w:p>
      <w:pPr>
        <w:keepNext/>
        <w:numPr>
          <w:ilvl w:val="0"/>
          <w:numId w:val="1046"/>
        </w:numPr>
      </w:pPr>
      <w:r>
        <w:rPr>
          <w:i/>
          <w:iCs/>
        </w:rPr>
        <w:t xml:space="preserve">Cuándo difieren</w:t>
      </w:r>
      <w:r>
        <w:t xml:space="preserve">: si las 2 curvas tienen pendiente negativa, lo que ocurre con una oferta de la industria con economías externas (III.3)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83" w:name="tab:estabilidad-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83"/>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87" w:name="fig:estabilidad-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85" name="Picture"/>
            <a:graphic>
              <a:graphicData uri="http://schemas.openxmlformats.org/drawingml/2006/picture">
                <pic:pic>
                  <pic:nvPicPr>
                    <pic:cNvPr descr="C:\Users\vgutierrez\Documents\src\victorgutierrezmarcos.github.io-revision\oposicion\temario\fuentes\3A16\graficos/estabilidad-parcial.png" id="86" name="Picture"/>
                    <pic:cNvPicPr>
                      <a:picLocks noChangeArrowheads="1" noChangeAspect="1"/>
                    </pic:cNvPicPr>
                  </pic:nvPicPr>
                  <pic:blipFill>
                    <a:blip r:embed="rId84"/>
                    <a:stretch>
                      <a:fillRect/>
                    </a:stretch>
                  </pic:blipFill>
                  <pic:spPr bwMode="auto">
                    <a:xfrm>
                      <a:off x="0" y="0"/>
                      <a:ext cx="5969000" cy="2438127"/>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88"/>
    <w:bookmarkEnd w:id="89"/>
    <w:bookmarkStart w:id="98" w:name="c-extensiones-el-modelo-de-la-telarañ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 </w:t>
      </w:r>
      <w:r>
        <w:t xml:space="preserve">sistematizó.</w:t>
      </w:r>
    </w:p>
    <w:bookmarkStart w:id="91" w:name="i-supuestos-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90"/>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91"/>
    <w:bookmarkStart w:id="96" w:name="ii-desarrollo-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7).</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95" w:name="fig: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 title="" id="93" name="Picture"/>
            <a:graphic>
              <a:graphicData uri="http://schemas.openxmlformats.org/drawingml/2006/picture">
                <pic:pic>
                  <pic:nvPicPr>
                    <pic:cNvPr descr="C:\Users\vgutierrez\Documents\src\victorgutierrezmarcos.github.io-revision\oposicion\temario\fuentes\3A16\graficos/telarana.png" id="94" name="Picture"/>
                    <pic:cNvPicPr>
                      <a:picLocks noChangeArrowheads="1" noChangeAspect="1"/>
                    </pic:cNvPicPr>
                  </pic:nvPicPr>
                  <pic:blipFill>
                    <a:blip r:embed="rId92"/>
                    <a:stretch>
                      <a:fillRect/>
                    </a:stretch>
                  </pic:blipFill>
                  <pic:spPr bwMode="auto">
                    <a:xfrm>
                      <a:off x="0" y="0"/>
                      <a:ext cx="5969000" cy="2450246"/>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w:t>
      </w:r>
    </w:p>
    <w:bookmarkEnd w:id="96"/>
    <w:bookmarkStart w:id="97" w:name="iii-implicaciones-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97"/>
    <w:bookmarkEnd w:id="98"/>
    <w:bookmarkStart w:id="99" w:name="d-evidencia-empí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99"/>
    <w:bookmarkStart w:id="100" w:name="e-valoració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w:t>
        </w:r>
        <w:r>
          <w:rPr>
            <w:rStyle w:val="Hyperlink"/>
          </w:rPr>
          <w:t xml:space="preserve">2021</w:t>
        </w:r>
      </w:hyperlink>
      <w:r>
        <w:t xml:space="preserve">)</w:t>
      </w:r>
      <w:r>
        <w:t xml:space="preserve"> </w:t>
      </w:r>
      <w:r>
        <w:rPr>
          <w:rStyle w:val="Referenciaatema"/>
        </w:rPr>
        <w:t xml:space="preserve">[ver tema 3.A.6]</w:t>
      </w:r>
      <w:r>
        <w:t xml:space="preserve">. Con expectativas adaptativas</w:t>
      </w:r>
      <w:r>
        <w:t xml:space="preserve"> </w:t>
      </w:r>
      <w:r>
        <w:t xml:space="preserve">(</w:t>
      </w:r>
      <w:hyperlink w:anchor="ref-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solo una parte de su error y el ajuste se amortigua más</w:t>
      </w:r>
      <w:r>
        <w:t xml:space="preserve"> </w:t>
      </w:r>
      <w:r>
        <w:rPr>
          <w:rStyle w:val="Referenciaatema"/>
        </w:rPr>
        <w:t xml:space="preserve">[ver tema 3.A.5]</w:t>
      </w:r>
      <w:r>
        <w:t xml:space="preserve">. Las 2 versiones, y el ciclo límite que aparece con curvas no lineales, están en el anexo 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00"/>
    <w:bookmarkEnd w:id="101"/>
    <w:bookmarkEnd w:id="102"/>
    <w:bookmarkStart w:id="116" w:name="X5e3613a03088544993b6a5e7f20184a746717c4"/>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r>
        <w:rPr>
          <w:rStyle w:val="Referenciaatema"/>
        </w:rPr>
        <w:t xml:space="preserve">[ver tema 3.A.22]</w:t>
      </w:r>
      <w:r>
        <w:t xml:space="preserve">.</w:t>
      </w:r>
    </w:p>
    <w:bookmarkStart w:id="110" w:name="optimalidad-de-pareto-los-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r>
        <w:rPr>
          <w:rStyle w:val="Referenciaatema"/>
        </w:rPr>
        <w:t xml:space="preserve">[ver tema 3.A.24]</w:t>
      </w:r>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8):</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03"/>
      </w:r>
      <w:r>
        <w:t xml:space="preserve"> </w:t>
      </w:r>
      <w:r>
        <w:t xml:space="preserve">Con utilidad cuasilineal es una medida exacta del bienestar: su variación coincide con las variaciones compensatoria y equivalente</w:t>
      </w:r>
      <w:r>
        <w:t xml:space="preserve"> </w:t>
      </w:r>
      <w:r>
        <w:rPr>
          <w:rStyle w:val="Referenciaatema"/>
        </w:rPr>
        <w:t xml:space="preserve">[ver tema 3.A.9]</w:t>
      </w:r>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04"/>
      </w:r>
    </w:p>
    <w:p>
      <w:pPr>
        <w:numPr>
          <w:ilvl w:val="1"/>
          <w:numId w:val="1056"/>
        </w:numPr>
      </w:pPr>
      <w:r>
        <w:rPr>
          <w:b/>
          <w:bCs/>
        </w:rPr>
        <w:t xml:space="preserve">excedente total</w:t>
      </w:r>
      <w:r>
        <w:t xml:space="preserve"> </w:t>
      </w:r>
      <w:r>
        <w:t xml:space="preserve">(ET): su suma, la ganancia neta de producir y consumir el bien:</w:t>
      </w:r>
    </w:p>
    <w:p>
      <w:pPr>
        <w:pStyle w:val="FirstParagraph"/>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w:t>
      </w:r>
      <w:r>
        <w:t xml:space="preserve">(anexo A).</w:t>
      </w:r>
      <w:r>
        <w:rPr>
          <w:rStyle w:val="FootnoteReference"/>
        </w:rPr>
        <w:footnoteReference w:id="105"/>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(I.2). Además, cada unidad la consumen quienes más la valoran y la producen quienes menos coste tienen.</w:t>
      </w:r>
    </w:p>
    <w:bookmarkStart w:id="109" w:name="fig: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 title="" id="107" name="Picture"/>
            <a:graphic>
              <a:graphicData uri="http://schemas.openxmlformats.org/drawingml/2006/picture">
                <pic:pic>
                  <pic:nvPicPr>
                    <pic:cNvPr descr="C:\Users\vgutierrez\Documents\src\victorgutierrezmarcos.github.io-revision\oposicion\temario\fuentes\3A16\graficos/excedentes.png" id="108" name="Picture"/>
                    <pic:cNvPicPr>
                      <a:picLocks noChangeArrowheads="1" noChangeAspect="1"/>
                    </pic:cNvPicPr>
                  </pic:nvPicPr>
                  <pic:blipFill>
                    <a:blip r:embed="rId106"/>
                    <a:stretch>
                      <a:fillRect/>
                    </a:stretch>
                  </pic:blipFill>
                  <pic:spPr bwMode="auto">
                    <a:xfrm>
                      <a:off x="0" y="0"/>
                      <a:ext cx="2828829" cy="2125444"/>
                    </a:xfrm>
                    <a:prstGeom prst="rect">
                      <a:avLst/>
                    </a:prstGeom>
                    <a:noFill/>
                    <a:ln w="9525">
                      <a:noFill/>
                      <a:headEnd/>
                      <a:tailEnd/>
                    </a:ln>
                  </pic:spPr>
                </pic:pic>
              </a:graphicData>
            </a:graphic>
          </wp:inline>
        </w:drawing>
      </w:r>
    </w:p>
    <w:bookmarkEnd w:id="1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10.D</w:t>
        </w:r>
      </w:hyperlink>
      <w:r>
        <w:t xml:space="preserve">)</w:t>
      </w:r>
      <w:r>
        <w:t xml:space="preserve">.</w:t>
      </w:r>
    </w:p>
    <w:bookmarkEnd w:id="110"/>
    <w:bookmarkStart w:id="115" w:name="Xf6b71314e4bd9502f3b430192fabe484e5fec32"/>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11"/>
      </w:r>
    </w:p>
    <w:bookmarkStart w:id="113" w:name="X8d4837e936b22851e30f91a44f2ca81d1012e14"/>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(15) son exactamente las del equilibrio competitivo (8)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A).</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 III.3), ni la forma cuasilineal, que solo simplifica la medida del bienestar. Cuando falla alguno de los 3, el equilibrio deja de ser eficiente:</w:t>
      </w:r>
      <w:r>
        <w:rPr>
          <w:rStyle w:val="FootnoteReference"/>
        </w:rPr>
        <w:footnoteReference w:id="112"/>
      </w:r>
    </w:p>
    <w:p>
      <w:pPr>
        <w:numPr>
          <w:ilvl w:val="1"/>
          <w:numId w:val="1059"/>
        </w:numPr>
      </w:pPr>
      <w:r>
        <w:t xml:space="preserve">con poder de mercado, el precio supera al coste marginal</w:t>
      </w:r>
      <w:r>
        <w:t xml:space="preserve"> </w:t>
      </w:r>
      <w:r>
        <w:rPr>
          <w:rStyle w:val="Referenciaatema"/>
        </w:rPr>
        <w:t xml:space="preserve">[ver tema 3.A.17]</w:t>
      </w:r>
      <w:r>
        <w:t xml:space="preserve">;</w:t>
      </w:r>
    </w:p>
    <w:p>
      <w:pPr>
        <w:numPr>
          <w:ilvl w:val="1"/>
          <w:numId w:val="1059"/>
        </w:numPr>
      </w:pPr>
      <w:r>
        <w:t xml:space="preserve">con externalidades o bienes públicos, el coste o el beneficio marginal privado no es el social</w:t>
      </w:r>
      <w:r>
        <w:t xml:space="preserve"> </w:t>
      </w:r>
      <w:r>
        <w:rPr>
          <w:rStyle w:val="Referenciaatema"/>
        </w:rPr>
        <w:t xml:space="preserve">[ver tema 3.A.23]</w:t>
      </w:r>
      <w:r>
        <w:t xml:space="preserve">;</w:t>
      </w:r>
    </w:p>
    <w:p>
      <w:pPr>
        <w:numPr>
          <w:ilvl w:val="1"/>
          <w:numId w:val="1059"/>
        </w:numPr>
      </w:pPr>
      <w:r>
        <w:t xml:space="preserve">con un impuesto, el precio del consumidor se separa del precio del productor (II.3.2).</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r>
        <w:rPr>
          <w:rStyle w:val="Referenciaatema"/>
        </w:rPr>
        <w:t xml:space="preserve">[ver tema 3.A.2]</w:t>
      </w:r>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13"/>
    <w:bookmarkStart w:id="114" w:name="X7f8aff33acd132d4bfed736052763b8221204bc"/>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r>
        <w:rPr>
          <w:rStyle w:val="Referenciaatema"/>
        </w:rPr>
        <w:t xml:space="preserve">[ver tema 3.A.22]</w:t>
      </w:r>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14"/>
    <w:bookmarkEnd w:id="115"/>
    <w:bookmarkEnd w:id="116"/>
    <w:bookmarkStart w:id="134" w:name="análisis-de-estática-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(II.1.3),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Samuelson1941Stability">
        <w:r>
          <w:rPr>
            <w:rStyle w:val="Hyperlink"/>
            <w:smallCaps/>
          </w:rPr>
          <w:t xml:space="preserve">Samuelson</w:t>
        </w:r>
        <w:r>
          <w:rPr>
            <w:rStyle w:val="Hyperlink"/>
          </w:rPr>
          <w:t xml:space="preserve"> </w:t>
        </w:r>
        <w:r>
          <w:rPr>
            <w:rStyle w:val="Hyperlink"/>
          </w:rPr>
          <w:t xml:space="preserve">1941</w:t>
        </w:r>
      </w:hyperlink>
      <w:r>
        <w:t xml:space="preserve">,</w:t>
      </w:r>
      <w:r>
        <w:t xml:space="preserve"> </w:t>
      </w:r>
      <w:hyperlink w:anchor="ref-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17"/>
      </w:r>
      <w:r>
        <w:t xml:space="preserve"> </w:t>
      </w:r>
      <w:r>
        <w:t xml:space="preserve">Los impuestos separan el precio que pagan unos del que reciben otros.</w:t>
      </w:r>
    </w:p>
    <w:bookmarkStart w:id="122" w:name="X644c3209e0780e1b21d8cc692e8a23f3fc68376"/>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9,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9,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21" w:name="fig: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 title="" id="119" name="Picture"/>
            <a:graphic>
              <a:graphicData uri="http://schemas.openxmlformats.org/drawingml/2006/picture">
                <pic:pic>
                  <pic:nvPicPr>
                    <pic:cNvPr descr="C:\Users\vgutierrez\Documents\src\victorgutierrezmarcos.github.io-revision\oposicion\temario\fuentes\3A16\graficos/choques.png" id="120" name="Picture"/>
                    <pic:cNvPicPr>
                      <a:picLocks noChangeArrowheads="1" noChangeAspect="1"/>
                    </pic:cNvPicPr>
                  </pic:nvPicPr>
                  <pic:blipFill>
                    <a:blip r:embed="rId118"/>
                    <a:stretch>
                      <a:fillRect/>
                    </a:stretch>
                  </pic:blipFill>
                  <pic:spPr bwMode="auto">
                    <a:xfrm>
                      <a:off x="0" y="0"/>
                      <a:ext cx="5217278" cy="2602523"/>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122"/>
    <w:bookmarkStart w:id="133" w:name="introducción-de-un-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23" w:name="a-idea-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23"/>
    <w:bookmarkStart w:id="132" w:name="b-modelo-3"/>
    <w:p>
      <w:pPr>
        <w:pStyle w:val="Heading4"/>
      </w:pPr>
      <w:r>
        <w:t xml:space="preserve">b) Modelo</w:t>
      </w:r>
    </w:p>
    <w:bookmarkStart w:id="124" w:name="i-supuestos-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24"/>
    <w:bookmarkStart w:id="126" w:name="ii-desarrollo-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p>
      <w:pPr>
        <w:numPr>
          <w:ilvl w:val="0"/>
          <w:numId w:val="1067"/>
        </w:numPr>
      </w:pPr>
      <w:r>
        <w:rPr>
          <w:i/>
          <w:iCs/>
        </w:rPr>
        <w:t xml:space="preserve">Reparto del impuesto</w:t>
      </w:r>
      <w:r>
        <w:t xml:space="preserve">: derivando (17)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10).</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25"/>
      </w:r>
    </w:p>
    <w:p>
      <w:pPr>
        <w:numPr>
          <w:ilvl w:val="0"/>
          <w:numId w:val="1067"/>
        </w:numPr>
      </w:pPr>
      <w:r>
        <w:rPr>
          <w:i/>
          <w:iCs/>
        </w:rPr>
        <w:t xml:space="preserve">Casos extremos</w:t>
      </w:r>
      <w:r>
        <w:t xml:space="preserve">: con la demanda perfectamente inelástica o la oferta perfectamente elástica (a largo plazo, con libre entrada y costes constantes, III.3),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26"/>
    <w:bookmarkStart w:id="131" w:name="iii-implicaciones-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Harberger1964Measurement">
        <w:r>
          <w:rPr>
            <w:rStyle w:val="Hyperlink"/>
          </w:rPr>
          <w:t xml:space="preserve">1964</w:t>
        </w:r>
      </w:hyperlink>
      <w:r>
        <w:t xml:space="preserve">)</w:t>
      </w:r>
      <w:r>
        <w:t xml:space="preserve">:</w:t>
      </w:r>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r>
        <w:rPr>
          <w:rStyle w:val="Referenciaatema"/>
        </w:rPr>
        <w:t xml:space="preserve">[ver tema 4.B.9]</w:t>
      </w:r>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30" w:name="fig: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 title="" id="128" name="Picture"/>
            <a:graphic>
              <a:graphicData uri="http://schemas.openxmlformats.org/drawingml/2006/picture">
                <pic:pic>
                  <pic:nvPicPr>
                    <pic:cNvPr descr="C:\Users\vgutierrez\Documents\src\victorgutierrezmarcos.github.io-revision\oposicion\temario\fuentes\3A16\graficos/incidencia.png" id="129" name="Picture"/>
                    <pic:cNvPicPr>
                      <a:picLocks noChangeArrowheads="1" noChangeAspect="1"/>
                    </pic:cNvPicPr>
                  </pic:nvPicPr>
                  <pic:blipFill>
                    <a:blip r:embed="rId127"/>
                    <a:stretch>
                      <a:fillRect/>
                    </a:stretch>
                  </pic:blipFill>
                  <pic:spPr bwMode="auto">
                    <a:xfrm>
                      <a:off x="0" y="0"/>
                      <a:ext cx="3282950" cy="2275743"/>
                    </a:xfrm>
                    <a:prstGeom prst="rect">
                      <a:avLst/>
                    </a:prstGeom>
                    <a:noFill/>
                    <a:ln w="9525">
                      <a:noFill/>
                      <a:headEnd/>
                      <a:tailEnd/>
                    </a:ln>
                  </pic:spPr>
                </pic:pic>
              </a:graphicData>
            </a:graphic>
          </wp:inline>
        </w:drawing>
      </w:r>
    </w:p>
    <w:bookmarkEnd w:id="13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C).</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31"/>
    <w:bookmarkEnd w:id="132"/>
    <w:bookmarkEnd w:id="133"/>
    <w:bookmarkEnd w:id="134"/>
    <w:bookmarkEnd w:id="135"/>
    <w:bookmarkStart w:id="184" w:name="Xe211a2e2cbe4ef18eac9827af2e6f1a9e09a85f"/>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 III (6′):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el plazo no es un tiempo de calendario, sino el tiempo de que disponen las empresas para ajustarse, y se define por lo que pueden cambiar (tabla 3):</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36" w:name="tab: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3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10.F</w:t>
        </w:r>
      </w:hyperlink>
      <w:r>
        <w:rPr>
          <w:i/>
          <w:iCs/>
        </w:rPr>
        <w:t xml:space="preserve">)</w:t>
      </w:r>
      <w:r>
        <w:rPr>
          <w:i/>
          <w:iCs/>
        </w:rPr>
        <w:t xml:space="preserve">.</w:t>
      </w:r>
    </w:p>
    <w:p>
      <w:pPr>
        <w:pStyle w:val="Cajadeanotacio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3: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11).</w:t>
      </w:r>
    </w:p>
    <w:bookmarkStart w:id="140" w:name="fig:marshall-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 title="" id="138" name="Picture"/>
            <a:graphic>
              <a:graphicData uri="http://schemas.openxmlformats.org/drawingml/2006/picture">
                <pic:pic>
                  <pic:nvPicPr>
                    <pic:cNvPr descr="C:\Users\vgutierrez\Documents\src\victorgutierrezmarcos.github.io-revision\oposicion\temario\fuentes\3A16\graficos/marshall-periodos.png" id="139" name="Picture"/>
                    <pic:cNvPicPr>
                      <a:picLocks noChangeArrowheads="1" noChangeAspect="1"/>
                    </pic:cNvPicPr>
                  </pic:nvPicPr>
                  <pic:blipFill>
                    <a:blip r:embed="rId137"/>
                    <a:stretch>
                      <a:fillRect/>
                    </a:stretch>
                  </pic:blipFill>
                  <pic:spPr bwMode="auto">
                    <a:xfrm>
                      <a:off x="0" y="0"/>
                      <a:ext cx="2574999" cy="2269179"/>
                    </a:xfrm>
                    <a:prstGeom prst="rect">
                      <a:avLst/>
                    </a:prstGeom>
                    <a:noFill/>
                    <a:ln w="9525">
                      <a:noFill/>
                      <a:headEnd/>
                      <a:tailEnd/>
                    </a:ln>
                  </pic:spPr>
                </pic:pic>
              </a:graphicData>
            </a:graphic>
          </wp:inline>
        </w:drawing>
      </w:r>
    </w:p>
    <w:bookmarkEnd w:id="14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w:t>
      </w:r>
    </w:p>
    <w:p>
      <w:pPr>
        <w:pStyle w:val="Cajadeanotacio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41"/>
      </w:r>
    </w:p>
    <w:p>
      <w:pPr>
        <w:pStyle w:val="Cajadeanotacio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 III.3</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V, § 4)</w:t>
      </w:r>
      <w:r>
        <w:t xml:space="preserve">.</w:t>
      </w:r>
    </w:p>
    <w:p>
      <w:pPr>
        <w:pStyle w:val="Cajadeanotacio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r>
        <w:rPr>
          <w:rStyle w:val="Referenciaatema"/>
        </w:rPr>
        <w:t xml:space="preserve">[ver tema 3.A.4]</w:t>
      </w:r>
      <w:r>
        <w:t xml:space="preserve">.</w:t>
      </w:r>
    </w:p>
    <w:bookmarkStart w:id="151" w:name="corto-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42" w:name="i-supuestos-6"/>
    <w:p>
      <w:pPr>
        <w:pStyle w:val="Heading4"/>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Los costes variables tienen forma de S invertida por la ley de proporciones variables: el coste marginal primero baja y después sube</w:t>
      </w:r>
      <w:r>
        <w:t xml:space="preserve"> </w:t>
      </w:r>
      <w:r>
        <w:rPr>
          <w:rStyle w:val="Referenciaatema"/>
        </w:rPr>
        <w:t xml:space="preserve">[ver tema 3.A.11]</w:t>
      </w:r>
      <w:r>
        <w:t xml:space="preserve"> </w:t>
      </w:r>
      <w:r>
        <w:rPr>
          <w:rStyle w:val="Referenciaatema"/>
        </w:rPr>
        <w:t xml:space="preserve">[ver tema 3.A.12]</w:t>
      </w:r>
      <w:r>
        <w:t xml:space="preserve">.</w:t>
      </w:r>
    </w:p>
    <w:bookmarkEnd w:id="142"/>
    <w:bookmarkStart w:id="148" w:name="ii-desarrollo-6"/>
    <w:p>
      <w:pPr>
        <w:pStyle w:val="Heading4"/>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43"/>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r>
        <w:rPr>
          <w:rStyle w:val="Referenciaatema"/>
        </w:rPr>
        <w:t xml:space="preserve">[ver tema 3.A.12]</w:t>
      </w:r>
      <w:r>
        <w:t xml:space="preserve">.</w:t>
      </w:r>
    </w:p>
    <w:p>
      <w:pPr>
        <w:numPr>
          <w:ilvl w:val="0"/>
          <w:numId w:val="1077"/>
        </w:numPr>
      </w:pPr>
      <w:r>
        <w:rPr>
          <w:i/>
          <w:iCs/>
        </w:rPr>
        <w:t xml:space="preserve">Oferta a corto plazo</w:t>
      </w:r>
      <w:r>
        <w:t xml:space="preserve">: la de la empresa es el coste marginal por encima del mínimo del CVMe (gráfico 12);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47" w:name="fig:oferta-corto-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 title="" id="145" name="Picture"/>
            <a:graphic>
              <a:graphicData uri="http://schemas.openxmlformats.org/drawingml/2006/picture">
                <pic:pic>
                  <pic:nvPicPr>
                    <pic:cNvPr descr="C:\Users\vgutierrez\Documents\src\victorgutierrezmarcos.github.io-revision\oposicion\temario\fuentes\3A16\graficos/oferta-corto-plazo.png" id="146" name="Picture"/>
                    <pic:cNvPicPr>
                      <a:picLocks noChangeArrowheads="1" noChangeAspect="1"/>
                    </pic:cNvPicPr>
                  </pic:nvPicPr>
                  <pic:blipFill>
                    <a:blip r:embed="rId144"/>
                    <a:stretch>
                      <a:fillRect/>
                    </a:stretch>
                  </pic:blipFill>
                  <pic:spPr bwMode="auto">
                    <a:xfrm>
                      <a:off x="0" y="0"/>
                      <a:ext cx="4775200" cy="1947088"/>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bookmarkEnd w:id="148"/>
    <w:bookmarkStart w:id="150" w:name="iii-implicaciones-5"/>
    <w:p>
      <w:pPr>
        <w:pStyle w:val="Heading4"/>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r>
        <w:rPr>
          <w:rStyle w:val="Referenciaatema"/>
        </w:rPr>
        <w:t xml:space="preserve">[ver tema 3.A.12]</w:t>
      </w:r>
      <w:r>
        <w:t xml:space="preserve">. El coste contable solo recoge los pagos efectivos, de modo que el beneficio económico es el contable menos el coste de oportunidad de los recursos propios (tabla 4). Cuando la teoría dice que el beneficio es nulo a largo plazo (III.3), se refiere al económico: la empresa gana lo mismo que ganaría en su mejor alternativa.</w:t>
      </w:r>
    </w:p>
    <w:bookmarkStart w:id="149" w:name="tab:beneficio-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49"/>
    <w:p>
      <w:pPr>
        <w:pStyle w:val="Cajadeanotaciones"/>
      </w:pPr>
      <w:r>
        <w:rPr>
          <w:i/>
          <w:iCs/>
        </w:rPr>
        <w:t xml:space="preserve">Fuente: elaboración propia (ejemplo numérico).</w:t>
      </w:r>
    </w:p>
    <w:bookmarkEnd w:id="150"/>
    <w:bookmarkEnd w:id="151"/>
    <w:bookmarkStart w:id="155" w:name="largo-plazo-sin-libre-entrada"/>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52" w:name="i-supuestos-7"/>
    <w:p>
      <w:pPr>
        <w:pStyle w:val="Heading4"/>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I y II.</w:t>
      </w:r>
    </w:p>
    <w:bookmarkEnd w:id="152"/>
    <w:bookmarkStart w:id="153" w:name="ii-desarrollo-7"/>
    <w:p>
      <w:pPr>
        <w:pStyle w:val="Heading4"/>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(I.2).</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w:t>
      </w:r>
      <w:r>
        <w:rPr>
          <w:rStyle w:val="Referenciaatema"/>
        </w:rPr>
        <w:t xml:space="preserve">[ver tema 3.A.12]</w:t>
      </w:r>
      <w:r>
        <w:t xml:space="preserve">.</w:t>
      </w:r>
    </w:p>
    <w:bookmarkEnd w:id="153"/>
    <w:bookmarkStart w:id="154" w:name="iii-implicaciones-6"/>
    <w:p>
      <w:pPr>
        <w:pStyle w:val="Heading4"/>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54"/>
    <w:bookmarkEnd w:id="155"/>
    <w:bookmarkStart w:id="183" w:name="largo-plazo-con-libre-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56" w:name="a-idea-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1) y una aproximación razonable cuando se piensa en plazos largos. El número de empresas activas pasa a ser endógeno. ¿Qué precio rige entonces, y cuántas empresas hay?</w:t>
      </w:r>
    </w:p>
    <w:bookmarkEnd w:id="156"/>
    <w:bookmarkStart w:id="172" w:name="b-modelo-4"/>
    <w:p>
      <w:pPr>
        <w:pStyle w:val="Heading4"/>
      </w:pPr>
      <w:r>
        <w:t xml:space="preserve">b) Modelo</w:t>
      </w:r>
    </w:p>
    <w:bookmarkStart w:id="158" w:name="i-supuestos-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57"/>
      </w:r>
    </w:p>
    <w:bookmarkEnd w:id="158"/>
    <w:bookmarkStart w:id="166" w:name="ii-desarrollo-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13):</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159"/>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160"/>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r>
        <w:rPr>
          <w:rStyle w:val="Referenciaatema"/>
        </w:rPr>
        <w:t xml:space="preserve">[ver tema 3.A.17]</w:t>
      </w:r>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161"/>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165" w:name="fig:libre-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 title="" id="163" name="Picture"/>
            <a:graphic>
              <a:graphicData uri="http://schemas.openxmlformats.org/drawingml/2006/picture">
                <pic:pic>
                  <pic:nvPicPr>
                    <pic:cNvPr descr="C:\Users\vgutierrez\Documents\src\victorgutierrezmarcos.github.io-revision\oposicion\temario\fuentes\3A16\graficos/libre-entrada.png" id="164" name="Picture"/>
                    <pic:cNvPicPr>
                      <a:picLocks noChangeArrowheads="1" noChangeAspect="1"/>
                    </pic:cNvPicPr>
                  </pic:nvPicPr>
                  <pic:blipFill>
                    <a:blip r:embed="rId162"/>
                    <a:stretch>
                      <a:fillRect/>
                    </a:stretch>
                  </pic:blipFill>
                  <pic:spPr bwMode="auto">
                    <a:xfrm>
                      <a:off x="0" y="0"/>
                      <a:ext cx="5670550" cy="3185426"/>
                    </a:xfrm>
                    <a:prstGeom prst="rect">
                      <a:avLst/>
                    </a:prstGeom>
                    <a:noFill/>
                    <a:ln w="9525">
                      <a:noFill/>
                      <a:headEnd/>
                      <a:tailEnd/>
                    </a:ln>
                  </pic:spPr>
                </pic:pic>
              </a:graphicData>
            </a:graphic>
          </wp:inline>
        </w:drawing>
      </w:r>
    </w:p>
    <w:bookmarkEnd w:id="16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bookmarkEnd w:id="166"/>
    <w:bookmarkStart w:id="171" w:name="iii-implicaciones-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4).</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(II.2.2).</w:t>
      </w:r>
    </w:p>
    <w:p>
      <w:pPr>
        <w:keepNext/>
        <w:numPr>
          <w:ilvl w:val="0"/>
          <w:numId w:val="1089"/>
        </w:numPr>
      </w:pPr>
      <w:r>
        <w:rPr>
          <w:i/>
          <w:iCs/>
        </w:rPr>
        <w:t xml:space="preserve">Del corto al largo plazo</w:t>
      </w:r>
      <w:r>
        <w:t xml:space="preserve"> </w:t>
      </w:r>
      <w:r>
        <w:t xml:space="preserve">(gráfico 14):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170" w:name="fig:corto-largo-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 title="" id="168" name="Picture"/>
            <a:graphic>
              <a:graphicData uri="http://schemas.openxmlformats.org/drawingml/2006/picture">
                <pic:pic>
                  <pic:nvPicPr>
                    <pic:cNvPr descr="C:\Users\vgutierrez\Documents\src\victorgutierrezmarcos.github.io-revision\oposicion\temario\fuentes\3A16\graficos/corto-largo-industria.png" id="169" name="Picture"/>
                    <pic:cNvPicPr>
                      <a:picLocks noChangeArrowheads="1" noChangeAspect="1"/>
                    </pic:cNvPicPr>
                  </pic:nvPicPr>
                  <pic:blipFill>
                    <a:blip r:embed="rId167"/>
                    <a:stretch>
                      <a:fillRect/>
                    </a:stretch>
                  </pic:blipFill>
                  <pic:spPr bwMode="auto">
                    <a:xfrm>
                      <a:off x="0" y="0"/>
                      <a:ext cx="4434381" cy="2125444"/>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r>
        <w:rPr>
          <w:rStyle w:val="Referenciaatema"/>
        </w:rPr>
        <w:t xml:space="preserve">[ver tema 3.A.19]</w:t>
      </w:r>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171"/>
    <w:bookmarkEnd w:id="172"/>
    <w:bookmarkStart w:id="180" w:name="Xe44f1824d7fa1dbe56edaa14454d2e78c74482d"/>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173" w:name="i-supuestos-9"/>
    <w:p>
      <w:pPr>
        <w:pStyle w:val="Heading5"/>
      </w:pPr>
      <w:r>
        <w:t xml:space="preserve">i) Supuestos</w:t>
      </w:r>
    </w:p>
    <w:p>
      <w:pPr>
        <w:numPr>
          <w:ilvl w:val="0"/>
          <w:numId w:val="1093"/>
        </w:numPr>
      </w:pPr>
      <w:r>
        <w:rPr>
          <w:smallCaps/>
        </w:rPr>
        <w:t xml:space="preserve">Marshall</w:t>
      </w:r>
      <w:r>
        <w:t xml:space="preserve"> </w:t>
      </w:r>
      <w:r>
        <w:t xml:space="preserve">(</w:t>
      </w:r>
      <w:hyperlink w:anchor="ref-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173"/>
    <w:bookmarkStart w:id="178" w:name="ii-desarrollo-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15: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(III.3, b).</w:t>
      </w:r>
    </w:p>
    <w:bookmarkStart w:id="177" w:name="fig:oferta-largo-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 title="" id="175" name="Picture"/>
            <a:graphic>
              <a:graphicData uri="http://schemas.openxmlformats.org/drawingml/2006/picture">
                <pic:pic>
                  <pic:nvPicPr>
                    <pic:cNvPr descr="C:\Users\vgutierrez\Documents\src\victorgutierrezmarcos.github.io-revision\oposicion\temario\fuentes\3A16\graficos/oferta-largo-plazo.png" id="176" name="Picture"/>
                    <pic:cNvPicPr>
                      <a:picLocks noChangeArrowheads="1" noChangeAspect="1"/>
                    </pic:cNvPicPr>
                  </pic:nvPicPr>
                  <pic:blipFill>
                    <a:blip r:embed="rId174"/>
                    <a:stretch>
                      <a:fillRect/>
                    </a:stretch>
                  </pic:blipFill>
                  <pic:spPr bwMode="auto">
                    <a:xfrm>
                      <a:off x="0" y="0"/>
                      <a:ext cx="5670550" cy="1681727"/>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Marshall</w:t>
      </w:r>
      <w:r>
        <w:t xml:space="preserve"> </w:t>
      </w:r>
      <w:r>
        <w:t xml:space="preserve">(</w:t>
      </w:r>
      <w:hyperlink w:anchor="ref-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w:t>
      </w:r>
    </w:p>
    <w:bookmarkEnd w:id="178"/>
    <w:bookmarkStart w:id="179" w:name="iii-implicaciones-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r>
        <w:rPr>
          <w:rStyle w:val="Referenciaatema"/>
        </w:rPr>
        <w:t xml:space="preserve">[ver tema 3.A.23]</w:t>
      </w:r>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6 (II.1.2 y II.1.3).</w:t>
      </w:r>
    </w:p>
    <w:p>
      <w:pPr>
        <w:numPr>
          <w:ilvl w:val="0"/>
          <w:numId w:val="1097"/>
        </w:numPr>
      </w:pPr>
      <w:r>
        <w:t xml:space="preserve">Las economías externas explican la concentración geográfica de industrias y parte del comercio entre países parecidos</w:t>
      </w:r>
      <w:r>
        <w:t xml:space="preserve"> </w:t>
      </w:r>
      <w:r>
        <w:rPr>
          <w:rStyle w:val="Referenciaatema"/>
        </w:rPr>
        <w:t xml:space="preserve">[ver tema 3.B.6]</w:t>
      </w:r>
      <w:r>
        <w:t xml:space="preserve">.</w:t>
      </w:r>
    </w:p>
    <w:bookmarkEnd w:id="179"/>
    <w:bookmarkEnd w:id="180"/>
    <w:bookmarkStart w:id="181" w:name="d-evidencia-empírica-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 </w:t>
      </w:r>
      <w:r>
        <w:rPr>
          <w:rStyle w:val="Referenciaatema"/>
        </w:rPr>
        <w:t xml:space="preserve">[ver tema 3.A.12]</w:t>
      </w:r>
      <w:r>
        <w:t xml:space="preserve">. Por encima de esa escala el tamaño de cada empresa queda indeterminado, como con rendimientos constantes, lo que es compatible con que en un mismo mercado competitivo convivan empresas de tamaños muy distintos.</w:t>
      </w:r>
    </w:p>
    <w:bookmarkEnd w:id="181"/>
    <w:bookmarkStart w:id="182" w:name="e-valoración-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r>
        <w:rPr>
          <w:rStyle w:val="Referenciaatema"/>
        </w:rPr>
        <w:t xml:space="preserve">[ver tema 3.A.15]</w:t>
      </w:r>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r>
        <w:rPr>
          <w:rStyle w:val="Referenciaatema"/>
        </w:rPr>
        <w:t xml:space="preserve">[ver tema 3.A.15]</w:t>
      </w:r>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r>
        <w:rPr>
          <w:rStyle w:val="Referenciaatema"/>
        </w:rPr>
        <w:t xml:space="preserve">[ver tema 3.A.17]</w:t>
      </w:r>
      <w:r>
        <w:t xml:space="preserve"> </w:t>
      </w:r>
      <w:r>
        <w:rPr>
          <w:rStyle w:val="Referenciaatema"/>
        </w:rPr>
        <w:t xml:space="preserve">[ver tema 3.A.20]</w:t>
      </w:r>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182"/>
    <w:bookmarkEnd w:id="183"/>
    <w:bookmarkEnd w:id="184"/>
    <w:bookmarkStart w:id="185" w:name="conclusió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(I).</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(II).</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(III).</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r>
        <w:rPr>
          <w:rStyle w:val="Referenciaatema"/>
        </w:rPr>
        <w:t xml:space="preserve">[ver tema 3.A.17]</w:t>
      </w:r>
      <w:r>
        <w:t xml:space="preserve">, la defensa de la competencia trata de acercar los mercados a su resultado</w:t>
      </w:r>
      <w:r>
        <w:t xml:space="preserve"> </w:t>
      </w:r>
      <w:r>
        <w:rPr>
          <w:rStyle w:val="Referenciaatema"/>
        </w:rPr>
        <w:t xml:space="preserve">[ver tema 4.A.15]</w:t>
      </w:r>
      <w:r>
        <w:t xml:space="preserve">, y el análisis de impuestos, subvenciones y controles de precios empieza por este modelo</w:t>
      </w:r>
      <w:r>
        <w:t xml:space="preserve"> </w:t>
      </w:r>
      <w:r>
        <w:rPr>
          <w:rStyle w:val="Referenciaatema"/>
        </w:rPr>
        <w:t xml:space="preserve">[ver tema 4.B.8]</w:t>
      </w:r>
      <w:r>
        <w:t xml:space="preserve"> </w:t>
      </w:r>
      <w:r>
        <w:rPr>
          <w:rStyle w:val="Referenciaatema"/>
        </w:rPr>
        <w:t xml:space="preserve">[ver tema 4.B.9]</w:t>
      </w:r>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r>
        <w:rPr>
          <w:rStyle w:val="Referenciaatema"/>
        </w:rPr>
        <w:t xml:space="preserve">[ver tema 3.A.21]</w:t>
      </w:r>
      <w:r>
        <w:t xml:space="preserve">, y para la relación entre equilibrio, eficiencia y fallos de mercado, la economía del bienestar</w:t>
      </w:r>
      <w:r>
        <w:t xml:space="preserve"> </w:t>
      </w:r>
      <w:r>
        <w:rPr>
          <w:rStyle w:val="Referenciaatema"/>
        </w:rPr>
        <w:t xml:space="preserve">[ver tema 3.A.22]</w:t>
      </w:r>
      <w:r>
        <w:t xml:space="preserve"> </w:t>
      </w:r>
      <w:r>
        <w:rPr>
          <w:rStyle w:val="Referenciaatema"/>
        </w:rPr>
        <w:t xml:space="preserve">[ver tema 3.A.23]</w:t>
      </w:r>
      <w:r>
        <w:t xml:space="preserve">.</w:t>
      </w:r>
    </w:p>
    <w:p>
      <w:pPr>
        <w:numPr>
          <w:ilvl w:val="1"/>
          <w:numId w:val="1103"/>
        </w:numPr>
      </w:pPr>
      <w:r>
        <w:t xml:space="preserve">Al levantar el supuesto de muchos vendedores precio-aceptantes (4) o el de producto homogéneo (3) se llega al monopolio, la competencia monopolística y el oligopolio</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al levantar el de información perfecta (4), a la economía de la información</w:t>
      </w:r>
      <w:r>
        <w:t xml:space="preserve"> </w:t>
      </w:r>
      <w:r>
        <w:rPr>
          <w:rStyle w:val="Referenciaatema"/>
        </w:rPr>
        <w:t xml:space="preserve">[ver tema 3.A.13]</w:t>
      </w:r>
      <w:r>
        <w:t xml:space="preserve">, y la amenaza de entrada puede bastar para disciplinar a pocas empresas en los mercados impugnables</w:t>
      </w:r>
      <w:r>
        <w:t xml:space="preserve"> </w:t>
      </w:r>
      <w:r>
        <w:rPr>
          <w:rStyle w:val="Referenciaatema"/>
        </w:rPr>
        <w:t xml:space="preserve">[ver tema 3.A.15]</w:t>
      </w:r>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r>
        <w:rPr>
          <w:rStyle w:val="Referenciaatema"/>
        </w:rPr>
        <w:t xml:space="preserve">[ver tema 3.A.6]</w:t>
      </w:r>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r>
        <w:rPr>
          <w:rStyle w:val="Referenciaatema"/>
        </w:rPr>
        <w:t xml:space="preserve">[ver tema 3.A.3]</w:t>
      </w:r>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5"/>
    <w:bookmarkStart w:id="190" w:name="anexo:1tfeb"/>
    <w:p>
      <w:pPr>
        <w:pStyle w:val="Heading1"/>
      </w:pPr>
      <w:r>
        <w:t xml:space="preserve">A. Anexo: el primer teorema del bienestar</w:t>
      </w:r>
      <w:r>
        <w:br/>
      </w:r>
      <w:r>
        <w:t xml:space="preserve">en equilibrio parcial</w:t>
      </w:r>
    </w:p>
    <w:p>
      <w:pPr>
        <w:pStyle w:val="FirstParagraph"/>
      </w:pPr>
      <w:r>
        <w:t xml:space="preserve">Este anexo demuestra, paso a paso, el resultado de II.2: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187"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186"/>
      </w:r>
    </w:p>
    <w:bookmarkEnd w:id="187"/>
    <w:bookmarkStart w:id="188" w:name="demostració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(14)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 I.2 cumple exactamente esas condiciones con</w:t>
      </w:r>
      <w:r>
        <w:t xml:space="preserve"> </w:t>
      </w:r>
      <m:oMath>
        <m:r>
          <m:t>λ</m:t>
        </m:r>
        <m:r>
          <m:rPr>
            <m:sty m:val="p"/>
          </m:rPr>
          <m:t>=</m:t>
        </m:r>
        <m:sSup>
          <m:e>
            <m:r>
              <m:t>p</m:t>
            </m:r>
          </m:e>
          <m:sup>
            <m:r>
              <m:rPr>
                <m:sty m:val="p"/>
              </m:rPr>
              <m:t>*</m:t>
            </m:r>
          </m:sup>
        </m:sSup>
      </m:oMath>
      <w:r>
        <w:t xml:space="preserve">: la del consumidor (3), con su caso de esquina; la de la empresa (6), y el vaciado (8).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m:oMath>
        <m:r>
          <m:rPr>
            <m:sty m:val="p"/>
          </m:rPr>
          <m:t>◼</m:t>
        </m:r>
      </m:oMath>
    </w:p>
    <w:bookmarkEnd w:id="188"/>
    <w:bookmarkStart w:id="189"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189"/>
    <w:bookmarkEnd w:id="190"/>
    <w:bookmarkStart w:id="195" w:name="anexo: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r>
        <w:rPr>
          <w:rStyle w:val="Referenciaatema"/>
        </w:rPr>
        <w:t xml:space="preserve">[ver tema 3.A.12]</w:t>
      </w:r>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(I.2).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6 casos (gráfico 16,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I y II.</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(III.3).</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(III.1).</w:t>
      </w:r>
    </w:p>
    <w:bookmarkStart w:id="194" w:name="fig:geometria-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192" name="Picture"/>
            <a:graphic>
              <a:graphicData uri="http://schemas.openxmlformats.org/drawingml/2006/picture">
                <pic:pic>
                  <pic:nvPicPr>
                    <pic:cNvPr descr="C:\Users\vgutierrez\Documents\src\victorgutierrezmarcos.github.io-revision\oposicion\temario\fuentes\3A16\graficos/geometria-costes.png" id="193" name="Picture"/>
                    <pic:cNvPicPr>
                      <a:picLocks noChangeArrowheads="1" noChangeAspect="1"/>
                    </pic:cNvPicPr>
                  </pic:nvPicPr>
                  <pic:blipFill>
                    <a:blip r:embed="rId191"/>
                    <a:stretch>
                      <a:fillRect/>
                    </a:stretch>
                  </pic:blipFill>
                  <pic:spPr bwMode="auto">
                    <a:xfrm>
                      <a:off x="0" y="0"/>
                      <a:ext cx="5491480" cy="5468178"/>
                    </a:xfrm>
                    <a:prstGeom prst="rect">
                      <a:avLst/>
                    </a:prstGeom>
                    <a:noFill/>
                    <a:ln w="9525">
                      <a:noFill/>
                      <a:headEnd/>
                      <a:tailEnd/>
                    </a:ln>
                  </pic:spPr>
                </pic:pic>
              </a:graphicData>
            </a:graphic>
          </wp:inline>
        </w:drawing>
      </w:r>
    </w:p>
    <w:bookmarkEnd w:id="19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195"/>
    <w:bookmarkStart w:id="200" w:name="anexo:controles"/>
    <w:p>
      <w:pPr>
        <w:pStyle w:val="Heading1"/>
      </w:pPr>
      <w:r>
        <w:t xml:space="preserve">C. Anexo: precios máximos y mínimos</w:t>
      </w:r>
    </w:p>
    <w:p>
      <w:pPr>
        <w:numPr>
          <w:ilvl w:val="0"/>
          <w:numId w:val="1108"/>
        </w:numPr>
      </w:pPr>
      <w:r>
        <w:rPr>
          <w:i/>
          <w:iCs/>
        </w:rPr>
        <w:t xml:space="preserve">Idea</w:t>
      </w:r>
      <w:r>
        <w:t xml:space="preserve">: el equilibrio de I.2 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RodriguezAlvarez2016Competencia">
        <w:r>
          <w:rPr>
            <w:rStyle w:val="Hyperlink"/>
            <w:smallCaps/>
          </w:rPr>
          <w:t xml:space="preserve">Rodríguez Álvarez</w:t>
        </w:r>
        <w:r>
          <w:rPr>
            <w:rStyle w:val="Hyperlink"/>
          </w:rPr>
          <w:t xml:space="preserve"> </w:t>
        </w:r>
        <w:r>
          <w:rPr>
            <w:rStyle w:val="Hyperlink"/>
          </w:rPr>
          <w:t xml:space="preserve">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17).</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(II.3.2);</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r>
        <w:rPr>
          <w:rStyle w:val="Referenciaatema"/>
        </w:rPr>
        <w:t xml:space="preserve">[ver tema 3.B.38]</w:t>
      </w:r>
      <w:r>
        <w:t xml:space="preserve">.</w:t>
      </w:r>
    </w:p>
    <w:bookmarkStart w:id="199" w:name="fig:controles-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 title="" id="197" name="Picture"/>
            <a:graphic>
              <a:graphicData uri="http://schemas.openxmlformats.org/drawingml/2006/picture">
                <pic:pic>
                  <pic:nvPicPr>
                    <pic:cNvPr descr="C:\Users\vgutierrez\Documents\src\victorgutierrezmarcos.github.io-revision\oposicion\temario\fuentes\3A16\graficos/controles-precios.png" id="198" name="Picture"/>
                    <pic:cNvPicPr>
                      <a:picLocks noChangeArrowheads="1" noChangeAspect="1"/>
                    </pic:cNvPicPr>
                  </pic:nvPicPr>
                  <pic:blipFill>
                    <a:blip r:embed="rId196"/>
                    <a:stretch>
                      <a:fillRect/>
                    </a:stretch>
                  </pic:blipFill>
                  <pic:spPr bwMode="auto">
                    <a:xfrm>
                      <a:off x="0" y="0"/>
                      <a:ext cx="5299850" cy="2269179"/>
                    </a:xfrm>
                    <a:prstGeom prst="rect">
                      <a:avLst/>
                    </a:prstGeom>
                    <a:noFill/>
                    <a:ln w="9525">
                      <a:noFill/>
                      <a:headEnd/>
                      <a:tailEnd/>
                    </a:ln>
                  </pic:spPr>
                </pic:pic>
              </a:graphicData>
            </a:graphic>
          </wp:inline>
        </w:drawing>
      </w:r>
    </w:p>
    <w:bookmarkEnd w:id="199"/>
    <w:p>
      <w:pPr>
        <w:pStyle w:val="Piedeimagen"/>
      </w:pPr>
      <w:r>
        <w:t xml:space="preserve">Fuente: elaboración propia a partir de</w:t>
      </w:r>
      <w:r>
        <w:t xml:space="preserve"> </w:t>
      </w:r>
      <w:r>
        <w:rPr>
          <w:smallCaps/>
        </w:rPr>
        <w:t xml:space="preserve">Rodríguez Álvarez</w:t>
      </w:r>
      <w:r>
        <w:t xml:space="preserve"> </w:t>
      </w:r>
      <w:r>
        <w:t xml:space="preserve">(</w:t>
      </w:r>
      <w:hyperlink w:anchor="ref-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200"/>
    <w:bookmarkStart w:id="202" w:name="anexo:parcial-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(I.2).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r>
        <w:rPr>
          <w:rStyle w:val="Referenciaatema"/>
        </w:rPr>
        <w:t xml:space="preserve">[ver tema 3.A.21]</w:t>
      </w:r>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 I.2,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r>
        <w:rPr>
          <w:rStyle w:val="Referenciaatema"/>
        </w:rPr>
        <w:t xml:space="preserve">[ver tema 3.A.21]</w:t>
      </w:r>
      <w:r>
        <w:t xml:space="preserve">.</w:t>
      </w:r>
    </w:p>
    <w:bookmarkStart w:id="201" w:name="qué-estudia-cada-tema-del-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r>
        <w:rPr>
          <w:rStyle w:val="Referenciaatema"/>
        </w:rPr>
        <w:t xml:space="preserve">[ver tema 3.A.21]</w:t>
      </w:r>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r>
        <w:rPr>
          <w:rStyle w:val="Referenciaatema"/>
        </w:rPr>
        <w:t xml:space="preserve">[ver tema 3.A.22]</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r>
        <w:rPr>
          <w:rStyle w:val="Referenciaatema"/>
        </w:rPr>
        <w:t xml:space="preserve">[ver tema 3.A.23]</w:t>
      </w:r>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r>
        <w:rPr>
          <w:rStyle w:val="Referenciaatema"/>
        </w:rPr>
        <w:t xml:space="preserve">[ver tema 3.A.24]</w:t>
      </w:r>
      <w:r>
        <w:t xml:space="preserve">: el óptimo que maximiza el bienestar social no tiene por qué coincidir con el que alcanza el mercado; elegir entre óptimos exige juicios de valor y es materia de la elección colectiva.</w:t>
      </w:r>
    </w:p>
    <w:bookmarkEnd w:id="201"/>
    <w:bookmarkEnd w:id="202"/>
    <w:bookmarkStart w:id="211" w:name="anexo:telarana"/>
    <w:p>
      <w:pPr>
        <w:pStyle w:val="Heading1"/>
      </w:pPr>
      <w:r>
        <w:t xml:space="preserve">E. Anexo: el modelo de la telaraña</w:t>
      </w:r>
    </w:p>
    <w:p>
      <w:pPr>
        <w:pStyle w:val="FirstParagraph"/>
      </w:pPr>
      <w:r>
        <w:t xml:space="preserve">Este anexo desarrolla el modelo de II.1.3 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03" w:name="e.1.-expectativas-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(23)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m:oMath>
        <m:r>
          <m:rPr>
            <m:sty m:val="p"/>
          </m:rPr>
          <m:t>◼</m:t>
        </m:r>
      </m:oMath>
    </w:p>
    <w:bookmarkEnd w:id="203"/>
    <w:bookmarkStart w:id="204" w:name="e.2.-expectativas-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(23)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(23).</w:t>
      </w:r>
    </w:p>
    <w:p>
      <w:pPr>
        <w:pStyle w:val="FirstParagraph"/>
      </w:pPr>
      <m:oMath>
        <m:r>
          <m:rPr>
            <m:sty m:val="p"/>
          </m:rPr>
          <m:t>◼</m:t>
        </m:r>
      </m:oMath>
    </w:p>
    <w:bookmarkEnd w:id="204"/>
    <w:bookmarkStart w:id="205" w:name="e.3.-expectativas-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Muth1961Rational">
        <w:r>
          <w:rPr>
            <w:rStyle w:val="Hyperlink"/>
            <w:smallCaps/>
          </w:rPr>
          <w:t xml:space="preserve">Muth</w:t>
        </w:r>
        <w:r>
          <w:rPr>
            <w:rStyle w:val="Hyperlink"/>
          </w:rPr>
          <w:t xml:space="preserve"> </w:t>
        </w:r>
        <w:r>
          <w:rPr>
            <w:rStyle w:val="Hyperlink"/>
          </w:rPr>
          <w:t xml:space="preserve">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r>
        <w:rPr>
          <w:rStyle w:val="Referenciaatema"/>
        </w:rPr>
        <w:t xml:space="preserve">[ver tema 3.A.6]</w:t>
      </w:r>
      <w:r>
        <w:t xml:space="preserve">.</w:t>
      </w:r>
    </w:p>
    <w:p>
      <w:pPr>
        <w:pStyle w:val="FirstParagraph"/>
      </w:pPr>
      <m:oMath>
        <m:r>
          <m:rPr>
            <m:sty m:val="p"/>
          </m:rPr>
          <m:t>◼</m:t>
        </m:r>
      </m:oMath>
    </w:p>
    <w:bookmarkEnd w:id="205"/>
    <w:bookmarkStart w:id="210" w:name="e.4.-curvas-no-lineales-el-ciclo-límite"/>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18).</w:t>
      </w:r>
    </w:p>
    <w:bookmarkStart w:id="209" w:name="fig:telarana-ciclo-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 title="" id="207" name="Picture"/>
            <a:graphic>
              <a:graphicData uri="http://schemas.openxmlformats.org/drawingml/2006/picture">
                <pic:pic>
                  <pic:nvPicPr>
                    <pic:cNvPr descr="C:\Users\vgutierrez\Documents\src\victorgutierrezmarcos.github.io-revision\oposicion\temario\fuentes\3A16\graficos/telarana-ciclo-limite.png" id="208" name="Picture"/>
                    <pic:cNvPicPr>
                      <a:picLocks noChangeArrowheads="1" noChangeAspect="1"/>
                    </pic:cNvPicPr>
                  </pic:nvPicPr>
                  <pic:blipFill>
                    <a:blip r:embed="rId206"/>
                    <a:stretch>
                      <a:fillRect/>
                    </a:stretch>
                  </pic:blipFill>
                  <pic:spPr bwMode="auto">
                    <a:xfrm>
                      <a:off x="0" y="0"/>
                      <a:ext cx="2486311" cy="205204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w:t>
      </w:r>
    </w:p>
    <w:bookmarkEnd w:id="210"/>
    <w:bookmarkEnd w:id="211"/>
    <w:bookmarkStart w:id="214"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12">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13" w:name="preguntas-probables-del-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3"/>
    <w:bookmarkEnd w:id="214"/>
    <w:bookmarkStart w:id="294" w:name="bibliography"/>
    <w:p>
      <w:pPr>
        <w:pStyle w:val="Heading1"/>
      </w:pPr>
      <w:r>
        <w:t xml:space="preserve">Bibliografía</w:t>
      </w:r>
    </w:p>
    <w:bookmarkStart w:id="293" w:name="refs"/>
    <w:bookmarkStart w:id="215"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15"/>
    <w:bookmarkStart w:id="216" w:name="ref-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16"/>
    <w:bookmarkStart w:id="218"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17">
        <w:r>
          <w:rPr>
            <w:rStyle w:val="Hyperlink"/>
          </w:rPr>
          <w:t xml:space="preserve">https://doi.org/10.2307/2228949</w:t>
        </w:r>
      </w:hyperlink>
      <w:r>
        <w:t xml:space="preserve">.</w:t>
      </w:r>
    </w:p>
    <w:bookmarkEnd w:id="218"/>
    <w:bookmarkStart w:id="219" w:name="ref-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19"/>
    <w:bookmarkStart w:id="220" w:name="ref-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20"/>
    <w:bookmarkStart w:id="222" w:name="ref-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21">
        <w:r>
          <w:rPr>
            <w:rStyle w:val="Hyperlink"/>
          </w:rPr>
          <w:t xml:space="preserve">https://doi.org/10.31389/lsepress.ame</w:t>
        </w:r>
      </w:hyperlink>
      <w:r>
        <w:t xml:space="preserve">.</w:t>
      </w:r>
    </w:p>
    <w:bookmarkEnd w:id="222"/>
    <w:bookmarkStart w:id="223"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23"/>
    <w:bookmarkStart w:id="225" w:name="ref-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24">
        <w:r>
          <w:rPr>
            <w:rStyle w:val="Hyperlink"/>
          </w:rPr>
          <w:t xml:space="preserve">https://www.ec.europa.eu/agrifood/api/oliveOil/prices?memberStateCodes=ES</w:t>
        </w:r>
      </w:hyperlink>
      <w:r>
        <w:t xml:space="preserve">.</w:t>
      </w:r>
    </w:p>
    <w:bookmarkEnd w:id="225"/>
    <w:bookmarkStart w:id="227" w:name="ref-CE2026AceiteProduccion"/>
    <w:p>
      <w:pPr>
        <w:pStyle w:val="Bibliography"/>
      </w:pPr>
      <w:r>
        <w:t xml:space="preserve">———. 2026b.</w:t>
      </w:r>
      <w:r>
        <w:t xml:space="preserve"> </w:t>
      </w:r>
      <w:r>
        <w:t xml:space="preserve">«Agri-food data portal: producción de aceite de oliva por campaña. España (miles de toneladas)»</w:t>
      </w:r>
      <w:r>
        <w:t xml:space="preserve">. 2026.</w:t>
      </w:r>
      <w:r>
        <w:t xml:space="preserve"> </w:t>
      </w:r>
      <w:hyperlink r:id="rId226">
        <w:r>
          <w:rPr>
            <w:rStyle w:val="Hyperlink"/>
          </w:rPr>
          <w:t xml:space="preserve">https://www.ec.europa.eu/agrifood/api/oliveOil/production?memberStateCodes=ES&amp;granularity=annual</w:t>
        </w:r>
      </w:hyperlink>
      <w:r>
        <w:t xml:space="preserve">.</w:t>
      </w:r>
    </w:p>
    <w:bookmarkEnd w:id="227"/>
    <w:bookmarkStart w:id="228"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28"/>
    <w:bookmarkStart w:id="229" w:name="ref-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29"/>
    <w:bookmarkStart w:id="231" w:name="ref-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30">
        <w:r>
          <w:rPr>
            <w:rStyle w:val="Hyperlink"/>
          </w:rPr>
          <w:t xml:space="preserve">https://doi.org/10.1017/cbo9780511843617</w:t>
        </w:r>
      </w:hyperlink>
      <w:r>
        <w:t xml:space="preserve">.</w:t>
      </w:r>
    </w:p>
    <w:bookmarkEnd w:id="231"/>
    <w:bookmarkStart w:id="233"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32">
        <w:r>
          <w:rPr>
            <w:rStyle w:val="Hyperlink"/>
          </w:rPr>
          <w:t xml:space="preserve">https://doi.org/10.2307/1906814</w:t>
        </w:r>
      </w:hyperlink>
      <w:r>
        <w:t xml:space="preserve">.</w:t>
      </w:r>
    </w:p>
    <w:bookmarkEnd w:id="233"/>
    <w:bookmarkStart w:id="234"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4"/>
    <w:bookmarkStart w:id="235"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35"/>
    <w:bookmarkStart w:id="237" w:name="ref-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36">
        <w:r>
          <w:rPr>
            <w:rStyle w:val="Hyperlink"/>
          </w:rPr>
          <w:t xml:space="preserve">https://doi.org/10.2307/1881734</w:t>
        </w:r>
      </w:hyperlink>
      <w:r>
        <w:t xml:space="preserve">.</w:t>
      </w:r>
    </w:p>
    <w:bookmarkEnd w:id="237"/>
    <w:bookmarkStart w:id="239"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38">
        <w:r>
          <w:rPr>
            <w:rStyle w:val="Hyperlink"/>
          </w:rPr>
          <w:t xml:space="preserve">https://doi.org/10.2307/1906943</w:t>
        </w:r>
      </w:hyperlink>
      <w:r>
        <w:t xml:space="preserve">.</w:t>
      </w:r>
    </w:p>
    <w:bookmarkEnd w:id="239"/>
    <w:bookmarkStart w:id="241"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40">
        <w:r>
          <w:rPr>
            <w:rStyle w:val="Hyperlink"/>
          </w:rPr>
          <w:t xml:space="preserve">https://doi.org/10.1111/j.1467-999X.1961.tb00819.x</w:t>
        </w:r>
      </w:hyperlink>
      <w:r>
        <w:t xml:space="preserve">.</w:t>
      </w:r>
    </w:p>
    <w:bookmarkEnd w:id="241"/>
    <w:bookmarkStart w:id="243"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42">
        <w:r>
          <w:rPr>
            <w:rStyle w:val="Hyperlink"/>
          </w:rPr>
          <w:t xml:space="preserve">https://doi.org/10.1086/260629</w:t>
        </w:r>
      </w:hyperlink>
      <w:r>
        <w:t xml:space="preserve">.</w:t>
      </w:r>
    </w:p>
    <w:bookmarkEnd w:id="243"/>
    <w:bookmarkStart w:id="244" w:name="ref-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44"/>
    <w:bookmarkStart w:id="245" w:name="ref-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45"/>
    <w:bookmarkStart w:id="246" w:name="ref-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46"/>
    <w:bookmarkStart w:id="248" w:name="ref-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47">
        <w:r>
          <w:rPr>
            <w:rStyle w:val="Hyperlink"/>
          </w:rPr>
          <w:t xml:space="preserve">https://servicios.ine.es/wstempus/js/ES/DATOS_SERIE/IPC291663?nult=60</w:t>
        </w:r>
      </w:hyperlink>
      <w:r>
        <w:t xml:space="preserve">.</w:t>
      </w:r>
    </w:p>
    <w:bookmarkEnd w:id="248"/>
    <w:bookmarkStart w:id="249" w:name="ref-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49"/>
    <w:bookmarkStart w:id="251" w:name="ref-Jenkin1872Incidence"/>
    <w:p>
      <w:pPr>
        <w:pStyle w:val="Bibliography"/>
      </w:pPr>
      <w:r>
        <w:t xml:space="preserve">———.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50">
        <w:r>
          <w:rPr>
            <w:rStyle w:val="Hyperlink"/>
          </w:rPr>
          <w:t xml:space="preserve">https://doi.org/10.1017/s0370164600042760</w:t>
        </w:r>
      </w:hyperlink>
      <w:r>
        <w:t xml:space="preserve">.</w:t>
      </w:r>
    </w:p>
    <w:bookmarkEnd w:id="251"/>
    <w:bookmarkStart w:id="252"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252"/>
    <w:bookmarkStart w:id="254" w:name="ref-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253">
        <w:r>
          <w:rPr>
            <w:rStyle w:val="Hyperlink"/>
          </w:rPr>
          <w:t xml:space="preserve">https://doi.org/10.2307/2967618</w:t>
        </w:r>
      </w:hyperlink>
      <w:r>
        <w:t xml:space="preserve">.</w:t>
      </w:r>
    </w:p>
    <w:bookmarkEnd w:id="254"/>
    <w:bookmarkStart w:id="25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55">
        <w:r>
          <w:rPr>
            <w:rStyle w:val="Hyperlink"/>
          </w:rPr>
          <w:t xml:space="preserve">https://doi.org/10.1086/259131</w:t>
        </w:r>
      </w:hyperlink>
      <w:r>
        <w:t xml:space="preserve">.</w:t>
      </w:r>
    </w:p>
    <w:bookmarkEnd w:id="256"/>
    <w:bookmarkStart w:id="258" w:name="ref-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57">
        <w:r>
          <w:rPr>
            <w:rStyle w:val="Hyperlink"/>
          </w:rPr>
          <w:t xml:space="preserve">https://doi.org/10.2307/1905465</w:t>
        </w:r>
      </w:hyperlink>
      <w:r>
        <w:t xml:space="preserve">.</w:t>
      </w:r>
    </w:p>
    <w:bookmarkEnd w:id="258"/>
    <w:bookmarkStart w:id="259"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259"/>
    <w:bookmarkStart w:id="261"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60">
        <w:r>
          <w:rPr>
            <w:rStyle w:val="Hyperlink"/>
          </w:rPr>
          <w:t xml:space="preserve">https://doi.org/10.2307/2967550</w:t>
        </w:r>
      </w:hyperlink>
      <w:r>
        <w:t xml:space="preserve">.</w:t>
      </w:r>
    </w:p>
    <w:bookmarkEnd w:id="261"/>
    <w:bookmarkStart w:id="263"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2">
        <w:r>
          <w:rPr>
            <w:rStyle w:val="Hyperlink"/>
          </w:rPr>
          <w:t xml:space="preserve">https://www.marxists.org/reference/subject/economics/marshall/bk1ch01.htm</w:t>
        </w:r>
      </w:hyperlink>
      <w:r>
        <w:t xml:space="preserve">.</w:t>
      </w:r>
    </w:p>
    <w:bookmarkEnd w:id="263"/>
    <w:bookmarkStart w:id="264"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4"/>
    <w:bookmarkStart w:id="266" w:name="ref-Molina1597Iustitia"/>
    <w:p>
      <w:pPr>
        <w:pStyle w:val="Bibliography"/>
      </w:pPr>
      <w:r>
        <w:t xml:space="preserve">Molina, Luis de. 1597.</w:t>
      </w:r>
      <w:r>
        <w:t xml:space="preserve"> </w:t>
      </w:r>
      <w:r>
        <w:rPr>
          <w:i/>
          <w:iCs/>
        </w:rPr>
        <w:t xml:space="preserve">De iustitia et iure</w:t>
      </w:r>
      <w:r>
        <w:t xml:space="preserve">. Vol. 2.</w:t>
      </w:r>
      <w:r>
        <w:t xml:space="preserve"> </w:t>
      </w:r>
      <w:hyperlink r:id="rId265">
        <w:r>
          <w:rPr>
            <w:rStyle w:val="Hyperlink"/>
          </w:rPr>
          <w:t xml:space="preserve">https://www.hetwebsite.net/het/profiles/molina.htm</w:t>
        </w:r>
      </w:hyperlink>
      <w:r>
        <w:t xml:space="preserve">.</w:t>
      </w:r>
    </w:p>
    <w:bookmarkEnd w:id="266"/>
    <w:bookmarkStart w:id="267" w:name="ref-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267"/>
    <w:bookmarkStart w:id="269" w:name="ref-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268">
        <w:r>
          <w:rPr>
            <w:rStyle w:val="Hyperlink"/>
          </w:rPr>
          <w:t xml:space="preserve">https://doi.org/10.2307/1909635</w:t>
        </w:r>
      </w:hyperlink>
      <w:r>
        <w:t xml:space="preserve">.</w:t>
      </w:r>
    </w:p>
    <w:bookmarkEnd w:id="269"/>
    <w:bookmarkStart w:id="270" w:name="ref-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270"/>
    <w:bookmarkStart w:id="271"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271"/>
    <w:bookmarkStart w:id="27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272"/>
    <w:bookmarkStart w:id="273" w:name="ref-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273"/>
    <w:bookmarkStart w:id="274" w:name="ref-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274"/>
    <w:bookmarkStart w:id="275" w:name="ref-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275"/>
    <w:bookmarkStart w:id="276" w:name="ref-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276"/>
    <w:bookmarkStart w:id="277" w:name="ref-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277"/>
    <w:bookmarkStart w:id="279"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278">
        <w:r>
          <w:rPr>
            <w:rStyle w:val="Hyperlink"/>
          </w:rPr>
          <w:t xml:space="preserve">https://www.gutenberg.org/cache/epub/3300/pg3300.txt</w:t>
        </w:r>
      </w:hyperlink>
      <w:r>
        <w:t xml:space="preserve">.</w:t>
      </w:r>
    </w:p>
    <w:bookmarkEnd w:id="279"/>
    <w:bookmarkStart w:id="281" w:name="ref-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280">
        <w:r>
          <w:rPr>
            <w:rStyle w:val="Hyperlink"/>
          </w:rPr>
          <w:t xml:space="preserve">https://doi.org/10.1086/466541</w:t>
        </w:r>
      </w:hyperlink>
      <w:r>
        <w:t xml:space="preserve">.</w:t>
      </w:r>
    </w:p>
    <w:bookmarkEnd w:id="281"/>
    <w:bookmarkStart w:id="283"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282">
        <w:r>
          <w:rPr>
            <w:rStyle w:val="Hyperlink"/>
          </w:rPr>
          <w:t xml:space="preserve">https://doi.org/10.1086/258464</w:t>
        </w:r>
      </w:hyperlink>
      <w:r>
        <w:t xml:space="preserve">.</w:t>
      </w:r>
    </w:p>
    <w:bookmarkEnd w:id="283"/>
    <w:bookmarkStart w:id="284"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84"/>
    <w:bookmarkStart w:id="286" w:name="ref-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285">
        <w:r>
          <w:rPr>
            <w:rStyle w:val="Hyperlink"/>
          </w:rPr>
          <w:t xml:space="preserve">https://hetwebsite.net/het/profiles/jenkin.htm</w:t>
        </w:r>
      </w:hyperlink>
      <w:r>
        <w:t xml:space="preserve">.</w:t>
      </w:r>
    </w:p>
    <w:bookmarkEnd w:id="286"/>
    <w:bookmarkStart w:id="287"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287"/>
    <w:bookmarkStart w:id="288"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288"/>
    <w:bookmarkStart w:id="290"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289">
        <w:r>
          <w:rPr>
            <w:rStyle w:val="Hyperlink"/>
          </w:rPr>
          <w:t xml:space="preserve">https://doi.org/10.1086/261484</w:t>
        </w:r>
      </w:hyperlink>
      <w:r>
        <w:t xml:space="preserve">.</w:t>
      </w:r>
    </w:p>
    <w:bookmarkEnd w:id="290"/>
    <w:bookmarkStart w:id="292"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291">
        <w:r>
          <w:rPr>
            <w:rStyle w:val="Hyperlink"/>
          </w:rPr>
          <w:t xml:space="preserve">https://archive.org/details/lmentsdconomiep01walrgoog</w:t>
        </w:r>
      </w:hyperlink>
      <w:r>
        <w:t xml:space="preserve">.</w:t>
      </w:r>
    </w:p>
    <w:bookmarkEnd w:id="292"/>
    <w:bookmarkEnd w:id="293"/>
    <w:bookmarkEnd w:id="29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clasificación en 4 estructuras es una simplificación expositiva</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Hay otras, como las</w:t>
      </w:r>
      <w:r>
        <w:t xml:space="preserve"> </w:t>
      </w:r>
      <w:r>
        <w:rPr>
          <w:i/>
          <w:iCs/>
        </w:rPr>
        <w:t xml:space="preserve">plataformas</w:t>
      </w:r>
      <w:r>
        <w:t xml:space="preserve">, en las que la utilidad de cada usuario aumenta con el número de usuarios (efectos de red).</w:t>
      </w:r>
    </w:p>
  </w:footnote>
  <w:footnote w:id="25">
    <w:p>
      <w:pPr>
        <w:pStyle w:val="FootnoteText"/>
      </w:pPr>
      <w:r>
        <w:rPr>
          <w:rStyle w:val="FootnoteReference"/>
        </w:rPr>
        <w:footnoteRef/>
      </w:r>
      <w:r>
        <w:t xml:space="preserve"> </w:t>
      </w:r>
      <w:r>
        <w:t xml:space="preserve">Al relajar el supuesto 2 se llega a la economía de la información</w:t>
      </w:r>
      <w:r>
        <w:t xml:space="preserve"> </w:t>
      </w:r>
      <w:r>
        <w:rPr>
          <w:rStyle w:val="Referenciaatema"/>
        </w:rPr>
        <w:t xml:space="preserve">[ver tema 3.A.13]</w:t>
      </w:r>
      <w:r>
        <w:t xml:space="preserve">.</w:t>
      </w:r>
    </w:p>
  </w:footnote>
  <w:footnote w:id="26">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Molina1597Iustitia">
        <w:r>
          <w:rPr>
            <w:rStyle w:val="Hyperlink"/>
            <w:smallCaps/>
          </w:rPr>
          <w:t xml:space="preserve">Molina</w:t>
        </w:r>
        <w:r>
          <w:rPr>
            <w:rStyle w:val="Hyperlink"/>
          </w:rPr>
          <w:t xml:space="preserve"> </w:t>
        </w:r>
        <w:r>
          <w:rPr>
            <w:rStyle w:val="Hyperlink"/>
          </w:rPr>
          <w:t xml:space="preserve">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Azpilcueta1556Cambios">
        <w:r>
          <w:rPr>
            <w:rStyle w:val="Hyperlink"/>
            <w:smallCaps/>
          </w:rPr>
          <w:t xml:space="preserve">Azpilcueta</w:t>
        </w:r>
        <w:r>
          <w:rPr>
            <w:rStyle w:val="Hyperlink"/>
          </w:rPr>
          <w:t xml:space="preserve"> </w:t>
        </w:r>
        <w:r>
          <w:rPr>
            <w:rStyle w:val="Hyperlink"/>
          </w:rPr>
          <w:t xml:space="preserve">1556</w:t>
        </w:r>
      </w:hyperlink>
      <w:r>
        <w:t xml:space="preserve">;</w:t>
      </w:r>
      <w:r>
        <w:t xml:space="preserve"> </w:t>
      </w:r>
      <w:hyperlink w:anchor="ref-Bodin1568Reponse">
        <w:r>
          <w:rPr>
            <w:rStyle w:val="Hyperlink"/>
            <w:smallCaps/>
          </w:rPr>
          <w:t xml:space="preserve">Bodin</w:t>
        </w:r>
        <w:r>
          <w:rPr>
            <w:rStyle w:val="Hyperlink"/>
          </w:rPr>
          <w:t xml:space="preserve"> </w:t>
        </w:r>
        <w:r>
          <w:rPr>
            <w:rStyle w:val="Hyperlink"/>
          </w:rPr>
          <w:t xml:space="preserve">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con su método del equilibrio parcial.</w:t>
      </w:r>
    </w:p>
  </w:footnote>
  <w:footnote w:id="28">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D).</w:t>
      </w:r>
    </w:p>
  </w:footnote>
  <w:footnote w:id="30">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footnote>
  <w:footnote w:id="31">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32">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r>
        <w:rPr>
          <w:rStyle w:val="Referenciaatema"/>
        </w:rPr>
        <w:t xml:space="preserve">[ver tema 3.A.8]</w:t>
      </w:r>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33">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r>
        <w:rPr>
          <w:rStyle w:val="Referenciaatema"/>
        </w:rPr>
        <w:t xml:space="preserve">[ver tema 3.A.18]</w:t>
      </w:r>
      <w:r>
        <w:t xml:space="preserve">.</w:t>
      </w:r>
    </w:p>
  </w:footnote>
  <w:footnote w:id="34">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Gorman1953Community">
        <w:r>
          <w:rPr>
            <w:rStyle w:val="Hyperlink"/>
            <w:smallCaps/>
          </w:rPr>
          <w:t xml:space="preserve">Gorman</w:t>
        </w:r>
        <w:r>
          <w:rPr>
            <w:rStyle w:val="Hyperlink"/>
          </w:rPr>
          <w:t xml:space="preserve"> </w:t>
        </w:r>
        <w:r>
          <w:rPr>
            <w:rStyle w:val="Hyperlink"/>
          </w:rPr>
          <w:t xml:space="preserve">1953</w:t>
        </w:r>
      </w:hyperlink>
      <w:r>
        <w:t xml:space="preserve">,</w:t>
      </w:r>
      <w:r>
        <w:t xml:space="preserve"> </w:t>
      </w:r>
      <w:hyperlink w:anchor="ref-Gorman1961Class">
        <w:r>
          <w:rPr>
            <w:rStyle w:val="Hyperlink"/>
          </w:rPr>
          <w:t xml:space="preserve">1961</w:t>
        </w:r>
      </w:hyperlink>
      <w:r>
        <w:t xml:space="preserve">)</w:t>
      </w:r>
      <w:r>
        <w:t xml:space="preserve"> </w:t>
      </w:r>
      <w:r>
        <w:rPr>
          <w:rStyle w:val="Referenciaatema"/>
        </w:rPr>
        <w:t xml:space="preserve">[ver tema 3.A.8]</w:t>
      </w:r>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40">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r>
        <w:rPr>
          <w:rStyle w:val="Referenciaatema"/>
        </w:rPr>
        <w:t xml:space="preserve">[ver tema 3.A.12]</w:t>
      </w:r>
      <w:r>
        <w:t xml:space="preserve">; aquí solo importa su forma como función de</w:t>
      </w:r>
      <w:r>
        <w:t xml:space="preserve"> </w:t>
      </w:r>
      <m:oMath>
        <m:r>
          <m:t>q</m:t>
        </m:r>
      </m:oMath>
      <w:r>
        <w:t xml:space="preserve">.</w:t>
      </w:r>
    </w:p>
  </w:footnote>
  <w:footnote w:id="41">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r>
        <w:rPr>
          <w:rStyle w:val="Referenciaatema"/>
        </w:rPr>
        <w:t xml:space="preserve">[ver tema 3.A.12]</w:t>
      </w:r>
      <w:r>
        <w:t xml:space="preserve">. Con rendimientos crecientes en todo el dominio, el problema de la empresa precio-aceptante no tiene solución: siempre ganaría más produciendo más. Con rendimientos constantes, el tamaño de la empresa queda indeterminado (III.3).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r>
        <w:rPr>
          <w:rStyle w:val="Referenciaatema"/>
        </w:rPr>
        <w:t xml:space="preserve">[ver tema 3.A.12]</w:t>
      </w:r>
      <w:r>
        <w:t xml:space="preserve">.</w:t>
      </w:r>
    </w:p>
  </w:footnote>
  <w:footnote w:id="46">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r>
        <w:rPr>
          <w:rStyle w:val="Referenciaatema"/>
        </w:rPr>
        <w:t xml:space="preserve">[ver tema 3.A.12]</w:t>
      </w:r>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49">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80">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r>
        <w:rPr>
          <w:rStyle w:val="Referenciaatema"/>
        </w:rPr>
        <w:t xml:space="preserve">[ver tema 3.A.21]</w:t>
      </w:r>
      <w:r>
        <w:t xml:space="preserve">.</w:t>
      </w:r>
    </w:p>
  </w:footnote>
  <w:footnote w:id="90">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03">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medir la utilidad de un puente o de una carretera</w:t>
      </w:r>
      <w:r>
        <w:t xml:space="preserve"> </w:t>
      </w:r>
      <w:r>
        <w:rPr>
          <w:rStyle w:val="Referenciaatema"/>
        </w:rPr>
        <w:t xml:space="preserve">[ver tema 3.A.9]</w:t>
      </w:r>
      <w:r>
        <w:t xml:space="preserve">.</w:t>
      </w:r>
    </w:p>
  </w:footnote>
  <w:footnote w:id="104">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05">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11">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t xml:space="preserve"> </w:t>
      </w:r>
      <w:r>
        <w:rPr>
          <w:rStyle w:val="Referenciaatema"/>
        </w:rPr>
        <w:t xml:space="preserve">[ver tema 3.A.22]</w:t>
      </w:r>
      <w:r>
        <w:t xml:space="preserve">.</w:t>
      </w:r>
    </w:p>
  </w:footnote>
  <w:footnote w:id="112">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17">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25">
    <w:p>
      <w:pPr>
        <w:pStyle w:val="FootnoteText"/>
      </w:pPr>
      <w:r>
        <w:rPr>
          <w:rStyle w:val="FootnoteReference"/>
        </w:rPr>
        <w:footnoteRef/>
      </w:r>
      <w:r>
        <w:t xml:space="preserve"> </w:t>
      </w:r>
      <w:r>
        <w:rPr>
          <w:smallCaps/>
        </w:rPr>
        <w:t xml:space="preserve">Jenkin</w:t>
      </w:r>
      <w:r>
        <w:t xml:space="preserve"> </w:t>
      </w:r>
      <w:r>
        <w:t xml:space="preserve">(</w:t>
      </w:r>
      <w:hyperlink w:anchor="ref-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4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caps. VIII y IX)</w:t>
      </w:r>
      <w:r>
        <w:t xml:space="preserve">. Es el excedente del productor a corto plazo: ingresos menos costes variables.</w:t>
      </w:r>
    </w:p>
  </w:footnote>
  <w:footnote w:id="143">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4),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57">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159">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(II.1.2).</w:t>
      </w:r>
    </w:p>
  </w:footnote>
  <w:footnote w:id="160">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161">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r>
        <w:rPr>
          <w:rStyle w:val="Referenciaatema"/>
        </w:rPr>
        <w:t xml:space="preserve">[ver tema 3.A.11]</w:t>
      </w:r>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186">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118" Target="media/rId118.png" /><Relationship Type="http://schemas.openxmlformats.org/officeDocument/2006/relationships/image" Id="rId196" Target="media/rId196.png" /><Relationship Type="http://schemas.openxmlformats.org/officeDocument/2006/relationships/image" Id="rId167" Target="media/rId167.png" /><Relationship Type="http://schemas.openxmlformats.org/officeDocument/2006/relationships/image" Id="rId50" Target="media/rId5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91" Target="media/rId191.png" /><Relationship Type="http://schemas.openxmlformats.org/officeDocument/2006/relationships/image" Id="rId127" Target="media/rId127.png" /><Relationship Type="http://schemas.openxmlformats.org/officeDocument/2006/relationships/image" Id="rId162" Target="media/rId162.png" /><Relationship Type="http://schemas.openxmlformats.org/officeDocument/2006/relationships/image" Id="rId137" Target="media/rId137.png" /><Relationship Type="http://schemas.openxmlformats.org/officeDocument/2006/relationships/image" Id="rId71" Target="media/rId71.png" /><Relationship Type="http://schemas.openxmlformats.org/officeDocument/2006/relationships/image" Id="rId62" Target="media/rId62.png" /><Relationship Type="http://schemas.openxmlformats.org/officeDocument/2006/relationships/image" Id="rId144" Target="media/rId144.png" /><Relationship Type="http://schemas.openxmlformats.org/officeDocument/2006/relationships/image" Id="rId42" Target="media/rId42.png" /><Relationship Type="http://schemas.openxmlformats.org/officeDocument/2006/relationships/image" Id="rId174" Target="media/rId174.png" /><Relationship Type="http://schemas.openxmlformats.org/officeDocument/2006/relationships/image" Id="rId206" Target="media/rId206.png" /><Relationship Type="http://schemas.openxmlformats.org/officeDocument/2006/relationships/image" Id="rId92" Target="media/rId92.png" /><Relationship Type="http://schemas.openxmlformats.org/officeDocument/2006/relationships/hyperlink" Id="rId291" Target="https://archive.org/details/lmentsdconomiep01walrgoog" TargetMode="External" /><Relationship Type="http://schemas.openxmlformats.org/officeDocument/2006/relationships/hyperlink" Id="rId230" Target="https://doi.org/10.1017/cbo9780511843617" TargetMode="External" /><Relationship Type="http://schemas.openxmlformats.org/officeDocument/2006/relationships/hyperlink" Id="rId250" Target="https://doi.org/10.1017/s0370164600042760" TargetMode="External" /><Relationship Type="http://schemas.openxmlformats.org/officeDocument/2006/relationships/hyperlink" Id="rId282" Target="https://doi.org/10.1086/258464" TargetMode="External" /><Relationship Type="http://schemas.openxmlformats.org/officeDocument/2006/relationships/hyperlink" Id="rId255" Target="https://doi.org/10.1086/259131" TargetMode="External" /><Relationship Type="http://schemas.openxmlformats.org/officeDocument/2006/relationships/hyperlink" Id="rId242" Target="https://doi.org/10.1086/260629" TargetMode="External" /><Relationship Type="http://schemas.openxmlformats.org/officeDocument/2006/relationships/hyperlink" Id="rId289" Target="https://doi.org/10.1086/261484" TargetMode="External" /><Relationship Type="http://schemas.openxmlformats.org/officeDocument/2006/relationships/hyperlink" Id="rId280" Target="https://doi.org/10.1086/466541" TargetMode="External" /><Relationship Type="http://schemas.openxmlformats.org/officeDocument/2006/relationships/hyperlink" Id="rId240" Target="https://doi.org/10.1111/j.1467-999X.1961.tb00819.x" TargetMode="External" /><Relationship Type="http://schemas.openxmlformats.org/officeDocument/2006/relationships/hyperlink" Id="rId236" Target="https://doi.org/10.2307/1881734" TargetMode="External" /><Relationship Type="http://schemas.openxmlformats.org/officeDocument/2006/relationships/hyperlink" Id="rId257" Target="https://doi.org/10.2307/1905465" TargetMode="External" /><Relationship Type="http://schemas.openxmlformats.org/officeDocument/2006/relationships/hyperlink" Id="rId232" Target="https://doi.org/10.2307/1906814" TargetMode="External" /><Relationship Type="http://schemas.openxmlformats.org/officeDocument/2006/relationships/hyperlink" Id="rId238" Target="https://doi.org/10.2307/1906943" TargetMode="External" /><Relationship Type="http://schemas.openxmlformats.org/officeDocument/2006/relationships/hyperlink" Id="rId268" Target="https://doi.org/10.2307/1909635" TargetMode="External" /><Relationship Type="http://schemas.openxmlformats.org/officeDocument/2006/relationships/hyperlink" Id="rId217" Target="https://doi.org/10.2307/2228949" TargetMode="External" /><Relationship Type="http://schemas.openxmlformats.org/officeDocument/2006/relationships/hyperlink" Id="rId260" Target="https://doi.org/10.2307/2967550" TargetMode="External" /><Relationship Type="http://schemas.openxmlformats.org/officeDocument/2006/relationships/hyperlink" Id="rId253" Target="https://doi.org/10.2307/2967618" TargetMode="External" /><Relationship Type="http://schemas.openxmlformats.org/officeDocument/2006/relationships/hyperlink" Id="rId221" Target="https://doi.org/10.31389/lsepress.ame" TargetMode="External" /><Relationship Type="http://schemas.openxmlformats.org/officeDocument/2006/relationships/hyperlink" Id="rId285" Target="https://hetwebsite.net/het/profiles/jenkin.htm" TargetMode="External" /><Relationship Type="http://schemas.openxmlformats.org/officeDocument/2006/relationships/hyperlink" Id="rId247" Target="https://servicios.ine.es/wstempus/js/ES/DATOS_SERIE/IPC291663?nult=60" TargetMode="External" /><Relationship Type="http://schemas.openxmlformats.org/officeDocument/2006/relationships/hyperlink" Id="rId224" Target="https://www.ec.europa.eu/agrifood/api/oliveOil/prices?memberStateCodes=ES" TargetMode="External" /><Relationship Type="http://schemas.openxmlformats.org/officeDocument/2006/relationships/hyperlink" Id="rId226" Target="https://www.ec.europa.eu/agrifood/api/oliveOil/production?memberStateCodes=ES&amp;granularity=annual" TargetMode="External" /><Relationship Type="http://schemas.openxmlformats.org/officeDocument/2006/relationships/hyperlink" Id="rId278" Target="https://www.gutenberg.org/cache/epub/3300/pg3300.txt" TargetMode="External" /><Relationship Type="http://schemas.openxmlformats.org/officeDocument/2006/relationships/hyperlink" Id="rId265" Target="https://www.hetwebsite.net/het/profiles/molina.htm" TargetMode="External" /><Relationship Type="http://schemas.openxmlformats.org/officeDocument/2006/relationships/hyperlink" Id="rId262" Target="https://www.marxists.org/reference/subject/economics/marshall/bk1ch01.htm" TargetMode="External" /><Relationship Type="http://schemas.openxmlformats.org/officeDocument/2006/relationships/hyperlink" Id="rId212"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91" Target="https://archive.org/details/lmentsdconomiep01walrgoog" TargetMode="External" /><Relationship Type="http://schemas.openxmlformats.org/officeDocument/2006/relationships/hyperlink" Id="rId230" Target="https://doi.org/10.1017/cbo9780511843617" TargetMode="External" /><Relationship Type="http://schemas.openxmlformats.org/officeDocument/2006/relationships/hyperlink" Id="rId250" Target="https://doi.org/10.1017/s0370164600042760" TargetMode="External" /><Relationship Type="http://schemas.openxmlformats.org/officeDocument/2006/relationships/hyperlink" Id="rId282" Target="https://doi.org/10.1086/258464" TargetMode="External" /><Relationship Type="http://schemas.openxmlformats.org/officeDocument/2006/relationships/hyperlink" Id="rId255" Target="https://doi.org/10.1086/259131" TargetMode="External" /><Relationship Type="http://schemas.openxmlformats.org/officeDocument/2006/relationships/hyperlink" Id="rId242" Target="https://doi.org/10.1086/260629" TargetMode="External" /><Relationship Type="http://schemas.openxmlformats.org/officeDocument/2006/relationships/hyperlink" Id="rId289" Target="https://doi.org/10.1086/261484" TargetMode="External" /><Relationship Type="http://schemas.openxmlformats.org/officeDocument/2006/relationships/hyperlink" Id="rId280" Target="https://doi.org/10.1086/466541" TargetMode="External" /><Relationship Type="http://schemas.openxmlformats.org/officeDocument/2006/relationships/hyperlink" Id="rId240" Target="https://doi.org/10.1111/j.1467-999X.1961.tb00819.x" TargetMode="External" /><Relationship Type="http://schemas.openxmlformats.org/officeDocument/2006/relationships/hyperlink" Id="rId236" Target="https://doi.org/10.2307/1881734" TargetMode="External" /><Relationship Type="http://schemas.openxmlformats.org/officeDocument/2006/relationships/hyperlink" Id="rId257" Target="https://doi.org/10.2307/1905465" TargetMode="External" /><Relationship Type="http://schemas.openxmlformats.org/officeDocument/2006/relationships/hyperlink" Id="rId232" Target="https://doi.org/10.2307/1906814" TargetMode="External" /><Relationship Type="http://schemas.openxmlformats.org/officeDocument/2006/relationships/hyperlink" Id="rId238" Target="https://doi.org/10.2307/1906943" TargetMode="External" /><Relationship Type="http://schemas.openxmlformats.org/officeDocument/2006/relationships/hyperlink" Id="rId268" Target="https://doi.org/10.2307/1909635" TargetMode="External" /><Relationship Type="http://schemas.openxmlformats.org/officeDocument/2006/relationships/hyperlink" Id="rId217" Target="https://doi.org/10.2307/2228949" TargetMode="External" /><Relationship Type="http://schemas.openxmlformats.org/officeDocument/2006/relationships/hyperlink" Id="rId260" Target="https://doi.org/10.2307/2967550" TargetMode="External" /><Relationship Type="http://schemas.openxmlformats.org/officeDocument/2006/relationships/hyperlink" Id="rId253" Target="https://doi.org/10.2307/2967618" TargetMode="External" /><Relationship Type="http://schemas.openxmlformats.org/officeDocument/2006/relationships/hyperlink" Id="rId221" Target="https://doi.org/10.31389/lsepress.ame" TargetMode="External" /><Relationship Type="http://schemas.openxmlformats.org/officeDocument/2006/relationships/hyperlink" Id="rId285" Target="https://hetwebsite.net/het/profiles/jenkin.htm" TargetMode="External" /><Relationship Type="http://schemas.openxmlformats.org/officeDocument/2006/relationships/hyperlink" Id="rId247" Target="https://servicios.ine.es/wstempus/js/ES/DATOS_SERIE/IPC291663?nult=60" TargetMode="External" /><Relationship Type="http://schemas.openxmlformats.org/officeDocument/2006/relationships/hyperlink" Id="rId224" Target="https://www.ec.europa.eu/agrifood/api/oliveOil/prices?memberStateCodes=ES" TargetMode="External" /><Relationship Type="http://schemas.openxmlformats.org/officeDocument/2006/relationships/hyperlink" Id="rId226" Target="https://www.ec.europa.eu/agrifood/api/oliveOil/production?memberStateCodes=ES&amp;granularity=annual" TargetMode="External" /><Relationship Type="http://schemas.openxmlformats.org/officeDocument/2006/relationships/hyperlink" Id="rId278" Target="https://www.gutenberg.org/cache/epub/3300/pg3300.txt" TargetMode="External" /><Relationship Type="http://schemas.openxmlformats.org/officeDocument/2006/relationships/hyperlink" Id="rId265" Target="https://www.hetwebsite.net/het/profiles/molina.htm" TargetMode="External" /><Relationship Type="http://schemas.openxmlformats.org/officeDocument/2006/relationships/hyperlink" Id="rId262" Target="https://www.marxists.org/reference/subject/economics/marshall/bk1ch01.htm" TargetMode="External" /><Relationship Type="http://schemas.openxmlformats.org/officeDocument/2006/relationships/hyperlink" Id="rId212"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2026-10-18T14:52:04Z</dcterms:created>
  <dcterms:modified xsi:type="dcterms:W3CDTF">2026-10-18T14:52:04Z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graficos-docx">
    <vt:lpwstr>C:\Users\vgutierrez\Documents\src\victorgutierrezmarcos.github.io-revision\oposicion\temario\fuentes\3A16\graficos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36 págs. · Anexos: 8 · Bibliografía: 3</vt:lpwstr>
  </property>
  <property fmtid="{D5CDD505-2E9C-101B-9397-08002B2CF9AE}" pid="19"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0" name="reference-section-title">
    <vt:lpwstr>Bibliografía</vt:lpwstr>
  </property>
  <property fmtid="{D5CDD505-2E9C-101B-9397-08002B2CF9AE}" pid="21" name="resumen">
    <vt:lpwstr>Modelo de competencia perfecta: oferta, demanda y equilibrio parcial, ajuste de Walras y Marshall, telaraña, excedentes, impuestos y libre entrada.</vt:lpwstr>
  </property>
  <property fmtid="{D5CDD505-2E9C-101B-9397-08002B2CF9AE}" pid="22"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3" name="titulo-seo">
    <vt:lpwstr>Competencia perfecta y equilibrio parcial</vt:lpwstr>
  </property>
</Properties>
</file>