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23.png" ContentType="image/png"/>
  <Override PartName="/word/media/rId84.png" ContentType="image/png"/>
  <Override PartName="/word/media/rId176.png" ContentType="image/png"/>
  <Override PartName="/word/media/rId77.png" ContentType="image/png"/>
  <Override PartName="/word/media/rId60.png" ContentType="image/png"/>
  <Override PartName="/word/media/rId147.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28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w:t>
        </w:r>
        <w:r>
          <w:rPr>
            <w:rStyle w:val="Hyperlink"/>
          </w:rPr>
          <w:t xml:space="preserve">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w:t>
        </w:r>
        <w:r>
          <w:rPr>
            <w:rStyle w:val="Hyperlink"/>
          </w:rPr>
          <w:t xml:space="preserve">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w:t>
        </w:r>
        <w:r>
          <w:rPr>
            <w:rStyle w:val="Hyperlink"/>
          </w:rPr>
          <w:t xml:space="preserve">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w:t>
        </w:r>
        <w:r>
          <w:rPr>
            <w:rStyle w:val="Hyperlink"/>
          </w:rPr>
          <w:t xml:space="preserve">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w:t>
        </w:r>
        <w:r>
          <w:rPr>
            <w:rStyle w:val="Hyperlink"/>
          </w:rPr>
          <w:t xml:space="preserve">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w:t>
        </w:r>
        <w:r>
          <w:rPr>
            <w:rStyle w:val="Hyperlink"/>
          </w:rPr>
          <w:t xml:space="preserve">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w:t>
        </w:r>
        <w:r>
          <w:rPr>
            <w:rStyle w:val="Hyperlink"/>
          </w:rPr>
          <w:t xml:space="preserve">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w:t>
        </w:r>
        <w:r>
          <w:rPr>
            <w:rStyle w:val="Hyperlink"/>
          </w:rPr>
          <w:t xml:space="preserve">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w:t>
        </w:r>
        <w:r>
          <w:rPr>
            <w:rStyle w:val="Hyperlink"/>
          </w:rPr>
          <w:t xml:space="preserve">2011</w:t>
        </w:r>
      </w:hyperlink>
      <w:r>
        <w:t xml:space="preserve">)</w:t>
      </w:r>
      <w:r>
        <w:t xml:space="preserve">.</w:t>
      </w:r>
    </w:p>
    <w:p>
      <w:pPr>
        <w:numPr>
          <w:ilvl w:val="1"/>
          <w:numId w:val="1004"/>
        </w:numPr>
      </w:pPr>
      <w:r>
        <w:rPr>
          <w:i/>
          <w:iCs/>
        </w:rPr>
        <w:t xml:space="preserve">De política económica</w:t>
      </w:r>
      <w:r>
        <w:t xml:space="preserve">: justifica los seguros obligatorios, la información obligatoria al consumidor, la supervisión bancaria</w:t>
      </w:r>
      <w:r>
        <w:t xml:space="preserve"> </w:t>
      </w:r>
      <w:hyperlink r:id="rId26">
        <w:r>
          <w:rPr>
            <w:rStyle w:val="Referenciaatema"/>
          </w:rPr>
          <w:t xml:space="preserve">[ver tema 3.B.27]</w:t>
        </w:r>
      </w:hyperlink>
      <w:r>
        <w:t xml:space="preserve">, la condicionalidad de las prestaciones y de la ayuda financiera internacional y 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rPr>
          <w:i/>
          <w:iCs/>
        </w:rPr>
        <w:t xml:space="preserve">Desde un punto de vista histórico</w:t>
      </w:r>
      <w:r>
        <w:t xml:space="preserve">:</w:t>
      </w:r>
    </w:p>
    <w:p>
      <w:pPr>
        <w:numPr>
          <w:ilvl w:val="2"/>
          <w:numId w:val="1007"/>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w:t>
        </w:r>
        <w:r>
          <w:rPr>
            <w:rStyle w:val="Hyperlink"/>
          </w:rPr>
          <w:t xml:space="preserve">2016</w:t>
        </w:r>
      </w:hyperlink>
      <w:r>
        <w:t xml:space="preserve">)</w:t>
      </w:r>
      <w:r>
        <w:t xml:space="preserve">, y la pregunta central de hoy, cómo diseñar instituciones que den a cada uno los incentivos adecuados, apenas se planteaba.</w:t>
      </w:r>
    </w:p>
    <w:p>
      <w:pPr>
        <w:numPr>
          <w:ilvl w:val="2"/>
          <w:numId w:val="1007"/>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w:t>
        </w:r>
        <w:r>
          <w:rPr>
            <w:rStyle w:val="Hyperlink"/>
          </w:rPr>
          <w:t xml:space="preserve">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w:t>
        </w:r>
        <w:r>
          <w:rPr>
            <w:rStyle w:val="Hyperlink"/>
          </w:rPr>
          <w:t xml:space="preserve">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w:t>
        </w:r>
        <w:r>
          <w:rPr>
            <w:rStyle w:val="Hyperlink"/>
          </w:rPr>
          <w:t xml:space="preserve">1973</w:t>
        </w:r>
      </w:hyperlink>
      <w:r>
        <w:t xml:space="preserve">;</w:t>
      </w:r>
      <w:r>
        <w:t xml:space="preserve"> </w:t>
      </w:r>
      <w:hyperlink w:anchor="ref_Holmstrom1979Moral">
        <w:r>
          <w:rPr>
            <w:rStyle w:val="Hyperlink"/>
            <w:smallCaps/>
          </w:rPr>
          <w:t xml:space="preserve">Holmström</w:t>
        </w:r>
        <w:r>
          <w:rPr>
            <w:rStyle w:val="Hyperlink"/>
          </w:rPr>
          <w:t xml:space="preserve"> </w:t>
        </w:r>
        <w:r>
          <w:rPr>
            <w:rStyle w:val="Hyperlink"/>
          </w:rPr>
          <w:t xml:space="preserve">1979</w:t>
        </w:r>
      </w:hyperlink>
      <w:r>
        <w:t xml:space="preserve">)</w:t>
      </w:r>
      <w:r>
        <w:t xml:space="preserve"> </w:t>
      </w:r>
      <w:r>
        <w:t xml:space="preserve">y, desde los años 80, la teoría de los contratos y del diseño de mecanismos.</w:t>
      </w:r>
    </w:p>
    <w:p>
      <w:pPr>
        <w:keepNext/>
        <w:numPr>
          <w:ilvl w:val="1"/>
          <w:numId w:val="1006"/>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8"/>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8"/>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w:t>
        </w:r>
        <w:r>
          <w:rPr>
            <w:rStyle w:val="Hyperlink"/>
          </w:rPr>
          <w:t xml:space="preserve">1953</w:t>
        </w:r>
      </w:hyperlink>
      <w:r>
        <w:t xml:space="preserve">;</w:t>
      </w:r>
      <w:r>
        <w:t xml:space="preserve"> </w:t>
      </w:r>
      <w:hyperlink w:anchor="ref_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8"/>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numPr>
          <w:ilvl w:val="1"/>
          <w:numId w:val="1006"/>
        </w:numPr>
      </w:pPr>
      <w:r>
        <w:t xml:space="preserve">La asimetría puede ser de 2 tipos, según el momento y lo que se oculta (tabla </w:t>
      </w:r>
      <w:hyperlink w:anchor="tab_clasificacion_informacion">
        <w:r>
          <w:rPr>
            <w:rStyle w:val="Hyperlink"/>
          </w:rPr>
          <w:t xml:space="preserve">1</w:t>
        </w:r>
      </w:hyperlink>
      <w:r>
        <w:t xml:space="preserve">):</w:t>
      </w:r>
      <w:r>
        <w:t xml:space="preserve"> </w:t>
      </w: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 y</w:t>
      </w:r>
      <w:r>
        <w:t xml:space="preserve"> </w:t>
      </w: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numPr>
          <w:ilvl w:val="1"/>
          <w:numId w:val="1006"/>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w:t>
        </w:r>
        <w:r>
          <w:rPr>
            <w:rStyle w:val="Hyperlink"/>
          </w:rPr>
          <w:t xml:space="preserve">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w:t>
        </w:r>
        <w:r>
          <w:rPr>
            <w:rStyle w:val="Hyperlink"/>
          </w:rPr>
          <w:t xml:space="preserve">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 la de</w:t>
      </w:r>
      <w:r>
        <w:t xml:space="preserve"> </w:t>
      </w:r>
      <w:r>
        <w:rPr>
          <w:b/>
          <w:bCs/>
        </w:rPr>
        <w:t xml:space="preserve">participación</w:t>
      </w:r>
      <w:r>
        <w:t xml:space="preserve"> </w:t>
      </w:r>
      <w:r>
        <w:t xml:space="preserve">(PC: el agente acepta si obtiene al menos su utilidad de reserva) y la de</w:t>
      </w:r>
      <w:r>
        <w:t xml:space="preserve"> </w:t>
      </w:r>
      <w:r>
        <w:rPr>
          <w:b/>
          <w:bCs/>
        </w:rPr>
        <w:t xml:space="preserve">compatibilidad de incentivos</w:t>
      </w:r>
      <w:r>
        <w:t xml:space="preserve"> </w:t>
      </w:r>
      <w:r>
        <w:t xml:space="preserve">(IC: al agente le conviene revelar su tipo o hacer el esfuerzo que se le pide). 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w:t>
        </w:r>
        <w:r>
          <w:rPr>
            <w:rStyle w:val="Hyperlink"/>
          </w:rPr>
          <w:t xml:space="preserve">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Información simétrica</w:t>
            </w:r>
          </w:p>
        </w:tc>
        <w:tc>
          <w:tcPr>
            <w:vAlign w:val="center"/>
          </w:tcPr>
          <w:p>
            <w:pPr>
              <w:pStyle w:val="Celdatceeazulpalido"/>
              <w:jc w:val="center"/>
            </w:pPr>
            <w:r>
              <w:rPr>
                <w:b/>
                <w:bCs/>
              </w:rPr>
              <w:t xml:space="preserve">Información oculta</w:t>
            </w:r>
            <w:r>
              <w:br/>
            </w:r>
            <w:r>
              <w:t xml:space="preserve">(antes del contrato)</w:t>
            </w:r>
          </w:p>
        </w:tc>
        <w:tc>
          <w:tcPr>
            <w:vAlign w:val="center"/>
          </w:tcPr>
          <w:p>
            <w:pPr>
              <w:pStyle w:val="Celdatceeazulpalido"/>
              <w:jc w:val="center"/>
            </w:pPr>
            <w:r>
              <w:rPr>
                <w:b/>
                <w:bCs/>
              </w:rPr>
              <w:t xml:space="preserve">Acción oculta</w:t>
            </w:r>
            <w:r>
              <w:br/>
            </w:r>
            <w:r>
              <w:t xml:space="preserve">(después del contrato)</w:t>
            </w:r>
          </w:p>
        </w:tc>
      </w:tr>
      <w:t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vAlign w:val="center"/>
          </w:tcPr>
          <w:p>
            <w:pPr>
              <w:pStyle w:val="Celdatceesalvia"/>
              <w:jc w:val="center"/>
            </w:pPr>
            <w:r>
              <w:rPr>
                <w:rStyle w:val="Textoverde"/>
                <w:b/>
                <w:bCs/>
              </w:rPr>
              <w:t xml:space="preserve">selección adversa</w:t>
            </w:r>
          </w:p>
        </w:tc>
        <w:tc>
          <w:tcPr>
            <w:vAlign w:val="center"/>
          </w:tcPr>
          <w:p>
            <w:pPr>
              <w:pStyle w:val="Celdatceesalvia"/>
              <w:jc w:val="center"/>
            </w:pPr>
            <w:r>
              <w:rPr>
                <w:rStyle w:val="Textodorado"/>
                <w:b/>
                <w:bCs/>
              </w:rPr>
              <w:t xml:space="preserve">riesgo moral</w:t>
            </w:r>
          </w:p>
        </w:tc>
      </w:tr>
      <w:t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pPr>
      <w:r>
        <w:rPr>
          <w:b/>
          <w:bCs/>
        </w:rPr>
        <w:t xml:space="preserve">Los supuestos del 1TFEB y la información</w:t>
      </w:r>
      <w:r>
        <w:t xml:space="preserve">. El teorema necesita:</w:t>
      </w:r>
      <w:r>
        <w:t xml:space="preserve"> </w:t>
      </w:r>
      <w:r>
        <w:rPr>
          <w:i/>
          <w:iCs/>
        </w:rPr>
        <w:t xml:space="preserve">mercados completos</w:t>
      </w:r>
      <w:r>
        <w:t xml:space="preserve">, un precio para cada bien, sin externalidades ni bienes públicos;</w:t>
      </w:r>
      <w:r>
        <w:t xml:space="preserve"> </w:t>
      </w:r>
      <w:r>
        <w:rPr>
          <w:i/>
          <w:iCs/>
        </w:rPr>
        <w:t xml:space="preserve">precios comunes</w:t>
      </w:r>
      <w:r>
        <w:t xml:space="preserve">, todos se enfrentan a los mismos precios, sin impuestos distorsionantes;</w:t>
      </w:r>
      <w:r>
        <w:t xml:space="preserve"> </w:t>
      </w:r>
      <w:r>
        <w:rPr>
          <w:i/>
          <w:iCs/>
        </w:rPr>
        <w:t xml:space="preserve">precio-aceptación</w:t>
      </w:r>
      <w:r>
        <w:t xml:space="preserve">, nadie tiene poder de mercado, y preferencias</w:t>
      </w:r>
      <w:r>
        <w:t xml:space="preserve"> </w:t>
      </w:r>
      <w:r>
        <w:rPr>
          <w:i/>
          <w:iCs/>
        </w:rPr>
        <w:t xml:space="preserve">localmente no saciables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16.C.1)</w:t>
      </w:r>
      <w:r>
        <w:t xml:space="preserve">. 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09"/>
        </w:numPr>
      </w:pPr>
      <w:r>
        <w:rPr>
          <w:b/>
          <w:bCs/>
          <w:i/>
          <w:iCs/>
        </w:rPr>
        <w:t xml:space="preserve">Problemática (preguntas clave)</w:t>
      </w:r>
      <w:r>
        <w:t xml:space="preserve">:</w:t>
      </w:r>
    </w:p>
    <w:p>
      <w:pPr>
        <w:numPr>
          <w:ilvl w:val="1"/>
          <w:numId w:val="1010"/>
        </w:numPr>
      </w:pPr>
      <w:r>
        <w:t xml:space="preserve">¿Por qué la información asimétrica impide que el mercado asigne los recursos de forma eficiente?</w:t>
      </w:r>
    </w:p>
    <w:p>
      <w:pPr>
        <w:numPr>
          <w:ilvl w:val="1"/>
          <w:numId w:val="1010"/>
        </w:numPr>
      </w:pPr>
      <w:r>
        <w:t xml:space="preserve">¿Qué mecanismos (señales, menús de contratos, pagos por resultados) permiten sortearla, y quién paga su coste?</w:t>
      </w:r>
    </w:p>
    <w:p>
      <w:pPr>
        <w:numPr>
          <w:ilvl w:val="1"/>
          <w:numId w:val="1010"/>
        </w:numPr>
      </w:pPr>
      <w:r>
        <w:t xml:space="preserve">¿Qué puede hacer el sector público, y qué no?</w:t>
      </w:r>
    </w:p>
    <w:p>
      <w:pPr>
        <w:keepNext/>
        <w:numPr>
          <w:ilvl w:val="0"/>
          <w:numId w:val="1009"/>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numPr>
          <w:ilvl w:val="1"/>
          <w:numId w:val="1011"/>
        </w:numPr>
      </w:pPr>
      <w:r>
        <w:rPr>
          <w:b/>
          <w:bCs/>
        </w:rPr>
        <w:t xml:space="preserve">I. Selección adversa</w:t>
      </w:r>
      <w:r>
        <w:t xml:space="preserve">: su definición (</w:t>
      </w:r>
      <w:hyperlink w:anchor="sec_definicion_sa">
        <w:r>
          <w:rPr>
            <w:rStyle w:val="Hyperlink"/>
          </w:rPr>
          <w:t xml:space="preserve">I.1</w:t>
        </w:r>
      </w:hyperlink>
      <w:r>
        <w:t xml:space="preserve">), 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 y 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numPr>
          <w:ilvl w:val="1"/>
          <w:numId w:val="1011"/>
        </w:numPr>
      </w:pPr>
      <w:r>
        <w:rPr>
          <w:b/>
          <w:bCs/>
        </w:rPr>
        <w:t xml:space="preserve">II. Problema de agencia y riesgo moral</w:t>
      </w:r>
      <w:r>
        <w:t xml:space="preserve">: su definición (</w:t>
      </w:r>
      <w:hyperlink w:anchor="sec_definicion_rm">
        <w:r>
          <w:rPr>
            <w:rStyle w:val="Hyperlink"/>
          </w:rPr>
          <w:t xml:space="preserve">II.1</w:t>
        </w:r>
      </w:hyperlink>
      <w:r>
        <w:t xml:space="preserve">), el modelo principal-agente con esfuerzo observable e inobservable (</w:t>
      </w:r>
      <w:hyperlink w:anchor="sec_principal_agente">
        <w:r>
          <w:rPr>
            <w:rStyle w:val="Hyperlink"/>
          </w:rPr>
          <w:t xml:space="preserve">II.2</w:t>
        </w:r>
      </w:hyperlink>
      <w:r>
        <w:t xml:space="preserve">) y sus soluciones (</w:t>
      </w:r>
      <w:hyperlink w:anchor="sec_soluciones_rm">
        <w:r>
          <w:rPr>
            <w:rStyle w:val="Hyperlink"/>
          </w:rPr>
          <w:t xml:space="preserve">II.3</w:t>
        </w:r>
      </w:hyperlink>
      <w:r>
        <w:t xml:space="preserve">).</w:t>
      </w:r>
    </w:p>
    <w:p>
      <w:pPr>
        <w:numPr>
          <w:ilvl w:val="1"/>
          <w:numId w:val="1011"/>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numPr>
          <w:ilvl w:val="0"/>
          <w:numId w:val="1000"/>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 los buenos que se señalizan o aceptan un seguro parcial, el principal que tiene que pagar por el riesgo que carga al agente y el prestatario que se queda sin crédito.</w:t>
      </w:r>
    </w:p>
    <w:p>
      <w:pPr>
        <w:pStyle w:val="Esquema"/>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w:t>
      </w:r>
      <w:r>
        <w:t xml:space="preserve"> </w:t>
      </w:r>
      <m:oMath>
        <m:r>
          <m:rPr>
            <m:sty m:val="p"/>
          </m:rPr>
          <m:t>P</m:t>
        </m:r>
        <m:r>
          <m:rPr>
            <m:sty m:val="p"/>
          </m:rPr>
          <m:t>C</m:t>
        </m:r>
        <m:r>
          <m:rPr>
            <m:sty m:val="p"/>
          </m:rPr>
          <m:t>+</m:t>
        </m:r>
        <m:r>
          <m:rPr>
            <m:sty m:val="p"/>
          </m:rPr>
          <m:t>I</m:t>
        </m:r>
        <m:r>
          <m:rPr>
            <m:sty m:val="p"/>
          </m:rPr>
          <m:t>C</m:t>
        </m:r>
      </m:oMath>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11′ (I.1, 1′; I.2, 2′30″; I.3, 7′30″: señalización, 3′; autoselección, 4′; otras soluciones, 0′30″); II, 11′ (II.1, 1′30″; II.2, 7′30″; II.3, 2′); III, 4′30″ (III.1, 0′30″; III.2, 4′), y conclusión, 1′. La tabla de clasificación sirve de apoyo y no se escribe. Los gráficos imprescindibles son la señalización de</w:t>
      </w:r>
      <w:r>
        <w:t xml:space="preserve"> </w:t>
      </w:r>
      <w:r>
        <w:rPr>
          <w:smallCaps/>
        </w:rPr>
        <w:t xml:space="preserve">Spence</w:t>
      </w:r>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por capas, la caja del principal-agente y los 2 paneles de</w:t>
      </w:r>
      <w:r>
        <w:t xml:space="preserve"> </w:t>
      </w:r>
      <w:r>
        <w:rPr>
          <w:smallCaps/>
        </w:rPr>
        <w:t xml:space="preserve">Stiglitz</w:t>
      </w:r>
      <w:r>
        <w:t xml:space="preserve"> </w:t>
      </w:r>
      <w:r>
        <w:t xml:space="preserve">y</w:t>
      </w:r>
      <w:r>
        <w:t xml:space="preserve"> </w:t>
      </w:r>
      <w:r>
        <w:rPr>
          <w:smallCaps/>
        </w:rPr>
        <w:t xml:space="preserve">Weiss</w:t>
      </w:r>
      <w:r>
        <w:t xml:space="preserve">. El programa del principal (</w:t>
      </w:r>
      <w:hyperlink w:anchor="eq_principal_agente">
        <w:r>
          <w:rPr>
            <w:rStyle w:val="Hyperlink"/>
          </w:rPr>
          <w:t xml:space="preserve">5</w:t>
        </w:r>
      </w:hyperlink>
      <w:r>
        <w:t xml:space="preserve">) se escribe en</w:t>
      </w:r>
      <w:r>
        <w:t xml:space="preserve"> </w:t>
      </w:r>
      <w:hyperlink w:anchor="sec_principal_agente">
        <w:r>
          <w:rPr>
            <w:rStyle w:val="Hyperlink"/>
          </w:rPr>
          <w:t xml:space="preserve">II.2</w:t>
        </w:r>
      </w:hyperlink>
      <w:r>
        <w:t xml:space="preserve"> </w:t>
      </w:r>
      <w:r>
        <w:t xml:space="preserve">y se queda en una esquina de la pizarra hasta el final. Conviene escribir este esquema en la pizarra al empezar.</w:t>
      </w:r>
    </w:p>
    <w:bookmarkEnd w:id="35"/>
    <w:bookmarkStart w:id="100" w:name="sec_seleccion_adversa"/>
    <w:p>
      <w:pPr>
        <w:pStyle w:val="Heading1"/>
      </w:pPr>
      <w:r>
        <w:t xml:space="preserve">I.</w:t>
      </w:r>
      <w:r>
        <w:t xml:space="preserve"> </w:t>
      </w:r>
      <w:r>
        <w:t xml:space="preserve">Selección adversa</w:t>
      </w:r>
      <w:r>
        <w:t xml:space="preserve"> </w:t>
      </w:r>
      <w:r>
        <w:rPr>
          <w:rStyle w:val="Minutos"/>
        </w:rPr>
        <w:t xml:space="preserve">11′</w:t>
      </w:r>
    </w:p>
    <w:p>
      <w:pPr>
        <w:pStyle w:val="Notaalopositor"/>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(2′30″); la señalización con su gráfico y la doble desigualdad (3′); la autoselección con el resumen del seguro con información simétrica en 2 frases y el gráfico por capas (agrupador que no se sostiene y separador), la discriminación de segundo grado y la inexistencia en una frase cada una (4′),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2"/>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13"/>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13"/>
        </w:numPr>
      </w:pPr>
      <w:r>
        <w:t xml:space="preserve">Para que haya selección adversa deben darse 3 condiciones:</w:t>
      </w:r>
    </w:p>
    <w:p>
      <w:pPr>
        <w:numPr>
          <w:ilvl w:val="1"/>
          <w:numId w:val="1014"/>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14"/>
        </w:numPr>
      </w:pPr>
      <w:r>
        <w:rPr>
          <w:i/>
          <w:iCs/>
        </w:rPr>
        <w:t xml:space="preserve">Heterogeneidad</w:t>
      </w:r>
      <w:r>
        <w:t xml:space="preserve">: si todos fueran iguales, no habría nada que distinguir, y un trato uniforme no tendría coste de eficiencia.</w:t>
      </w:r>
    </w:p>
    <w:p>
      <w:pPr>
        <w:numPr>
          <w:ilvl w:val="1"/>
          <w:numId w:val="1014"/>
        </w:numPr>
      </w:pPr>
      <w:r>
        <w:rPr>
          <w:i/>
          <w:iCs/>
        </w:rPr>
        <w:t xml:space="preserve">Conflicto de intereses</w:t>
      </w:r>
      <w:r>
        <w:t xml:space="preserve">: la parte informada no tiene interés en revelarlo; si lo tuviera, lo diría y la asimetría desaparecería.</w:t>
      </w:r>
    </w:p>
    <w:p>
      <w:pPr>
        <w:keepNext/>
        <w:numPr>
          <w:ilvl w:val="0"/>
          <w:numId w:val="1013"/>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w:t>
        </w:r>
        <w:r>
          <w:rPr>
            <w:rStyle w:val="Hyperlink"/>
          </w:rPr>
          <w:t xml:space="preserve">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15"/>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w:t>
        </w:r>
        <w:r>
          <w:rPr>
            <w:rStyle w:val="Hyperlink"/>
          </w:rPr>
          <w:t xml:space="preserve">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13"/>
        </w:numPr>
      </w:pPr>
      <w:r>
        <w:rPr>
          <w:i/>
          <w:iCs/>
        </w:rPr>
        <w:t xml:space="preserve">Aplicaciones</w:t>
      </w:r>
      <w:r>
        <w:t xml:space="preserve">. Aparece en muchos mercados:</w:t>
      </w:r>
    </w:p>
    <w:p>
      <w:pPr>
        <w:numPr>
          <w:ilvl w:val="1"/>
          <w:numId w:val="1016"/>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w:t>
        </w:r>
        <w:r>
          <w:rPr>
            <w:rStyle w:val="Hyperlink"/>
          </w:rPr>
          <w:t xml:space="preserve">1970</w:t>
        </w:r>
      </w:hyperlink>
      <w:r>
        <w:t xml:space="preserve">)</w:t>
      </w:r>
      <w:r>
        <w:t xml:space="preserve">.</w:t>
      </w:r>
    </w:p>
    <w:p>
      <w:pPr>
        <w:numPr>
          <w:ilvl w:val="1"/>
          <w:numId w:val="1016"/>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w:t>
        </w:r>
        <w:r>
          <w:rPr>
            <w:rStyle w:val="Hyperlink"/>
          </w:rPr>
          <w:t xml:space="preserve">1973</w:t>
        </w:r>
      </w:hyperlink>
      <w:r>
        <w:t xml:space="preserve">)</w:t>
      </w:r>
      <w:r>
        <w:t xml:space="preserve">.</w:t>
      </w:r>
    </w:p>
    <w:p>
      <w:pPr>
        <w:numPr>
          <w:ilvl w:val="1"/>
          <w:numId w:val="1016"/>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w:t>
        </w:r>
        <w:r>
          <w:rPr>
            <w:rStyle w:val="Hyperlink"/>
          </w:rPr>
          <w:t xml:space="preserve">1977</w:t>
        </w:r>
      </w:hyperlink>
      <w:r>
        <w:t xml:space="preserve">)</w:t>
      </w:r>
      <w:r>
        <w:t xml:space="preserve">.</w:t>
      </w:r>
    </w:p>
    <w:p>
      <w:pPr>
        <w:numPr>
          <w:ilvl w:val="1"/>
          <w:numId w:val="1016"/>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16"/>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w:t>
        </w:r>
        <w:r>
          <w:rPr>
            <w:rStyle w:val="Hyperlink"/>
          </w:rPr>
          <w:t xml:space="preserve">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16"/>
        </w:numPr>
      </w:pPr>
      <w:r>
        <w:rPr>
          <w:i/>
          <w:iCs/>
        </w:rPr>
        <w:t xml:space="preserve">Organización industrial</w:t>
      </w:r>
      <w:r>
        <w:t xml:space="preserve">: el entrante potencial no conoce los costes del instalado, que puede fijar un precio bajo para señalizar que sus costes son bajos y disuadir la entrada</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w:t>
        </w:r>
        <w:r>
          <w:rPr>
            <w:rStyle w:val="Hyperlink"/>
          </w:rPr>
          <w:t xml:space="preserve">1982</w:t>
        </w:r>
      </w:hyperlink>
      <w:r>
        <w:t xml:space="preserve">)</w:t>
      </w:r>
      <w:r>
        <w:t xml:space="preserve"> </w:t>
      </w:r>
      <w:hyperlink r:id="rId38">
        <w:r>
          <w:rPr>
            <w:rStyle w:val="Referenciaatema"/>
          </w:rPr>
          <w:t xml:space="preserve">[ver tema 3.A.15]</w:t>
        </w:r>
      </w:hyperlink>
      <w:r>
        <w:t xml:space="preserve">.</w:t>
      </w:r>
    </w:p>
    <w:p>
      <w:pPr>
        <w:numPr>
          <w:ilvl w:val="1"/>
          <w:numId w:val="1016"/>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 </w:t>
      </w:r>
      <w:hyperlink r:id="rId27">
        <w:r>
          <w:rPr>
            <w:rStyle w:val="Referenciaatema"/>
          </w:rPr>
          <w:t xml:space="preserve">[ver tema 3.A.17]</w:t>
        </w:r>
      </w:hyperlink>
      <w:r>
        <w:t xml:space="preserve">.</w:t>
      </w:r>
    </w:p>
    <w:p>
      <w:pPr>
        <w:numPr>
          <w:ilvl w:val="1"/>
          <w:numId w:val="1016"/>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w:t>
        </w:r>
        <w:r>
          <w:rPr>
            <w:rStyle w:val="Hyperlink"/>
          </w:rPr>
          <w:t xml:space="preserve">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17"/>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18"/>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19"/>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19"/>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0"/>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0"/>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1"/>
        </w:numPr>
      </w:pPr>
      <w:r>
        <w:t xml:space="preserve">Si los compradores creen que cada coche es bueno o malo con la misma probabilidad, estarán dispuestos a pagar su valor esperado: 750 €.</w:t>
      </w:r>
    </w:p>
    <w:p>
      <w:pPr>
        <w:numPr>
          <w:ilvl w:val="1"/>
          <w:numId w:val="1021"/>
        </w:numPr>
      </w:pPr>
      <w:r>
        <w:t xml:space="preserve">Pero a 750 € solo venden los dueños de limones; los de melocotones, que valoran su coche en casi 1.000 €, se lo quedan.</w:t>
      </w:r>
    </w:p>
    <w:p>
      <w:pPr>
        <w:numPr>
          <w:ilvl w:val="1"/>
          <w:numId w:val="1021"/>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0"/>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2"/>
        </w:numPr>
      </w:pPr>
      <w:r>
        <w:t xml:space="preserve">Siguiendo la lógica del modelo, la información asimétrica puede:</w:t>
      </w:r>
    </w:p>
    <w:p>
      <w:pPr>
        <w:numPr>
          <w:ilvl w:val="1"/>
          <w:numId w:val="1023"/>
        </w:numPr>
      </w:pPr>
      <w:r>
        <w:rPr>
          <w:i/>
          <w:iCs/>
        </w:rPr>
        <w:t xml:space="preserve">acabar con el mercado</w:t>
      </w:r>
      <w:r>
        <w:t xml:space="preserve">, si la calidad se reparte en un continuo y el desenredo llega hasta el final;</w:t>
      </w:r>
    </w:p>
    <w:p>
      <w:pPr>
        <w:numPr>
          <w:ilvl w:val="1"/>
          <w:numId w:val="1023"/>
        </w:numPr>
      </w:pPr>
      <w:r>
        <w:rPr>
          <w:i/>
          <w:iCs/>
        </w:rPr>
        <w:t xml:space="preserve">reducir el número de transacciones</w:t>
      </w:r>
      <w:r>
        <w:t xml:space="preserve"> </w:t>
      </w:r>
      <w:r>
        <w:t xml:space="preserve">que serían mutuamente beneficiosas, como en el ejemplo, y</w:t>
      </w:r>
    </w:p>
    <w:p>
      <w:pPr>
        <w:numPr>
          <w:ilvl w:val="1"/>
          <w:numId w:val="1023"/>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2"/>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24"/>
        </w:numPr>
      </w:pPr>
      <w:r>
        <w:rPr>
          <w:i/>
          <w:iCs/>
        </w:rPr>
        <w:t xml:space="preserve">Un continuo de calidades</w:t>
      </w:r>
      <w:r>
        <w:t xml:space="preserve">. 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 el vendedor conoce la de su coche y la valora en</w:t>
      </w:r>
      <w:r>
        <w:t xml:space="preserve"> </w:t>
      </w:r>
      <m:oMath>
        <m:r>
          <m:t>s</m:t>
        </m:r>
      </m:oMath>
      <w:r>
        <w:t xml:space="preserve">; 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25"/>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25"/>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25"/>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25"/>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26"/>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w:t>
        </w:r>
        <w:r>
          <w:rPr>
            <w:rStyle w:val="Hyperlink"/>
          </w:rPr>
          <w:t xml:space="preserve">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26"/>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numPr>
          <w:ilvl w:val="0"/>
          <w:numId w:val="1027"/>
        </w:numPr>
      </w:pPr>
      <w:r>
        <w:t xml:space="preserve">El modelo explica por qué un mercado puede no existir aunque todos los intercambios sean eficientes, pero supone que nadie hace nada para resolver el problema. En la realidad, los vendedores de buenos coches dan garantías, se crean marcas y reputaciones, y los compradores pagan inspecciones. Si el problema es que no se distingue, ¿quién puede hacer que se distinga? Es la pregunta de las soluciones.</w:t>
      </w:r>
    </w:p>
    <w:bookmarkEnd w:id="55"/>
    <w:bookmarkEnd w:id="56"/>
    <w:bookmarkStart w:id="99" w:name="sec_soluciones_sa"/>
    <w:p>
      <w:pPr>
        <w:pStyle w:val="Heading2"/>
      </w:pPr>
      <w:r>
        <w:t xml:space="preserve">I.3.</w:t>
      </w:r>
      <w:r>
        <w:t xml:space="preserve"> </w:t>
      </w:r>
      <w:r>
        <w:t xml:space="preserve">Soluciones</w:t>
      </w:r>
    </w:p>
    <w:p>
      <w:pPr>
        <w:numPr>
          <w:ilvl w:val="0"/>
          <w:numId w:val="1028"/>
        </w:numPr>
      </w:pPr>
      <w:r>
        <w:t xml:space="preserve">Una vez establecido que la selección adversa aleja la asignación del óptimo, pasamos a sus soluciones. Las ordenamos según quién mueve ficha: la parte informada, que envía una señal (</w:t>
      </w:r>
      <w:hyperlink w:anchor="sec_senalizacion">
        <w:r>
          <w:rPr>
            <w:rStyle w:val="Hyperlink"/>
          </w:rPr>
          <w:t xml:space="preserve">I.3.1</w:t>
        </w:r>
      </w:hyperlink>
      <w:r>
        <w:t xml:space="preserve">); la no informada, que diseña un menú de contratos (</w:t>
      </w:r>
      <w:hyperlink w:anchor="sec_autoseleccion">
        <w:r>
          <w:rPr>
            <w:rStyle w:val="Hyperlink"/>
          </w:rPr>
          <w:t xml:space="preserve">I.3.2</w:t>
        </w:r>
      </w:hyperlink>
      <w:r>
        <w:t xml:space="preserve">), y otras soluciones, privadas y públicas (</w:t>
      </w:r>
      <w:hyperlink w:anchor="sec_otras_soluciones_sa">
        <w:r>
          <w:rPr>
            <w:rStyle w:val="Hyperlink"/>
          </w:rPr>
          <w:t xml:space="preserve">I.3.3</w:t>
        </w:r>
      </w:hyperlink>
      <w:r>
        <w:t xml:space="preserve">).</w:t>
      </w:r>
    </w:p>
    <w:bookmarkStart w:id="73"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29"/>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0"/>
        </w:numPr>
      </w:pPr>
      <w:r>
        <w:t xml:space="preserve">Es precisamente ese mayor coste para los poco productivos lo que hace creíble la señal.</w:t>
      </w:r>
    </w:p>
    <w:p>
      <w:pPr>
        <w:numPr>
          <w:ilvl w:val="1"/>
          <w:numId w:val="1030"/>
        </w:numPr>
      </w:pPr>
      <w:r>
        <w:t xml:space="preserve">Si enviar la señal no costara nada, todos dirían que su calidad es alta, y la parte no informada, racionalmente, no daría ningún valor a esa señal.</w:t>
      </w:r>
    </w:p>
    <w:bookmarkEnd w:id="57"/>
    <w:bookmarkStart w:id="70" w:name="b_modelo_1"/>
    <w:p>
      <w:pPr>
        <w:pStyle w:val="Heading4"/>
      </w:pPr>
      <w:r>
        <w:t xml:space="preserve">b) Modelo</w:t>
      </w:r>
    </w:p>
    <w:bookmarkStart w:id="58" w:name="i_supuestos_1"/>
    <w:p>
      <w:pPr>
        <w:pStyle w:val="Heading5"/>
      </w:pPr>
      <w:r>
        <w:t xml:space="preserve">i) Supuestos</w:t>
      </w:r>
    </w:p>
    <w:p>
      <w:pPr>
        <w:numPr>
          <w:ilvl w:val="0"/>
          <w:numId w:val="1031"/>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31"/>
        </w:numPr>
      </w:pPr>
      <w:r>
        <w:t xml:space="preserve">Las empresas compiten y tienen beneficio nulo: pagan a cada trabajador su productividad esperada. Si supieran quién es quién, pagarían</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que expulsa a los productivos si lo que obtendrían fuera supera</w:t>
      </w:r>
      <w:r>
        <w:t xml:space="preserve"> </w:t>
      </w:r>
      <m:oMath>
        <m:bar>
          <m:barPr>
            <m:pos m:val="top"/>
          </m:barPr>
          <m:e>
            <m:r>
              <m:t>w</m:t>
            </m:r>
          </m:e>
        </m:bar>
      </m:oMath>
      <w:r>
        <w:t xml:space="preserve">: el problema de</w:t>
      </w:r>
      <w:r>
        <w:t xml:space="preserve"> </w:t>
      </w:r>
      <w:r>
        <w:rPr>
          <w:smallCaps/>
        </w:rPr>
        <w:t xml:space="preserve">Akerlof</w:t>
      </w:r>
      <w:r>
        <w:t xml:space="preserve"> </w:t>
      </w:r>
      <w:r>
        <w:t xml:space="preserve">en el mercado de trabajo.</w:t>
      </w:r>
    </w:p>
    <w:p>
      <w:pPr>
        <w:numPr>
          <w:ilvl w:val="0"/>
          <w:numId w:val="1031"/>
        </w:numPr>
      </w:pPr>
      <w:r>
        <w:t xml:space="preserve">La educación</w:t>
      </w:r>
      <w:r>
        <w:t xml:space="preserve"> </w:t>
      </w:r>
      <m:oMath>
        <m:r>
          <m:t>y</m:t>
        </m:r>
        <m:r>
          <m:rPr>
            <m:sty m:val="p"/>
          </m:rPr>
          <m:t>≥</m:t>
        </m:r>
        <m:r>
          <m:t>0</m:t>
        </m:r>
      </m:oMath>
      <w:r>
        <w:t xml:space="preserve"> </w:t>
      </w:r>
      <w:r>
        <w:t xml:space="preserve">es observable y</w:t>
      </w:r>
      <w:r>
        <w:t xml:space="preserve"> </w:t>
      </w:r>
      <w:r>
        <w:rPr>
          <w:i/>
          <w:iCs/>
        </w:rPr>
        <w:t xml:space="preserve">no aumenta la productividad</w:t>
      </w:r>
      <w:r>
        <w:t xml:space="preserve">: solo sirve como señal.</w:t>
      </w:r>
    </w:p>
    <w:p>
      <w:pPr>
        <w:numPr>
          <w:ilvl w:val="0"/>
          <w:numId w:val="1031"/>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w:t>
      </w:r>
    </w:p>
    <w:bookmarkEnd w:id="58"/>
    <w:bookmarkStart w:id="65" w:name="ii_desarrollo_1"/>
    <w:p>
      <w:pPr>
        <w:pStyle w:val="Heading5"/>
      </w:pPr>
      <w:r>
        <w:t xml:space="preserve">ii) Desarrollo</w:t>
      </w:r>
    </w:p>
    <w:p>
      <w:pPr>
        <w:numPr>
          <w:ilvl w:val="0"/>
          <w:numId w:val="1032"/>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59" w:name="eq_spence"/>
      <w:bookmarkEnd w:id="59"/>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32"/>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32"/>
        </w:numPr>
      </w:pPr>
      <w:r>
        <w:rPr>
          <w:i/>
          <w:iCs/>
        </w:rPr>
        <w:t xml:space="preserve">Interpretación gráfica</w:t>
      </w:r>
      <w:r>
        <w:t xml:space="preserve"> </w:t>
      </w:r>
      <w:r>
        <w:t xml:space="preserve">(gráfico </w:t>
      </w:r>
      <w:hyperlink w:anchor="fig_spence">
        <w:r>
          <w:rPr>
            <w:rStyle w:val="Hyperlink"/>
          </w:rPr>
          <w:t xml:space="preserve">2</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y los costes de cada tipo, 2 curvas crecientes, más inclinada la del tipo</w:t>
      </w:r>
      <w:r>
        <w:t xml:space="preserve"> </w:t>
      </w:r>
      <m:oMath>
        <m:r>
          <m:rPr>
            <m:sty m:val="p"/>
          </m:rPr>
          <m:t>B</m:t>
        </m:r>
      </m:oMath>
      <w:r>
        <w:t xml:space="preserve">. Separan los niveles de educación en los que la recta queda entre las 2 curvas:</w:t>
      </w:r>
      <w:r>
        <w:t xml:space="preserve"> </w:t>
      </w:r>
      <m:oMath>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r>
          <m:rPr>
            <m:sty m:val="p"/>
          </m:rPr>
          <m:t>≤</m:t>
        </m:r>
        <m:acc>
          <m:accPr>
            <m:chr m:val="̂"/>
          </m:accPr>
          <m:e>
            <m:r>
              <m:t>y</m:t>
            </m:r>
          </m:e>
        </m:acc>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w:t>
      </w:r>
    </w:p>
    <w:bookmarkStart w:id="63" w:name="fig_spence"/>
    <w:p>
      <w:pPr>
        <w:pStyle w:val="ImageCaption"/>
      </w:pPr>
      <w:r>
        <w:t xml:space="preserve">Gráfico 2.–</w:t>
      </w:r>
      <w:r>
        <w:t xml:space="preserve"> </w:t>
      </w:r>
      <w:r>
        <w:t xml:space="preserve">Señalización en el mercado de trabajo: los niveles de educación que separan a los 2 tipos</w:t>
      </w:r>
    </w:p>
    <w:p>
      <w:pPr>
        <w:pStyle w:val="CaptionedFigure"/>
      </w:pPr>
      <w:r>
        <w:drawing>
          <wp:inline>
            <wp:extent cx="3581400" cy="2283177"/>
            <wp:effectExtent b="0" l="0" r="0" t="0"/>
            <wp:docPr descr="" title="" id="61" name="Picture"/>
            <a:graphic>
              <a:graphicData uri="http://schemas.openxmlformats.org/drawingml/2006/picture">
                <pic:pic>
                  <pic:nvPicPr>
                    <pic:cNvPr descr="C:\Users\vgutierrez\Documents\src\victorgutierrezmarcos.github.io-revision\oposicion\temario\fuentes\3A13\graficos/spence.png" id="62" name="Picture"/>
                    <pic:cNvPicPr>
                      <a:picLocks noChangeArrowheads="1" noChangeAspect="1"/>
                    </pic:cNvPicPr>
                  </pic:nvPicPr>
                  <pic:blipFill>
                    <a:blip r:embed="rId60"/>
                    <a:stretch>
                      <a:fillRect/>
                    </a:stretch>
                  </pic:blipFill>
                  <pic:spPr bwMode="auto">
                    <a:xfrm>
                      <a:off x="0" y="0"/>
                      <a:ext cx="3581400" cy="2283177"/>
                    </a:xfrm>
                    <a:prstGeom prst="rect">
                      <a:avLst/>
                    </a:prstGeom>
                    <a:noFill/>
                    <a:ln w="9525">
                      <a:noFill/>
                      <a:headEnd/>
                      <a:tailEnd/>
                    </a:ln>
                  </pic:spPr>
                </pic:pic>
              </a:graphicData>
            </a:graphic>
          </wp:inline>
        </w:drawing>
      </w:r>
    </w:p>
    <w:bookmarkEnd w:id="63"/>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keepNext/>
        <w:numPr>
          <w:ilvl w:val="0"/>
          <w:numId w:val="1033"/>
        </w:numPr>
      </w:pPr>
      <w:r>
        <w:rPr>
          <w:i/>
          <w:iCs/>
        </w:rPr>
        <w:t xml:space="preserve">Los equilibrios</w:t>
      </w:r>
      <w:r>
        <w:t xml:space="preserve">. Un equilibrio son unas creencias de las empresas, unos salarios y unas decisiones de educación tales que cada trabajador elige lo mejor para él, las empresas tienen beneficio nulo y las creencias se confirman. Hay 2 clases:</w:t>
      </w:r>
    </w:p>
    <w:p>
      <w:pPr>
        <w:numPr>
          <w:ilvl w:val="1"/>
          <w:numId w:val="1034"/>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que cumpla (</w:t>
      </w:r>
      <w:hyperlink w:anchor="eq_spence">
        <w:r>
          <w:rPr>
            <w:rStyle w:val="Hyperlink"/>
          </w:rPr>
          <w:t xml:space="preserve">2</w:t>
        </w:r>
      </w:hyperlink>
      <w:r>
        <w:t xml:space="preserve">));</w:t>
      </w:r>
    </w:p>
    <w:p>
      <w:pPr>
        <w:numPr>
          <w:ilvl w:val="1"/>
          <w:numId w:val="1034"/>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64"/>
      </w:r>
    </w:p>
    <w:p>
      <w:pPr>
        <w:numPr>
          <w:ilvl w:val="0"/>
          <w:numId w:val="1033"/>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oMath>
      <w:r>
        <w:t xml:space="preserve"> </w:t>
      </w:r>
      <w:r>
        <w:t xml:space="preserve">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13</w:t>
        </w:r>
      </w:hyperlink>
      <w:r>
        <w:t xml:space="preserve">)</w:t>
      </w:r>
      <w:r>
        <w:t xml:space="preserve"> </w:t>
      </w:r>
      <w:hyperlink r:id="rId25">
        <w:r>
          <w:rPr>
            <w:rStyle w:val="Referenciaatema"/>
          </w:rPr>
          <w:t xml:space="preserve">[ver tema 3.A.14]</w:t>
        </w:r>
      </w:hyperlink>
      <w:r>
        <w:t xml:space="preserve">.</w:t>
      </w:r>
    </w:p>
    <w:p>
      <w:pPr>
        <w:pStyle w:val="Notaalopositor"/>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35"/>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65"/>
    <w:bookmarkStart w:id="69" w:name="iii_implicaciones_1"/>
    <w:p>
      <w:pPr>
        <w:pStyle w:val="Heading5"/>
      </w:pPr>
      <w:r>
        <w:t xml:space="preserve">iii) Implicaciones</w:t>
      </w:r>
    </w:p>
    <w:p>
      <w:pPr>
        <w:numPr>
          <w:ilvl w:val="0"/>
          <w:numId w:val="1036"/>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66">
        <w:r>
          <w:rPr>
            <w:rStyle w:val="Referenciaatema"/>
          </w:rPr>
          <w:t xml:space="preserve">[ver tema 3.A.25]</w:t>
        </w:r>
      </w:hyperlink>
      <w:r>
        <w:t xml:space="preserve">: los datos de salarios por años de estudio no permiten distinguir las 2 explicaciones.</w:t>
      </w:r>
      <w:r>
        <w:rPr>
          <w:rStyle w:val="FootnoteReference"/>
        </w:rPr>
        <w:footnoteReference w:id="67"/>
      </w:r>
    </w:p>
    <w:p>
      <w:pPr>
        <w:numPr>
          <w:ilvl w:val="0"/>
          <w:numId w:val="1036"/>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68"/>
      </w:r>
    </w:p>
    <w:bookmarkEnd w:id="69"/>
    <w:bookmarkEnd w:id="70"/>
    <w:bookmarkStart w:id="71" w:name="c_evidencia_emp__rica"/>
    <w:p>
      <w:pPr>
        <w:pStyle w:val="Heading4"/>
      </w:pPr>
      <w:r>
        <w:t xml:space="preserve">c) Evidencia empírica</w:t>
      </w:r>
    </w:p>
    <w:p>
      <w:pPr>
        <w:numPr>
          <w:ilvl w:val="0"/>
          <w:numId w:val="1037"/>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w:t>
        </w:r>
        <w:r>
          <w:rPr>
            <w:rStyle w:val="Hyperlink"/>
          </w:rPr>
          <w:t xml:space="preserve">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71"/>
    <w:bookmarkStart w:id="72" w:name="d_valoraci__n"/>
    <w:p>
      <w:pPr>
        <w:pStyle w:val="Heading4"/>
      </w:pPr>
      <w:r>
        <w:t xml:space="preserve">d) Valoración</w:t>
      </w:r>
    </w:p>
    <w:p>
      <w:pPr>
        <w:numPr>
          <w:ilvl w:val="0"/>
          <w:numId w:val="1038"/>
        </w:numPr>
      </w:pPr>
      <w:r>
        <w:t xml:space="preserve">Muestra que la parte informada puede resolver el problema, pero con un coste que paga ella. La alternativa es que lo resuelva la parte no informada, diseñando ella el contrato: es la autoselección.</w:t>
      </w:r>
    </w:p>
    <w:bookmarkEnd w:id="72"/>
    <w:bookmarkEnd w:id="73"/>
    <w:bookmarkStart w:id="95"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75" w:name="a_idea_2"/>
    <w:p>
      <w:pPr>
        <w:pStyle w:val="Heading4"/>
      </w:pPr>
      <w:r>
        <w:t xml:space="preserve">a) Idea</w:t>
      </w:r>
    </w:p>
    <w:p>
      <w:pPr>
        <w:numPr>
          <w:ilvl w:val="0"/>
          <w:numId w:val="1039"/>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39"/>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w:t>
        </w:r>
        <w:r>
          <w:rPr>
            <w:rStyle w:val="Hyperlink"/>
          </w:rPr>
          <w:t xml:space="preserve">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w:t>
        </w:r>
        <w:r>
          <w:rPr>
            <w:rStyle w:val="Hyperlink"/>
          </w:rPr>
          <w:t xml:space="preserve">1979</w:t>
        </w:r>
      </w:hyperlink>
      <w:r>
        <w:t xml:space="preserve">;</w:t>
      </w:r>
      <w:r>
        <w:t xml:space="preserve"> </w:t>
      </w:r>
      <w:hyperlink w:anchor="ref_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74"/>
      </w:r>
    </w:p>
    <w:p>
      <w:pPr>
        <w:numPr>
          <w:ilvl w:val="0"/>
          <w:numId w:val="1039"/>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75"/>
    <w:bookmarkStart w:id="91" w:name="b_modelo_2"/>
    <w:p>
      <w:pPr>
        <w:pStyle w:val="Heading4"/>
      </w:pPr>
      <w:r>
        <w:t xml:space="preserve">b) Modelo</w:t>
      </w:r>
    </w:p>
    <w:bookmarkStart w:id="81" w:name="i_supuestos_2"/>
    <w:p>
      <w:pPr>
        <w:pStyle w:val="Heading5"/>
      </w:pPr>
      <w:r>
        <w:t xml:space="preserve">i) Supuestos</w:t>
      </w:r>
    </w:p>
    <w:p>
      <w:pPr>
        <w:numPr>
          <w:ilvl w:val="0"/>
          <w:numId w:val="1040"/>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40"/>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40"/>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3</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76" w:name="eq_recta_aseguramiento"/>
      <w:bookmarkEnd w:id="76"/>
    </w:p>
    <w:p>
      <w:pPr>
        <w:pStyle w:val="Cajadeanotacio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80"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3.–</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 title="" id="78" name="Picture"/>
            <a:graphic>
              <a:graphicData uri="http://schemas.openxmlformats.org/drawingml/2006/picture">
                <pic:pic>
                  <pic:nvPicPr>
                    <pic:cNvPr descr="C:\Users\vgutierrez\Documents\src\victorgutierrezmarcos.github.io-revision\oposicion\temario\fuentes\3A13\graficos/seguro-simetrico.png" id="79" name="Picture"/>
                    <pic:cNvPicPr>
                      <a:picLocks noChangeArrowheads="1" noChangeAspect="1"/>
                    </pic:cNvPicPr>
                  </pic:nvPicPr>
                  <pic:blipFill>
                    <a:blip r:embed="rId77"/>
                    <a:stretch>
                      <a:fillRect/>
                    </a:stretch>
                  </pic:blipFill>
                  <pic:spPr bwMode="auto">
                    <a:xfrm>
                      <a:off x="0" y="0"/>
                      <a:ext cx="2626988" cy="2204957"/>
                    </a:xfrm>
                    <a:prstGeom prst="rect">
                      <a:avLst/>
                    </a:prstGeom>
                    <a:noFill/>
                    <a:ln w="9525">
                      <a:noFill/>
                      <a:headEnd/>
                      <a:tailEnd/>
                    </a:ln>
                  </pic:spPr>
                </pic:pic>
              </a:graphicData>
            </a:graphic>
          </wp:inline>
        </w:drawing>
      </w:r>
    </w:p>
    <w:bookmarkEnd w:id="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81"/>
    <w:bookmarkStart w:id="88" w:name="ii_desarrollo_2"/>
    <w:p>
      <w:pPr>
        <w:pStyle w:val="Heading5"/>
      </w:pPr>
      <w:r>
        <w:t xml:space="preserve">ii) Desarrollo</w:t>
      </w:r>
    </w:p>
    <w:p>
      <w:pPr>
        <w:numPr>
          <w:ilvl w:val="0"/>
          <w:numId w:val="1041"/>
        </w:numPr>
      </w:pPr>
      <w:r>
        <w:rPr>
          <w:i/>
          <w:iCs/>
        </w:rPr>
        <w:t xml:space="preserve">Con 2 tipos hay 2 rectas de isobeneficio nulo</w:t>
      </w:r>
      <w:r>
        <w:t xml:space="preserve">,</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 es más inclinada. 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queda entre las 2.</w:t>
      </w:r>
    </w:p>
    <w:p>
      <w:pPr>
        <w:numPr>
          <w:ilvl w:val="0"/>
          <w:numId w:val="1041"/>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permite separarlos: a igualdad de precio, el temerario quiere más cobertura.</w:t>
      </w:r>
      <w:r>
        <w:rPr>
          <w:rStyle w:val="FootnoteReference"/>
        </w:rPr>
        <w:footnoteReference w:id="82"/>
      </w:r>
    </w:p>
    <w:p>
      <w:pPr>
        <w:numPr>
          <w:ilvl w:val="0"/>
          <w:numId w:val="1041"/>
        </w:numPr>
      </w:pPr>
      <w:r>
        <w:rPr>
          <w:i/>
          <w:iCs/>
        </w:rPr>
        <w:t xml:space="preserve">Si la aseguradora pudiera distinguirlos</w:t>
      </w:r>
      <w:r>
        <w:t xml:space="preserve"> </w:t>
      </w:r>
      <w:r>
        <w:t xml:space="preserve">(</w:t>
      </w:r>
      <w:r>
        <w:rPr>
          <w:i/>
          <w:iCs/>
        </w:rPr>
        <w:t xml:space="preserve">first best</w:t>
      </w:r>
      <w:r>
        <w:t xml:space="preserve">), ofrecería a cada tipo un seguro completo a su prima justa:</w:t>
      </w:r>
      <w:r>
        <w:t xml:space="preserve"> </w:t>
      </w:r>
      <m:oMath>
        <m:sSub>
          <m:e>
            <m:r>
              <m:t>E</m:t>
            </m:r>
          </m:e>
          <m:sub>
            <m:r>
              <m:rPr>
                <m:sty m:val="p"/>
              </m:rPr>
              <m:t>B</m:t>
            </m:r>
          </m:sub>
        </m:sSub>
      </m:oMath>
      <w:r>
        <w:t xml:space="preserve"> </w:t>
      </w:r>
      <w:r>
        <w:t xml:space="preserve">y</w:t>
      </w:r>
      <w:r>
        <w:t xml:space="preserve"> </w:t>
      </w:r>
      <m:oMath>
        <m:sSub>
          <m:e>
            <m:r>
              <m:t>E</m:t>
            </m:r>
          </m:e>
          <m:sub>
            <m:r>
              <m:rPr>
                <m:sty m:val="p"/>
              </m:rPr>
              <m:t>A</m:t>
            </m:r>
          </m:sub>
        </m:sSub>
      </m:oMath>
      <w:r>
        <w:t xml:space="preserve"> </w:t>
      </w:r>
      <w:r>
        <w:t xml:space="preserve">en la línea de certeza (gráfico </w:t>
      </w:r>
      <w:hyperlink w:anchor="fig_rothschild_stiglitz">
        <w:r>
          <w:rPr>
            <w:rStyle w:val="Hyperlink"/>
          </w:rPr>
          <w:t xml:space="preserve">4</w:t>
        </w:r>
      </w:hyperlink>
      <w:r>
        <w:t xml:space="preserve">, capa inicial).</w:t>
      </w:r>
      <w:r>
        <w:t xml:space="preserve"> </w:t>
      </w:r>
      <w:r>
        <w:rPr>
          <w:i/>
          <w:iCs/>
        </w:rPr>
        <w:t xml:space="preserve">Pero no puede</w:t>
      </w:r>
      <w:r>
        <w:t xml:space="preserve">: si ofreciera ambos, los temerarios elegirían</w:t>
      </w:r>
      <w:r>
        <w:t xml:space="preserve"> </w:t>
      </w:r>
      <m:oMath>
        <m:sSub>
          <m:e>
            <m:r>
              <m:t>E</m:t>
            </m:r>
          </m:e>
          <m:sub>
            <m:r>
              <m:rPr>
                <m:sty m:val="p"/>
              </m:rPr>
              <m:t>B</m:t>
            </m:r>
          </m:sub>
        </m:sSub>
      </m:oMath>
      <w:r>
        <w:t xml:space="preserve">, más barato, y la aseguradora tendría pérdidas.</w:t>
      </w:r>
    </w:p>
    <w:p>
      <w:pPr>
        <w:numPr>
          <w:ilvl w:val="0"/>
          <w:numId w:val="1041"/>
        </w:numPr>
      </w:pPr>
      <w:r>
        <w:rPr>
          <w:i/>
          <w:iCs/>
        </w:rPr>
        <w:t xml:space="preserve">No hay equilibrio agrupador</w:t>
      </w:r>
      <w:r>
        <w:t xml:space="preserve"> </w:t>
      </w:r>
      <w:r>
        <w:t xml:space="preserve">(panel izquierdo). En cualquier contrato común</w:t>
      </w:r>
      <w:r>
        <w:t xml:space="preserve"> </w:t>
      </w:r>
      <m:oMath>
        <m:r>
          <m:t>M</m:t>
        </m:r>
      </m:oMath>
      <w:r>
        <w:t xml:space="preserve"> </w:t>
      </w:r>
      <w:r>
        <w:t xml:space="preserve">sobre la recta del riesgo medio, la curva del prudente es más inclinada que la del temerario. Siempre hay contratos con algo menos de cobertura y una prima algo menor (zona rayada) que prefieren los prudentes pero no los temerarios y que, como solo atraen a prudentes, dan beneficio. 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w:t>
      </w:r>
    </w:p>
    <w:p>
      <w:pPr>
        <w:keepNext/>
        <w:numPr>
          <w:ilvl w:val="0"/>
          <w:numId w:val="1041"/>
        </w:numPr>
      </w:pPr>
      <w:r>
        <w:rPr>
          <w:i/>
          <w:iCs/>
        </w:rPr>
        <w:t xml:space="preserve">El equilibrio, si existe, es separador</w:t>
      </w:r>
      <w:r>
        <w:t xml:space="preserve"> </w:t>
      </w:r>
      <w:r>
        <w:t xml:space="preserve">(panel derecho):</w:t>
      </w:r>
    </w:p>
    <w:p>
      <w:pPr>
        <w:numPr>
          <w:ilvl w:val="1"/>
          <w:numId w:val="1042"/>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42"/>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que deja a estos indiferentes:</w:t>
      </w:r>
      <w:r>
        <w:t xml:space="preserve"> </w:t>
      </w:r>
      <w:bookmarkStart w:id="83" w:name="eq_rs_separador"/>
      <w:bookmarkEnd w:id="83"/>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w:t>
      </w:r>
    </w:p>
    <w:p>
      <w:pPr>
        <w:numPr>
          <w:ilvl w:val="0"/>
          <w:numId w:val="1041"/>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87" w:name="fig_rothschild_stiglitz"/>
    <w:p>
      <w:pPr>
        <w:pStyle w:val="ImageCaption"/>
      </w:pPr>
      <w:r>
        <w:t xml:space="preserve">Gráfico 4.–</w:t>
      </w:r>
      <w:r>
        <w:t xml:space="preserve"> </w:t>
      </w:r>
      <w:r>
        <w:t xml:space="preserve">Autoselección en el seguro: el contrato agrupador no se sostiene (izquierda) y el equilibrio separador da seguro parcial a los prudentes (derecha)</w:t>
      </w:r>
    </w:p>
    <w:p>
      <w:pPr>
        <w:pStyle w:val="CaptionedFigure"/>
      </w:pPr>
      <w:r>
        <w:drawing>
          <wp:inline>
            <wp:extent cx="5670550" cy="2608343"/>
            <wp:effectExtent b="0" l="0" r="0" t="0"/>
            <wp:docPr descr="" title="" id="85" name="Picture"/>
            <a:graphic>
              <a:graphicData uri="http://schemas.openxmlformats.org/drawingml/2006/picture">
                <pic:pic>
                  <pic:nvPicPr>
                    <pic:cNvPr descr="C:\Users\vgutierrez\Documents\src\victorgutierrezmarcos.github.io-revision\oposicion\temario\fuentes\3A13\graficos/rothschild-stiglitz.png" id="86" name="Picture"/>
                    <pic:cNvPicPr>
                      <a:picLocks noChangeArrowheads="1" noChangeAspect="1"/>
                    </pic:cNvPicPr>
                  </pic:nvPicPr>
                  <pic:blipFill>
                    <a:blip r:embed="rId84"/>
                    <a:stretch>
                      <a:fillRect/>
                    </a:stretch>
                  </pic:blipFill>
                  <pic:spPr bwMode="auto">
                    <a:xfrm>
                      <a:off x="0" y="0"/>
                      <a:ext cx="5670550" cy="2608343"/>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bookmarkEnd w:id="88"/>
    <w:bookmarkStart w:id="90" w:name="iii_implicaciones_2"/>
    <w:p>
      <w:pPr>
        <w:pStyle w:val="Heading5"/>
      </w:pPr>
      <w:r>
        <w:t xml:space="preserve">iii) Implicaciones</w:t>
      </w:r>
    </w:p>
    <w:p>
      <w:pPr>
        <w:numPr>
          <w:ilvl w:val="0"/>
          <w:numId w:val="1043"/>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43"/>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89"/>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43"/>
        </w:numPr>
      </w:pPr>
      <w:r>
        <w:rPr>
          <w:i/>
          <w:iCs/>
        </w:rPr>
        <w:t xml:space="preserve">El equilibrio puede no existir</w:t>
      </w:r>
      <w:r>
        <w:t xml:space="preserve">. Si hay muchos prudentes (</w:t>
      </w:r>
      <m:oMath>
        <m:r>
          <m:t>ν</m:t>
        </m:r>
      </m:oMath>
      <w:r>
        <w:t xml:space="preserve"> </w:t>
      </w:r>
      <w:r>
        <w:t xml:space="preserve">grande), la recta del riesgo medio pasa por encima de la curva de indiferencia del prudente en</w:t>
      </w:r>
      <w:r>
        <w:t xml:space="preserve"> </w:t>
      </w:r>
      <m:oMath>
        <m:sSub>
          <m:e>
            <m:r>
              <m:t>S</m:t>
            </m:r>
          </m:e>
          <m:sub>
            <m:r>
              <m:rPr>
                <m:sty m:val="p"/>
              </m:rPr>
              <m:t>B</m:t>
            </m:r>
          </m:sub>
        </m:sSub>
      </m:oMath>
      <w:r>
        <w:t xml:space="preserve">. Entonces un contrato agrupador lo prefieren los 2 tipos y da beneficio, y rompe el separador; pero, como acabamos de ver, ningún agrupador es un equilibrio. No hay equilibrio en estrategias puras (anexo </w:t>
      </w:r>
      <w:hyperlink w:anchor="anexo_rothschild_stiglitz">
        <w:r>
          <w:rPr>
            <w:rStyle w:val="Hyperlink"/>
          </w:rPr>
          <w:t xml:space="preserve">B</w:t>
        </w:r>
      </w:hyperlink>
      <w:r>
        <w:t xml:space="preserve">).</w:t>
      </w:r>
    </w:p>
    <w:bookmarkEnd w:id="90"/>
    <w:bookmarkEnd w:id="91"/>
    <w:bookmarkStart w:id="92" w:name="c_extensiones_1"/>
    <w:p>
      <w:pPr>
        <w:pStyle w:val="Heading4"/>
      </w:pPr>
      <w:r>
        <w:t xml:space="preserve">c) Extensiones</w:t>
      </w:r>
    </w:p>
    <w:p>
      <w:pPr>
        <w:numPr>
          <w:ilvl w:val="0"/>
          <w:numId w:val="1044"/>
        </w:numPr>
      </w:pPr>
      <w:r>
        <w:rPr>
          <w:i/>
          <w:iCs/>
        </w:rPr>
        <w:t xml:space="preserve">Otros conceptos de equilibrio</w:t>
      </w:r>
      <w:r>
        <w:t xml:space="preserve">. Las respuestas a la inexistencia cambian lo que se supone que anticipan las aseguradoras: 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 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 (anexo </w:t>
      </w:r>
      <w:hyperlink w:anchor="anexo_rothschild_stiglitz">
        <w:r>
          <w:rPr>
            <w:rStyle w:val="Hyperlink"/>
          </w:rPr>
          <w:t xml:space="preserve">B</w:t>
        </w:r>
      </w:hyperlink>
      <w:r>
        <w:t xml:space="preserve">).</w:t>
      </w:r>
    </w:p>
    <w:p>
      <w:pPr>
        <w:numPr>
          <w:ilvl w:val="0"/>
          <w:numId w:val="1044"/>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92"/>
    <w:bookmarkStart w:id="93" w:name="d_evidencia_emp__rica_1"/>
    <w:p>
      <w:pPr>
        <w:pStyle w:val="Heading4"/>
      </w:pPr>
      <w:r>
        <w:t xml:space="preserve">d) Evidencia empírica</w:t>
      </w:r>
    </w:p>
    <w:p>
      <w:pPr>
        <w:numPr>
          <w:ilvl w:val="0"/>
          <w:numId w:val="1045"/>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w:t>
        </w:r>
        <w:r>
          <w:rPr>
            <w:rStyle w:val="Hyperlink"/>
          </w:rPr>
          <w:t xml:space="preserve">2004</w:t>
        </w:r>
      </w:hyperlink>
      <w:r>
        <w:t xml:space="preserve">)</w:t>
      </w:r>
      <w:r>
        <w:t xml:space="preserve">.</w:t>
      </w:r>
    </w:p>
    <w:p>
      <w:pPr>
        <w:numPr>
          <w:ilvl w:val="0"/>
          <w:numId w:val="1045"/>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w:t>
        </w:r>
        <w:r>
          <w:rPr>
            <w:rStyle w:val="Hyperlink"/>
          </w:rPr>
          <w:t xml:space="preserve">2011</w:t>
        </w:r>
      </w:hyperlink>
      <w:r>
        <w:t xml:space="preserve">)</w:t>
      </w:r>
      <w:r>
        <w:t xml:space="preserve">.</w:t>
      </w:r>
    </w:p>
    <w:bookmarkEnd w:id="93"/>
    <w:bookmarkStart w:id="94" w:name="e_valoraci__n_1"/>
    <w:p>
      <w:pPr>
        <w:pStyle w:val="Heading4"/>
      </w:pPr>
      <w:r>
        <w:t xml:space="preserve">e) Valoración</w:t>
      </w:r>
    </w:p>
    <w:p>
      <w:pPr>
        <w:numPr>
          <w:ilvl w:val="0"/>
          <w:numId w:val="1046"/>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94"/>
    <w:bookmarkEnd w:id="95"/>
    <w:bookmarkStart w:id="98" w:name="sec_otras_soluciones_sa"/>
    <w:p>
      <w:pPr>
        <w:pStyle w:val="Heading3"/>
      </w:pPr>
      <w:r>
        <w:t xml:space="preserve">I.3.3.</w:t>
      </w:r>
      <w:r>
        <w:t xml:space="preserve"> </w:t>
      </w:r>
      <w:r>
        <w:t xml:space="preserve">Otras soluciones: privadas y públicas</w:t>
      </w:r>
    </w:p>
    <w:p>
      <w:pPr>
        <w:keepNext/>
        <w:numPr>
          <w:ilvl w:val="0"/>
          <w:numId w:val="1047"/>
        </w:numPr>
      </w:pPr>
      <w:r>
        <w:t xml:space="preserve">Las soluciones al problema pueden venir del sector privado y del sector público:</w:t>
      </w:r>
    </w:p>
    <w:p>
      <w:pPr>
        <w:numPr>
          <w:ilvl w:val="1"/>
          <w:numId w:val="1048"/>
        </w:numPr>
      </w:pPr>
      <w:r>
        <w:rPr>
          <w:i/>
          <w:iCs/>
        </w:rPr>
        <w:t xml:space="preserve">Privadas</w:t>
      </w:r>
      <w:r>
        <w:t xml:space="preserve">: las</w:t>
      </w:r>
      <w:r>
        <w:t xml:space="preserve"> </w:t>
      </w:r>
      <w:r>
        <w:rPr>
          <w:b/>
          <w:bCs/>
        </w:rPr>
        <w:t xml:space="preserve">garantías</w:t>
      </w:r>
      <w:r>
        <w:t xml:space="preserve">, que no le salen a cuenta a quien vende un limón;</w:t>
      </w:r>
      <w:r>
        <w:rPr>
          <w:rStyle w:val="FootnoteReference"/>
        </w:rPr>
        <w:footnoteReference w:id="96"/>
      </w:r>
      <w:r>
        <w:t xml:space="preserve"> </w:t>
      </w:r>
      <w:r>
        <w:t xml:space="preserve">la</w:t>
      </w:r>
      <w:r>
        <w:t xml:space="preserve"> </w:t>
      </w:r>
      <w:r>
        <w:rPr>
          <w:b/>
          <w:bCs/>
        </w:rPr>
        <w:t xml:space="preserve">reputación</w:t>
      </w:r>
      <w:r>
        <w:t xml:space="preserve"> </w:t>
      </w:r>
      <w:r>
        <w:t xml:space="preserve">y las marcas en juegos repetidos, porque el comprador puede castigar en el futuro al vendedor que le defraude; la certificación por terceros (inspecciones, auditorías, agencias de calificación), y los historiales de crédito o de siniestros (sistemas</w:t>
      </w:r>
      <w:r>
        <w:t xml:space="preserve"> </w:t>
      </w:r>
      <w:r>
        <w:rPr>
          <w:i/>
          <w:iCs/>
        </w:rPr>
        <w:t xml:space="preserve">bonus-malus</w:t>
      </w:r>
      <w:r>
        <w:t xml:space="preserve">).</w:t>
      </w:r>
    </w:p>
    <w:p>
      <w:pPr>
        <w:keepNext/>
        <w:numPr>
          <w:ilvl w:val="1"/>
          <w:numId w:val="1048"/>
        </w:numPr>
      </w:pPr>
      <w:r>
        <w:rPr>
          <w:i/>
          <w:iCs/>
        </w:rPr>
        <w:t xml:space="preserve">Públicas</w:t>
      </w:r>
      <w:r>
        <w:t xml:space="preserve">:</w:t>
      </w:r>
    </w:p>
    <w:p>
      <w:pPr>
        <w:numPr>
          <w:ilvl w:val="2"/>
          <w:numId w:val="1049"/>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w:t>
        </w:r>
        <w:r>
          <w:rPr>
            <w:rStyle w:val="Hyperlink"/>
          </w:rPr>
          <w:t xml:space="preserve">2021</w:t>
        </w:r>
      </w:hyperlink>
      <w:r>
        <w:t xml:space="preserve">)</w:t>
      </w:r>
      <w:r>
        <w:t xml:space="preserve">;</w:t>
      </w:r>
    </w:p>
    <w:p>
      <w:pPr>
        <w:numPr>
          <w:ilvl w:val="2"/>
          <w:numId w:val="1049"/>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w:t>
        </w:r>
        <w:r>
          <w:rPr>
            <w:rStyle w:val="Hyperlink"/>
          </w:rPr>
          <w:t xml:space="preserve">2004</w:t>
        </w:r>
      </w:hyperlink>
      <w:r>
        <w:t xml:space="preserve">)</w:t>
      </w:r>
      <w:r>
        <w:t xml:space="preserve">;</w:t>
      </w:r>
    </w:p>
    <w:p>
      <w:pPr>
        <w:numPr>
          <w:ilvl w:val="2"/>
          <w:numId w:val="1049"/>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49"/>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w:t>
        </w:r>
        <w:r>
          <w:rPr>
            <w:rStyle w:val="Hyperlink"/>
          </w:rPr>
          <w:t xml:space="preserve">2011</w:t>
        </w:r>
      </w:hyperlink>
      <w:r>
        <w:t xml:space="preserve">)</w:t>
      </w:r>
      <w:r>
        <w:t xml:space="preserve">. Es un objetivo de equidad que puede agravar la selección adversa, porque impide usar información relevante.</w:t>
      </w:r>
    </w:p>
    <w:p>
      <w:pPr>
        <w:numPr>
          <w:ilvl w:val="0"/>
          <w:numId w:val="1047"/>
        </w:numPr>
      </w:pPr>
      <w:r>
        <w:t xml:space="preserve">La información asimétrica es, así, un fallo de mercado que puede justificar la intervención</w:t>
      </w:r>
      <w:r>
        <w:t xml:space="preserve"> </w:t>
      </w:r>
      <w:hyperlink r:id="rId97">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47"/>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98"/>
    <w:bookmarkEnd w:id="99"/>
    <w:bookmarkEnd w:id="100"/>
    <w:bookmarkStart w:id="142" w:name="sec_agencia_riesgo_moral"/>
    <w:p>
      <w:pPr>
        <w:pStyle w:val="Heading1"/>
      </w:pPr>
      <w:r>
        <w:t xml:space="preserve">II.</w:t>
      </w:r>
      <w:r>
        <w:t xml:space="preserve"> </w:t>
      </w:r>
      <w:r>
        <w:t xml:space="preserve">Problema de agencia y riesgo moral</w:t>
      </w:r>
      <w:r>
        <w:t xml:space="preserve"> </w:t>
      </w:r>
      <w:r>
        <w:rPr>
          <w:rStyle w:val="Minutos"/>
        </w:rPr>
        <w:t xml:space="preserve">11′</w:t>
      </w:r>
    </w:p>
    <w:p>
      <w:pPr>
        <w:pStyle w:val="Notaalopositor"/>
      </w:pPr>
      <w:r>
        <w:rPr>
          <w:b/>
          <w:bCs/>
        </w:rPr>
        <w:t xml:space="preserve">Nota al opositor. </w:t>
      </w:r>
      <w:r>
        <w:t xml:space="preserve">En el cante: la definición, las 3 condiciones y el dilema entre incentivos y reparto del riesgo (1′30″). En el modelo principal-agente, los supuestos (1′); el programa del principal (</w:t>
      </w:r>
      <w:hyperlink w:anchor="eq_principal_agente">
        <w:r>
          <w:rPr>
            <w:rStyle w:val="Hyperlink"/>
          </w:rPr>
          <w:t xml:space="preserve">5</w:t>
        </w:r>
      </w:hyperlink>
      <w:r>
        <w:t xml:space="preserve">) a la izquierda de la pizarra y la caja a la derecha; el caso 2, con el pago fijo en</w:t>
      </w:r>
      <w:r>
        <w:t xml:space="preserve"> </w:t>
      </w:r>
      <m:oMath>
        <m:r>
          <m:t>Z</m:t>
        </m:r>
      </m:oMath>
      <w:r>
        <w:t xml:space="preserve"> </w:t>
      </w:r>
      <w:r>
        <w:t xml:space="preserve">(2′); los casos 1 y 3 de palabra (1′); el caso 4, añadiendo la restricción de incentivos al programa y a la caja, con</w:t>
      </w:r>
      <w:r>
        <w:t xml:space="preserve"> </w:t>
      </w:r>
      <m:oMath>
        <m:sSub>
          <m:e>
            <m:r>
              <m:t>w</m:t>
            </m:r>
          </m:e>
          <m:sub>
            <m:r>
              <m:rPr>
                <m:sty m:val="p"/>
              </m:rPr>
              <m:t>E</m:t>
            </m:r>
          </m:sub>
        </m:sSub>
        <m:r>
          <m:rPr>
            <m:sty m:val="p"/>
          </m:rPr>
          <m:t>&gt;</m:t>
        </m:r>
        <m:sSub>
          <m:e>
            <m:r>
              <m:t>w</m:t>
            </m:r>
          </m:e>
          <m:sub>
            <m:r>
              <m:rPr>
                <m:sty m:val="p"/>
              </m:rPr>
              <m:t>F</m:t>
            </m:r>
          </m:sub>
        </m:sSub>
      </m:oMath>
      <w:r>
        <w:t xml:space="preserve">, el cociente de verosimilitud, el punto</w:t>
      </w:r>
      <w:r>
        <w:t xml:space="preserve"> </w:t>
      </w:r>
      <m:oMath>
        <m:r>
          <m:t>T</m:t>
        </m:r>
      </m:oMath>
      <w:r>
        <w:t xml:space="preserve"> </w:t>
      </w:r>
      <w:r>
        <w:t xml:space="preserve">y el coste de agencia (3′), y la tabla de los 4 casos como apoyo (0′30″). Las soluciones, en una lista corta (2′). El programa se queda en una esquina de la pizarra hasta el final. La resolución completa de las condiciones de primer orden, la regla de</w:t>
      </w:r>
      <w:r>
        <w:t xml:space="preserve"> </w:t>
      </w:r>
      <w:r>
        <w:rPr>
          <w:smallCaps/>
        </w:rPr>
        <w:t xml:space="preserve">Borch</w:t>
      </w:r>
      <w:r>
        <w:t xml:space="preserve"> </w:t>
      </w:r>
      <w:r>
        <w:t xml:space="preserve">con un principal averso, el esfuerzo continuo y el contrato lineal están en el anexo </w:t>
      </w:r>
      <w:hyperlink w:anchor="anexo_principal_agente">
        <w:r>
          <w:rPr>
            <w:rStyle w:val="Hyperlink"/>
          </w:rPr>
          <w:t xml:space="preserve">A</w:t>
        </w:r>
      </w:hyperlink>
      <w:r>
        <w:t xml:space="preserve">.</w:t>
      </w:r>
    </w:p>
    <w:p>
      <w:pPr>
        <w:numPr>
          <w:ilvl w:val="0"/>
          <w:numId w:val="1050"/>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07" w:name="sec_definicion_rm"/>
    <w:p>
      <w:pPr>
        <w:pStyle w:val="Heading2"/>
      </w:pPr>
      <w:r>
        <w:t xml:space="preserve">II.1.</w:t>
      </w:r>
      <w:r>
        <w:t xml:space="preserve"> </w:t>
      </w:r>
      <w:r>
        <w:t xml:space="preserve">Definición</w:t>
      </w:r>
    </w:p>
    <w:p>
      <w:pPr>
        <w:keepNext/>
        <w:numPr>
          <w:ilvl w:val="0"/>
          <w:numId w:val="1051"/>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01"/>
      </w:r>
    </w:p>
    <w:p>
      <w:pPr>
        <w:numPr>
          <w:ilvl w:val="1"/>
          <w:numId w:val="1052"/>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52"/>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51"/>
        </w:numPr>
      </w:pPr>
      <w:r>
        <w:t xml:space="preserve">Para que haya un problema de riesgo moral deben darse 3 condiciones:</w:t>
      </w:r>
    </w:p>
    <w:p>
      <w:pPr>
        <w:numPr>
          <w:ilvl w:val="1"/>
          <w:numId w:val="1053"/>
        </w:numPr>
      </w:pPr>
      <w:bookmarkStart w:id="102" w:name="cond_rm_accion"/>
      <w:bookmarkEnd w:id="102"/>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53"/>
        </w:numPr>
      </w:pPr>
      <w:bookmarkStart w:id="103" w:name="cond_rm_conflicto"/>
      <w:bookmarkEnd w:id="103"/>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53"/>
        </w:numPr>
      </w:pPr>
      <w:bookmarkStart w:id="104" w:name="cond_rm_riesgo"/>
      <w:bookmarkEnd w:id="104"/>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51"/>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54"/>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54"/>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54"/>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51"/>
        </w:numPr>
      </w:pPr>
      <w:r>
        <w:rPr>
          <w:i/>
          <w:iCs/>
        </w:rPr>
        <w:t xml:space="preserve">Aplicaciones</w:t>
      </w:r>
      <w:r>
        <w:t xml:space="preserve">. Toda relación en la que alguien actúa por cuenta de otro:</w:t>
      </w:r>
    </w:p>
    <w:p>
      <w:pPr>
        <w:numPr>
          <w:ilvl w:val="1"/>
          <w:numId w:val="1055"/>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1984</w:t>
        </w:r>
      </w:hyperlink>
      <w:r>
        <w:t xml:space="preserve">)</w:t>
      </w:r>
      <w:r>
        <w:t xml:space="preserve"> </w:t>
      </w:r>
      <w:hyperlink r:id="rId105">
        <w:r>
          <w:rPr>
            <w:rStyle w:val="Referenciaatema"/>
          </w:rPr>
          <w:t xml:space="preserve">[ver tema 3.A.27]</w:t>
        </w:r>
      </w:hyperlink>
      <w:r>
        <w:t xml:space="preserve">;</w:t>
      </w:r>
    </w:p>
    <w:p>
      <w:pPr>
        <w:numPr>
          <w:ilvl w:val="1"/>
          <w:numId w:val="1055"/>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55"/>
        </w:numPr>
      </w:pPr>
      <w:r>
        <w:rPr>
          <w:i/>
          <w:iCs/>
        </w:rPr>
        <w:t xml:space="preserve">aseguradora y asegurado</w:t>
      </w:r>
      <w:r>
        <w:t xml:space="preserve">: el cuidado que pone el asegurado;</w:t>
      </w:r>
    </w:p>
    <w:p>
      <w:pPr>
        <w:numPr>
          <w:ilvl w:val="1"/>
          <w:numId w:val="1055"/>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55"/>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55"/>
        </w:numPr>
      </w:pPr>
      <w:r>
        <w:rPr>
          <w:i/>
          <w:iCs/>
        </w:rPr>
        <w:t xml:space="preserve">prestamistas de última instancia y gobiernos o bancos</w:t>
      </w:r>
      <w:r>
        <w:t xml:space="preserve">: el rescate esperado reduce el cuidado, como recuerda el caso de Silicon Valley Bank</w:t>
      </w:r>
      <w:r>
        <w:t xml:space="preserve"> </w:t>
      </w:r>
      <w:hyperlink r:id="rId106">
        <w:r>
          <w:rPr>
            <w:rStyle w:val="Referenciaatema"/>
          </w:rPr>
          <w:t xml:space="preserve">[ver tema 3.B.26]</w:t>
        </w:r>
      </w:hyperlink>
      <w:r>
        <w:t xml:space="preserve">;</w:t>
      </w:r>
    </w:p>
    <w:p>
      <w:pPr>
        <w:numPr>
          <w:ilvl w:val="1"/>
          <w:numId w:val="1055"/>
        </w:numPr>
      </w:pPr>
      <w:r>
        <w:rPr>
          <w:i/>
          <w:iCs/>
        </w:rPr>
        <w:t xml:space="preserve">ciudadanos y gobernantes</w:t>
      </w:r>
      <w:r>
        <w:t xml:space="preserve">: el valor que obtenemos al votar a alguien para que resuelva los problemas colectivos depende de lo que haga después.</w:t>
      </w:r>
    </w:p>
    <w:bookmarkEnd w:id="107"/>
    <w:bookmarkStart w:id="138"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56"/>
        </w:numPr>
      </w:pPr>
      <w:r>
        <w:t xml:space="preserve">Una vez definido el problema, lo formalizamos con el modelo de referencia del riesgo moral, que es también el núcleo de la teoría de la agencia.</w:t>
      </w:r>
    </w:p>
    <w:bookmarkStart w:id="108" w:name="a_idea_3"/>
    <w:p>
      <w:pPr>
        <w:pStyle w:val="Heading4"/>
      </w:pPr>
      <w:r>
        <w:t xml:space="preserve">a) Idea</w:t>
      </w:r>
    </w:p>
    <w:p>
      <w:pPr>
        <w:numPr>
          <w:ilvl w:val="0"/>
          <w:numId w:val="1057"/>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57"/>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57"/>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08"/>
    <w:bookmarkStart w:id="132" w:name="b_modelo_3"/>
    <w:p>
      <w:pPr>
        <w:pStyle w:val="Heading4"/>
      </w:pPr>
      <w:r>
        <w:t xml:space="preserve">b) Modelo</w:t>
      </w:r>
    </w:p>
    <w:bookmarkStart w:id="110" w:name="i_supuestos_3"/>
    <w:p>
      <w:pPr>
        <w:pStyle w:val="Heading5"/>
      </w:pPr>
      <w:r>
        <w:t xml:space="preserve">i) Supuestos</w:t>
      </w:r>
    </w:p>
    <w:p>
      <w:pPr>
        <w:numPr>
          <w:ilvl w:val="0"/>
          <w:numId w:val="1058"/>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58"/>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58"/>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58"/>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09"/>
      </w:r>
    </w:p>
    <w:p>
      <w:pPr>
        <w:numPr>
          <w:ilvl w:val="0"/>
          <w:numId w:val="1058"/>
        </w:numPr>
      </w:pPr>
      <w:r>
        <w:rPr>
          <w:i/>
          <w:iCs/>
        </w:rPr>
        <w:t xml:space="preserve">Secuencia</w:t>
      </w:r>
      <w:r>
        <w:t xml:space="preserve">: (1) 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 (2) el agente lo acepta o lo rechaza; (3) si lo acepta, elige el esfuerzo; (4) la naturaleza decide el resultado y se paga. El principal tiene todo el poder de negociación.</w:t>
      </w:r>
    </w:p>
    <w:bookmarkEnd w:id="110"/>
    <w:bookmarkStart w:id="128" w:name="ii_desarrollo_3"/>
    <w:p>
      <w:pPr>
        <w:pStyle w:val="Heading5"/>
      </w:pPr>
      <w:r>
        <w:t xml:space="preserve">ii) Desarrollo</w:t>
      </w:r>
    </w:p>
    <w:p>
      <w:pPr>
        <w:numPr>
          <w:ilvl w:val="0"/>
          <w:numId w:val="1059"/>
        </w:numPr>
      </w:pPr>
      <w:r>
        <w:t xml:space="preserve">Suponemos que al principal le interesa el esfuerzo alto.</w:t>
      </w:r>
      <w:r>
        <w:rPr>
          <w:rStyle w:val="FootnoteReference"/>
        </w:rPr>
        <w:footnoteReference w:id="111"/>
      </w:r>
      <w:r>
        <w:t xml:space="preserve"> </w:t>
      </w:r>
      <w:r>
        <w:t xml:space="preserve">Su programa es maximizar el beneficio esperado sujeto a que el agente acepte (PC) y, si el esfuerzo no se ve, a que le convenga esforzarse (IC):</w:t>
      </w:r>
    </w:p>
    <w:bookmarkStart w:id="112" w:name="eq_principal_agente"/>
    <w:bookmarkEnd w:id="112"/>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60"/>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60"/>
        </w:numPr>
      </w:pPr>
      <w:r>
        <w:t xml:space="preserve">Llamamos</w:t>
      </w:r>
      <w:r>
        <w:t xml:space="preserve"> </w:t>
      </w:r>
      <m:oMath>
        <m:sSub>
          <m:e>
            <m:r>
              <m:t>λ</m:t>
            </m:r>
          </m:e>
          <m:sub>
            <m:r>
              <m:t>1</m:t>
            </m:r>
          </m:sub>
        </m:sSub>
      </m:oMath>
      <w:r>
        <w:t xml:space="preserve"> </w:t>
      </w:r>
      <w:r>
        <w:t xml:space="preserve">al multiplicador de la PC y</w:t>
      </w:r>
      <w:r>
        <w:t xml:space="preserve"> </w:t>
      </w:r>
      <m:oMath>
        <m:sSub>
          <m:e>
            <m:r>
              <m:t>λ</m:t>
            </m:r>
          </m:e>
          <m:sub>
            <m:r>
              <m:t>2</m:t>
            </m:r>
          </m:sub>
        </m:sSub>
      </m:oMath>
      <w:r>
        <w:t xml:space="preserve"> </w:t>
      </w:r>
      <w:r>
        <w:t xml:space="preserve">al de la IC. Con esfuerzo observable, la IC no hace falta (</w:t>
      </w:r>
      <m:oMath>
        <m:sSub>
          <m:e>
            <m:r>
              <m:t>λ</m:t>
            </m:r>
          </m:e>
          <m:sub>
            <m:r>
              <m:t>2</m:t>
            </m:r>
          </m:sub>
        </m:sSub>
        <m:r>
          <m:rPr>
            <m:sty m:val="p"/>
          </m:rPr>
          <m:t>=</m:t>
        </m:r>
        <m:r>
          <m:t>0</m:t>
        </m:r>
      </m:oMath>
      <w:r>
        <w:t xml:space="preserve">).</w:t>
      </w:r>
    </w:p>
    <w:p>
      <w:pPr>
        <w:numPr>
          <w:ilvl w:val="1"/>
          <w:numId w:val="1060"/>
        </w:numPr>
      </w:pPr>
      <w:r>
        <w:rPr>
          <w:i/>
          <w:iCs/>
        </w:rPr>
        <w:t xml:space="preserve">Interpretación gráfica</w:t>
      </w:r>
      <w:r>
        <w:t xml:space="preserve"> </w:t>
      </w:r>
      <w:r>
        <w:t xml:space="preserve">(gráfico </w:t>
      </w:r>
      <w:hyperlink w:anchor="fig_principal_agente">
        <w:r>
          <w:rPr>
            <w:rStyle w:val="Hyperlink"/>
          </w:rPr>
          <w:t xml:space="preserve">5</w:t>
        </w:r>
      </w:hyperlink>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 línea de certeza, donde cobra lo mismo en los 2 estados. Las curvas de indiferencia del principal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del agente averso son convexas, con esa misma pendiente cuando cortan su línea de certeza.</w:t>
      </w:r>
      <w:r>
        <w:rPr>
          <w:rStyle w:val="FootnoteReference"/>
        </w:rPr>
        <w:footnoteReference w:id="113"/>
      </w:r>
    </w:p>
    <w:p>
      <w:pPr>
        <w:numPr>
          <w:ilvl w:val="0"/>
          <w:numId w:val="1061"/>
        </w:numPr>
      </w:pPr>
      <w:r>
        <w:t xml:space="preserve">Recorremos los 4 casos en el orden del cante: con esfuerzo observable, primero el agente averso (caso 2) y, como contraste, el neutral (caso 1); con esfuerzo inobservable, primero el neutral (caso 3) y después el averso (caso 4), el genuino problema de riesgo moral.</w:t>
      </w:r>
    </w:p>
    <w:p>
      <w:pPr>
        <w:keepNext/>
        <w:numPr>
          <w:ilvl w:val="0"/>
          <w:numId w:val="1062"/>
        </w:numPr>
      </w:pPr>
      <w:r>
        <w:rPr>
          <w:i/>
          <w:iCs/>
        </w:rPr>
        <w:t xml:space="preserve">Caso 2: esfuerzo observable y agente averso al riesgo</w:t>
      </w:r>
      <w:r>
        <w:t xml:space="preserve">.</w:t>
      </w:r>
    </w:p>
    <w:p>
      <w:pPr>
        <w:numPr>
          <w:ilvl w:val="1"/>
          <w:numId w:val="1063"/>
        </w:numPr>
      </w:pPr>
      <w:r>
        <w:t xml:space="preserve">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14"/>
      </w:r>
      <w:r>
        <w:t xml:space="preserve"> </w:t>
      </w:r>
      <w:r>
        <w:t xml:space="preserve">El principal solo tiene que convencer al agente de que acepte, y las condiciones de primer orden de (</w:t>
      </w:r>
      <w:hyperlink w:anchor="eq_principal_agente">
        <w:r>
          <w:rPr>
            <w:rStyle w:val="Hyperlink"/>
          </w:rPr>
          <w:t xml:space="preserve">5</w:t>
        </w:r>
      </w:hyperlink>
      <w:r>
        <w:t xml:space="preserve">) sin la IC son (anexo </w:t>
      </w:r>
      <w:hyperlink w:anchor="anexo_principal_agente">
        <w:r>
          <w:rPr>
            <w:rStyle w:val="Hyperlink"/>
          </w:rPr>
          <w:t xml:space="preserve">A</w:t>
        </w:r>
      </w:hyperlink>
      <w:r>
        <w:t xml:space="preserve">)</w:t>
      </w:r>
      <w:r>
        <w:t xml:space="preserve"> </w:t>
      </w:r>
      <w:bookmarkStart w:id="115" w:name="eq_cpo_observable"/>
      <w:bookmarkEnd w:id="115"/>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oMath>
      </m:oMathPara>
    </w:p>
    <w:p>
      <w:pPr>
        <w:numPr>
          <w:ilvl w:val="1"/>
          <w:numId w:val="1063"/>
        </w:numPr>
      </w:pPr>
      <w:r>
        <w:t xml:space="preserve">Con un agente averso,</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implica</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w:t>
      </w:r>
      <w:r>
        <w:t xml:space="preserve"> </w:t>
      </w:r>
      <m:oMath>
        <m:sSub>
          <m:e>
            <m:r>
              <m:t>λ</m:t>
            </m:r>
          </m:e>
          <m:sub>
            <m:r>
              <m:t>1</m:t>
            </m:r>
          </m:sub>
        </m:sSub>
        <m:r>
          <m:rPr>
            <m:sty m:val="p"/>
          </m:rPr>
          <m:t>&gt;</m:t>
        </m:r>
        <m:r>
          <m:t>0</m:t>
        </m:r>
      </m:oMath>
      <w:r>
        <w:t xml:space="preserve">, la PC se satura y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00"/>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16"/>
      </w:r>
    </w:p>
    <w:p>
      <w:pPr>
        <w:numPr>
          <w:ilvl w:val="1"/>
          <w:numId w:val="1063"/>
        </w:numPr>
      </w:pPr>
      <w:r>
        <w:rPr>
          <w:i/>
          <w:iCs/>
        </w:rPr>
        <w:t xml:space="preserve">Gráficamente</w:t>
      </w:r>
      <w:r>
        <w:t xml:space="preserve">, es el punto</w:t>
      </w:r>
      <w:r>
        <w:t xml:space="preserve"> </w:t>
      </w:r>
      <m:oMath>
        <m:r>
          <m:t>Z</m:t>
        </m:r>
      </m:oMath>
      <w:r>
        <w:t xml:space="preserve"> </w:t>
      </w:r>
      <w:r>
        <w:t xml:space="preserve">del gráfico </w:t>
      </w:r>
      <w:hyperlink w:anchor="fig_principal_agente">
        <w:r>
          <w:rPr>
            <w:rStyle w:val="Hyperlink"/>
          </w:rPr>
          <w:t xml:space="preserve">5</w:t>
        </w:r>
      </w:hyperlink>
      <w:r>
        <w:t xml:space="preserve">: la tangencia entre la PC del agente (su curva de indiferencia con esfuerzo alto y utilidad</w:t>
      </w:r>
      <w:r>
        <w:t xml:space="preserve"> </w:t>
      </w:r>
      <m:oMath>
        <m:sSup>
          <m:e>
            <m:r>
              <m:t>U</m:t>
            </m:r>
          </m:e>
          <m:sup>
            <m:r>
              <m:t>R</m:t>
            </m:r>
          </m:sup>
        </m:sSup>
      </m:oMath>
      <w:r>
        <w:t xml:space="preserve">) y una recta de isobeneficio del principal,</w:t>
      </w:r>
      <w:r>
        <w:t xml:space="preserve"> </w:t>
      </w:r>
      <w:r>
        <w:rPr>
          <w:i/>
          <w:iCs/>
        </w:rPr>
        <w:t xml:space="preserve">sobre la línea de certeza del agente</w:t>
      </w:r>
      <w:r>
        <w:t xml:space="preserve">. Las relaciones marginales de sustitución entre estados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r>
        <w:rPr>
          <w:rStyle w:val="FootnoteReference"/>
        </w:rPr>
        <w:footnoteReference w:id="117"/>
      </w:r>
    </w:p>
    <w:p>
      <w:pPr>
        <w:numPr>
          <w:ilvl w:val="0"/>
          <w:numId w:val="1062"/>
        </w:numPr>
      </w:pPr>
      <w:r>
        <w:rPr>
          <w:i/>
          <w:iCs/>
        </w:rPr>
        <w:t xml:space="preserve">Caso 1: esfuerzo observable y agente neutral al riesgo</w:t>
      </w:r>
      <w:r>
        <w:t xml:space="preserve">. Es la referencia (</w:t>
      </w:r>
      <w:r>
        <w:rPr>
          <w:i/>
          <w:iCs/>
        </w:rPr>
        <w:t xml:space="preserve">benchmark</w:t>
      </w:r>
      <w:r>
        <w:t xml:space="preserve">). Las curvas de indiferencia del agente también son rectas, paralelas a las del principal: cualquier reparto con el pago esperado que cubre</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o una comisión.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p>
      <w:pPr>
        <w:keepNext/>
        <w:numPr>
          <w:ilvl w:val="0"/>
          <w:numId w:val="1062"/>
        </w:numPr>
      </w:pPr>
      <w:r>
        <w:rPr>
          <w:i/>
          <w:iCs/>
        </w:rPr>
        <w:t xml:space="preserve">Caso 3: esfuerzo inobservable y agente neutral al riesgo</w:t>
      </w:r>
      <w:r>
        <w:t xml:space="preserve">. Sirve para demostrar que el verdadero conflicto es entre incentivos y reparto del riesgo.</w:t>
      </w:r>
    </w:p>
    <w:p>
      <w:pPr>
        <w:numPr>
          <w:ilvl w:val="1"/>
          <w:numId w:val="1064"/>
        </w:numPr>
      </w:pPr>
      <w:r>
        <w:t xml:space="preserve">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Hay que añadir la IC. Pero 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y basta un premio suficiente por el éxito,</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con un fijo ajustado para que la PC se sature.</w:t>
      </w:r>
    </w:p>
    <w:p>
      <w:pPr>
        <w:numPr>
          <w:ilvl w:val="1"/>
          <w:numId w:val="1064"/>
        </w:numPr>
      </w:pPr>
      <w:r>
        <w:t xml:space="preserve">Un contrato que lo consigue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 El principal se queda con</w:t>
      </w:r>
      <w:r>
        <w:t xml:space="preserve"> </w:t>
      </w:r>
      <m:oMath>
        <m:r>
          <m:t>k</m:t>
        </m:r>
      </m:oMath>
      <w:r>
        <w:t xml:space="preserve">, lo mismo que con esfuerzo observable.</w:t>
      </w:r>
      <w:r>
        <w:rPr>
          <w:rStyle w:val="FootnoteReference"/>
        </w:rPr>
        <w:footnoteReference w:id="118"/>
      </w:r>
      <w:r>
        <w:t xml:space="preserve"> </w:t>
      </w:r>
      <w:r>
        <w:t xml:space="preserve">En el gráfico, el punto</w:t>
      </w:r>
      <w:r>
        <w:t xml:space="preserve"> </w:t>
      </w:r>
      <m:oMath>
        <m:r>
          <m:t>V</m:t>
        </m:r>
      </m:oMath>
      <w:r>
        <w:t xml:space="preserve"> </w:t>
      </w:r>
      <w:r>
        <w:t xml:space="preserve">sobre la línea de certeza del principal.</w:t>
      </w:r>
    </w:p>
    <w:p>
      <w:pPr>
        <w:numPr>
          <w:ilvl w:val="1"/>
          <w:numId w:val="1064"/>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19"/>
      </w:r>
    </w:p>
    <w:p>
      <w:pPr>
        <w:keepNext/>
        <w:numPr>
          <w:ilvl w:val="0"/>
          <w:numId w:val="1062"/>
        </w:numPr>
      </w:pPr>
      <w:r>
        <w:rPr>
          <w:i/>
          <w:iCs/>
        </w:rPr>
        <w:t xml:space="preserve">Caso 4: esfuerzo inobservable y agente averso al riesgo, el genuino riesgo moral</w:t>
      </w:r>
      <w:r>
        <w:t xml:space="preserve">.</w:t>
      </w:r>
    </w:p>
    <w:p>
      <w:pPr>
        <w:numPr>
          <w:ilvl w:val="1"/>
          <w:numId w:val="1065"/>
        </w:numPr>
      </w:pPr>
      <w:r>
        <w:t xml:space="preserve">Ahora se produce el conflicto: el reparto eficiente del riesgo pide que el agente averso esté en su línea de certeza, pero eso elimina todo incentivo. Con las 2 restricciones de (</w:t>
      </w:r>
      <w:hyperlink w:anchor="eq_principal_agente">
        <w:r>
          <w:rPr>
            <w:rStyle w:val="Hyperlink"/>
          </w:rPr>
          <w:t xml:space="preserve">5</w:t>
        </w:r>
      </w:hyperlink>
      <w:r>
        <w:t xml:space="preserve">), las condiciones de primer orden son (anexo </w:t>
      </w:r>
      <w:hyperlink w:anchor="anexo_principal_agente">
        <w:r>
          <w:rPr>
            <w:rStyle w:val="Hyperlink"/>
          </w:rPr>
          <w:t xml:space="preserve">A</w:t>
        </w:r>
      </w:hyperlink>
      <w:r>
        <w:t xml:space="preserve">)</w:t>
      </w:r>
      <w:r>
        <w:t xml:space="preserve"> </w:t>
      </w:r>
      <w:bookmarkStart w:id="120" w:name="eq_holmstrom_mirrlees"/>
      <w:bookmarkEnd w:id="120"/>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2"/>
          <w:numId w:val="1066"/>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saldría</w:t>
      </w:r>
      <w:r>
        <w:t xml:space="preserve"> </w:t>
      </w:r>
      <m:oMath>
        <m:sSub>
          <m:e>
            <m:r>
              <m:t>w</m:t>
            </m:r>
          </m:e>
          <m:sub>
            <m:r>
              <m:rPr>
                <m:sty m:val="p"/>
              </m:rPr>
              <m:t>E</m:t>
            </m:r>
          </m:sub>
        </m:sSub>
        <m:r>
          <m:rPr>
            <m:sty m:val="p"/>
          </m:rPr>
          <m:t>=</m:t>
        </m:r>
        <m:sSub>
          <m:e>
            <m:r>
              <m:t>w</m:t>
            </m:r>
          </m:e>
          <m:sub>
            <m:r>
              <m:rPr>
                <m:sty m:val="p"/>
              </m:rPr>
              <m:t>F</m:t>
            </m:r>
          </m:sub>
        </m:sSub>
      </m:oMath>
      <w:r>
        <w:t xml:space="preserve">, que incumple la IC).</w:t>
      </w:r>
    </w:p>
    <w:p>
      <w:pPr>
        <w:numPr>
          <w:ilvl w:val="2"/>
          <w:numId w:val="1066"/>
        </w:numPr>
      </w:pPr>
      <w:r>
        <w:rPr>
          <w:i/>
          <w:iCs/>
        </w:rPr>
        <w:t xml:space="preserve">El pago crece con el resultado</w:t>
      </w:r>
      <w:r>
        <w:t xml:space="preserve">: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 así que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2"/>
          <w:numId w:val="1066"/>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w:t>
        </w:r>
        <w:r>
          <w:rPr>
            <w:rStyle w:val="Hyperlink"/>
          </w:rPr>
          <w:t xml:space="preserve">1974</w:t>
        </w:r>
      </w:hyperlink>
      <w:r>
        <w:t xml:space="preserve">;</w:t>
      </w:r>
      <w:r>
        <w:t xml:space="preserve"> </w:t>
      </w:r>
      <w:hyperlink w:anchor="ref_Holmstrom1979Moral">
        <w:r>
          <w:rPr>
            <w:rStyle w:val="Hyperlink"/>
            <w:smallCaps/>
          </w:rPr>
          <w:t xml:space="preserve">Holmström</w:t>
        </w:r>
        <w:r>
          <w:rPr>
            <w:rStyle w:val="Hyperlink"/>
          </w:rPr>
          <w:t xml:space="preserve"> </w:t>
        </w:r>
        <w:r>
          <w:rPr>
            <w:rStyle w:val="Hyperlink"/>
          </w:rPr>
          <w:t xml:space="preserve">1979</w:t>
        </w:r>
      </w:hyperlink>
      <w:r>
        <w:t xml:space="preserve">)</w:t>
      </w:r>
      <w:r>
        <w:t xml:space="preserve">.</w:t>
      </w:r>
    </w:p>
    <w:p>
      <w:pPr>
        <w:numPr>
          <w:ilvl w:val="1"/>
          <w:numId w:val="1065"/>
        </w:numPr>
      </w:pPr>
      <w:r>
        <w:rPr>
          <w:i/>
          <w:iCs/>
        </w:rPr>
        <w:t xml:space="preserve">Solución</w:t>
      </w:r>
      <w:r>
        <w:t xml:space="preserve">. Como las 2 restricciones se saturan, los pagos salen de 2 ecuaciones.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w:t>
      </w:r>
      <w:r>
        <w:t xml:space="preserve"> </w:t>
      </w:r>
      <w:bookmarkStart w:id="121" w:name="eq_pagos_segundo_optimo"/>
      <w:bookmarkEnd w:id="121"/>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en el caso 2 si hay éxito y menos si hay fracaso.</w:t>
      </w:r>
    </w:p>
    <w:p>
      <w:pPr>
        <w:numPr>
          <w:ilvl w:val="1"/>
          <w:numId w:val="1065"/>
        </w:numPr>
      </w:pPr>
      <w:r>
        <w:rPr>
          <w:i/>
          <w:iCs/>
        </w:rPr>
        <w:t xml:space="preserve">Coste de agencia</w:t>
      </w:r>
      <w:r>
        <w:t xml:space="preserve">. El agente queda con la misma utilidad esperada que en el caso 2, pero ahora soporta riesgo y, por ser averso, exige un pago esperado mayor:</w:t>
      </w:r>
      <w:r>
        <w:t xml:space="preserve"> </w:t>
      </w:r>
      <w:bookmarkStart w:id="122" w:name="eq_coste_agencia"/>
      <w:bookmarkEnd w:id="122"/>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65"/>
        </w:numPr>
      </w:pPr>
      <w:r>
        <w:rPr>
          <w:i/>
          <w:iCs/>
        </w:rPr>
        <w:t xml:space="preserve">Gráficamente</w:t>
      </w:r>
      <w:r>
        <w:t xml:space="preserve">, el principal ya no puede ofrecer</w:t>
      </w:r>
      <w:r>
        <w:t xml:space="preserve"> </w:t>
      </w:r>
      <m:oMath>
        <m:r>
          <m:t>Z</m:t>
        </m:r>
      </m:oMath>
      <w:r>
        <w:t xml:space="preserve">. La IC excluye la línea de certeza del agente y deja solo los contratos bastante alejados de ella, por debajo; el mejor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65"/>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26" w:name="fig_principal_agente"/>
    <w:p>
      <w:pPr>
        <w:pStyle w:val="ImageCaption"/>
      </w:pPr>
      <w:r>
        <w:t xml:space="preserve">Gráfico 5.–</w:t>
      </w:r>
      <w:r>
        <w:t xml:space="preserve"> </w:t>
      </w:r>
      <w:r>
        <w:t xml:space="preserve">El modelo principal-agente en una caja de</w:t>
      </w:r>
      <w:r>
        <w:t xml:space="preserve"> </w:t>
      </w:r>
      <w:r>
        <w:rPr>
          <w:smallCaps/>
        </w:rPr>
        <w:t xml:space="preserve">Edgeworth</w:t>
      </w:r>
      <w:r>
        <w:t xml:space="preserve">: pago fijo con esfuerzo observable (</w:t>
      </w:r>
      <m:oMath>
        <m:r>
          <m:t>Z</m:t>
        </m:r>
      </m:oMath>
      <w:r>
        <w:t xml:space="preserve">) y pago según el resultado con esfuerzo inobservable (</w:t>
      </w:r>
      <m:oMath>
        <m:r>
          <m:t>T</m:t>
        </m:r>
      </m:oMath>
      <w:r>
        <w:t xml:space="preserve">)</w:t>
      </w:r>
    </w:p>
    <w:p>
      <w:pPr>
        <w:pStyle w:val="CaptionedFigure"/>
      </w:pPr>
      <w:r>
        <w:drawing>
          <wp:inline>
            <wp:extent cx="4775200" cy="3001402"/>
            <wp:effectExtent b="0" l="0" r="0" t="0"/>
            <wp:docPr descr="" title="" id="124" name="Picture"/>
            <a:graphic>
              <a:graphicData uri="http://schemas.openxmlformats.org/drawingml/2006/picture">
                <pic:pic>
                  <pic:nvPicPr>
                    <pic:cNvPr descr="C:\Users\vgutierrez\Documents\src\victorgutierrezmarcos.github.io-revision\oposicion\temario\fuentes\3A13\graficos/principal-agente.png" id="125" name="Picture"/>
                    <pic:cNvPicPr>
                      <a:picLocks noChangeArrowheads="1" noChangeAspect="1"/>
                    </pic:cNvPicPr>
                  </pic:nvPicPr>
                  <pic:blipFill>
                    <a:blip r:embed="rId123"/>
                    <a:stretch>
                      <a:fillRect/>
                    </a:stretch>
                  </pic:blipFill>
                  <pic:spPr bwMode="auto">
                    <a:xfrm>
                      <a:off x="0" y="0"/>
                      <a:ext cx="4775200" cy="3001402"/>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67"/>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27"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Agente neutral</w:t>
            </w:r>
          </w:p>
        </w:tc>
        <w:tc>
          <w:tcPr>
            <w:vAlign w:val="center"/>
          </w:tcPr>
          <w:p>
            <w:pPr>
              <w:pStyle w:val="Celdatceeazulpalido"/>
              <w:jc w:val="center"/>
            </w:pPr>
            <w:r>
              <w:rPr>
                <w:b/>
                <w:bCs/>
              </w:rPr>
              <w:t xml:space="preserve">Agente averso</w:t>
            </w:r>
          </w:p>
        </w:tc>
      </w:tr>
      <w:t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w:t>
            </w:r>
            <w:r>
              <w:rPr>
                <w:rStyle w:val="Textoverde"/>
              </w:rPr>
              <w:t xml:space="preserve"> </w:t>
            </w:r>
            <w:r>
              <w:rPr>
                <w:rStyle w:val="Textoverde"/>
                <w:i/>
                <w:iCs/>
              </w:rPr>
              <w:t xml:space="preserve">first best</w:t>
            </w:r>
            <w:r>
              <w:br/>
            </w:r>
            <w:r>
              <w:t xml:space="preserve">cualquier reparto con el mismo pago esperado; da igual un fijo que una comisión</w:t>
            </w:r>
          </w:p>
        </w:tc>
        <w:tc>
          <w:tcPr>
            <w:vAlign w:val="center"/>
          </w:tcPr>
          <w:p>
            <w:pPr>
              <w:pStyle w:val="Compact"/>
              <w:jc w:val="center"/>
            </w:pPr>
            <w:r>
              <w:rPr>
                <w:rStyle w:val="Textoverde"/>
                <w:b/>
                <w:bCs/>
              </w:rPr>
              <w:t xml:space="preserve">Caso 2</w:t>
            </w:r>
            <w:r>
              <w:rPr>
                <w:rStyle w:val="Textoverde"/>
              </w:rPr>
              <w:t xml:space="preserve">:</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vAlign w:val="center"/>
          </w:tcPr>
          <w:p>
            <w:pPr>
              <w:pStyle w:val="Celdatceesalvia"/>
              <w:jc w:val="center"/>
            </w:pPr>
            <w:r>
              <w:rPr>
                <w:rStyle w:val="Textorojo"/>
                <w:b/>
                <w:bCs/>
              </w:rPr>
              <w:t xml:space="preserve">Caso 4</w:t>
            </w:r>
            <w:r>
              <w:rPr>
                <w:rStyle w:val="Textorojo"/>
              </w:rPr>
              <w:t xml:space="preserve">: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27"/>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w:t>
      </w:r>
    </w:p>
    <w:bookmarkEnd w:id="128"/>
    <w:bookmarkStart w:id="131" w:name="iii_implicaciones_3"/>
    <w:p>
      <w:pPr>
        <w:pStyle w:val="Heading5"/>
      </w:pPr>
      <w:r>
        <w:t xml:space="preserve">iii) Implicaciones</w:t>
      </w:r>
    </w:p>
    <w:p>
      <w:pPr>
        <w:numPr>
          <w:ilvl w:val="0"/>
          <w:numId w:val="1068"/>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29"/>
      </w:r>
    </w:p>
    <w:p>
      <w:pPr>
        <w:numPr>
          <w:ilvl w:val="0"/>
          <w:numId w:val="1068"/>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30"/>
      </w:r>
    </w:p>
    <w:p>
      <w:pPr>
        <w:numPr>
          <w:ilvl w:val="0"/>
          <w:numId w:val="1068"/>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w:t>
        </w:r>
        <w:r>
          <w:rPr>
            <w:rStyle w:val="Hyperlink"/>
          </w:rPr>
          <w:t xml:space="preserve">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31"/>
    <w:bookmarkEnd w:id="132"/>
    <w:bookmarkStart w:id="134" w:name="c_extensiones_2"/>
    <w:p>
      <w:pPr>
        <w:pStyle w:val="Heading4"/>
      </w:pPr>
      <w:r>
        <w:t xml:space="preserve">c) Extensiones</w:t>
      </w:r>
    </w:p>
    <w:p>
      <w:pPr>
        <w:numPr>
          <w:ilvl w:val="0"/>
          <w:numId w:val="1069"/>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w:t>
        </w:r>
        <w:r>
          <w:rPr>
            <w:rStyle w:val="Hyperlink"/>
          </w:rPr>
          <w:t xml:space="preserve">1983</w:t>
        </w:r>
      </w:hyperlink>
      <w:r>
        <w:t xml:space="preserve">)</w:t>
      </w:r>
      <w:r>
        <w:t xml:space="preserve">.</w:t>
      </w:r>
    </w:p>
    <w:p>
      <w:pPr>
        <w:numPr>
          <w:ilvl w:val="0"/>
          <w:numId w:val="1069"/>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w:t>
        </w:r>
        <w:r>
          <w:rPr>
            <w:rStyle w:val="Hyperlink"/>
          </w:rPr>
          <w:t xml:space="preserve">1985</w:t>
        </w:r>
      </w:hyperlink>
      <w:r>
        <w:t xml:space="preserve">)</w:t>
      </w:r>
      <w:r>
        <w:t xml:space="preserve"> </w:t>
      </w:r>
      <w:r>
        <w:t xml:space="preserve">(anexo </w:t>
      </w:r>
      <w:hyperlink w:anchor="anexo_principal_agente">
        <w:r>
          <w:rPr>
            <w:rStyle w:val="Hyperlink"/>
          </w:rPr>
          <w:t xml:space="preserve">A</w:t>
        </w:r>
      </w:hyperlink>
      <w:r>
        <w:t xml:space="preserve">).</w:t>
      </w:r>
    </w:p>
    <w:p>
      <w:pPr>
        <w:numPr>
          <w:ilvl w:val="0"/>
          <w:numId w:val="1069"/>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w:t>
        </w:r>
        <w:r>
          <w:rPr>
            <w:rStyle w:val="Hyperlink"/>
          </w:rPr>
          <w:t xml:space="preserve">1987</w:t>
        </w:r>
      </w:hyperlink>
      <w:r>
        <w:t xml:space="preserve">)</w:t>
      </w:r>
      <w:r>
        <w:t xml:space="preserve">: con 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utilidad con aversión absoluta al riesgo constante</w:t>
      </w:r>
      <w:r>
        <w:t xml:space="preserve"> </w:t>
      </w:r>
      <m:oMath>
        <m:sSub>
          <m:e>
            <m:r>
              <m:t>r</m:t>
            </m:r>
          </m:e>
          <m:sub>
            <m:r>
              <m:t>A</m:t>
            </m:r>
          </m:sub>
        </m:sSub>
      </m:oMath>
      <w:r>
        <w:t xml:space="preserve">,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w:t>
      </w:r>
      <w:r>
        <w:t xml:space="preserve">y pago</w:t>
      </w:r>
      <w:r>
        <w:t xml:space="preserve"> </w:t>
      </w:r>
      <m:oMath>
        <m:r>
          <m:t>w</m:t>
        </m:r>
        <m:r>
          <m:rPr>
            <m:sty m:val="p"/>
          </m:rPr>
          <m:t>=</m:t>
        </m:r>
        <m:r>
          <m:t>a</m:t>
        </m:r>
        <m:r>
          <m:rPr>
            <m:sty m:val="p"/>
          </m:rPr>
          <m:t>+</m:t>
        </m:r>
        <m:r>
          <m:t>b</m:t>
        </m:r>
        <m:r>
          <m:t> </m:t>
        </m:r>
        <m:r>
          <m:t>x</m:t>
        </m:r>
      </m:oMath>
      <w:r>
        <w:t xml:space="preserve">, la potencia óptima de los incentivos es</w:t>
      </w:r>
      <w:r>
        <w:t xml:space="preserve"> </w:t>
      </w:r>
      <w:bookmarkStart w:id="133" w:name="eq_contrato_lineal"/>
      <w:bookmarkEnd w:id="133"/>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34"/>
    <w:bookmarkStart w:id="135" w:name="d_evidencia_emp__rica_2"/>
    <w:p>
      <w:pPr>
        <w:pStyle w:val="Heading4"/>
      </w:pPr>
      <w:r>
        <w:t xml:space="preserve">d) Evidencia empírica</w:t>
      </w:r>
    </w:p>
    <w:p>
      <w:pPr>
        <w:numPr>
          <w:ilvl w:val="0"/>
          <w:numId w:val="1070"/>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w:t>
        </w:r>
        <w:r>
          <w:rPr>
            <w:rStyle w:val="Hyperlink"/>
          </w:rPr>
          <w:t xml:space="preserve">2000</w:t>
        </w:r>
      </w:hyperlink>
      <w:r>
        <w:t xml:space="preserve">)</w:t>
      </w:r>
      <w:r>
        <w:t xml:space="preserve">.</w:t>
      </w:r>
    </w:p>
    <w:p>
      <w:pPr>
        <w:numPr>
          <w:ilvl w:val="0"/>
          <w:numId w:val="1070"/>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w:t>
        </w:r>
        <w:r>
          <w:rPr>
            <w:rStyle w:val="Hyperlink"/>
          </w:rPr>
          <w:t xml:space="preserve">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35"/>
    <w:bookmarkStart w:id="137" w:name="e_valoraci__n_2"/>
    <w:p>
      <w:pPr>
        <w:pStyle w:val="Heading4"/>
      </w:pPr>
      <w:r>
        <w:t xml:space="preserve">e) Valoración</w:t>
      </w:r>
    </w:p>
    <w:p>
      <w:pPr>
        <w:numPr>
          <w:ilvl w:val="0"/>
          <w:numId w:val="1071"/>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36">
        <w:r>
          <w:rPr>
            <w:rStyle w:val="Referenciaatema"/>
          </w:rPr>
          <w:t xml:space="preserve">[ver tema 3.A.7]</w:t>
        </w:r>
      </w:hyperlink>
      <w:r>
        <w:t xml:space="preserve"> </w:t>
      </w:r>
      <w:hyperlink r:id="rId105">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numPr>
          <w:ilvl w:val="0"/>
          <w:numId w:val="1071"/>
        </w:numPr>
      </w:pPr>
      <w:r>
        <w:t xml:space="preserve">Sus limitaciones: supone que el principal se compromete y que el resultado es verificable ante un juez; los contratos óptimos son a menudo más complejos que los reales, que suelen ser lineales y sencillos (lo que explican en parte los contratos lineales y la multitarea), y 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w:t>
        </w:r>
        <w:r>
          <w:rPr>
            <w:rStyle w:val="Hyperlink"/>
          </w:rPr>
          <w:t xml:space="preserve">2016</w:t>
        </w:r>
      </w:hyperlink>
      <w:r>
        <w:t xml:space="preserve">)</w:t>
      </w:r>
      <w:r>
        <w:t xml:space="preserve"> </w:t>
      </w:r>
      <w:hyperlink r:id="rId38">
        <w:r>
          <w:rPr>
            <w:rStyle w:val="Referenciaatema"/>
          </w:rPr>
          <w:t xml:space="preserve">[ver tema 3.A.15]</w:t>
        </w:r>
      </w:hyperlink>
      <w:r>
        <w:t xml:space="preserve">. Tampoco recoge la motivación intrínseca, que los incentivos explícitos pueden desplazar. Estas limitaciones abren paso a las soluciones prácticas.</w:t>
      </w:r>
    </w:p>
    <w:bookmarkEnd w:id="137"/>
    <w:bookmarkEnd w:id="138"/>
    <w:bookmarkStart w:id="141" w:name="sec_soluciones_rm"/>
    <w:p>
      <w:pPr>
        <w:pStyle w:val="Heading2"/>
      </w:pPr>
      <w:r>
        <w:t xml:space="preserve">II.3.</w:t>
      </w:r>
      <w:r>
        <w:t xml:space="preserve"> </w:t>
      </w:r>
      <w:r>
        <w:t xml:space="preserve">Soluciones</w:t>
      </w:r>
    </w:p>
    <w:p>
      <w:pPr>
        <w:numPr>
          <w:ilvl w:val="0"/>
          <w:numId w:val="1072"/>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39" w:name="sec_soluciones_agencia"/>
    <w:p>
      <w:pPr>
        <w:pStyle w:val="Heading3"/>
      </w:pPr>
      <w:r>
        <w:t xml:space="preserve">II.3.1.</w:t>
      </w:r>
      <w:r>
        <w:t xml:space="preserve"> </w:t>
      </w:r>
      <w:r>
        <w:t xml:space="preserve">Soluciones de la teoría de la agencia</w:t>
      </w:r>
    </w:p>
    <w:p>
      <w:pPr>
        <w:keepNext/>
        <w:numPr>
          <w:ilvl w:val="0"/>
          <w:numId w:val="1073"/>
        </w:numPr>
      </w:pPr>
      <w:r>
        <w:t xml:space="preserve">Son formas de ligar el pago a lo observable, como pide el modelo:</w:t>
      </w:r>
    </w:p>
    <w:p>
      <w:pPr>
        <w:numPr>
          <w:ilvl w:val="1"/>
          <w:numId w:val="1074"/>
        </w:numPr>
      </w:pPr>
      <w:r>
        <w:rPr>
          <w:i/>
          <w:iCs/>
        </w:rPr>
        <w:t xml:space="preserve">Retribución variable</w:t>
      </w:r>
      <w:r>
        <w:t xml:space="preserve">: comisiones, primas por objetivos, participación en beneficios y opciones sobre acciones para los directivos.</w:t>
      </w:r>
    </w:p>
    <w:p>
      <w:pPr>
        <w:numPr>
          <w:ilvl w:val="1"/>
          <w:numId w:val="1074"/>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w:t>
        </w:r>
        <w:r>
          <w:rPr>
            <w:rStyle w:val="Hyperlink"/>
          </w:rPr>
          <w:t xml:space="preserve">1974</w:t>
        </w:r>
      </w:hyperlink>
      <w:r>
        <w:t xml:space="preserve">)</w:t>
      </w:r>
      <w:r>
        <w:t xml:space="preserve">.</w:t>
      </w:r>
    </w:p>
    <w:p>
      <w:pPr>
        <w:numPr>
          <w:ilvl w:val="1"/>
          <w:numId w:val="1074"/>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074"/>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1981</w:t>
        </w:r>
      </w:hyperlink>
      <w:r>
        <w:t xml:space="preserve">)</w:t>
      </w:r>
      <w:r>
        <w:t xml:space="preserve">.</w:t>
      </w:r>
    </w:p>
    <w:p>
      <w:pPr>
        <w:numPr>
          <w:ilvl w:val="1"/>
          <w:numId w:val="1074"/>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074"/>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1984</w:t>
        </w:r>
      </w:hyperlink>
      <w:r>
        <w:t xml:space="preserve">)</w:t>
      </w:r>
      <w:r>
        <w:t xml:space="preserve"> </w:t>
      </w:r>
      <w:hyperlink r:id="rId105">
        <w:r>
          <w:rPr>
            <w:rStyle w:val="Referenciaatema"/>
          </w:rPr>
          <w:t xml:space="preserve">[ver tema 3.A.27]</w:t>
        </w:r>
      </w:hyperlink>
      <w:r>
        <w:t xml:space="preserve">.</w:t>
      </w:r>
    </w:p>
    <w:p>
      <w:pPr>
        <w:numPr>
          <w:ilvl w:val="0"/>
          <w:numId w:val="1073"/>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w:t>
        </w:r>
        <w:r>
          <w:rPr>
            <w:rStyle w:val="Hyperlink"/>
          </w:rPr>
          <w:t xml:space="preserve">1991</w:t>
        </w:r>
      </w:hyperlink>
      <w:r>
        <w:t xml:space="preserve">)</w:t>
      </w:r>
      <w:r>
        <w:t xml:space="preserve">.</w:t>
      </w:r>
    </w:p>
    <w:bookmarkEnd w:id="139"/>
    <w:bookmarkStart w:id="140" w:name="sec_otras_soluciones_rm"/>
    <w:p>
      <w:pPr>
        <w:pStyle w:val="Heading3"/>
      </w:pPr>
      <w:r>
        <w:t xml:space="preserve">II.3.2.</w:t>
      </w:r>
      <w:r>
        <w:t xml:space="preserve"> </w:t>
      </w:r>
      <w:r>
        <w:t xml:space="preserve">Otras soluciones</w:t>
      </w:r>
    </w:p>
    <w:p>
      <w:pPr>
        <w:numPr>
          <w:ilvl w:val="0"/>
          <w:numId w:val="1075"/>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075"/>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w:t>
        </w:r>
        <w:r>
          <w:rPr>
            <w:rStyle w:val="Hyperlink"/>
          </w:rPr>
          <w:t xml:space="preserve">1999</w:t>
        </w:r>
      </w:hyperlink>
      <w:r>
        <w:t xml:space="preserve">)</w:t>
      </w:r>
      <w:r>
        <w:t xml:space="preserve">.</w:t>
      </w:r>
    </w:p>
    <w:p>
      <w:pPr>
        <w:keepNext/>
        <w:numPr>
          <w:ilvl w:val="0"/>
          <w:numId w:val="1075"/>
        </w:numPr>
      </w:pPr>
      <w:r>
        <w:rPr>
          <w:i/>
          <w:iCs/>
        </w:rPr>
        <w:t xml:space="preserve">Condicionalidad</w:t>
      </w:r>
      <w:r>
        <w:t xml:space="preserve">. 2 ejemplos:</w:t>
      </w:r>
    </w:p>
    <w:p>
      <w:pPr>
        <w:numPr>
          <w:ilvl w:val="1"/>
          <w:numId w:val="1076"/>
        </w:numPr>
      </w:pPr>
      <w:r>
        <w:t xml:space="preserve">un trabajador que sabe que cobrará la prestación por desempleo en cualquier caso tiene menos incentivos a buscar trabajo: por eso la prestación se condiciona a la búsqueda activa de empleo;</w:t>
      </w:r>
    </w:p>
    <w:p>
      <w:pPr>
        <w:numPr>
          <w:ilvl w:val="1"/>
          <w:numId w:val="1076"/>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06">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075"/>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40"/>
    <w:bookmarkEnd w:id="141"/>
    <w:bookmarkEnd w:id="142"/>
    <w:bookmarkStart w:id="161"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4′30″</w:t>
      </w:r>
    </w:p>
    <w:p>
      <w:pPr>
        <w:pStyle w:val="Notaalopositor"/>
      </w:pPr>
      <w:r>
        <w:rPr>
          <w:b/>
          <w:bCs/>
        </w:rPr>
        <w:t xml:space="preserve">Nota al opositor. </w:t>
      </w:r>
      <w:r>
        <w:t xml:space="preserve">En el cante: la idea, con la conclusión anticipada (0′30″); los supuestos (1′); los 3 efectos de subir el tipo y la función del rendimiento esperado del banco con el primer panel (1′30″); el racionamiento en equilibrio con el segundo panel (1′), y las implicaciones en una frase cada una (0′30″).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077"/>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143" w:name="sec_idea_sa_rm"/>
    <w:p>
      <w:pPr>
        <w:pStyle w:val="Heading2"/>
      </w:pPr>
      <w:r>
        <w:t xml:space="preserve">III.1.</w:t>
      </w:r>
      <w:r>
        <w:t xml:space="preserve"> </w:t>
      </w:r>
      <w:r>
        <w:t xml:space="preserve">Idea</w:t>
      </w:r>
    </w:p>
    <w:p>
      <w:pPr>
        <w:numPr>
          <w:ilvl w:val="0"/>
          <w:numId w:val="1078"/>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078"/>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36">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143"/>
    <w:bookmarkStart w:id="160"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144" w:name="a_idea_4"/>
    <w:p>
      <w:pPr>
        <w:pStyle w:val="Heading4"/>
      </w:pPr>
      <w:r>
        <w:t xml:space="preserve">a) Idea</w:t>
      </w:r>
    </w:p>
    <w:p>
      <w:pPr>
        <w:numPr>
          <w:ilvl w:val="0"/>
          <w:numId w:val="1079"/>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144"/>
    <w:bookmarkStart w:id="156" w:name="b_modelo_4"/>
    <w:p>
      <w:pPr>
        <w:pStyle w:val="Heading4"/>
      </w:pPr>
      <w:r>
        <w:t xml:space="preserve">b) Modelo</w:t>
      </w:r>
    </w:p>
    <w:bookmarkStart w:id="145" w:name="i_supuestos_4"/>
    <w:p>
      <w:pPr>
        <w:pStyle w:val="Heading5"/>
      </w:pPr>
      <w:r>
        <w:t xml:space="preserve">i) Supuestos</w:t>
      </w:r>
    </w:p>
    <w:p>
      <w:pPr>
        <w:numPr>
          <w:ilvl w:val="0"/>
          <w:numId w:val="1080"/>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080"/>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080"/>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080"/>
        </w:numPr>
      </w:pPr>
      <w:r>
        <w:t xml:space="preserve">Los bancos son neutrales al riesgo y compiten por los fondos de los depositantes, que ofrecen más cuanto mayor es el rendimiento que el banco puede pagarles.</w:t>
      </w:r>
    </w:p>
    <w:bookmarkEnd w:id="145"/>
    <w:bookmarkStart w:id="151" w:name="ii_desarrollo_4"/>
    <w:p>
      <w:pPr>
        <w:pStyle w:val="Heading5"/>
      </w:pPr>
      <w:r>
        <w:t xml:space="preserve">ii) Desarrollo</w:t>
      </w:r>
    </w:p>
    <w:p>
      <w:pPr>
        <w:numPr>
          <w:ilvl w:val="0"/>
          <w:numId w:val="1081"/>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081"/>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082"/>
        </w:numPr>
      </w:pPr>
      <w:r>
        <w:rPr>
          <w:i/>
          <w:iCs/>
        </w:rPr>
        <w:t xml:space="preserve">Directo</w:t>
      </w:r>
      <w:r>
        <w:t xml:space="preserve">: cobra más a los que pagan.</w:t>
      </w:r>
    </w:p>
    <w:p>
      <w:pPr>
        <w:numPr>
          <w:ilvl w:val="1"/>
          <w:numId w:val="1082"/>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082"/>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081"/>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146" w:name="eq_stiglitz_weiss"/>
      <w:bookmarkEnd w:id="146"/>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6</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081"/>
        </w:numPr>
      </w:pPr>
      <w:r>
        <w:rPr>
          <w:i/>
          <w:iCs/>
        </w:rPr>
        <w:t xml:space="preserve">El mercado</w:t>
      </w:r>
      <w:r>
        <w:t xml:space="preserve"> </w:t>
      </w:r>
      <w:r>
        <w:t xml:space="preserve">(gráfico </w:t>
      </w:r>
      <w:hyperlink w:anchor="fig_stiglitz_weiss">
        <w:r>
          <w:rPr>
            <w:rStyle w:val="Hyperlink"/>
          </w:rPr>
          <w:t xml:space="preserve">6</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150" w:name="fig_stiglitz_weiss"/>
    <w:p>
      <w:pPr>
        <w:pStyle w:val="ImageCaption"/>
      </w:pPr>
      <w:r>
        <w:t xml:space="preserve">Gráfico 6.–</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 title="" id="148" name="Picture"/>
            <a:graphic>
              <a:graphicData uri="http://schemas.openxmlformats.org/drawingml/2006/picture">
                <pic:pic>
                  <pic:nvPicPr>
                    <pic:cNvPr descr="C:\Users\vgutierrez\Documents\src\victorgutierrezmarcos.github.io-revision\oposicion\temario\fuentes\3A13\graficos/stiglitz-weiss.png" id="149" name="Picture"/>
                    <pic:cNvPicPr>
                      <a:picLocks noChangeArrowheads="1" noChangeAspect="1"/>
                    </pic:cNvPicPr>
                  </pic:nvPicPr>
                  <pic:blipFill>
                    <a:blip r:embed="rId147"/>
                    <a:stretch>
                      <a:fillRect/>
                    </a:stretch>
                  </pic:blipFill>
                  <pic:spPr bwMode="auto">
                    <a:xfrm>
                      <a:off x="0" y="0"/>
                      <a:ext cx="5670550" cy="1933278"/>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151"/>
    <w:bookmarkStart w:id="155" w:name="iii_implicaciones_4"/>
    <w:p>
      <w:pPr>
        <w:pStyle w:val="Heading5"/>
      </w:pPr>
      <w:r>
        <w:t xml:space="preserve">iii) Implicaciones</w:t>
      </w:r>
    </w:p>
    <w:p>
      <w:pPr>
        <w:numPr>
          <w:ilvl w:val="0"/>
          <w:numId w:val="1083"/>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083"/>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152"/>
      </w:r>
    </w:p>
    <w:p>
      <w:pPr>
        <w:numPr>
          <w:ilvl w:val="0"/>
          <w:numId w:val="1083"/>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w:t>
        </w:r>
        <w:r>
          <w:rPr>
            <w:rStyle w:val="Hyperlink"/>
          </w:rPr>
          <w:t xml:space="preserve">1990</w:t>
        </w:r>
      </w:hyperlink>
      <w:r>
        <w:t xml:space="preserve">;</w:t>
      </w:r>
      <w:r>
        <w:t xml:space="preserve"> </w:t>
      </w:r>
      <w:hyperlink w:anchor="ref_Ghatak1999Group">
        <w:r>
          <w:rPr>
            <w:rStyle w:val="Hyperlink"/>
            <w:smallCaps/>
          </w:rPr>
          <w:t xml:space="preserve">Ghatak</w:t>
        </w:r>
        <w:r>
          <w:rPr>
            <w:rStyle w:val="Hyperlink"/>
          </w:rPr>
          <w:t xml:space="preserve"> </w:t>
        </w:r>
        <w:r>
          <w:rPr>
            <w:rStyle w:val="Hyperlink"/>
          </w:rPr>
          <w:t xml:space="preserve">1999</w:t>
        </w:r>
      </w:hyperlink>
      <w:r>
        <w:t xml:space="preserve">)</w:t>
      </w:r>
      <w:r>
        <w:t xml:space="preserve"> </w:t>
      </w:r>
      <w:hyperlink r:id="rId153">
        <w:r>
          <w:rPr>
            <w:rStyle w:val="Referenciaatema"/>
          </w:rPr>
          <w:t xml:space="preserve">[ver tema 3.B.28]</w:t>
        </w:r>
      </w:hyperlink>
      <w:r>
        <w:t xml:space="preserve">.</w:t>
      </w:r>
    </w:p>
    <w:p>
      <w:pPr>
        <w:numPr>
          <w:ilvl w:val="0"/>
          <w:numId w:val="1083"/>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w:t>
        </w:r>
        <w:r>
          <w:rPr>
            <w:rStyle w:val="Hyperlink"/>
          </w:rPr>
          <w:t xml:space="preserve">2014</w:t>
        </w:r>
      </w:hyperlink>
      <w:r>
        <w:t xml:space="preserve">)</w:t>
      </w:r>
      <w:r>
        <w:t xml:space="preserve">.</w:t>
      </w:r>
    </w:p>
    <w:p>
      <w:pPr>
        <w:numPr>
          <w:ilvl w:val="0"/>
          <w:numId w:val="1083"/>
        </w:numPr>
      </w:pPr>
      <w:r>
        <w:rPr>
          <w:i/>
          <w:iCs/>
        </w:rPr>
        <w:t xml:space="preserve">Política pública</w:t>
      </w:r>
      <w:r>
        <w:t xml:space="preserve">: justifica los avales públicos y las líneas de crédito a pymes y exportadores</w:t>
      </w:r>
      <w:r>
        <w:t xml:space="preserve"> </w:t>
      </w:r>
      <w:hyperlink r:id="rId154">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155"/>
    <w:bookmarkEnd w:id="156"/>
    <w:bookmarkStart w:id="157" w:name="c_extensiones_3"/>
    <w:p>
      <w:pPr>
        <w:pStyle w:val="Heading4"/>
      </w:pPr>
      <w:r>
        <w:t xml:space="preserve">c) Extensiones</w:t>
      </w:r>
    </w:p>
    <w:p>
      <w:pPr>
        <w:numPr>
          <w:ilvl w:val="0"/>
          <w:numId w:val="1084"/>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w:t>
        </w:r>
        <w:r>
          <w:rPr>
            <w:rStyle w:val="Hyperlink"/>
          </w:rPr>
          <w:t xml:space="preserve">1985</w:t>
        </w:r>
      </w:hyperlink>
      <w:r>
        <w:t xml:space="preserve">)</w:t>
      </w:r>
      <w:r>
        <w:t xml:space="preserve">.</w:t>
      </w:r>
    </w:p>
    <w:p>
      <w:pPr>
        <w:numPr>
          <w:ilvl w:val="0"/>
          <w:numId w:val="1084"/>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w:t>
        </w:r>
        <w:r>
          <w:rPr>
            <w:rStyle w:val="Hyperlink"/>
          </w:rPr>
          <w:t xml:space="preserve">1987</w:t>
        </w:r>
      </w:hyperlink>
      <w:r>
        <w:t xml:space="preserve">)</w:t>
      </w:r>
      <w:r>
        <w:t xml:space="preserve">.</w:t>
      </w:r>
    </w:p>
    <w:bookmarkEnd w:id="157"/>
    <w:bookmarkStart w:id="158" w:name="d_evidencia_emp__rica_3"/>
    <w:p>
      <w:pPr>
        <w:pStyle w:val="Heading4"/>
      </w:pPr>
      <w:r>
        <w:t xml:space="preserve">d) Evidencia empírica</w:t>
      </w:r>
    </w:p>
    <w:p>
      <w:pPr>
        <w:numPr>
          <w:ilvl w:val="0"/>
          <w:numId w:val="1085"/>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085"/>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w:t>
        </w:r>
        <w:r>
          <w:rPr>
            <w:rStyle w:val="Hyperlink"/>
          </w:rPr>
          <w:t xml:space="preserve">2009</w:t>
        </w:r>
      </w:hyperlink>
      <w:r>
        <w:t xml:space="preserve">)</w:t>
      </w:r>
      <w:r>
        <w:t xml:space="preserve">; los autores lo atribuyen sobre todo a un motivo de precaución, porque sus flujos de caja son más arriesgados.</w:t>
      </w:r>
    </w:p>
    <w:bookmarkEnd w:id="158"/>
    <w:bookmarkStart w:id="159" w:name="e_valoraci__n_3"/>
    <w:p>
      <w:pPr>
        <w:pStyle w:val="Heading4"/>
      </w:pPr>
      <w:r>
        <w:t xml:space="preserve">e) Valoración</w:t>
      </w:r>
    </w:p>
    <w:p>
      <w:pPr>
        <w:numPr>
          <w:ilvl w:val="0"/>
          <w:numId w:val="1086"/>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086"/>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159"/>
    <w:bookmarkEnd w:id="160"/>
    <w:bookmarkEnd w:id="161"/>
    <w:bookmarkStart w:id="165" w:name="conclusi__n"/>
    <w:p>
      <w:pPr>
        <w:pStyle w:val="Heading1"/>
      </w:pPr>
      <w:r>
        <w:t xml:space="preserve">Conclusión</w:t>
      </w:r>
      <w:r>
        <w:t xml:space="preserve"> </w:t>
      </w:r>
      <w:r>
        <w:rPr>
          <w:rStyle w:val="Minutos"/>
        </w:rPr>
        <w:t xml:space="preserve">1′</w:t>
      </w:r>
    </w:p>
    <w:p>
      <w:pPr>
        <w:keepNext/>
        <w:numPr>
          <w:ilvl w:val="0"/>
          <w:numId w:val="1087"/>
        </w:numPr>
      </w:pPr>
      <w:r>
        <w:rPr>
          <w:b/>
          <w:bCs/>
          <w:i/>
          <w:iCs/>
        </w:rPr>
        <w:t xml:space="preserve">Recapitulación</w:t>
      </w:r>
      <w:r>
        <w:t xml:space="preserve">: en conclusión, la economía de la información estudia lo que ocurre cuando falla el supuesto de información perfecta y simétrica.</w:t>
      </w:r>
    </w:p>
    <w:p>
      <w:pPr>
        <w:numPr>
          <w:ilvl w:val="1"/>
          <w:numId w:val="1088"/>
        </w:numPr>
      </w:pPr>
      <w:r>
        <w:t xml:space="preserve">¿Por qué la asimetría impide la eficiencia? 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 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 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numPr>
          <w:ilvl w:val="1"/>
          <w:numId w:val="1088"/>
        </w:numPr>
      </w:pPr>
      <w:r>
        <w:t xml:space="preserve">¿Qué mecanismos la mitigan? En todos los casos, quien no tiene la información diseña un contrato que cumple la participación y la compatibilidad de incentivos: señales costosas (</w:t>
      </w:r>
      <w:r>
        <w:rPr>
          <w:smallCaps/>
        </w:rPr>
        <w:t xml:space="preserve">Spence</w:t>
      </w:r>
      <w:r>
        <w:t xml:space="preserve">), menús de contratos (</w:t>
      </w:r>
      <w:r>
        <w:rPr>
          <w:smallCaps/>
        </w:rPr>
        <w:t xml:space="preserve">Rothschild</w:t>
      </w:r>
      <w:r>
        <w:t xml:space="preserve"> </w:t>
      </w:r>
      <w:r>
        <w:t xml:space="preserve">y</w:t>
      </w:r>
      <w:r>
        <w:t xml:space="preserve"> </w:t>
      </w:r>
      <w:r>
        <w:rPr>
          <w:smallCaps/>
        </w:rPr>
        <w:t xml:space="preserve">Stiglitz</w:t>
      </w:r>
      <w:r>
        <w:t xml:space="preserve">), pagos ligados a lo observable que usan toda la información disponible y, cuando el mercado no basta, la intervención pública: seguros obligatorios, información obligatoria, supervisión y condicionalidad. Ninguno es gratis: el resultado es, en el mejor de los casos, un óptimo restringido.</w:t>
      </w:r>
    </w:p>
    <w:p>
      <w:pPr>
        <w:numPr>
          <w:ilvl w:val="0"/>
          <w:numId w:val="1087"/>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w:t>
        </w:r>
        <w:r>
          <w:rPr>
            <w:rStyle w:val="Hyperlink"/>
          </w:rPr>
          <w:t xml:space="preserve">1973</w:t>
        </w:r>
      </w:hyperlink>
      <w:r>
        <w:t xml:space="preserve">;</w:t>
      </w:r>
      <w:r>
        <w:t xml:space="preserve"> </w:t>
      </w:r>
      <w:hyperlink w:anchor="ref_Ferejohn1986Incumbent">
        <w:r>
          <w:rPr>
            <w:rStyle w:val="Hyperlink"/>
            <w:smallCaps/>
          </w:rPr>
          <w:t xml:space="preserve">Ferejohn</w:t>
        </w:r>
        <w:r>
          <w:rPr>
            <w:rStyle w:val="Hyperlink"/>
          </w:rPr>
          <w:t xml:space="preserve"> </w:t>
        </w:r>
        <w:r>
          <w:rPr>
            <w:rStyle w:val="Hyperlink"/>
          </w:rPr>
          <w:t xml:space="preserve">1986</w:t>
        </w:r>
      </w:hyperlink>
      <w:r>
        <w:t xml:space="preserve">)</w:t>
      </w:r>
      <w:r>
        <w:t xml:space="preserve"> </w:t>
      </w:r>
      <w:hyperlink r:id="rId162">
        <w:r>
          <w:rPr>
            <w:rStyle w:val="Referenciaatema"/>
          </w:rPr>
          <w:t xml:space="preserve">[ver tema 4.B.2]</w:t>
        </w:r>
      </w:hyperlink>
      <w:r>
        <w:t xml:space="preserve">.</w:t>
      </w:r>
    </w:p>
    <w:p>
      <w:pPr>
        <w:numPr>
          <w:ilvl w:val="0"/>
          <w:numId w:val="1087"/>
        </w:numPr>
      </w:pPr>
      <w:r>
        <w:rPr>
          <w:b/>
          <w:bCs/>
          <w:i/>
          <w:iCs/>
        </w:rPr>
        <w:t xml:space="preserve">Extensiones</w:t>
      </w:r>
      <w:r>
        <w:t xml:space="preserve">: el diseño de mecanismos y las subastas</w:t>
      </w:r>
      <w:r>
        <w:t xml:space="preserve"> </w:t>
      </w:r>
      <w:hyperlink r:id="rId25">
        <w:r>
          <w:rPr>
            <w:rStyle w:val="Referenciaatema"/>
          </w:rPr>
          <w:t xml:space="preserve">[ver tema 3.A.14]</w:t>
        </w:r>
      </w:hyperlink>
      <w:r>
        <w:t xml:space="preserve">; 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w:t>
        </w:r>
        <w:r>
          <w:rPr>
            <w:rStyle w:val="Hyperlink"/>
          </w:rPr>
          <w:t xml:space="preserve">1971</w:t>
        </w:r>
      </w:hyperlink>
      <w:r>
        <w:t xml:space="preserve">)</w:t>
      </w:r>
      <w:r>
        <w:t xml:space="preserve"> </w:t>
      </w:r>
      <w:hyperlink r:id="rId163">
        <w:r>
          <w:rPr>
            <w:rStyle w:val="Referenciaatema"/>
          </w:rPr>
          <w:t xml:space="preserve">[ver tema 4.B.11]</w:t>
        </w:r>
      </w:hyperlink>
      <w:r>
        <w:t xml:space="preserve">; la regulación con información asimétrica</w:t>
      </w:r>
      <w:r>
        <w:t xml:space="preserve"> </w:t>
      </w:r>
      <w:hyperlink r:id="rId27">
        <w:r>
          <w:rPr>
            <w:rStyle w:val="Referenciaatema"/>
          </w:rPr>
          <w:t xml:space="preserve">[ver tema 3.A.17]</w:t>
        </w:r>
      </w:hyperlink>
      <w:r>
        <w:t xml:space="preserve">; la teoría de la empresa, con los costes de agencia y los contratos incompletos</w:t>
      </w:r>
      <w:r>
        <w:t xml:space="preserve"> </w:t>
      </w:r>
      <w:hyperlink r:id="rId38">
        <w:r>
          <w:rPr>
            <w:rStyle w:val="Referenciaatema"/>
          </w:rPr>
          <w:t xml:space="preserve">[ver tema 3.A.15]</w:t>
        </w:r>
      </w:hyperlink>
      <w:r>
        <w:t xml:space="preserve">, y la economía del comportamiento, cuyos sesgos cambian el diseño de los incentivos</w:t>
      </w:r>
      <w:r>
        <w:t xml:space="preserve"> </w:t>
      </w:r>
      <w:hyperlink r:id="rId164">
        <w:r>
          <w:rPr>
            <w:rStyle w:val="Referenciaatema"/>
          </w:rPr>
          <w:t xml:space="preserve">[ver tema 3.A.1]</w:t>
        </w:r>
      </w:hyperlink>
      <w:r>
        <w:t xml:space="preserve">.</w:t>
      </w:r>
    </w:p>
    <w:p>
      <w:pPr>
        <w:numPr>
          <w:ilvl w:val="0"/>
          <w:numId w:val="1087"/>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087"/>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5"/>
    <w:bookmarkStart w:id="175" w:name="anexo_principal_agente"/>
    <w:p>
      <w:pPr>
        <w:pStyle w:val="Heading1"/>
      </w:pPr>
      <w:r>
        <w:t xml:space="preserve">A. Anexo: resolución analítica del modelo principal-agente</w:t>
      </w:r>
    </w:p>
    <w:bookmarkStart w:id="166" w:name="anexo_pa_planteamiento"/>
    <w:p>
      <w:pPr>
        <w:pStyle w:val="Heading2"/>
      </w:pPr>
      <w:r>
        <w:t xml:space="preserve">A.1. Planteamiento</w:t>
      </w:r>
    </w:p>
    <w:p>
      <w:pPr>
        <w:numPr>
          <w:ilvl w:val="0"/>
          <w:numId w:val="1089"/>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089"/>
        </w:numPr>
      </w:pPr>
      <w:r>
        <w:t xml:space="preserve">La solución pasa por que el principal diseñe un contrato que incentive al agente a hacer el esfuerzo que más le conviene al principal.</w:t>
      </w:r>
    </w:p>
    <w:p>
      <w:pPr>
        <w:numPr>
          <w:ilvl w:val="0"/>
          <w:numId w:val="1089"/>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166"/>
    <w:bookmarkStart w:id="168" w:name="anexo_pa_borch"/>
    <w:p>
      <w:pPr>
        <w:pStyle w:val="Heading2"/>
      </w:pPr>
      <w:r>
        <w:t xml:space="preserve">A.2. Esfuerzo observable: la regla de</w:t>
      </w:r>
      <w:r>
        <w:t xml:space="preserve"> </w:t>
      </w:r>
      <w:r>
        <w:rPr>
          <w:smallCaps/>
        </w:rPr>
        <w:t xml:space="preserve">Borch</w:t>
      </w:r>
    </w:p>
    <w:p>
      <w:pPr>
        <w:numPr>
          <w:ilvl w:val="0"/>
          <w:numId w:val="1090"/>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090"/>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09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090"/>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w:t>
        </w:r>
        <w:r>
          <w:rPr>
            <w:rStyle w:val="Hyperlink"/>
          </w:rPr>
          <w:t xml:space="preserve">1962</w:t>
        </w:r>
      </w:hyperlink>
      <w:r>
        <w:t xml:space="preserve">)</w:t>
      </w:r>
      <w:r>
        <w:t xml:space="preserve">:</w:t>
      </w:r>
      <w:r>
        <w:t xml:space="preserve"> </w:t>
      </w:r>
      <w:bookmarkStart w:id="167" w:name="eq_borch"/>
      <w:bookmarkEnd w:id="167"/>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rincipal_agente">
        <w:r>
          <w:rPr>
            <w:rStyle w:val="Hyperlink"/>
          </w:rPr>
          <w:t xml:space="preserve">5</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090"/>
        </w:numPr>
      </w:pPr>
      <w:r>
        <w:t xml:space="preserve">Según la actitud ante el riesgo de cada parte:</w:t>
      </w:r>
    </w:p>
    <w:p>
      <w:pPr>
        <w:numPr>
          <w:ilvl w:val="1"/>
          <w:numId w:val="1091"/>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16</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091"/>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091"/>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091"/>
        </w:numPr>
      </w:pPr>
      <w:r>
        <w:rPr>
          <w:i/>
          <w:iCs/>
        </w:rPr>
        <w:t xml:space="preserve">Los 2 neutrales</w:t>
      </w:r>
      <w:r>
        <w:t xml:space="preserve">: (</w:t>
      </w:r>
      <w:hyperlink w:anchor="eq_borch">
        <w:r>
          <w:rPr>
            <w:rStyle w:val="Hyperlink"/>
          </w:rPr>
          <w:t xml:space="preserve">16</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m:oMath>
        <m:r>
          <m:rPr>
            <m:sty m:val="p"/>
          </m:rPr>
          <m:t>◼</m:t>
        </m:r>
      </m:oMath>
    </w:p>
    <w:bookmarkEnd w:id="168"/>
    <w:bookmarkStart w:id="171"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092"/>
        </w:numPr>
      </w:pPr>
      <w:r>
        <w:t xml:space="preserve">Con principal neutral, el problema es (</w:t>
      </w:r>
      <w:hyperlink w:anchor="eq_principal_agente">
        <w:r>
          <w:rPr>
            <w:rStyle w:val="Hyperlink"/>
          </w:rPr>
          <w:t xml:space="preserve">5</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5</w:t>
        </w:r>
      </w:hyperlink>
      <w:r>
        <w:t xml:space="preserve">).</w:t>
      </w:r>
    </w:p>
    <w:p>
      <w:pPr>
        <w:numPr>
          <w:ilvl w:val="0"/>
          <w:numId w:val="1092"/>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092"/>
        </w:numPr>
      </w:pPr>
      <w:r>
        <w:rPr>
          <w:i/>
          <w:iCs/>
        </w:rPr>
        <w:t xml:space="preserve">Condiciones de primer orden</w:t>
      </w:r>
      <w:r>
        <w:t xml:space="preserve">:</w:t>
      </w:r>
      <w:r>
        <w:t xml:space="preserve"> </w:t>
      </w:r>
      <w:bookmarkStart w:id="169" w:name="eq_cpo_we"/>
      <w:bookmarkEnd w:id="16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170" w:name="eq_cpo_wf"/>
      <w:bookmarkEnd w:id="170"/>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19</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20</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092"/>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092"/>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092"/>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10</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092"/>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11</w:t>
        </w:r>
      </w:hyperlink>
      <w:r>
        <w:t xml:space="preserve">): el principal paga de media más que con esfuerzo observable, y la diferencia es la prima de riesgo que exige el agente.</w:t>
      </w:r>
    </w:p>
    <w:p>
      <w:pPr>
        <w:numPr>
          <w:ilvl w:val="0"/>
          <w:numId w:val="1092"/>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m:oMath>
        <m:r>
          <m:rPr>
            <m:sty m:val="p"/>
          </m:rPr>
          <m:t>◼</m:t>
        </m:r>
      </m:oMath>
    </w:p>
    <w:bookmarkEnd w:id="171"/>
    <w:bookmarkStart w:id="172" w:name="anexo_pa_continuo"/>
    <w:p>
      <w:pPr>
        <w:pStyle w:val="Heading2"/>
      </w:pPr>
      <w:r>
        <w:t xml:space="preserve">A.4. Esfuerzo continuo y enfoque de primer orden</w:t>
      </w:r>
    </w:p>
    <w:p>
      <w:pPr>
        <w:numPr>
          <w:ilvl w:val="0"/>
          <w:numId w:val="1093"/>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093"/>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w:t>
        </w:r>
        <w:r>
          <w:rPr>
            <w:rStyle w:val="Hyperlink"/>
          </w:rPr>
          <w:t xml:space="preserve">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w:t>
        </w:r>
        <w:r>
          <w:rPr>
            <w:rStyle w:val="Hyperlink"/>
          </w:rPr>
          <w:t xml:space="preserve">1983</w:t>
        </w:r>
      </w:hyperlink>
      <w:r>
        <w:t xml:space="preserve">;</w:t>
      </w:r>
      <w:r>
        <w:t xml:space="preserve"> </w:t>
      </w:r>
      <w:hyperlink w:anchor="ref_Rogerson1985FirstOrder">
        <w:r>
          <w:rPr>
            <w:rStyle w:val="Hyperlink"/>
            <w:smallCaps/>
          </w:rPr>
          <w:t xml:space="preserve">Rogerson</w:t>
        </w:r>
        <w:r>
          <w:rPr>
            <w:rStyle w:val="Hyperlink"/>
          </w:rPr>
          <w:t xml:space="preserve"> </w:t>
        </w:r>
        <w:r>
          <w:rPr>
            <w:rStyle w:val="Hyperlink"/>
          </w:rPr>
          <w:t xml:space="preserve">1985</w:t>
        </w:r>
      </w:hyperlink>
      <w:r>
        <w:t xml:space="preserve">)</w:t>
      </w:r>
      <w:r>
        <w:t xml:space="preserve">.</w:t>
      </w:r>
    </w:p>
    <w:p>
      <w:pPr>
        <w:numPr>
          <w:ilvl w:val="0"/>
          <w:numId w:val="1093"/>
        </w:numPr>
      </w:pPr>
      <w:r>
        <w:t xml:space="preserve">El esfuerzo que se induce es, en general, menor que el que el principal pediría si lo observara: para que el contrato no sea demasiado caro, el principal tolera menos esfuerzo que con información simétrica.</w:t>
      </w:r>
    </w:p>
    <w:bookmarkEnd w:id="172"/>
    <w:bookmarkStart w:id="173" w:name="anexo_pa_lineal"/>
    <w:p>
      <w:pPr>
        <w:pStyle w:val="Heading2"/>
      </w:pPr>
      <w:r>
        <w:t xml:space="preserve">A.5. El contrato lineal</w:t>
      </w:r>
    </w:p>
    <w:p>
      <w:pPr>
        <w:numPr>
          <w:ilvl w:val="0"/>
          <w:numId w:val="1094"/>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w:t>
        </w:r>
        <w:r>
          <w:rPr>
            <w:rStyle w:val="Hyperlink"/>
          </w:rPr>
          <w:t xml:space="preserve">1987</w:t>
        </w:r>
      </w:hyperlink>
      <w:r>
        <w:t xml:space="preserve">)</w:t>
      </w:r>
      <w:r>
        <w:t xml:space="preserve">: 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pago lineal</w:t>
      </w:r>
      <w:r>
        <w:t xml:space="preserve"> </w:t>
      </w:r>
      <m:oMath>
        <m:r>
          <m:t>w</m:t>
        </m:r>
        <m:r>
          <m:rPr>
            <m:sty m:val="p"/>
          </m:rPr>
          <m:t>=</m:t>
        </m:r>
        <m:r>
          <m:t>a</m:t>
        </m:r>
        <m:r>
          <m:rPr>
            <m:sty m:val="p"/>
          </m:rPr>
          <m:t>+</m:t>
        </m:r>
        <m:r>
          <m:t>b</m:t>
        </m:r>
        <m:r>
          <m:t> </m:t>
        </m:r>
        <m:r>
          <m:t>x</m:t>
        </m:r>
      </m:oMath>
      <w:r>
        <w:t xml:space="preserve">; 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principal neutral.</w:t>
      </w:r>
    </w:p>
    <w:p>
      <w:pPr>
        <w:numPr>
          <w:ilvl w:val="0"/>
          <w:numId w:val="1094"/>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094"/>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094"/>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094"/>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12</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094"/>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m:oMath>
        <m:r>
          <m:rPr>
            <m:sty m:val="p"/>
          </m:rPr>
          <m:t>◼</m:t>
        </m:r>
      </m:oMath>
    </w:p>
    <w:bookmarkEnd w:id="173"/>
    <w:bookmarkStart w:id="174" w:name="anexo_pa_ejercicio"/>
    <w:p>
      <w:pPr>
        <w:pStyle w:val="Heading2"/>
      </w:pPr>
      <w:r>
        <w:t xml:space="preserve">A.6. Ejercicio</w:t>
      </w:r>
    </w:p>
    <w:p>
      <w:pPr>
        <w:numPr>
          <w:ilvl w:val="0"/>
          <w:numId w:val="1095"/>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095"/>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095"/>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174"/>
    <w:bookmarkEnd w:id="175"/>
    <w:bookmarkStart w:id="180"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096"/>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7</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1976</w:t>
        </w:r>
      </w:hyperlink>
      <w:r>
        <w:t xml:space="preserve">)</w:t>
      </w:r>
      <w:r>
        <w:t xml:space="preserve">.</w:t>
      </w:r>
    </w:p>
    <w:p>
      <w:pPr>
        <w:numPr>
          <w:ilvl w:val="0"/>
          <w:numId w:val="1096"/>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w:t>
        </w:r>
        <w:r>
          <w:rPr>
            <w:rStyle w:val="Hyperlink"/>
          </w:rPr>
          <w:t xml:space="preserve">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096"/>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w:t>
        </w:r>
        <w:r>
          <w:rPr>
            <w:rStyle w:val="Hyperlink"/>
          </w:rPr>
          <w:t xml:space="preserve">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096"/>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w:t>
        </w:r>
        <w:r>
          <w:rPr>
            <w:rStyle w:val="Hyperlink"/>
          </w:rPr>
          <w:t xml:space="preserve">1977</w:t>
        </w:r>
      </w:hyperlink>
      <w:r>
        <w:t xml:space="preserve">;</w:t>
      </w:r>
      <w:r>
        <w:t xml:space="preserve"> </w:t>
      </w:r>
      <w:hyperlink w:anchor="ref_Spence1978Product">
        <w:r>
          <w:rPr>
            <w:rStyle w:val="Hyperlink"/>
            <w:smallCaps/>
          </w:rPr>
          <w:t xml:space="preserve">Spence</w:t>
        </w:r>
        <w:r>
          <w:rPr>
            <w:rStyle w:val="Hyperlink"/>
          </w:rPr>
          <w:t xml:space="preserve"> </w:t>
        </w:r>
        <w:r>
          <w:rPr>
            <w:rStyle w:val="Hyperlink"/>
          </w:rPr>
          <w:t xml:space="preserve">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Start w:id="179" w:name="fig_rs_inexistencia"/>
    <w:p>
      <w:pPr>
        <w:pStyle w:val="ImageCaption"/>
      </w:pPr>
      <w:r>
        <w:t xml:space="preserve">Gráfico 7.–</w:t>
      </w:r>
      <w:r>
        <w:t xml:space="preserve"> </w:t>
      </w:r>
      <w:r>
        <w:t xml:space="preserve">Inexistencia del equilibrio de</w:t>
      </w:r>
      <w:r>
        <w:t xml:space="preserve"> </w:t>
      </w:r>
      <w:r>
        <w:rPr>
          <w:smallCaps/>
        </w:rPr>
        <w:t xml:space="preserve">Rothschild</w:t>
      </w:r>
      <w:r>
        <w:t xml:space="preserve"> </w:t>
      </w:r>
      <w:r>
        <w:t xml:space="preserve">y</w:t>
      </w:r>
      <w:r>
        <w:t xml:space="preserve"> </w:t>
      </w:r>
      <w:r>
        <w:rPr>
          <w:smallCaps/>
        </w:rPr>
        <w:t xml:space="preserve">Stiglitz</w:t>
      </w:r>
      <w:r>
        <w:t xml:space="preserve">: con muchos prudentes, el contrato agrupador</w:t>
      </w:r>
      <w:r>
        <w:t xml:space="preserve"> </w:t>
      </w:r>
      <m:oMath>
        <m:r>
          <m:t>C</m:t>
        </m:r>
      </m:oMath>
      <w:r>
        <w:t xml:space="preserve"> </w:t>
      </w:r>
      <w:r>
        <w:t xml:space="preserve">rompe el separador</w:t>
      </w:r>
    </w:p>
    <w:p>
      <w:pPr>
        <w:pStyle w:val="CaptionedFigure"/>
      </w:pPr>
      <w:r>
        <w:drawing>
          <wp:inline>
            <wp:extent cx="3516923" cy="3284500"/>
            <wp:effectExtent b="0" l="0" r="0" t="0"/>
            <wp:docPr descr="" title="" id="177" name="Picture"/>
            <a:graphic>
              <a:graphicData uri="http://schemas.openxmlformats.org/drawingml/2006/picture">
                <pic:pic>
                  <pic:nvPicPr>
                    <pic:cNvPr descr="C:\Users\vgutierrez\Documents\src\victorgutierrezmarcos.github.io-revision\oposicion\temario\fuentes\3A13\graficos/rs-inexistencia.png" id="178" name="Picture"/>
                    <pic:cNvPicPr>
                      <a:picLocks noChangeArrowheads="1" noChangeAspect="1"/>
                    </pic:cNvPicPr>
                  </pic:nvPicPr>
                  <pic:blipFill>
                    <a:blip r:embed="rId176"/>
                    <a:stretch>
                      <a:fillRect/>
                    </a:stretch>
                  </pic:blipFill>
                  <pic:spPr bwMode="auto">
                    <a:xfrm>
                      <a:off x="0" y="0"/>
                      <a:ext cx="3516923" cy="328450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80"/>
    <w:bookmarkStart w:id="181"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097"/>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1970</w:t>
        </w:r>
      </w:hyperlink>
      <w:r>
        <w:t xml:space="preserve">)</w:t>
      </w:r>
      <w:r>
        <w:t xml:space="preserve">. El préstamo es de 1 € y el empresario aporta una garantía</w:t>
      </w:r>
      <w:r>
        <w:t xml:space="preserve"> </w:t>
      </w:r>
      <m:oMath>
        <m:r>
          <m:t>G</m:t>
        </m:r>
      </m:oMath>
      <w:r>
        <w:t xml:space="preserve">.</w:t>
      </w:r>
    </w:p>
    <w:p>
      <w:pPr>
        <w:numPr>
          <w:ilvl w:val="0"/>
          <w:numId w:val="1097"/>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097"/>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097"/>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097"/>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097"/>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m:oMath>
        <m:r>
          <m:rPr>
            <m:sty m:val="p"/>
          </m:rPr>
          <m:t>◼</m:t>
        </m:r>
      </m:oMath>
    </w:p>
    <w:bookmarkEnd w:id="181"/>
    <w:bookmarkStart w:id="183" w:name="anexo_test"/>
    <w:p>
      <w:pPr>
        <w:pStyle w:val="Heading1"/>
      </w:pPr>
      <w:r>
        <w:t xml:space="preserve">D. Anexo: preguntas de test</w:t>
      </w:r>
    </w:p>
    <w:p>
      <w:pPr>
        <w:numPr>
          <w:ilvl w:val="0"/>
          <w:numId w:val="1098"/>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w:t>
        </w:r>
        <w:r>
          <w:rPr>
            <w:rStyle w:val="Hyperlink"/>
          </w:rPr>
          <w:t xml:space="preserve">2026</w:t>
        </w:r>
      </w:hyperlink>
      <w:r>
        <w:t xml:space="preserve">)</w:t>
      </w:r>
      <w:r>
        <w:t xml:space="preserve">:</w:t>
      </w:r>
      <w:r>
        <w:t xml:space="preserve"> </w:t>
      </w:r>
      <w:hyperlink r:id="rId182">
        <w:r>
          <w:rPr>
            <w:rStyle w:val="Hyperlink"/>
          </w:rPr>
          <w:t xml:space="preserve">https://www.victorgutierrezmarcos.es/oposicion/temario/primer-ejercicio/test/simulador.html</w:t>
        </w:r>
      </w:hyperlink>
      <w:r>
        <w:t xml:space="preserve">.</w:t>
      </w:r>
    </w:p>
    <w:p>
      <w:pPr>
        <w:keepNext/>
        <w:numPr>
          <w:ilvl w:val="0"/>
          <w:numId w:val="1098"/>
        </w:numPr>
      </w:pPr>
      <w:r>
        <w:t xml:space="preserve">Dónde se responden las preguntas oficiales de este tema:</w:t>
      </w:r>
    </w:p>
    <w:p>
      <w:pPr>
        <w:numPr>
          <w:ilvl w:val="1"/>
          <w:numId w:val="1099"/>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099"/>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099"/>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099"/>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099"/>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099"/>
        </w:numPr>
      </w:pPr>
      <w:r>
        <w:t xml:space="preserve">2016, pregunta 8 (restricción de incentivos): (</w:t>
      </w:r>
      <w:hyperlink w:anchor="eq_principal_agente">
        <w:r>
          <w:rPr>
            <w:rStyle w:val="Hyperlink"/>
          </w:rPr>
          <w:t xml:space="preserve">5</w:t>
        </w:r>
      </w:hyperlink>
      <w:r>
        <w:t xml:space="preserve">).</w:t>
      </w:r>
    </w:p>
    <w:p>
      <w:pPr>
        <w:numPr>
          <w:ilvl w:val="1"/>
          <w:numId w:val="1099"/>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099"/>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099"/>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099"/>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83"/>
    <w:bookmarkStart w:id="317" w:name="bibliography"/>
    <w:p>
      <w:pPr>
        <w:pStyle w:val="Heading1"/>
      </w:pPr>
      <w:r>
        <w:t xml:space="preserve">Bibliografía</w:t>
      </w:r>
    </w:p>
    <w:bookmarkStart w:id="316" w:name="refs"/>
    <w:bookmarkStart w:id="185"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184">
        <w:r>
          <w:rPr>
            <w:rStyle w:val="Hyperlink"/>
          </w:rPr>
          <w:t xml:space="preserve">https://doi.org/10.2307/1879431</w:t>
        </w:r>
      </w:hyperlink>
      <w:r>
        <w:t xml:space="preserve">.</w:t>
      </w:r>
    </w:p>
    <w:bookmarkEnd w:id="185"/>
    <w:bookmarkStart w:id="187" w:name="ref_Akerlof2001Writing"/>
    <w:p>
      <w:pPr>
        <w:pStyle w:val="Bibliography"/>
      </w:pPr>
      <w:r>
        <w:t xml:space="preserve">———.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186">
        <w:r>
          <w:rPr>
            <w:rStyle w:val="Hyperlink"/>
          </w:rPr>
          <w:t xml:space="preserve">https://www.nobelprize.org/prizes/economic-sciences/2001/akerlof/article/</w:t>
        </w:r>
      </w:hyperlink>
      <w:r>
        <w:t xml:space="preserve">.</w:t>
      </w:r>
    </w:p>
    <w:bookmarkEnd w:id="187"/>
    <w:bookmarkStart w:id="189"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188">
        <w:r>
          <w:rPr>
            <w:rStyle w:val="Hyperlink"/>
          </w:rPr>
          <w:t xml:space="preserve">https://doi.org/10.1257/jep.27.1.197</w:t>
        </w:r>
      </w:hyperlink>
      <w:r>
        <w:t xml:space="preserve">.</w:t>
      </w:r>
    </w:p>
    <w:bookmarkEnd w:id="189"/>
    <w:bookmarkStart w:id="190"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190"/>
    <w:bookmarkStart w:id="191" w:name="ref_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191"/>
    <w:bookmarkStart w:id="193" w:name="ref_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192">
        <w:r>
          <w:rPr>
            <w:rStyle w:val="Hyperlink"/>
          </w:rPr>
          <w:t xml:space="preserve">https://doi.org/10.2307/2296188</w:t>
        </w:r>
      </w:hyperlink>
      <w:r>
        <w:t xml:space="preserve">.</w:t>
      </w:r>
    </w:p>
    <w:bookmarkEnd w:id="193"/>
    <w:bookmarkStart w:id="195"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194">
        <w:r>
          <w:rPr>
            <w:rStyle w:val="Hyperlink"/>
          </w:rPr>
          <w:t xml:space="preserve">https://doi.org/10.1214/aos/1176343654</w:t>
        </w:r>
      </w:hyperlink>
      <w:r>
        <w:t xml:space="preserve">.</w:t>
      </w:r>
    </w:p>
    <w:bookmarkEnd w:id="195"/>
    <w:bookmarkStart w:id="197"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196">
        <w:r>
          <w:rPr>
            <w:rStyle w:val="Hyperlink"/>
          </w:rPr>
          <w:t xml:space="preserve">https://www.ecb.europa.eu/press/pr/date/2014/html/pr140605_2.en.html</w:t>
        </w:r>
      </w:hyperlink>
      <w:r>
        <w:t xml:space="preserve">.</w:t>
      </w:r>
    </w:p>
    <w:bookmarkEnd w:id="197"/>
    <w:bookmarkStart w:id="198"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198"/>
    <w:bookmarkStart w:id="199"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199"/>
    <w:bookmarkStart w:id="200"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00"/>
    <w:bookmarkStart w:id="201"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01"/>
    <w:bookmarkStart w:id="202"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02"/>
    <w:bookmarkStart w:id="204"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03">
        <w:r>
          <w:rPr>
            <w:rStyle w:val="Hyperlink"/>
          </w:rPr>
          <w:t xml:space="preserve">https://www.federalreserve.gov/newsevents/pressreleases/monetary20230312b.htm</w:t>
        </w:r>
      </w:hyperlink>
      <w:r>
        <w:t xml:space="preserve">.</w:t>
      </w:r>
    </w:p>
    <w:bookmarkEnd w:id="204"/>
    <w:bookmarkStart w:id="205"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05"/>
    <w:bookmarkStart w:id="206"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06"/>
    <w:bookmarkStart w:id="207"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07"/>
    <w:bookmarkStart w:id="209"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08">
        <w:r>
          <w:rPr>
            <w:rStyle w:val="Hyperlink"/>
          </w:rPr>
          <w:t xml:space="preserve">https://doi.org/10.1086/262111</w:t>
        </w:r>
      </w:hyperlink>
      <w:r>
        <w:t xml:space="preserve">.</w:t>
      </w:r>
    </w:p>
    <w:bookmarkEnd w:id="209"/>
    <w:bookmarkStart w:id="210"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10"/>
    <w:bookmarkStart w:id="212"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11">
        <w:r>
          <w:rPr>
            <w:rStyle w:val="Hyperlink"/>
          </w:rPr>
          <w:t xml:space="preserve">https://www.nber.org/papers/w5796</w:t>
        </w:r>
      </w:hyperlink>
      <w:r>
        <w:t xml:space="preserve">.</w:t>
      </w:r>
    </w:p>
    <w:bookmarkEnd w:id="212"/>
    <w:bookmarkStart w:id="213"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13"/>
    <w:bookmarkStart w:id="214"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14"/>
    <w:bookmarkStart w:id="21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15">
        <w:r>
          <w:rPr>
            <w:rStyle w:val="Hyperlink"/>
          </w:rPr>
          <w:t xml:space="preserve">https://cowles.yale.edu/sites/default/files/2022-09/m17-all.pdf</w:t>
        </w:r>
      </w:hyperlink>
      <w:r>
        <w:t xml:space="preserve">.</w:t>
      </w:r>
    </w:p>
    <w:bookmarkEnd w:id="216"/>
    <w:bookmarkStart w:id="218"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17">
        <w:r>
          <w:rPr>
            <w:rStyle w:val="Hyperlink"/>
          </w:rPr>
          <w:t xml:space="preserve">https://doi.org/10.1257/jep.25.1.115</w:t>
        </w:r>
      </w:hyperlink>
      <w:r>
        <w:t xml:space="preserve">.</w:t>
      </w:r>
    </w:p>
    <w:bookmarkEnd w:id="218"/>
    <w:bookmarkStart w:id="219"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19"/>
    <w:bookmarkStart w:id="220"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20"/>
    <w:bookmarkStart w:id="221"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21"/>
    <w:bookmarkStart w:id="223"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22">
        <w:r>
          <w:rPr>
            <w:rStyle w:val="Hyperlink"/>
          </w:rPr>
          <w:t xml:space="preserve">https://doi.org/10.1086/379936</w:t>
        </w:r>
      </w:hyperlink>
      <w:r>
        <w:t xml:space="preserve">.</w:t>
      </w:r>
    </w:p>
    <w:bookmarkEnd w:id="223"/>
    <w:bookmarkStart w:id="224"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24"/>
    <w:bookmarkStart w:id="225"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25"/>
    <w:bookmarkStart w:id="226"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26"/>
    <w:bookmarkStart w:id="228"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27">
        <w:r>
          <w:rPr>
            <w:rStyle w:val="Hyperlink"/>
          </w:rPr>
          <w:t xml:space="preserve">https://doi.org/10.2307/1914083</w:t>
        </w:r>
      </w:hyperlink>
      <w:r>
        <w:t xml:space="preserve">.</w:t>
      </w:r>
    </w:p>
    <w:bookmarkEnd w:id="228"/>
    <w:bookmarkStart w:id="230"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29">
        <w:r>
          <w:rPr>
            <w:rStyle w:val="Hyperlink"/>
          </w:rPr>
          <w:t xml:space="preserve">https://doi.org/10.2307/1912246</w:t>
        </w:r>
      </w:hyperlink>
      <w:r>
        <w:t xml:space="preserve">.</w:t>
      </w:r>
    </w:p>
    <w:bookmarkEnd w:id="230"/>
    <w:bookmarkStart w:id="231"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182">
        <w:r>
          <w:rPr>
            <w:rStyle w:val="Hyperlink"/>
          </w:rPr>
          <w:t xml:space="preserve">https://www.victorgutierrezmarcos.es/oposicion/temario/primer-ejercicio/test/simulador.html</w:t>
        </w:r>
      </w:hyperlink>
      <w:r>
        <w:t xml:space="preserve">.</w:t>
      </w:r>
    </w:p>
    <w:bookmarkEnd w:id="231"/>
    <w:bookmarkStart w:id="232"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32"/>
    <w:bookmarkStart w:id="234"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33">
        <w:r>
          <w:rPr>
            <w:rStyle w:val="Hyperlink"/>
          </w:rPr>
          <w:t xml:space="preserve">https://doi.org/10.2307/3003320</w:t>
        </w:r>
      </w:hyperlink>
      <w:r>
        <w:t xml:space="preserve">.</w:t>
      </w:r>
    </w:p>
    <w:bookmarkEnd w:id="234"/>
    <w:bookmarkStart w:id="235" w:name="ref_Holmstrom1999Managerial"/>
    <w:p>
      <w:pPr>
        <w:pStyle w:val="Bibliography"/>
      </w:pPr>
      <w:r>
        <w:t xml:space="preserve">———.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35"/>
    <w:bookmarkStart w:id="236"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36"/>
    <w:bookmarkStart w:id="238" w:name="ref_HolmstromMilgrom1991Multitask"/>
    <w:p>
      <w:pPr>
        <w:pStyle w:val="Bibliography"/>
      </w:pPr>
      <w:r>
        <w:t xml:space="preserve">———.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37">
        <w:r>
          <w:rPr>
            <w:rStyle w:val="Hyperlink"/>
          </w:rPr>
          <w:t xml:space="preserve">https://doi.org/10.1093/jleo/7.special_issue.24</w:t>
        </w:r>
      </w:hyperlink>
      <w:r>
        <w:t xml:space="preserve">.</w:t>
      </w:r>
    </w:p>
    <w:bookmarkEnd w:id="238"/>
    <w:bookmarkStart w:id="240"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39">
        <w:r>
          <w:rPr>
            <w:rStyle w:val="Hyperlink"/>
          </w:rPr>
          <w:t xml:space="preserve">https://doi.org/10.1086/250001</w:t>
        </w:r>
      </w:hyperlink>
      <w:r>
        <w:t xml:space="preserve">.</w:t>
      </w:r>
    </w:p>
    <w:bookmarkEnd w:id="240"/>
    <w:bookmarkStart w:id="241"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41"/>
    <w:bookmarkStart w:id="243"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42">
        <w:r>
          <w:rPr>
            <w:rStyle w:val="Hyperlink"/>
          </w:rPr>
          <w:t xml:space="preserve">https://www.boe.es/buscar/act.php?id=BOE-A-2004-18911</w:t>
        </w:r>
      </w:hyperlink>
      <w:r>
        <w:t xml:space="preserve">.</w:t>
      </w:r>
    </w:p>
    <w:bookmarkEnd w:id="243"/>
    <w:bookmarkStart w:id="245" w:name="ref_RDL7_2021"/>
    <w:p>
      <w:pPr>
        <w:pStyle w:val="Bibliography"/>
      </w:pPr>
      <w:r>
        <w:t xml:space="preserve">———.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44">
        <w:r>
          <w:rPr>
            <w:rStyle w:val="Hyperlink"/>
          </w:rPr>
          <w:t xml:space="preserve">https://www.boe.es/eli/es/rdl/2021/04/27/7</w:t>
        </w:r>
      </w:hyperlink>
      <w:r>
        <w:t xml:space="preserve">.</w:t>
      </w:r>
    </w:p>
    <w:bookmarkEnd w:id="245"/>
    <w:bookmarkStart w:id="247"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246">
        <w:r>
          <w:rPr>
            <w:rStyle w:val="Hyperlink"/>
          </w:rPr>
          <w:t xml:space="preserve">https://doi.org/10.1016/0304-405X(76)90026-X</w:t>
        </w:r>
      </w:hyperlink>
      <w:r>
        <w:t xml:space="preserve">.</w:t>
      </w:r>
    </w:p>
    <w:bookmarkEnd w:id="247"/>
    <w:bookmarkStart w:id="248"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248"/>
    <w:bookmarkStart w:id="250"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249">
        <w:r>
          <w:rPr>
            <w:rStyle w:val="Hyperlink"/>
          </w:rPr>
          <w:t xml:space="preserve">https://doi.org/10.2307/j.ctv7h0rwr</w:t>
        </w:r>
      </w:hyperlink>
      <w:r>
        <w:t xml:space="preserve">.</w:t>
      </w:r>
    </w:p>
    <w:bookmarkEnd w:id="250"/>
    <w:bookmarkStart w:id="251"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251"/>
    <w:bookmarkStart w:id="252"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252"/>
    <w:bookmarkStart w:id="254"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253">
        <w:r>
          <w:rPr>
            <w:rStyle w:val="Hyperlink"/>
          </w:rPr>
          <w:t xml:space="preserve">https://doi.org/10.1086/261010</w:t>
        </w:r>
      </w:hyperlink>
      <w:r>
        <w:t xml:space="preserve">.</w:t>
      </w:r>
    </w:p>
    <w:bookmarkEnd w:id="254"/>
    <w:bookmarkStart w:id="256"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255">
        <w:r>
          <w:rPr>
            <w:rStyle w:val="Hyperlink"/>
          </w:rPr>
          <w:t xml:space="preserve">https://ideas.repec.org/b/oxp/obooks/9780199243259.html</w:t>
        </w:r>
      </w:hyperlink>
      <w:r>
        <w:t xml:space="preserve">.</w:t>
      </w:r>
    </w:p>
    <w:bookmarkEnd w:id="256"/>
    <w:bookmarkStart w:id="258"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257">
        <w:r>
          <w:rPr>
            <w:rStyle w:val="Hyperlink"/>
          </w:rPr>
          <w:t xml:space="preserve">https://www.jstor.org/stable/1804094</w:t>
        </w:r>
      </w:hyperlink>
      <w:r>
        <w:t xml:space="preserve">.</w:t>
      </w:r>
    </w:p>
    <w:bookmarkEnd w:id="258"/>
    <w:bookmarkStart w:id="259"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59"/>
    <w:bookmarkStart w:id="261"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260">
        <w:r>
          <w:rPr>
            <w:rStyle w:val="Hyperlink"/>
          </w:rPr>
          <w:t xml:space="preserve">https://doi.org/10.2307/2555674</w:t>
        </w:r>
      </w:hyperlink>
      <w:r>
        <w:t xml:space="preserve">.</w:t>
      </w:r>
    </w:p>
    <w:bookmarkEnd w:id="261"/>
    <w:bookmarkStart w:id="262"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262"/>
    <w:bookmarkStart w:id="264"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263">
        <w:r>
          <w:rPr>
            <w:rStyle w:val="Hyperlink"/>
          </w:rPr>
          <w:t xml:space="preserve">https://doi.org/10.2307/1912637</w:t>
        </w:r>
      </w:hyperlink>
      <w:r>
        <w:t xml:space="preserve">.</w:t>
      </w:r>
    </w:p>
    <w:bookmarkEnd w:id="264"/>
    <w:bookmarkStart w:id="265"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65"/>
    <w:bookmarkStart w:id="266" w:name="ref_Mirrlees1974Notes"/>
    <w:p>
      <w:pPr>
        <w:pStyle w:val="Bibliography"/>
      </w:pPr>
      <w:r>
        <w:t xml:space="preserve">———.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266"/>
    <w:bookmarkStart w:id="267"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267"/>
    <w:bookmarkStart w:id="269"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268">
        <w:r>
          <w:rPr>
            <w:rStyle w:val="Hyperlink"/>
          </w:rPr>
          <w:t xml:space="preserve">https://doi.org/10.1016/0022-0531(78)90085-6</w:t>
        </w:r>
      </w:hyperlink>
      <w:r>
        <w:t xml:space="preserve">.</w:t>
      </w:r>
    </w:p>
    <w:bookmarkEnd w:id="269"/>
    <w:bookmarkStart w:id="270"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270"/>
    <w:bookmarkStart w:id="271"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271"/>
    <w:bookmarkStart w:id="272"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272"/>
    <w:bookmarkStart w:id="273"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273"/>
    <w:bookmarkStart w:id="274"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274"/>
    <w:bookmarkStart w:id="275"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275"/>
    <w:bookmarkStart w:id="276"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276"/>
    <w:bookmarkStart w:id="277"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277"/>
    <w:bookmarkStart w:id="279" w:name="ref_RothschildStiglitz1976Equilibrium"/>
    <w:p>
      <w:pPr>
        <w:pStyle w:val="Bibliography"/>
      </w:pPr>
      <w:r>
        <w:t xml:space="preserve">———.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278">
        <w:r>
          <w:rPr>
            <w:rStyle w:val="Hyperlink"/>
          </w:rPr>
          <w:t xml:space="preserve">https://doi.org/10.2307/1885326</w:t>
        </w:r>
      </w:hyperlink>
      <w:r>
        <w:t xml:space="preserve">.</w:t>
      </w:r>
    </w:p>
    <w:bookmarkEnd w:id="279"/>
    <w:bookmarkStart w:id="280"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280"/>
    <w:bookmarkStart w:id="282"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81">
        <w:r>
          <w:rPr>
            <w:rStyle w:val="Hyperlink"/>
          </w:rPr>
          <w:t xml:space="preserve">https://www.gutenberg.org/cache/epub/3300/pg3300.txt</w:t>
        </w:r>
      </w:hyperlink>
      <w:r>
        <w:t xml:space="preserve">.</w:t>
      </w:r>
    </w:p>
    <w:bookmarkEnd w:id="282"/>
    <w:bookmarkStart w:id="284"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283">
        <w:r>
          <w:rPr>
            <w:rStyle w:val="Hyperlink"/>
          </w:rPr>
          <w:t xml:space="preserve">https://doi.org/10.2307/1882010</w:t>
        </w:r>
      </w:hyperlink>
      <w:r>
        <w:t xml:space="preserve">.</w:t>
      </w:r>
    </w:p>
    <w:bookmarkEnd w:id="284"/>
    <w:bookmarkStart w:id="285" w:name="ref_Spence1978Product"/>
    <w:p>
      <w:pPr>
        <w:pStyle w:val="Bibliography"/>
      </w:pPr>
      <w:r>
        <w:t xml:space="preserve">———.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285"/>
    <w:bookmarkStart w:id="28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86">
        <w:r>
          <w:rPr>
            <w:rStyle w:val="Hyperlink"/>
          </w:rPr>
          <w:t xml:space="preserve">https://doi.org/10.1086/258464</w:t>
        </w:r>
      </w:hyperlink>
      <w:r>
        <w:t xml:space="preserve">.</w:t>
      </w:r>
    </w:p>
    <w:bookmarkEnd w:id="287"/>
    <w:bookmarkStart w:id="289"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288">
        <w:r>
          <w:rPr>
            <w:rStyle w:val="Hyperlink"/>
          </w:rPr>
          <w:t xml:space="preserve">https://doi.org/10.2307/2296714</w:t>
        </w:r>
      </w:hyperlink>
      <w:r>
        <w:t xml:space="preserve">.</w:t>
      </w:r>
    </w:p>
    <w:bookmarkEnd w:id="289"/>
    <w:bookmarkStart w:id="290" w:name="ref_Stiglitz1990Peer"/>
    <w:p>
      <w:pPr>
        <w:pStyle w:val="Bibliography"/>
      </w:pPr>
      <w:r>
        <w:t xml:space="preserv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290"/>
    <w:bookmarkStart w:id="292"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291">
        <w:r>
          <w:rPr>
            <w:rStyle w:val="Hyperlink"/>
          </w:rPr>
          <w:t xml:space="preserve">https://www.jstor.org/stable/1802787</w:t>
        </w:r>
      </w:hyperlink>
      <w:r>
        <w:t xml:space="preserve">.</w:t>
      </w:r>
    </w:p>
    <w:bookmarkEnd w:id="292"/>
    <w:bookmarkStart w:id="293"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293"/>
    <w:bookmarkStart w:id="295"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294">
        <w:r>
          <w:rPr>
            <w:rStyle w:val="Hyperlink"/>
          </w:rPr>
          <w:t xml:space="preserve">https://www.economist.com/sites/default/files/econbriefs.pdf</w:t>
        </w:r>
      </w:hyperlink>
      <w:r>
        <w:t xml:space="preserve">.</w:t>
      </w:r>
    </w:p>
    <w:bookmarkEnd w:id="295"/>
    <w:bookmarkStart w:id="297"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296">
        <w:r>
          <w:rPr>
            <w:rStyle w:val="Hyperlink"/>
          </w:rPr>
          <w:t xml:space="preserve">https://www.nobelprize.org/prizes/economic-sciences/1996/summary/</w:t>
        </w:r>
      </w:hyperlink>
      <w:r>
        <w:t xml:space="preserve">.</w:t>
      </w:r>
    </w:p>
    <w:bookmarkEnd w:id="297"/>
    <w:bookmarkStart w:id="299" w:name="ref_Nobel2001AkerlofSpenceStiglitz"/>
    <w:p>
      <w:pPr>
        <w:pStyle w:val="Bibliography"/>
      </w:pPr>
      <w:r>
        <w:t xml:space="preserv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298">
        <w:r>
          <w:rPr>
            <w:rStyle w:val="Hyperlink"/>
          </w:rPr>
          <w:t xml:space="preserve">https://www.nobelprize.org/prizes/economic-sciences/2001/summary/</w:t>
        </w:r>
      </w:hyperlink>
      <w:r>
        <w:t xml:space="preserve">.</w:t>
      </w:r>
    </w:p>
    <w:bookmarkEnd w:id="299"/>
    <w:bookmarkStart w:id="301" w:name="ref_Nobel2007HurwiczMaskinMyerson"/>
    <w:p>
      <w:pPr>
        <w:pStyle w:val="Bibliography"/>
      </w:pPr>
      <w:r>
        <w:t xml:space="preserve">———. 2007.</w:t>
      </w:r>
      <w:r>
        <w:t xml:space="preserve"> </w:t>
      </w:r>
      <w:r>
        <w:t xml:space="preserve">«The Sveriges Riksbank Prize in Economic Sciences in Memory of Alfred Nobel 2007: Leonid Hurwicz, Eric S. Maskin and Roger B. Myerson»</w:t>
      </w:r>
      <w:r>
        <w:t xml:space="preserve">. 2007.</w:t>
      </w:r>
      <w:r>
        <w:t xml:space="preserve"> </w:t>
      </w:r>
      <w:hyperlink r:id="rId300">
        <w:r>
          <w:rPr>
            <w:rStyle w:val="Hyperlink"/>
          </w:rPr>
          <w:t xml:space="preserve">https://www.nobelprize.org/prizes/economic-sciences/2007/summary/</w:t>
        </w:r>
      </w:hyperlink>
      <w:r>
        <w:t xml:space="preserve">.</w:t>
      </w:r>
    </w:p>
    <w:bookmarkEnd w:id="301"/>
    <w:bookmarkStart w:id="303" w:name="ref_Nobel2014Tirole"/>
    <w:p>
      <w:pPr>
        <w:pStyle w:val="Bibliography"/>
      </w:pPr>
      <w:r>
        <w:t xml:space="preserve">———. 2014.</w:t>
      </w:r>
      <w:r>
        <w:t xml:space="preserve"> </w:t>
      </w:r>
      <w:r>
        <w:t xml:space="preserve">«The Prize in Economic Sciences 2014: Jean Tirole»</w:t>
      </w:r>
      <w:r>
        <w:t xml:space="preserve">. 2014.</w:t>
      </w:r>
      <w:r>
        <w:t xml:space="preserve"> </w:t>
      </w:r>
      <w:hyperlink r:id="rId302">
        <w:r>
          <w:rPr>
            <w:rStyle w:val="Hyperlink"/>
          </w:rPr>
          <w:t xml:space="preserve">https://www.nobelprize.org/prizes/economic-sciences/2014/summary/</w:t>
        </w:r>
      </w:hyperlink>
      <w:r>
        <w:t xml:space="preserve">.</w:t>
      </w:r>
    </w:p>
    <w:bookmarkEnd w:id="303"/>
    <w:bookmarkStart w:id="305" w:name="ref_Nobel2016HartHolmstrom"/>
    <w:p>
      <w:pPr>
        <w:pStyle w:val="Bibliography"/>
      </w:pPr>
      <w:r>
        <w:t xml:space="preserve">———. 2016.</w:t>
      </w:r>
      <w:r>
        <w:t xml:space="preserve"> </w:t>
      </w:r>
      <w:r>
        <w:t xml:space="preserve">«The Sveriges Riksbank Prize in Economic Sciences in Memory of Alfred Nobel 2016: Oliver Hart and Bengt Holmström»</w:t>
      </w:r>
      <w:r>
        <w:t xml:space="preserve">. 2016.</w:t>
      </w:r>
      <w:r>
        <w:t xml:space="preserve"> </w:t>
      </w:r>
      <w:hyperlink r:id="rId304">
        <w:r>
          <w:rPr>
            <w:rStyle w:val="Hyperlink"/>
          </w:rPr>
          <w:t xml:space="preserve">https://www.nobelprize.org/prizes/economic-sciences/2016/summary/</w:t>
        </w:r>
      </w:hyperlink>
      <w:r>
        <w:t xml:space="preserve">.</w:t>
      </w:r>
    </w:p>
    <w:bookmarkEnd w:id="305"/>
    <w:bookmarkStart w:id="307" w:name="ref_Nobel2020MilgromWilson"/>
    <w:p>
      <w:pPr>
        <w:pStyle w:val="Bibliography"/>
      </w:pPr>
      <w:r>
        <w:t xml:space="preserve">———. 2020.</w:t>
      </w:r>
      <w:r>
        <w:t xml:space="preserve"> </w:t>
      </w:r>
      <w:r>
        <w:t xml:space="preserve">«The Sveriges Riksbank Prize in Economic Sciences in Memory of Alfred Nobel 2020: Paul R. Milgrom and Robert B. Wilson»</w:t>
      </w:r>
      <w:r>
        <w:t xml:space="preserve">. 2020.</w:t>
      </w:r>
      <w:r>
        <w:t xml:space="preserve"> </w:t>
      </w:r>
      <w:hyperlink r:id="rId306">
        <w:r>
          <w:rPr>
            <w:rStyle w:val="Hyperlink"/>
          </w:rPr>
          <w:t xml:space="preserve">https://www.nobelprize.org/prizes/economic-sciences/2020/summary/</w:t>
        </w:r>
      </w:hyperlink>
      <w:r>
        <w:t xml:space="preserve">.</w:t>
      </w:r>
    </w:p>
    <w:bookmarkEnd w:id="307"/>
    <w:bookmarkStart w:id="309"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08">
        <w:r>
          <w:rPr>
            <w:rStyle w:val="Hyperlink"/>
          </w:rPr>
          <w:t xml:space="preserve">https://eur-lex.europa.eu/legal-content/ES/TXT/?uri=CELEX:62009CJ0236</w:t>
        </w:r>
      </w:hyperlink>
      <w:r>
        <w:t xml:space="preserve">.</w:t>
      </w:r>
    </w:p>
    <w:bookmarkEnd w:id="309"/>
    <w:bookmarkStart w:id="310"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10"/>
    <w:bookmarkStart w:id="312"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11">
        <w:r>
          <w:rPr>
            <w:rStyle w:val="Hyperlink"/>
          </w:rPr>
          <w:t xml:space="preserve">https://doi.org/10.1016/0022-0531(77)90004-7</w:t>
        </w:r>
      </w:hyperlink>
      <w:r>
        <w:t xml:space="preserve">.</w:t>
      </w:r>
    </w:p>
    <w:bookmarkEnd w:id="312"/>
    <w:bookmarkStart w:id="314" w:name="ref_Wilson1980Nature"/>
    <w:p>
      <w:pPr>
        <w:pStyle w:val="Bibliography"/>
      </w:pPr>
      <w:r>
        <w:t xml:space="preserve">———.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13">
        <w:r>
          <w:rPr>
            <w:rStyle w:val="Hyperlink"/>
          </w:rPr>
          <w:t xml:space="preserve">https://doi.org/10.2307/3003403</w:t>
        </w:r>
      </w:hyperlink>
      <w:r>
        <w:t xml:space="preserve">.</w:t>
      </w:r>
    </w:p>
    <w:bookmarkEnd w:id="314"/>
    <w:bookmarkStart w:id="315"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15"/>
    <w:bookmarkEnd w:id="316"/>
    <w:bookmarkEnd w:id="31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w:t>
        </w:r>
        <w:r>
          <w:rPr>
            <w:rStyle w:val="Hyperlink"/>
          </w:rPr>
          <w:t xml:space="preserve">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w:t>
        </w:r>
        <w:r>
          <w:rPr>
            <w:rStyle w:val="Hyperlink"/>
          </w:rPr>
          <w:t xml:space="preserve">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64">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67">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68">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74">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82">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89">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96">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01">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09">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resuelve en el anexo </w:t>
      </w:r>
      <w:hyperlink w:anchor="anexo_principal_agente">
        <w:r>
          <w:rPr>
            <w:rStyle w:val="Hyperlink"/>
          </w:rPr>
          <w:t xml:space="preserve">A</w:t>
        </w:r>
      </w:hyperlink>
      <w:r>
        <w:t xml:space="preserve">.</w:t>
      </w:r>
    </w:p>
  </w:footnote>
  <w:footnote w:id="111">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13">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1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16">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17">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con un beneficio esperado menor. Si el poder de negociación lo tuviera el agente, cambiaría el reparto de las rentas, no la eficiencia: el agente podría quedarse con todo el excedente y dejar al principal lo mismo que con el esfuerzo bajo, pero seguiría en su línea de certeza.</w:t>
      </w:r>
    </w:p>
  </w:footnote>
  <w:footnote w:id="118">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rincipal_agente">
        <w:r>
          <w:rPr>
            <w:rStyle w:val="Hyperlink"/>
          </w:rPr>
          <w:t xml:space="preserve">A</w:t>
        </w:r>
      </w:hyperlink>
      <w:r>
        <w:t xml:space="preserve">).</w:t>
      </w:r>
    </w:p>
  </w:footnote>
  <w:footnote w:id="119">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w:t>
        </w:r>
        <w:r>
          <w:rPr>
            <w:rStyle w:val="Hyperlink"/>
          </w:rPr>
          <w:t xml:space="preserve">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29">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30">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152">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w:t>
        </w:r>
        <w:r>
          <w:rPr>
            <w:rStyle w:val="Hyperlink"/>
          </w:rPr>
          <w:t xml:space="preserve">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23" Target="media/rId123.png" /><Relationship Type="http://schemas.openxmlformats.org/officeDocument/2006/relationships/image" Id="rId84" Target="media/rId84.png" /><Relationship Type="http://schemas.openxmlformats.org/officeDocument/2006/relationships/image" Id="rId176" Target="media/rId176.png" /><Relationship Type="http://schemas.openxmlformats.org/officeDocument/2006/relationships/image" Id="rId77" Target="media/rId77.png" /><Relationship Type="http://schemas.openxmlformats.org/officeDocument/2006/relationships/image" Id="rId60" Target="media/rId60.png" /><Relationship Type="http://schemas.openxmlformats.org/officeDocument/2006/relationships/image" Id="rId147" Target="media/rId147.png" /><Relationship Type="http://schemas.openxmlformats.org/officeDocument/2006/relationships/hyperlink" Id="rId215" Target="https://cowles.yale.edu/sites/default/files/2022-09/m17-all.pdf" TargetMode="External" /><Relationship Type="http://schemas.openxmlformats.org/officeDocument/2006/relationships/hyperlink" Id="rId311" Target="https://doi.org/10.1016/0022-0531(77)90004-7" TargetMode="External" /><Relationship Type="http://schemas.openxmlformats.org/officeDocument/2006/relationships/hyperlink" Id="rId268" Target="https://doi.org/10.1016/0022-0531(78)90085-6" TargetMode="External" /><Relationship Type="http://schemas.openxmlformats.org/officeDocument/2006/relationships/hyperlink" Id="rId246" Target="https://doi.org/10.1016/0304-405X(76)90026-X" TargetMode="External" /><Relationship Type="http://schemas.openxmlformats.org/officeDocument/2006/relationships/hyperlink" Id="rId239" Target="https://doi.org/10.1086/250001" TargetMode="External" /><Relationship Type="http://schemas.openxmlformats.org/officeDocument/2006/relationships/hyperlink" Id="rId286" Target="https://doi.org/10.1086/258464" TargetMode="External" /><Relationship Type="http://schemas.openxmlformats.org/officeDocument/2006/relationships/hyperlink" Id="rId253" Target="https://doi.org/10.1086/261010" TargetMode="External" /><Relationship Type="http://schemas.openxmlformats.org/officeDocument/2006/relationships/hyperlink" Id="rId208" Target="https://doi.org/10.1086/262111" TargetMode="External" /><Relationship Type="http://schemas.openxmlformats.org/officeDocument/2006/relationships/hyperlink" Id="rId222" Target="https://doi.org/10.1086/379936" TargetMode="External" /><Relationship Type="http://schemas.openxmlformats.org/officeDocument/2006/relationships/hyperlink" Id="rId237" Target="https://doi.org/10.1093/jleo/7.special_issue.24" TargetMode="External" /><Relationship Type="http://schemas.openxmlformats.org/officeDocument/2006/relationships/hyperlink" Id="rId194" Target="https://doi.org/10.1214/aos/1176343654" TargetMode="External" /><Relationship Type="http://schemas.openxmlformats.org/officeDocument/2006/relationships/hyperlink" Id="rId217" Target="https://doi.org/10.1257/jep.25.1.115" TargetMode="External" /><Relationship Type="http://schemas.openxmlformats.org/officeDocument/2006/relationships/hyperlink" Id="rId188" Target="https://doi.org/10.1257/jep.27.1.197" TargetMode="External" /><Relationship Type="http://schemas.openxmlformats.org/officeDocument/2006/relationships/hyperlink" Id="rId184" Target="https://doi.org/10.2307/1879431" TargetMode="External" /><Relationship Type="http://schemas.openxmlformats.org/officeDocument/2006/relationships/hyperlink" Id="rId283" Target="https://doi.org/10.2307/1882010" TargetMode="External" /><Relationship Type="http://schemas.openxmlformats.org/officeDocument/2006/relationships/hyperlink" Id="rId278" Target="https://doi.org/10.2307/1885326" TargetMode="External" /><Relationship Type="http://schemas.openxmlformats.org/officeDocument/2006/relationships/hyperlink" Id="rId229" Target="https://doi.org/10.2307/1912246" TargetMode="External" /><Relationship Type="http://schemas.openxmlformats.org/officeDocument/2006/relationships/hyperlink" Id="rId263" Target="https://doi.org/10.2307/1912637" TargetMode="External" /><Relationship Type="http://schemas.openxmlformats.org/officeDocument/2006/relationships/hyperlink" Id="rId227" Target="https://doi.org/10.2307/1914083" TargetMode="External" /><Relationship Type="http://schemas.openxmlformats.org/officeDocument/2006/relationships/hyperlink" Id="rId192" Target="https://doi.org/10.2307/2296188" TargetMode="External" /><Relationship Type="http://schemas.openxmlformats.org/officeDocument/2006/relationships/hyperlink" Id="rId288" Target="https://doi.org/10.2307/2296714" TargetMode="External" /><Relationship Type="http://schemas.openxmlformats.org/officeDocument/2006/relationships/hyperlink" Id="rId260" Target="https://doi.org/10.2307/2555674" TargetMode="External" /><Relationship Type="http://schemas.openxmlformats.org/officeDocument/2006/relationships/hyperlink" Id="rId233" Target="https://doi.org/10.2307/3003320" TargetMode="External" /><Relationship Type="http://schemas.openxmlformats.org/officeDocument/2006/relationships/hyperlink" Id="rId313" Target="https://doi.org/10.2307/3003403" TargetMode="External" /><Relationship Type="http://schemas.openxmlformats.org/officeDocument/2006/relationships/hyperlink" Id="rId249" Target="https://doi.org/10.2307/j.ctv7h0rwr" TargetMode="External" /><Relationship Type="http://schemas.openxmlformats.org/officeDocument/2006/relationships/hyperlink" Id="rId308" Target="https://eur-lex.europa.eu/legal-content/ES/TXT/?uri=CELEX:62009CJ0236" TargetMode="External" /><Relationship Type="http://schemas.openxmlformats.org/officeDocument/2006/relationships/hyperlink" Id="rId255" Target="https://ideas.repec.org/b/oxp/obooks/9780199243259.html" TargetMode="External" /><Relationship Type="http://schemas.openxmlformats.org/officeDocument/2006/relationships/hyperlink" Id="rId242" Target="https://www.boe.es/buscar/act.php?id=BOE-A-2004-18911" TargetMode="External" /><Relationship Type="http://schemas.openxmlformats.org/officeDocument/2006/relationships/hyperlink" Id="rId244" Target="https://www.boe.es/eli/es/rdl/2021/04/27/7" TargetMode="External" /><Relationship Type="http://schemas.openxmlformats.org/officeDocument/2006/relationships/hyperlink" Id="rId196" Target="https://www.ecb.europa.eu/press/pr/date/2014/html/pr140605_2.en.html" TargetMode="External" /><Relationship Type="http://schemas.openxmlformats.org/officeDocument/2006/relationships/hyperlink" Id="rId294" Target="https://www.economist.com/sites/default/files/econbriefs.pdf" TargetMode="External" /><Relationship Type="http://schemas.openxmlformats.org/officeDocument/2006/relationships/hyperlink" Id="rId203" Target="https://www.federalreserve.gov/newsevents/pressreleases/monetary20230312b.htm" TargetMode="External" /><Relationship Type="http://schemas.openxmlformats.org/officeDocument/2006/relationships/hyperlink" Id="rId281" Target="https://www.gutenberg.org/cache/epub/3300/pg3300.txt" TargetMode="External" /><Relationship Type="http://schemas.openxmlformats.org/officeDocument/2006/relationships/hyperlink" Id="rId291" Target="https://www.jstor.org/stable/1802787" TargetMode="External" /><Relationship Type="http://schemas.openxmlformats.org/officeDocument/2006/relationships/hyperlink" Id="rId257" Target="https://www.jstor.org/stable/1804094" TargetMode="External" /><Relationship Type="http://schemas.openxmlformats.org/officeDocument/2006/relationships/hyperlink" Id="rId211" Target="https://www.nber.org/papers/w5796" TargetMode="External" /><Relationship Type="http://schemas.openxmlformats.org/officeDocument/2006/relationships/hyperlink" Id="rId296" Target="https://www.nobelprize.org/prizes/economic-sciences/1996/summary/" TargetMode="External" /><Relationship Type="http://schemas.openxmlformats.org/officeDocument/2006/relationships/hyperlink" Id="rId186" Target="https://www.nobelprize.org/prizes/economic-sciences/2001/akerlof/article/" TargetMode="External" /><Relationship Type="http://schemas.openxmlformats.org/officeDocument/2006/relationships/hyperlink" Id="rId298" Target="https://www.nobelprize.org/prizes/economic-sciences/2001/summary/" TargetMode="External" /><Relationship Type="http://schemas.openxmlformats.org/officeDocument/2006/relationships/hyperlink" Id="rId300" Target="https://www.nobelprize.org/prizes/economic-sciences/2007/summary/" TargetMode="External" /><Relationship Type="http://schemas.openxmlformats.org/officeDocument/2006/relationships/hyperlink" Id="rId302" Target="https://www.nobelprize.org/prizes/economic-sciences/2014/summary/" TargetMode="External" /><Relationship Type="http://schemas.openxmlformats.org/officeDocument/2006/relationships/hyperlink" Id="rId304" Target="https://www.nobelprize.org/prizes/economic-sciences/2016/summary/" TargetMode="External" /><Relationship Type="http://schemas.openxmlformats.org/officeDocument/2006/relationships/hyperlink" Id="rId306" Target="https://www.nobelprize.org/prizes/economic-sciences/2020/summary/" TargetMode="External" /><Relationship Type="http://schemas.openxmlformats.org/officeDocument/2006/relationships/hyperlink" Id="rId154" Target="https://www.victorgutierrezmarcos.es/oposicion/temario/cuarto-ejercicio/4A24.pdf" TargetMode="External" /><Relationship Type="http://schemas.openxmlformats.org/officeDocument/2006/relationships/hyperlink" Id="rId162" Target="https://www.victorgutierrezmarcos.es/oposicion/temario/cuarto-ejercicio/4B02.pdf" TargetMode="External" /><Relationship Type="http://schemas.openxmlformats.org/officeDocument/2006/relationships/hyperlink" Id="rId163" Target="https://www.victorgutierrezmarcos.es/oposicion/temario/cuarto-ejercicio/4B11.pdf" TargetMode="External" /><Relationship Type="http://schemas.openxmlformats.org/officeDocument/2006/relationships/hyperlink" Id="rId182" Target="https://www.victorgutierrezmarcos.es/oposicion/temario/primer-ejercicio/test/simulador.html" TargetMode="External" /><Relationship Type="http://schemas.openxmlformats.org/officeDocument/2006/relationships/hyperlink" Id="rId25" Target="https://www.victorgutierrezmarcos.es/oposicion/temario/tema-no-disponible.html?tema=3.A.14" TargetMode="External" /><Relationship Type="http://schemas.openxmlformats.org/officeDocument/2006/relationships/hyperlink" Id="rId38" Target="https://www.victorgutierrezmarcos.es/oposicion/temario/tema-no-disponible.html?tema=3.A.15" TargetMode="External" /><Relationship Type="http://schemas.openxmlformats.org/officeDocument/2006/relationships/hyperlink" Id="rId106" Target="https://www.victorgutierrezmarcos.es/oposicion/temario/tema-no-disponible.html?tema=3.B.26" TargetMode="External" /><Relationship Type="http://schemas.openxmlformats.org/officeDocument/2006/relationships/hyperlink" Id="rId164" Target="https://www.victorgutierrezmarcos.es/oposicion/temario/tercer-ejercicio/3A01.pdf" TargetMode="External" /><Relationship Type="http://schemas.openxmlformats.org/officeDocument/2006/relationships/hyperlink" Id="rId136"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66" Target="https://www.victorgutierrezmarcos.es/oposicion/temario/tercer-ejercicio/3A25.pdf" TargetMode="External" /><Relationship Type="http://schemas.openxmlformats.org/officeDocument/2006/relationships/hyperlink" Id="rId105"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153"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15" Target="https://cowles.yale.edu/sites/default/files/2022-09/m17-all.pdf" TargetMode="External" /><Relationship Type="http://schemas.openxmlformats.org/officeDocument/2006/relationships/hyperlink" Id="rId311" Target="https://doi.org/10.1016/0022-0531(77)90004-7" TargetMode="External" /><Relationship Type="http://schemas.openxmlformats.org/officeDocument/2006/relationships/hyperlink" Id="rId268" Target="https://doi.org/10.1016/0022-0531(78)90085-6" TargetMode="External" /><Relationship Type="http://schemas.openxmlformats.org/officeDocument/2006/relationships/hyperlink" Id="rId246" Target="https://doi.org/10.1016/0304-405X(76)90026-X" TargetMode="External" /><Relationship Type="http://schemas.openxmlformats.org/officeDocument/2006/relationships/hyperlink" Id="rId239" Target="https://doi.org/10.1086/250001" TargetMode="External" /><Relationship Type="http://schemas.openxmlformats.org/officeDocument/2006/relationships/hyperlink" Id="rId286" Target="https://doi.org/10.1086/258464" TargetMode="External" /><Relationship Type="http://schemas.openxmlformats.org/officeDocument/2006/relationships/hyperlink" Id="rId253" Target="https://doi.org/10.1086/261010" TargetMode="External" /><Relationship Type="http://schemas.openxmlformats.org/officeDocument/2006/relationships/hyperlink" Id="rId208" Target="https://doi.org/10.1086/262111" TargetMode="External" /><Relationship Type="http://schemas.openxmlformats.org/officeDocument/2006/relationships/hyperlink" Id="rId222" Target="https://doi.org/10.1086/379936" TargetMode="External" /><Relationship Type="http://schemas.openxmlformats.org/officeDocument/2006/relationships/hyperlink" Id="rId237" Target="https://doi.org/10.1093/jleo/7.special_issue.24" TargetMode="External" /><Relationship Type="http://schemas.openxmlformats.org/officeDocument/2006/relationships/hyperlink" Id="rId194" Target="https://doi.org/10.1214/aos/1176343654" TargetMode="External" /><Relationship Type="http://schemas.openxmlformats.org/officeDocument/2006/relationships/hyperlink" Id="rId217" Target="https://doi.org/10.1257/jep.25.1.115" TargetMode="External" /><Relationship Type="http://schemas.openxmlformats.org/officeDocument/2006/relationships/hyperlink" Id="rId188" Target="https://doi.org/10.1257/jep.27.1.197" TargetMode="External" /><Relationship Type="http://schemas.openxmlformats.org/officeDocument/2006/relationships/hyperlink" Id="rId184" Target="https://doi.org/10.2307/1879431" TargetMode="External" /><Relationship Type="http://schemas.openxmlformats.org/officeDocument/2006/relationships/hyperlink" Id="rId283" Target="https://doi.org/10.2307/1882010" TargetMode="External" /><Relationship Type="http://schemas.openxmlformats.org/officeDocument/2006/relationships/hyperlink" Id="rId278" Target="https://doi.org/10.2307/1885326" TargetMode="External" /><Relationship Type="http://schemas.openxmlformats.org/officeDocument/2006/relationships/hyperlink" Id="rId229" Target="https://doi.org/10.2307/1912246" TargetMode="External" /><Relationship Type="http://schemas.openxmlformats.org/officeDocument/2006/relationships/hyperlink" Id="rId263" Target="https://doi.org/10.2307/1912637" TargetMode="External" /><Relationship Type="http://schemas.openxmlformats.org/officeDocument/2006/relationships/hyperlink" Id="rId227" Target="https://doi.org/10.2307/1914083" TargetMode="External" /><Relationship Type="http://schemas.openxmlformats.org/officeDocument/2006/relationships/hyperlink" Id="rId192" Target="https://doi.org/10.2307/2296188" TargetMode="External" /><Relationship Type="http://schemas.openxmlformats.org/officeDocument/2006/relationships/hyperlink" Id="rId288" Target="https://doi.org/10.2307/2296714" TargetMode="External" /><Relationship Type="http://schemas.openxmlformats.org/officeDocument/2006/relationships/hyperlink" Id="rId260" Target="https://doi.org/10.2307/2555674" TargetMode="External" /><Relationship Type="http://schemas.openxmlformats.org/officeDocument/2006/relationships/hyperlink" Id="rId233" Target="https://doi.org/10.2307/3003320" TargetMode="External" /><Relationship Type="http://schemas.openxmlformats.org/officeDocument/2006/relationships/hyperlink" Id="rId313" Target="https://doi.org/10.2307/3003403" TargetMode="External" /><Relationship Type="http://schemas.openxmlformats.org/officeDocument/2006/relationships/hyperlink" Id="rId249" Target="https://doi.org/10.2307/j.ctv7h0rwr" TargetMode="External" /><Relationship Type="http://schemas.openxmlformats.org/officeDocument/2006/relationships/hyperlink" Id="rId308" Target="https://eur-lex.europa.eu/legal-content/ES/TXT/?uri=CELEX:62009CJ0236" TargetMode="External" /><Relationship Type="http://schemas.openxmlformats.org/officeDocument/2006/relationships/hyperlink" Id="rId255" Target="https://ideas.repec.org/b/oxp/obooks/9780199243259.html" TargetMode="External" /><Relationship Type="http://schemas.openxmlformats.org/officeDocument/2006/relationships/hyperlink" Id="rId242" Target="https://www.boe.es/buscar/act.php?id=BOE-A-2004-18911" TargetMode="External" /><Relationship Type="http://schemas.openxmlformats.org/officeDocument/2006/relationships/hyperlink" Id="rId244" Target="https://www.boe.es/eli/es/rdl/2021/04/27/7" TargetMode="External" /><Relationship Type="http://schemas.openxmlformats.org/officeDocument/2006/relationships/hyperlink" Id="rId196" Target="https://www.ecb.europa.eu/press/pr/date/2014/html/pr140605_2.en.html" TargetMode="External" /><Relationship Type="http://schemas.openxmlformats.org/officeDocument/2006/relationships/hyperlink" Id="rId294" Target="https://www.economist.com/sites/default/files/econbriefs.pdf" TargetMode="External" /><Relationship Type="http://schemas.openxmlformats.org/officeDocument/2006/relationships/hyperlink" Id="rId203" Target="https://www.federalreserve.gov/newsevents/pressreleases/monetary20230312b.htm" TargetMode="External" /><Relationship Type="http://schemas.openxmlformats.org/officeDocument/2006/relationships/hyperlink" Id="rId281" Target="https://www.gutenberg.org/cache/epub/3300/pg3300.txt" TargetMode="External" /><Relationship Type="http://schemas.openxmlformats.org/officeDocument/2006/relationships/hyperlink" Id="rId291" Target="https://www.jstor.org/stable/1802787" TargetMode="External" /><Relationship Type="http://schemas.openxmlformats.org/officeDocument/2006/relationships/hyperlink" Id="rId257" Target="https://www.jstor.org/stable/1804094" TargetMode="External" /><Relationship Type="http://schemas.openxmlformats.org/officeDocument/2006/relationships/hyperlink" Id="rId211" Target="https://www.nber.org/papers/w5796" TargetMode="External" /><Relationship Type="http://schemas.openxmlformats.org/officeDocument/2006/relationships/hyperlink" Id="rId296" Target="https://www.nobelprize.org/prizes/economic-sciences/1996/summary/" TargetMode="External" /><Relationship Type="http://schemas.openxmlformats.org/officeDocument/2006/relationships/hyperlink" Id="rId186" Target="https://www.nobelprize.org/prizes/economic-sciences/2001/akerlof/article/" TargetMode="External" /><Relationship Type="http://schemas.openxmlformats.org/officeDocument/2006/relationships/hyperlink" Id="rId298" Target="https://www.nobelprize.org/prizes/economic-sciences/2001/summary/" TargetMode="External" /><Relationship Type="http://schemas.openxmlformats.org/officeDocument/2006/relationships/hyperlink" Id="rId300" Target="https://www.nobelprize.org/prizes/economic-sciences/2007/summary/" TargetMode="External" /><Relationship Type="http://schemas.openxmlformats.org/officeDocument/2006/relationships/hyperlink" Id="rId302" Target="https://www.nobelprize.org/prizes/economic-sciences/2014/summary/" TargetMode="External" /><Relationship Type="http://schemas.openxmlformats.org/officeDocument/2006/relationships/hyperlink" Id="rId304" Target="https://www.nobelprize.org/prizes/economic-sciences/2016/summary/" TargetMode="External" /><Relationship Type="http://schemas.openxmlformats.org/officeDocument/2006/relationships/hyperlink" Id="rId306" Target="https://www.nobelprize.org/prizes/economic-sciences/2020/summary/" TargetMode="External" /><Relationship Type="http://schemas.openxmlformats.org/officeDocument/2006/relationships/hyperlink" Id="rId154" Target="https://www.victorgutierrezmarcos.es/oposicion/temario/cuarto-ejercicio/4A24.pdf" TargetMode="External" /><Relationship Type="http://schemas.openxmlformats.org/officeDocument/2006/relationships/hyperlink" Id="rId162" Target="https://www.victorgutierrezmarcos.es/oposicion/temario/cuarto-ejercicio/4B02.pdf" TargetMode="External" /><Relationship Type="http://schemas.openxmlformats.org/officeDocument/2006/relationships/hyperlink" Id="rId163" Target="https://www.victorgutierrezmarcos.es/oposicion/temario/cuarto-ejercicio/4B11.pdf" TargetMode="External" /><Relationship Type="http://schemas.openxmlformats.org/officeDocument/2006/relationships/hyperlink" Id="rId182" Target="https://www.victorgutierrezmarcos.es/oposicion/temario/primer-ejercicio/test/simulador.html" TargetMode="External" /><Relationship Type="http://schemas.openxmlformats.org/officeDocument/2006/relationships/hyperlink" Id="rId25" Target="https://www.victorgutierrezmarcos.es/oposicion/temario/tema-no-disponible.html?tema=3.A.14" TargetMode="External" /><Relationship Type="http://schemas.openxmlformats.org/officeDocument/2006/relationships/hyperlink" Id="rId38" Target="https://www.victorgutierrezmarcos.es/oposicion/temario/tema-no-disponible.html?tema=3.A.15" TargetMode="External" /><Relationship Type="http://schemas.openxmlformats.org/officeDocument/2006/relationships/hyperlink" Id="rId106" Target="https://www.victorgutierrezmarcos.es/oposicion/temario/tema-no-disponible.html?tema=3.B.26" TargetMode="External" /><Relationship Type="http://schemas.openxmlformats.org/officeDocument/2006/relationships/hyperlink" Id="rId164" Target="https://www.victorgutierrezmarcos.es/oposicion/temario/tercer-ejercicio/3A01.pdf" TargetMode="External" /><Relationship Type="http://schemas.openxmlformats.org/officeDocument/2006/relationships/hyperlink" Id="rId136"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66" Target="https://www.victorgutierrezmarcos.es/oposicion/temario/tercer-ejercicio/3A25.pdf" TargetMode="External" /><Relationship Type="http://schemas.openxmlformats.org/officeDocument/2006/relationships/hyperlink" Id="rId105"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153"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2026-10-19T11:29:39Z</dcterms:created>
  <dcterms:modified xsi:type="dcterms:W3CDTF">2026-10-19T11:29:39Z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graficos-docx">
    <vt:lpwstr>C:\Users\vgutierrez\Documents\src\victorgutierrezmarcos.github.io-revision\oposicion\temario\fuentes\3A13\graficos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28 págs. · Anexos: 6 · Bibliografía: 5</vt:lpwstr>
  </property>
  <property fmtid="{D5CDD505-2E9C-101B-9397-08002B2CF9AE}" pid="20"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1" name="reference-section-title">
    <vt:lpwstr>Bibliografía</vt:lpwstr>
  </property>
  <property fmtid="{D5CDD505-2E9C-101B-9397-08002B2CF9AE}" pid="22" name="resumen">
    <vt:lpwstr>Akerlof y los limones, señalización de Spence, autoselección de Rothschild-Stiglitz, modelo principal-agente y racionamiento del crédito de Stiglitz-Weiss.</vt:lpwstr>
  </property>
  <property fmtid="{D5CDD505-2E9C-101B-9397-08002B2CF9AE}" pid="23" name="titulo">
    <vt:lpwstr>Economía de la información y teoría de la agencia: selección adversa y riesgo moral.</vt:lpwstr>
  </property>
  <property fmtid="{D5CDD505-2E9C-101B-9397-08002B2CF9AE}" pid="24" name="titulo-seo">
    <vt:lpwstr>Selección adversa, riesgo moral y teoría de la agencia</vt:lpwstr>
  </property>
</Properties>
</file>