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71.png" ContentType="image/png"/>
  <Override PartName="/word/media/rId103.png" ContentType="image/png"/>
  <Override PartName="/word/media/rId98.png" ContentType="image/png"/>
  <Override PartName="/word/media/rId48.png" ContentType="image/png"/>
  <Override PartName="/word/media/rId170.png" ContentType="image/png"/>
  <Override PartName="/word/media/rId143.png" ContentType="image/png"/>
  <Override PartName="/word/media/rId118.png" ContentType="image/png"/>
  <Override PartName="/word/media/rId187.png" ContentType="image/png"/>
  <Override PartName="/word/media/rId159.png" ContentType="image/png"/>
  <Override PartName="/word/media/rId44.png" ContentType="image/png"/>
  <Override PartName="/word/media/rId52.png" ContentType="image/png"/>
  <Override PartName="/word/media/rId7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3.A.15: La empresa: el tamaño eficiente y sus límites.</w:t>
      </w:r>
      <w:r>
        <w:br/>
      </w:r>
      <w:r>
        <w:t xml:space="preserve">Mención especial de la economía de los costes</w:t>
      </w:r>
      <w:r>
        <w:br/>
      </w:r>
      <w:r>
        <w:t xml:space="preserve">de transacción. La Teoría de la Organización Industrial:</w:t>
      </w:r>
      <w:r>
        <w:br/>
      </w:r>
      <w:r>
        <w:t xml:space="preserve">barreras a la entrada y mercados impugnables.</w:t>
      </w:r>
    </w:p>
    <w:p>
      <w:pPr>
        <w:pStyle w:val="Author"/>
      </w:pPr>
      <w:r>
        <w:t xml:space="preserve">Víctor Gutiérrez Marcos</w:t>
      </w:r>
    </w:p>
    <w:p>
      <w:pPr>
        <w:pStyle w:val="Date"/>
      </w:pPr>
      <w:r>
        <w:t xml:space="preserve">Última actualización: 20/10/2026</w:t>
      </w:r>
    </w:p>
    <w:p>
      <w:pPr>
        <w:pStyle w:val="Paginasdeltema"/>
      </w:pPr>
      <w:r>
        <w:t xml:space="preserve">Tema: 33 págs. · Anexos: 4 · Bibliografía: 8 (PDF)</w:t>
      </w:r>
    </w:p>
    <w:bookmarkStart w:id="4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«Si quieres algo bien hecho, hazlo tú mismo», dice un refrán; «zapatero, a tus zapatos», le contesta otro. El primero manda hacerlo dentro; el segundo, comprárselo a quien sabe.</w:t>
      </w:r>
    </w:p>
    <w:p>
      <w:pPr>
        <w:numPr>
          <w:ilvl w:val="1"/>
          <w:numId w:val="1002"/>
        </w:numPr>
      </w:pPr>
      <w:r>
        <w:t xml:space="preserve">En 1931, un estudiante de 20 años de la London School of Economics, Ronald</w:t>
      </w:r>
      <w:r>
        <w:t xml:space="preserve"> </w:t>
      </w:r>
      <w:r>
        <w:rPr>
          <w:smallCaps/>
        </w:rPr>
        <w:t xml:space="preserve">Coase</w:t>
      </w:r>
      <w:r>
        <w:t xml:space="preserve">, cruzó el Atlántico con una beca de viaje para averiguar por qué las industrias de Estados Unidos se organizaban de formas tan distintas. Le inquietaba una paradoja. Sus profesores le enseñaban que el sistema de precios coordina toda la economía, y muchos economistas occidentales sostenían que la planificación central, la economía soviética que según</w:t>
      </w:r>
      <w:r>
        <w:t xml:space="preserve"> </w:t>
      </w:r>
      <w:r>
        <w:rPr>
          <w:smallCaps/>
        </w:rPr>
        <w:t xml:space="preserve">Lenin</w:t>
      </w:r>
      <w:r>
        <w:t xml:space="preserve"> </w:t>
      </w:r>
      <w:r>
        <w:t xml:space="preserve">funcionaría como una gran fábrica, era imposible. Y, sin embargo, en Occidente había fábricas, algunas enormes: pequeñas economías planificadas que funcionaban dentro del mercado</w:t>
      </w:r>
      <w:r>
        <w:t xml:space="preserve"> </w:t>
      </w:r>
      <w:r>
        <w:t xml:space="preserve">(</w:t>
      </w:r>
      <w:hyperlink w:anchor="ref_Coase1991Institutional">
        <w:r>
          <w:rPr>
            <w:rStyle w:val="Hyperlink"/>
            <w:smallCaps/>
          </w:rPr>
          <w:t xml:space="preserve">Coase</w:t>
        </w:r>
        <w:r>
          <w:rPr>
            <w:rStyle w:val="Hyperlink"/>
          </w:rPr>
          <w:t xml:space="preserve">, 1991</w:t>
        </w:r>
      </w:hyperlink>
      <w:r>
        <w:t xml:space="preserve">)</w:t>
      </w:r>
      <w:r>
        <w:t xml:space="preserve">.</w:t>
      </w:r>
    </w:p>
    <w:p>
      <w:pPr>
        <w:keepNext/>
        <w:numPr>
          <w:ilvl w:val="1"/>
          <w:numId w:val="1002"/>
        </w:numPr>
      </w:pPr>
      <w:r>
        <w:t xml:space="preserve">Detrás está la pregunta de esta exposición: si el mercado coordina tan bien, ¿por qué existen las empresas? Y si dentro de una empresa se planifica con éxito, ¿por qué no se organiza toda la economía como una sola empresa?</w:t>
      </w:r>
      <w:r>
        <w:t xml:space="preserve"> </w:t>
      </w:r>
      <w:r>
        <w:rPr>
          <w:smallCaps/>
        </w:rPr>
        <w:t xml:space="preserve">Coase</w:t>
      </w:r>
      <w:r>
        <w:t xml:space="preserve"> </w:t>
      </w:r>
      <w:r>
        <w:t xml:space="preserve">encontró la respuesta en el verano de 1932, y con ella abrió la caja negra de la empresa.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 (esta exposición) y el mercado en el que vende y compra</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La</w:t>
      </w:r>
      <w:r>
        <w:t xml:space="preserve"> </w:t>
      </w:r>
      <w:r>
        <w:rPr>
          <w:b/>
          <w:bCs/>
        </w:rPr>
        <w:t xml:space="preserve">empresa</w:t>
      </w:r>
      <w:r>
        <w:t xml:space="preserve"> </w:t>
      </w:r>
      <w:r>
        <w:t xml:space="preserve">es la unidad que organiza la producción: reúne factores bajo una dirección común y vende lo que produce en el mercado. La teoría neoclásica la trata como una</w:t>
      </w:r>
      <w:r>
        <w:t xml:space="preserve"> </w:t>
      </w:r>
      <w:r>
        <w:rPr>
          <w:b/>
          <w:bCs/>
        </w:rPr>
        <w:t xml:space="preserve">caja negra</w:t>
      </w:r>
      <w:r>
        <w:t xml:space="preserve">: sabemos qué entra en ella y qué sale, pero no qué ocurre dentro, ni por qué existe, ni dónde termina.</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premio Nobel de Economía ha reconocido 6 veces este campo (traducciones propias de las motivaciones oficiales): a Herbert</w:t>
      </w:r>
      <w:r>
        <w:t xml:space="preserve"> </w:t>
      </w:r>
      <w:r>
        <w:rPr>
          <w:smallCaps/>
        </w:rPr>
        <w:t xml:space="preserve">Simon</w:t>
      </w:r>
      <w:r>
        <w:t xml:space="preserve"> </w:t>
      </w:r>
      <w:r>
        <w:t xml:space="preserve">en 1978, «por su investigación pionera sobre el proceso de toma de decisiones en las organizaciones económicas»</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 a George</w:t>
      </w:r>
      <w:r>
        <w:t xml:space="preserve"> </w:t>
      </w:r>
      <w:r>
        <w:rPr>
          <w:smallCaps/>
        </w:rPr>
        <w:t xml:space="preserve">Stigler</w:t>
      </w:r>
      <w:r>
        <w:t xml:space="preserve"> </w:t>
      </w:r>
      <w:r>
        <w:t xml:space="preserve">en 1982, «por sus estudios fundamentales de las estructuras industriales, el funcionamiento de los mercados y las causas y los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 a Ronald</w:t>
      </w:r>
      <w:r>
        <w:t xml:space="preserve"> </w:t>
      </w:r>
      <w:r>
        <w:rPr>
          <w:smallCaps/>
        </w:rPr>
        <w:t xml:space="preserve">Coase</w:t>
      </w:r>
      <w:r>
        <w:t xml:space="preserve"> </w:t>
      </w:r>
      <w:r>
        <w:t xml:space="preserve">en 1991, «por su descubrimiento y aclaración de la importancia de los costes de transacción y de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a Oliver</w:t>
      </w:r>
      <w:r>
        <w:t xml:space="preserve"> </w:t>
      </w:r>
      <w:r>
        <w:rPr>
          <w:smallCaps/>
        </w:rPr>
        <w:t xml:space="preserve">Williamson</w:t>
      </w:r>
      <w:r>
        <w:t xml:space="preserve"> </w:t>
      </w:r>
      <w:r>
        <w:t xml:space="preserve">en 2009, «por su análisis de la gobernanza económica, en especial de los</w:t>
      </w:r>
      <w:r>
        <w:t xml:space="preserve"> </w:t>
      </w:r>
      <w:r>
        <w:rPr>
          <w:i/>
          <w:iCs/>
        </w:rPr>
        <w:t xml:space="preserve">límites de la empresa</w:t>
      </w:r>
      <w:r>
        <w:t xml:space="preserve">», justo el epígrafe con el que empieza el título</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w:t>
      </w:r>
      <w:r>
        <w:rPr>
          <w:rStyle w:val="FootnoteReference"/>
        </w:rPr>
        <w:footnoteReference w:id="29"/>
      </w:r>
      <w:r>
        <w:t xml:space="preserve"> </w:t>
      </w:r>
      <w:r>
        <w:t xml:space="preserve">a Jean</w:t>
      </w:r>
      <w:r>
        <w:t xml:space="preserve"> </w:t>
      </w:r>
      <w:r>
        <w:rPr>
          <w:smallCaps/>
        </w:rPr>
        <w:t xml:space="preserve">Tirole</w:t>
      </w:r>
      <w:r>
        <w:t xml:space="preserve"> </w:t>
      </w:r>
      <w:r>
        <w:t xml:space="preserve">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y a Oliver</w:t>
      </w:r>
      <w:r>
        <w:t xml:space="preserve"> </w:t>
      </w:r>
      <w:r>
        <w:rPr>
          <w:smallCaps/>
        </w:rPr>
        <w:t xml:space="preserve">Hart</w:t>
      </w:r>
      <w:r>
        <w:t xml:space="preserve"> </w:t>
      </w:r>
      <w:r>
        <w:t xml:space="preserve">y Bengt</w:t>
      </w:r>
      <w:r>
        <w:t xml:space="preserve"> </w:t>
      </w:r>
      <w:r>
        <w:rPr>
          <w:smallCaps/>
        </w:rPr>
        <w:t xml:space="preserve">Holmström</w:t>
      </w:r>
      <w:r>
        <w:t xml:space="preserve"> </w:t>
      </w:r>
      <w:r>
        <w:t xml:space="preserve">en 2016,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w:t>
      </w:r>
    </w:p>
    <w:p>
      <w:pPr>
        <w:numPr>
          <w:ilvl w:val="1"/>
          <w:numId w:val="1005"/>
        </w:numPr>
      </w:pPr>
      <w:r>
        <w:rPr>
          <w:i/>
          <w:iCs/>
        </w:rPr>
        <w:t xml:space="preserve">Empírica</w:t>
      </w:r>
      <w:r>
        <w:t xml:space="preserve">: la mayor parte de la actividad económica no se coordina con precios, sino dentro de organizaciones. Un observador que viera las empresas como manchas verdes y las transacciones de mercado como líneas rojas que las unen hablaría de una economía de organizaciones más que de una economía de mercado</w:t>
      </w:r>
      <w:r>
        <w:t xml:space="preserve"> </w:t>
      </w:r>
      <w:r>
        <w:t xml:space="preserve">(</w:t>
      </w:r>
      <w:hyperlink w:anchor="ref_Simon1991Organizations">
        <w:r>
          <w:rPr>
            <w:rStyle w:val="Hyperlink"/>
            <w:smallCaps/>
          </w:rPr>
          <w:t xml:space="preserve">Simon</w:t>
        </w:r>
        <w:r>
          <w:rPr>
            <w:rStyle w:val="Hyperlink"/>
          </w:rPr>
          <w:t xml:space="preserve">, 1991</w:t>
        </w:r>
      </w:hyperlink>
      <w:r>
        <w:t xml:space="preserve">)</w:t>
      </w:r>
      <w:r>
        <w:t xml:space="preserve">. Y el peso de las grandes empresas crece: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la concentración de las ventas en empresas «superestrella» explica buena parte de la caída de la participación de los salarios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5"/>
        </w:numPr>
      </w:pPr>
      <w:r>
        <w:rPr>
          <w:i/>
          <w:iCs/>
        </w:rPr>
        <w:t xml:space="preserve">De política económica</w:t>
      </w:r>
      <w:r>
        <w:t xml:space="preserve">: la defensa de la competencia (control de concentraciones, abuso de posición dominante, acuerdos verticales) y la regulación de las industrias de red se apoyan en esta teoría</w:t>
      </w:r>
      <w:r>
        <w:t xml:space="preserve"> </w:t>
      </w:r>
      <w:hyperlink r:id="rId31">
        <w:r>
          <w:rPr>
            <w:rStyle w:val="Referenciaatema"/>
          </w:rPr>
          <w:t xml:space="preserve">[ver tema 3.A.20]</w:t>
        </w:r>
      </w:hyperlink>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keepNext/>
        <w:numPr>
          <w:ilvl w:val="1"/>
          <w:numId w:val="1006"/>
        </w:numPr>
      </w:pPr>
      <w:r>
        <w:t xml:space="preserve">La teoría neoclásica trata a la empresa como un agente que</w:t>
      </w:r>
      <w:r>
        <w:t xml:space="preserve"> </w:t>
      </w:r>
      <w:r>
        <w:rPr>
          <w:i/>
          <w:iCs/>
        </w:rPr>
        <w:t xml:space="preserve">transforma factores en productos con una tecnología dada</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 </w:t>
      </w:r>
      <w:r>
        <w:t xml:space="preserve">y que se mueve en una</w:t>
      </w:r>
      <w:r>
        <w:t xml:space="preserve"> </w:t>
      </w:r>
      <w:r>
        <w:rPr>
          <w:i/>
          <w:iCs/>
        </w:rPr>
        <w:t xml:space="preserve">estructura de mercado dada</w:t>
      </w:r>
      <w:r>
        <w:t xml:space="preserve"> </w:t>
      </w:r>
      <w:hyperlink r:id="rId25">
        <w:r>
          <w:rPr>
            <w:rStyle w:val="Referenciaatema"/>
          </w:rPr>
          <w:t xml:space="preserve">[ver tema 3.A.16]</w:t>
        </w:r>
      </w:hyperlink>
      <w:r>
        <w:t xml:space="preserve">. Esa representación descansa en 3 supuestos que esta exposición levanta, uno en cada apartado:</w:t>
      </w:r>
    </w:p>
    <w:p>
      <w:pPr>
        <w:numPr>
          <w:ilvl w:val="2"/>
          <w:numId w:val="1007"/>
        </w:numPr>
      </w:pPr>
      <w:r>
        <w:t xml:space="preserve">la empresa es un agente único que</w:t>
      </w:r>
      <w:r>
        <w:t xml:space="preserve"> </w:t>
      </w:r>
      <w:r>
        <w:rPr>
          <w:i/>
          <w:iCs/>
        </w:rPr>
        <w:t xml:space="preserve">maximiza el beneficio</w:t>
      </w:r>
      <w:r>
        <w:t xml:space="preserve">, aunque la dirijan personas distintas de sus propietarios: se levanta en el apartado </w:t>
      </w:r>
      <w:hyperlink w:anchor="sec_tamano_limites">
        <w:r>
          <w:rPr>
            <w:rStyle w:val="Hyperlink"/>
          </w:rPr>
          <w:t xml:space="preserve">I</w:t>
        </w:r>
      </w:hyperlink>
      <w:r>
        <w:t xml:space="preserve">;</w:t>
      </w:r>
    </w:p>
    <w:p>
      <w:pPr>
        <w:numPr>
          <w:ilvl w:val="2"/>
          <w:numId w:val="1007"/>
        </w:numPr>
      </w:pPr>
      <w:r>
        <w:t xml:space="preserve">la empresa es una</w:t>
      </w:r>
      <w:r>
        <w:t xml:space="preserve"> </w:t>
      </w:r>
      <w:r>
        <w:rPr>
          <w:i/>
          <w:iCs/>
        </w:rPr>
        <w:t xml:space="preserve">caja negra</w:t>
      </w:r>
      <w:r>
        <w:t xml:space="preserve">, una función de producción, y no importa cómo se organizan los intercambios dentro y fuera de ella: se levanta en el apartado </w:t>
      </w:r>
      <w:hyperlink w:anchor="sec_costes_transaccion">
        <w:r>
          <w:rPr>
            <w:rStyle w:val="Hyperlink"/>
          </w:rPr>
          <w:t xml:space="preserve">II</w:t>
        </w:r>
      </w:hyperlink>
      <w:r>
        <w:t xml:space="preserve">;</w:t>
      </w:r>
    </w:p>
    <w:p>
      <w:pPr>
        <w:numPr>
          <w:ilvl w:val="2"/>
          <w:numId w:val="1007"/>
        </w:numPr>
      </w:pPr>
      <w:r>
        <w:t xml:space="preserve">la empresa opera en una</w:t>
      </w:r>
      <w:r>
        <w:t xml:space="preserve"> </w:t>
      </w:r>
      <w:r>
        <w:rPr>
          <w:i/>
          <w:iCs/>
        </w:rPr>
        <w:t xml:space="preserve">estructura de mercado dada</w:t>
      </w:r>
      <w:r>
        <w:t xml:space="preserve">, que su conducta no puede alterar: se levanta en el apartado </w:t>
      </w:r>
      <w:hyperlink w:anchor="sec_toi">
        <w:r>
          <w:rPr>
            <w:rStyle w:val="Hyperlink"/>
          </w:rPr>
          <w:t xml:space="preserve">III</w:t>
        </w:r>
      </w:hyperlink>
      <w:r>
        <w:t xml:space="preserve">.</w:t>
      </w:r>
    </w:p>
    <w:p>
      <w:pPr>
        <w:keepNext/>
        <w:numPr>
          <w:ilvl w:val="1"/>
          <w:numId w:val="1006"/>
        </w:numPr>
      </w:pPr>
      <w:r>
        <w:t xml:space="preserve">Desde un punto de vista histórico, en los años 30 se abren los 3 frentes, en ese mismo orden:</w:t>
      </w:r>
    </w:p>
    <w:p>
      <w:pPr>
        <w:numPr>
          <w:ilvl w:val="2"/>
          <w:numId w:val="1008"/>
        </w:numPr>
      </w:pPr>
      <w:r>
        <w:t xml:space="preserve">en los objetivos,</w:t>
      </w:r>
      <w:r>
        <w:t xml:space="preserve"> </w:t>
      </w:r>
      <w:r>
        <w:rPr>
          <w:smallCaps/>
        </w:rPr>
        <w:t xml:space="preserve">Berle</w:t>
      </w:r>
      <w:r>
        <w:t xml:space="preserve"> </w:t>
      </w:r>
      <w:r>
        <w:t xml:space="preserve">y</w:t>
      </w:r>
      <w:r>
        <w:t xml:space="preserve"> </w:t>
      </w:r>
      <w:r>
        <w:rPr>
          <w:smallCaps/>
        </w:rPr>
        <w:t xml:space="preserve">Means</w:t>
      </w:r>
      <w:r>
        <w:t xml:space="preserve"> </w:t>
      </w:r>
      <w:r>
        <w:t xml:space="preserve">(</w:t>
      </w:r>
      <w:hyperlink w:anchor="ref_BerleMeans1932Modern">
        <w:r>
          <w:rPr>
            <w:rStyle w:val="Hyperlink"/>
          </w:rPr>
          <w:t xml:space="preserve">1932</w:t>
        </w:r>
      </w:hyperlink>
      <w:r>
        <w:t xml:space="preserve">)</w:t>
      </w:r>
      <w:r>
        <w:t xml:space="preserve"> </w:t>
      </w:r>
      <w:r>
        <w:t xml:space="preserve">documentan la</w:t>
      </w:r>
      <w:r>
        <w:t xml:space="preserve"> </w:t>
      </w:r>
      <w:r>
        <w:rPr>
          <w:b/>
          <w:bCs/>
        </w:rPr>
        <w:t xml:space="preserve">separación entre la propiedad y el control</w:t>
      </w:r>
      <w:r>
        <w:t xml:space="preserve"> </w:t>
      </w:r>
      <w:r>
        <w:t xml:space="preserve">en la gran sociedad anónima, y</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sustituirá después la racionalidad perfecta por la</w:t>
      </w:r>
      <w:r>
        <w:t xml:space="preserve"> </w:t>
      </w:r>
      <w:r>
        <w:rPr>
          <w:b/>
          <w:bCs/>
        </w:rPr>
        <w:t xml:space="preserve">racionalidad limitada</w:t>
      </w:r>
      <w:r>
        <w:t xml:space="preserve"> </w:t>
      </w:r>
      <w:hyperlink r:id="rId34">
        <w:r>
          <w:rPr>
            <w:rStyle w:val="Referenciaatema"/>
          </w:rPr>
          <w:t xml:space="preserve">[ver tema 3.A.1]</w:t>
        </w:r>
      </w:hyperlink>
      <w:r>
        <w:t xml:space="preserve">;</w:t>
      </w:r>
    </w:p>
    <w:p>
      <w:pPr>
        <w:numPr>
          <w:ilvl w:val="2"/>
          <w:numId w:val="1008"/>
        </w:numPr>
      </w:pPr>
      <w:r>
        <w:t xml:space="preserve">en la organización,</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pregunta por qué existen las empresas y responde con los</w:t>
      </w:r>
      <w:r>
        <w:t xml:space="preserve"> </w:t>
      </w:r>
      <w:r>
        <w:rPr>
          <w:b/>
          <w:bCs/>
        </w:rPr>
        <w:t xml:space="preserve">costes de transacción</w:t>
      </w:r>
      <w:r>
        <w:t xml:space="preserve">; sus ideas esperan casi 40 años, hasta que</w:t>
      </w:r>
      <w:r>
        <w:t xml:space="preserve"> </w:t>
      </w: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r>
        <w:t xml:space="preserve">las hace operativas;</w:t>
      </w:r>
    </w:p>
    <w:p>
      <w:pPr>
        <w:numPr>
          <w:ilvl w:val="2"/>
          <w:numId w:val="1008"/>
        </w:numPr>
      </w:pPr>
      <w:r>
        <w:t xml:space="preserve">en el mercado,</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 Joan</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mercados que no son ni competencia perfecta ni monopolio y separan la organización industrial de la teoría de los precios</w:t>
      </w:r>
      <w:r>
        <w:t xml:space="preserve"> </w:t>
      </w:r>
      <w:hyperlink r:id="rId27">
        <w:r>
          <w:rPr>
            <w:rStyle w:val="Referenciaatema"/>
          </w:rPr>
          <w:t xml:space="preserve">[ver tema 3.A.18]</w:t>
        </w:r>
      </w:hyperlink>
      <w:r>
        <w:t xml:space="preserve">.</w:t>
      </w:r>
    </w:p>
    <w:p>
      <w:pPr>
        <w:numPr>
          <w:ilvl w:val="1"/>
          <w:numId w:val="1000"/>
        </w:numPr>
      </w:pPr>
      <w:r>
        <w:t xml:space="preserve">La teoría de la información</w:t>
      </w:r>
      <w:r>
        <w:t xml:space="preserve"> </w:t>
      </w:r>
      <w:hyperlink r:id="rId35">
        <w:r>
          <w:rPr>
            <w:rStyle w:val="Referenciaatema"/>
          </w:rPr>
          <w:t xml:space="preserve">[ver tema 3.A.13]</w:t>
        </w:r>
      </w:hyperlink>
      <w:r>
        <w:t xml:space="preserve"> </w:t>
      </w:r>
      <w:r>
        <w:t xml:space="preserve">y la teoría de juegos</w:t>
      </w:r>
      <w:r>
        <w:t xml:space="preserve"> </w:t>
      </w:r>
      <w:hyperlink r:id="rId36">
        <w:r>
          <w:rPr>
            <w:rStyle w:val="Referenciaatema"/>
          </w:rPr>
          <w:t xml:space="preserve">[ver tema 3.A.14]</w:t>
        </w:r>
      </w:hyperlink>
      <w:r>
        <w:t xml:space="preserve"> </w:t>
      </w:r>
      <w:r>
        <w:t xml:space="preserve">dan después las herramientas de la teoría de los contratos y de la Nueva Teoría de la Organización Industrial.</w:t>
      </w:r>
    </w:p>
    <w:p>
      <w:pPr>
        <w:numPr>
          <w:ilvl w:val="1"/>
          <w:numId w:val="1006"/>
        </w:numPr>
      </w:pPr>
      <w:r>
        <w:t xml:space="preserve">La</w:t>
      </w:r>
      <w:r>
        <w:t xml:space="preserve"> </w:t>
      </w:r>
      <w:r>
        <w:rPr>
          <w:b/>
          <w:bCs/>
        </w:rPr>
        <w:t xml:space="preserve">Teoría de la Organización Industrial</w:t>
      </w:r>
      <w:r>
        <w:t xml:space="preserve"> </w:t>
      </w:r>
      <w:r>
        <w:t xml:space="preserve">(TOI) estudia el funcionamiento de los mercados en los que la competencia es imperfecta, la conducta de las empresas en ellos y sus efectos sobre el bienestar. En sentido amplio, incluye también la teoría de la empresa (por qué existe, dónde están sus fronteras, cómo se organiza por dentro)</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 el título separa las 2 partes y la exposición las sigue en ese orden.</w:t>
      </w:r>
      <w:r>
        <w:rPr>
          <w:rStyle w:val="FootnoteReference"/>
        </w:rPr>
        <w:footnoteReference w:id="37"/>
      </w:r>
    </w:p>
    <w:p>
      <w:pPr>
        <w:keepNext/>
        <w:numPr>
          <w:ilvl w:val="0"/>
          <w:numId w:val="1001"/>
        </w:numPr>
      </w:pPr>
      <w:r>
        <w:rPr>
          <w:b/>
          <w:bCs/>
          <w:i/>
          <w:iCs/>
        </w:rPr>
        <w:t xml:space="preserve">Problemática (preguntas clave)</w:t>
      </w:r>
      <w:r>
        <w:t xml:space="preserve">:</w:t>
      </w:r>
    </w:p>
    <w:p>
      <w:pPr>
        <w:numPr>
          <w:ilvl w:val="1"/>
          <w:numId w:val="1009"/>
        </w:numPr>
      </w:pPr>
      <w:r>
        <w:t xml:space="preserve">Si el mercado asigna bien los recursos, ¿por qué existen las empresas? ¿Por qué unas transacciones se hacen dentro de una jerarquía y otras en el mercado?</w:t>
      </w:r>
    </w:p>
    <w:p>
      <w:pPr>
        <w:numPr>
          <w:ilvl w:val="1"/>
          <w:numId w:val="1009"/>
        </w:numPr>
      </w:pPr>
      <w:r>
        <w:t xml:space="preserve">¿Qué fija el tamaño eficiente de una empresa? Y, si crecer ahorra costes, ¿qué le impide crecer sin límite?</w:t>
      </w:r>
    </w:p>
    <w:p>
      <w:pPr>
        <w:numPr>
          <w:ilvl w:val="1"/>
          <w:numId w:val="1009"/>
        </w:numPr>
      </w:pPr>
      <w:r>
        <w:t xml:space="preserve">¿Persiguen las empresas el beneficio cuando las dirigen personas distintas de sus propietarios?</w:t>
      </w:r>
    </w:p>
    <w:p>
      <w:pPr>
        <w:numPr>
          <w:ilvl w:val="1"/>
          <w:numId w:val="1009"/>
        </w:numPr>
      </w:pPr>
      <w:r>
        <w:t xml:space="preserve">¿De qué depende el poder de mercado: del número de empresas o de la facilidad para entrar? ¿Pueden las empresas instaladas impedir la entrada, y basta la amenaza de entrada para disciplinarlas?</w:t>
      </w:r>
    </w:p>
    <w:p>
      <w:pPr>
        <w:keepNext/>
        <w:numPr>
          <w:ilvl w:val="0"/>
          <w:numId w:val="1001"/>
        </w:numPr>
      </w:pPr>
      <w:r>
        <w:rPr>
          <w:b/>
          <w:bCs/>
          <w:i/>
          <w:iCs/>
        </w:rPr>
        <w:t xml:space="preserve">Estructura</w:t>
      </w:r>
      <w:r>
        <w:t xml:space="preserve">: la exposición abre la caja negra de dentro hacia fuera, en el orden del título.</w:t>
      </w:r>
    </w:p>
    <w:p>
      <w:pPr>
        <w:numPr>
          <w:ilvl w:val="1"/>
          <w:numId w:val="1010"/>
        </w:numPr>
      </w:pPr>
      <w:r>
        <w:t xml:space="preserve">En primer lugar,</w:t>
      </w:r>
      <w:r>
        <w:t xml:space="preserve"> </w:t>
      </w:r>
      <w:r>
        <w:rPr>
          <w:b/>
          <w:bCs/>
        </w:rPr>
        <w:t xml:space="preserve">el tamaño eficiente y sus límites</w:t>
      </w:r>
      <w:r>
        <w:t xml:space="preserve"> </w:t>
      </w:r>
      <w:r>
        <w:t xml:space="preserve">(</w:t>
      </w:r>
      <w:hyperlink w:anchor="sec_tamano_limites">
        <w:r>
          <w:rPr>
            <w:rStyle w:val="Hyperlink"/>
          </w:rPr>
          <w:t xml:space="preserve">I</w:t>
        </w:r>
      </w:hyperlink>
      <w:r>
        <w:t xml:space="preserve">): qué tamaño dicta la tecnología y qué lo limita cuando quienes dirigen la empresa no son sus dueños.</w:t>
      </w:r>
    </w:p>
    <w:p>
      <w:pPr>
        <w:numPr>
          <w:ilvl w:val="1"/>
          <w:numId w:val="1010"/>
        </w:numPr>
      </w:pPr>
      <w:r>
        <w:t xml:space="preserve">En segundo lugar, la</w:t>
      </w:r>
      <w:r>
        <w:t xml:space="preserve"> </w:t>
      </w:r>
      <w:r>
        <w:rPr>
          <w:i/>
          <w:iCs/>
        </w:rPr>
        <w:t xml:space="preserve">mención especial</w:t>
      </w:r>
      <w:r>
        <w:t xml:space="preserve">, la</w:t>
      </w:r>
      <w:r>
        <w:t xml:space="preserve"> </w:t>
      </w:r>
      <w:r>
        <w:rPr>
          <w:b/>
          <w:bCs/>
        </w:rPr>
        <w:t xml:space="preserve">economía de los costes de transacción</w:t>
      </w:r>
      <w:r>
        <w:t xml:space="preserve"> </w:t>
      </w:r>
      <w:r>
        <w:t xml:space="preserve">(</w:t>
      </w:r>
      <w:hyperlink w:anchor="sec_costes_transaccion">
        <w:r>
          <w:rPr>
            <w:rStyle w:val="Hyperlink"/>
          </w:rPr>
          <w:t xml:space="preserve">II</w:t>
        </w:r>
      </w:hyperlink>
      <w:r>
        <w:t xml:space="preserve">): por qué existe la empresa y dónde están sus fronteras, de</w:t>
      </w:r>
      <w:r>
        <w:t xml:space="preserve"> </w:t>
      </w:r>
      <w:r>
        <w:rPr>
          <w:smallCaps/>
        </w:rPr>
        <w:t xml:space="preserve">Coase</w:t>
      </w:r>
      <w:r>
        <w:t xml:space="preserve"> </w:t>
      </w:r>
      <w:r>
        <w:t xml:space="preserve">a</w:t>
      </w:r>
      <w:r>
        <w:t xml:space="preserve"> </w:t>
      </w:r>
      <w:r>
        <w:rPr>
          <w:smallCaps/>
        </w:rPr>
        <w:t xml:space="preserve">Williamson</w:t>
      </w:r>
      <w:r>
        <w:t xml:space="preserve"> </w:t>
      </w:r>
      <w:r>
        <w:t xml:space="preserve">y a</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numPr>
          <w:ilvl w:val="1"/>
          <w:numId w:val="1010"/>
        </w:numPr>
      </w:pPr>
      <w:r>
        <w:t xml:space="preserve">Por último, la</w:t>
      </w:r>
      <w:r>
        <w:t xml:space="preserve"> </w:t>
      </w:r>
      <w:r>
        <w:rPr>
          <w:b/>
          <w:bCs/>
        </w:rPr>
        <w:t xml:space="preserve">Teoría de la Organización Industrial</w:t>
      </w:r>
      <w:r>
        <w:t xml:space="preserve"> </w:t>
      </w:r>
      <w:r>
        <w:t xml:space="preserve">(</w:t>
      </w:r>
      <w:hyperlink w:anchor="sec_toi">
        <w:r>
          <w:rPr>
            <w:rStyle w:val="Hyperlink"/>
          </w:rPr>
          <w:t xml:space="preserve">III</w:t>
        </w:r>
      </w:hyperlink>
      <w:r>
        <w:t xml:space="preserve">): cómo pasa la empresa de tomar la estructura del mercado como dada a influir en ella, con las</w:t>
      </w:r>
      <w:r>
        <w:t xml:space="preserve"> </w:t>
      </w:r>
      <w:r>
        <w:rPr>
          <w:i/>
          <w:iCs/>
        </w:rPr>
        <w:t xml:space="preserve">barreras a la entrada</w:t>
      </w:r>
      <w:r>
        <w:t xml:space="preserve"> </w:t>
      </w:r>
      <w:r>
        <w:t xml:space="preserve">y los</w:t>
      </w:r>
      <w:r>
        <w:t xml:space="preserve"> </w:t>
      </w:r>
      <w:r>
        <w:rPr>
          <w:i/>
          <w:iCs/>
        </w:rPr>
        <w:t xml:space="preserve">mercados impugnables</w:t>
      </w:r>
      <w:r>
        <w:t xml:space="preserve">.</w:t>
      </w:r>
    </w:p>
    <w:p>
      <w:pPr>
        <w:pStyle w:val="Esquema"/>
      </w:pPr>
      <w:r>
        <w:rPr>
          <w:b/>
          <w:bCs/>
        </w:rPr>
        <w:t xml:space="preserve">Esquema del tema. </w:t>
      </w:r>
      <w:r>
        <w:rPr>
          <w:b/>
          <w:bCs/>
        </w:rPr>
        <w:t xml:space="preserve">3.A.15. La empresa: tamaño eficiente, costes de transacción y organización industrial</w:t>
      </w:r>
      <w:r>
        <w:br/>
      </w:r>
      <w:r>
        <w:t xml:space="preserve">Introducción</w:t>
      </w:r>
      <w:r>
        <w:br/>
      </w:r>
      <w:r>
        <w:t xml:space="preserve">I. La empresa: el tamaño eficiente y sus límites</w:t>
      </w:r>
      <w:r>
        <w:br/>
      </w:r>
      <w:r>
        <w:t xml:space="preserve">1. Enfoque tecnológico: escala mínima eficiente</w:t>
      </w:r>
      <w:r>
        <w:t xml:space="preserve"> </w:t>
      </w:r>
      <m:oMath>
        <m:bar>
          <m:barPr>
            <m:pos m:val="top"/>
          </m:barPr>
          <m:e>
            <m:r>
              <m:t>q</m:t>
            </m:r>
          </m:e>
        </m:bar>
      </m:oMath>
      <w:r>
        <w:t xml:space="preserve">, subaditividad, alcance</w:t>
      </w:r>
      <w:r>
        <w:br/>
      </w:r>
      <w:r>
        <w:t xml:space="preserve">2. Límites internos: dirección, gerencialistas (</w:t>
      </w:r>
      <m:oMath>
        <m:bar>
          <m:barPr>
            <m:pos m:val="bot"/>
          </m:barPr>
          <m:e>
            <m:r>
              <m:t>B</m:t>
            </m:r>
          </m:e>
        </m:bar>
      </m:oMath>
      <w:r>
        <w:t xml:space="preserve">), agencia</w:t>
      </w:r>
      <w:r>
        <w:br/>
      </w:r>
      <w:r>
        <w:t xml:space="preserve">II. La economía de los costes de transacción</w:t>
      </w:r>
      <w:r>
        <w:br/>
      </w:r>
      <w:r>
        <w:t xml:space="preserve">1.</w:t>
      </w:r>
      <w:r>
        <w:t xml:space="preserve"> </w:t>
      </w:r>
      <w:r>
        <w:rPr>
          <w:smallCaps/>
        </w:rPr>
        <w:t xml:space="preserve">Coase</w:t>
      </w:r>
      <w:r>
        <w:t xml:space="preserve"> </w:t>
      </w:r>
      <w:r>
        <w:t xml:space="preserve">(1937): la frontera en el margen</w:t>
      </w:r>
      <w:r>
        <w:br/>
      </w:r>
      <w:r>
        <w:t xml:space="preserve">2.</w:t>
      </w:r>
      <w:r>
        <w:t xml:space="preserve"> </w:t>
      </w:r>
      <w:r>
        <w:rPr>
          <w:smallCaps/>
        </w:rPr>
        <w:t xml:space="preserve">Williamson</w:t>
      </w:r>
      <w:r>
        <w:t xml:space="preserve">: especificidad</w:t>
      </w:r>
      <w:r>
        <w:t xml:space="preserve"> </w:t>
      </w:r>
      <m:oMath>
        <m:r>
          <m:t>a</m:t>
        </m:r>
      </m:oMath>
      <w:r>
        <w:t xml:space="preserve"> </w:t>
      </w:r>
      <w:r>
        <w:t xml:space="preserve">y estructuras de gobierno</w:t>
      </w:r>
      <w:r>
        <w:br/>
      </w:r>
      <w:r>
        <w:t xml:space="preserve">3.</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contratos incompletos y propiedad</w:t>
      </w:r>
      <w:r>
        <w:br/>
      </w:r>
      <w:r>
        <w:t xml:space="preserve">4. Otros enfoques e implicaciones de política económica</w:t>
      </w:r>
      <w:r>
        <w:br/>
      </w:r>
      <w:r>
        <w:t xml:space="preserve">III. La TOI: barreras a la entrada y mercados impugnables</w:t>
      </w:r>
      <w:r>
        <w:br/>
      </w:r>
      <w:r>
        <w:t xml:space="preserve">1. Del enfoque neoclásico a Harvard y Chicago</w:t>
      </w:r>
      <w:r>
        <w:br/>
      </w:r>
      <w:r>
        <w:t xml:space="preserve">2. Barreras a la entrada: precio límite y compromiso</w:t>
      </w:r>
      <w:r>
        <w:br/>
      </w:r>
      <w:r>
        <w:t xml:space="preserve">3. Mercados impugnables</w:t>
      </w:r>
      <w:r>
        <w:br/>
      </w:r>
      <w:r>
        <w:t xml:space="preserve">4. La Nueva TOI</w:t>
      </w:r>
      <w:r>
        <w:br/>
      </w:r>
      <w:r>
        <w:t xml:space="preserve">Conclusión</w:t>
      </w:r>
    </w:p>
    <w:p>
      <w:pPr>
        <w:pStyle w:val="Notaalopositor"/>
      </w:pPr>
      <w:r>
        <w:rPr>
          <w:b/>
          <w:bCs/>
        </w:rPr>
        <w:t xml:space="preserve">Nota al opositor. </w:t>
      </w:r>
      <w:r>
        <w:t xml:space="preserve">Reparto del cante: introducción, 2′30″; I, 7′ (I.1, 3′; I.2, 4′); II, 9′30″ (II.1, 2′; II.2, 3′30″; II.3, 2′30″; II.4, 1′30″); III, 10′ (III.1, 2′30″; III.2, 3′30″; III.3, 2′30″; III.4, 1′30″), y conclusión, 1′. La «mención especial» del título (</w:t>
      </w:r>
      <w:hyperlink w:anchor="sec_costes_transaccion">
        <w:r>
          <w:rPr>
            <w:rStyle w:val="Hyperlink"/>
          </w:rPr>
          <w:t xml:space="preserve">II</w:t>
        </w:r>
      </w:hyperlink>
      <w:r>
        <w:t xml:space="preserve">) y el epígrafe con 2 conceptos (</w:t>
      </w:r>
      <w:hyperlink w:anchor="sec_toi">
        <w:r>
          <w:rPr>
            <w:rStyle w:val="Hyperlink"/>
          </w:rPr>
          <w:t xml:space="preserve">III</w:t>
        </w:r>
      </w:hyperlink>
      <w:r>
        <w:t xml:space="preserve">) se llevan más tiempo; el bloque </w:t>
      </w:r>
      <w:hyperlink w:anchor="sec_tamano_limites">
        <w:r>
          <w:rPr>
            <w:rStyle w:val="Hyperlink"/>
          </w:rPr>
          <w:t xml:space="preserve">I</w:t>
        </w:r>
      </w:hyperlink>
      <w:r>
        <w:t xml:space="preserve"> </w:t>
      </w:r>
      <w:r>
        <w:t xml:space="preserve">es el más corto porque su núcleo técnico (costes, subaditividad, alcance) se resume y se remite. Un hilo recorre la exposición: cada bloque levanta uno de los 3 supuestos de la caja negra, y la conclusión responde a la pregunta de</w:t>
      </w:r>
      <w:r>
        <w:t xml:space="preserve"> </w:t>
      </w:r>
      <w:r>
        <w:rPr>
          <w:smallCaps/>
        </w:rPr>
        <w:t xml:space="preserve">Coase</w:t>
      </w:r>
      <w:r>
        <w:t xml:space="preserve"> </w:t>
      </w:r>
      <w:r>
        <w:t xml:space="preserve">del enganche. Gráficos imprescindibles en la pizarra: la maximización de las ventas de</w:t>
      </w:r>
      <w:r>
        <w:t xml:space="preserve"> </w:t>
      </w:r>
      <w:r>
        <w:rPr>
          <w:smallCaps/>
        </w:rPr>
        <w:t xml:space="preserve">Baumol</w:t>
      </w:r>
      <w:r>
        <w:t xml:space="preserve"> </w:t>
      </w:r>
      <w:r>
        <w:t xml:space="preserve">(</w:t>
      </w:r>
      <w:hyperlink w:anchor="sec_gerencialistas">
        <w:r>
          <w:rPr>
            <w:rStyle w:val="Hyperlink"/>
          </w:rPr>
          <w:t xml:space="preserve">I.2.2</w:t>
        </w:r>
      </w:hyperlink>
      <w:r>
        <w:t xml:space="preserve">), el margen de</w:t>
      </w:r>
      <w:r>
        <w:t xml:space="preserve"> </w:t>
      </w:r>
      <w:r>
        <w:rPr>
          <w:smallCaps/>
        </w:rPr>
        <w:t xml:space="preserve">Coase</w:t>
      </w:r>
      <w:r>
        <w:t xml:space="preserve"> </w:t>
      </w:r>
      <w:r>
        <w:t xml:space="preserve">(</w:t>
      </w:r>
      <w:hyperlink w:anchor="sec_coase">
        <w:r>
          <w:rPr>
            <w:rStyle w:val="Hyperlink"/>
          </w:rPr>
          <w:t xml:space="preserve">II.1</w:t>
        </w:r>
      </w:hyperlink>
      <w:r>
        <w:t xml:space="preserve">), los costes de gobierno de</w:t>
      </w:r>
      <w:r>
        <w:t xml:space="preserve"> </w:t>
      </w:r>
      <w:r>
        <w:rPr>
          <w:smallCaps/>
        </w:rPr>
        <w:t xml:space="preserve">Williamson</w:t>
      </w:r>
      <w:r>
        <w:t xml:space="preserve"> </w:t>
      </w:r>
      <w:r>
        <w:t xml:space="preserve">(</w:t>
      </w:r>
      <w:hyperlink w:anchor="sec_williamson">
        <w:r>
          <w:rPr>
            <w:rStyle w:val="Hyperlink"/>
          </w:rPr>
          <w:t xml:space="preserve">II.2</w:t>
        </w:r>
      </w:hyperlink>
      <w:r>
        <w:t xml:space="preserve">), el precio límite y el árbol de disuasión (</w:t>
      </w:r>
      <w:hyperlink w:anchor="sec_barreras">
        <w:r>
          <w:rPr>
            <w:rStyle w:val="Hyperlink"/>
          </w:rPr>
          <w:t xml:space="preserve">III.2</w:t>
        </w:r>
      </w:hyperlink>
      <w:r>
        <w:t xml:space="preserve">). Funciones clave que se quedan en una esquina de la pizarra: la condición de</w:t>
      </w:r>
      <w:r>
        <w:t xml:space="preserve"> </w:t>
      </w:r>
      <w:r>
        <w:rPr>
          <w:smallCaps/>
        </w:rPr>
        <w:t xml:space="preserve">Coase</w:t>
      </w:r>
      <w:r>
        <w:t xml:space="preserve"> </w:t>
      </w:r>
      <w:r>
        <w:t xml:space="preserve">(</w:t>
      </w:r>
      <w:hyperlink w:anchor="eq_coase">
        <w:r>
          <w:rPr>
            <w:rStyle w:val="Hyperlink"/>
          </w:rPr>
          <w:t xml:space="preserve">2</w:t>
        </w:r>
      </w:hyperlink>
      <w:r>
        <w:t xml:space="preserve">), desde</w:t>
      </w:r>
      <w:r>
        <w:t xml:space="preserve"> </w:t>
      </w:r>
      <w:hyperlink w:anchor="sec_coase">
        <w:r>
          <w:rPr>
            <w:rStyle w:val="Hyperlink"/>
          </w:rPr>
          <w:t xml:space="preserve">II.1</w:t>
        </w:r>
      </w:hyperlink>
      <w:r>
        <w:t xml:space="preserve"> </w:t>
      </w:r>
      <w:r>
        <w:t xml:space="preserve">hasta la conclusión, porque la idea final vuelve a ella; la elección de la estructura de gobierno (</w:t>
      </w:r>
      <w:hyperlink w:anchor="eq_gobierno">
        <w:r>
          <w:rPr>
            <w:rStyle w:val="Hyperlink"/>
          </w:rPr>
          <w:t xml:space="preserve">3</w:t>
        </w:r>
      </w:hyperlink>
      <w:r>
        <w:t xml:space="preserve">), hasta el final del bloque </w:t>
      </w:r>
      <w:hyperlink w:anchor="sec_costes_transaccion">
        <w:r>
          <w:rPr>
            <w:rStyle w:val="Hyperlink"/>
          </w:rPr>
          <w:t xml:space="preserve">II</w:t>
        </w:r>
      </w:hyperlink>
      <w:r>
        <w:t xml:space="preserve">; el precio límite (</w:t>
      </w:r>
      <w:hyperlink w:anchor="eq_precio_limite">
        <w:r>
          <w:rPr>
            <w:rStyle w:val="Hyperlink"/>
          </w:rPr>
          <w:t xml:space="preserve">4</w:t>
        </w:r>
      </w:hyperlink>
      <w:r>
        <w:t xml:space="preserve">), durante</w:t>
      </w:r>
      <w:r>
        <w:t xml:space="preserve"> </w:t>
      </w:r>
      <w:hyperlink w:anchor="sec_barreras">
        <w:r>
          <w:rPr>
            <w:rStyle w:val="Hyperlink"/>
          </w:rPr>
          <w:t xml:space="preserve">III.2</w:t>
        </w:r>
      </w:hyperlink>
      <w:r>
        <w:t xml:space="preserve">, y la configuración sostenible (</w:t>
      </w:r>
      <w:hyperlink w:anchor="eq_sostenible">
        <w:r>
          <w:rPr>
            <w:rStyle w:val="Hyperlink"/>
          </w:rPr>
          <w:t xml:space="preserve">5</w:t>
        </w:r>
      </w:hyperlink>
      <w:r>
        <w:t xml:space="preserve">), desde</w:t>
      </w:r>
      <w:r>
        <w:t xml:space="preserve"> </w:t>
      </w:r>
      <w:hyperlink w:anchor="sec_impugnables">
        <w:r>
          <w:rPr>
            <w:rStyle w:val="Hyperlink"/>
          </w:rPr>
          <w:t xml:space="preserve">III.3</w:t>
        </w:r>
      </w:hyperlink>
      <w:r>
        <w:t xml:space="preserve"> </w:t>
      </w:r>
      <w:r>
        <w:t xml:space="preserve">hasta la conclusión. Conviene escribir este esquema en la pizarra al empezar.</w:t>
      </w:r>
    </w:p>
    <w:p>
      <w:pPr>
        <w:pStyle w:val="Cajadeanotaciones"/>
      </w:pPr>
      <w:r>
        <w:t xml:space="preserve">Para empezar: Ha-Joon</w:t>
      </w:r>
      <w:r>
        <w:t xml:space="preserve"> </w:t>
      </w:r>
      <w:r>
        <w:rPr>
          <w:smallCaps/>
        </w:rPr>
        <w:t xml:space="preserve">Chang</w:t>
      </w:r>
      <w:r>
        <w:t xml:space="preserve">, «Production», en la serie</w:t>
      </w:r>
      <w:r>
        <w:t xml:space="preserve"> </w:t>
      </w:r>
      <w:r>
        <w:rPr>
          <w:i/>
          <w:iCs/>
        </w:rPr>
        <w:t xml:space="preserve">Economics for People</w:t>
      </w:r>
      <w:r>
        <w:t xml:space="preserve"> </w:t>
      </w:r>
      <w:r>
        <w:t xml:space="preserve">(vídeo,</w:t>
      </w:r>
      <w:r>
        <w:t xml:space="preserve"> </w:t>
      </w:r>
      <w:hyperlink r:id="rId38">
        <w:r>
          <w:rPr>
            <w:rStyle w:val="Hyperlink"/>
          </w:rPr>
          <w:t xml:space="preserve">https://youtu.be/8iHeh0iRykw?list=PLmtuEaMvhDZbNVIDHA-MTVH0sLb5HP7Pn</w:t>
        </w:r>
      </w:hyperlink>
      <w:r>
        <w:t xml:space="preserve">), y «Why economics does not understand business»,</w:t>
      </w:r>
      <w:r>
        <w:t xml:space="preserve"> </w:t>
      </w:r>
      <w:r>
        <w:rPr>
          <w:i/>
          <w:iCs/>
        </w:rPr>
        <w:t xml:space="preserve">The Economist</w:t>
      </w:r>
      <w:r>
        <w:t xml:space="preserve">, 4 de abril de 2023 (de pago,</w:t>
      </w:r>
      <w:r>
        <w:t xml:space="preserve"> </w:t>
      </w:r>
      <w:hyperlink r:id="rId39">
        <w:r>
          <w:rPr>
            <w:rStyle w:val="Hyperlink"/>
          </w:rPr>
          <w:t xml:space="preserve">https://www.economist.com/finance-and-economics/2023/04/04/why-economics-does-not-understand-business</w:t>
        </w:r>
      </w:hyperlink>
      <w:r>
        <w:t xml:space="preserve">).</w:t>
      </w:r>
    </w:p>
    <w:bookmarkEnd w:id="40"/>
    <w:bookmarkStart w:id="95" w:name="sec_tamano_limites"/>
    <w:p>
      <w:pPr>
        <w:pStyle w:val="Heading1"/>
      </w:pPr>
      <w:r>
        <w:t xml:space="preserve">I.</w:t>
      </w:r>
      <w:r>
        <w:t xml:space="preserve"> </w:t>
      </w:r>
      <w:r>
        <w:t xml:space="preserve">La empresa: el tamaño eficiente y sus límites</w:t>
      </w:r>
      <w:r>
        <w:t xml:space="preserve"> </w:t>
      </w:r>
      <w:r>
        <w:rPr>
          <w:rStyle w:val="Minutos"/>
        </w:rPr>
        <w:t xml:space="preserve">7′</w:t>
      </w:r>
    </w:p>
    <w:p>
      <w:pPr>
        <w:pStyle w:val="Notaalopositor"/>
      </w:pPr>
      <w:r>
        <w:rPr>
          <w:b/>
          <w:bCs/>
        </w:rPr>
        <w:t xml:space="preserve">Nota al opositor. </w:t>
      </w:r>
      <w:r>
        <w:t xml:space="preserve">En el cante: el tamaño eficiente (escala mínima eficiente, número de empresas que caben en el mercado, subaditividad y alcance con sus fórmulas), la evidencia en una frase con el dato de España y el puzle que deja abierto el enfoque tecnológico (3′); la dirección como factor fijo y la separación entre propiedad y control,</w:t>
      </w:r>
      <w:r>
        <w:t xml:space="preserve"> </w:t>
      </w:r>
      <w:r>
        <w:rPr>
          <w:smallCaps/>
        </w:rPr>
        <w:t xml:space="preserve">Baumol</w:t>
      </w:r>
      <w:r>
        <w:t xml:space="preserve"> </w:t>
      </w:r>
      <w:r>
        <w:t xml:space="preserve">con su gráfico,</w:t>
      </w:r>
      <w:r>
        <w:t xml:space="preserve"> </w:t>
      </w:r>
      <w:r>
        <w:rPr>
          <w:smallCaps/>
        </w:rPr>
        <w:t xml:space="preserve">Williamson</w:t>
      </w:r>
      <w:r>
        <w:t xml:space="preserve"> </w:t>
      </w:r>
      <w:r>
        <w:t xml:space="preserve">(1964) y</w:t>
      </w:r>
      <w:r>
        <w:t xml:space="preserve"> </w:t>
      </w:r>
      <w:r>
        <w:rPr>
          <w:smallCaps/>
        </w:rPr>
        <w:t xml:space="preserve">Marris</w:t>
      </w:r>
      <w:r>
        <w:t xml:space="preserve"> </w:t>
      </w:r>
      <w:r>
        <w:t xml:space="preserve">en una frase cada uno, la ineficiencia X como bisagra y la relación de agencia con los costes de agencia y la disciplina del mercado (4′). Los gráficos de costes (forma en L, subaditividad, alcance) son de apoyo: su tema es el</w:t>
      </w:r>
      <w:r>
        <w:t xml:space="preserve"> </w:t>
      </w:r>
      <w:hyperlink r:id="rId24">
        <w:r>
          <w:rPr>
            <w:rStyle w:val="Referenciaatema"/>
          </w:rPr>
          <w:t xml:space="preserve">[ver tema 3.A.12]</w:t>
        </w:r>
      </w:hyperlink>
      <w:r>
        <w:t xml:space="preserve">. Son de profundización la pérdida de control con su fórmula, el gráfico de</w:t>
      </w:r>
      <w:r>
        <w:t xml:space="preserve"> </w:t>
      </w:r>
      <w:r>
        <w:rPr>
          <w:smallCaps/>
        </w:rPr>
        <w:t xml:space="preserve">Williamson</w:t>
      </w:r>
      <w:r>
        <w:t xml:space="preserve"> </w:t>
      </w:r>
      <w:r>
        <w:t xml:space="preserve">(1964),</w:t>
      </w:r>
      <w:r>
        <w:t xml:space="preserve"> </w:t>
      </w:r>
      <w:r>
        <w:rPr>
          <w:smallCaps/>
        </w:rPr>
        <w:t xml:space="preserve">Marris</w:t>
      </w:r>
      <w:r>
        <w:t xml:space="preserve"> </w:t>
      </w:r>
      <w:r>
        <w:t xml:space="preserve">en detalle, la ley de</w:t>
      </w:r>
      <w:r>
        <w:t xml:space="preserve"> </w:t>
      </w:r>
      <w:r>
        <w:rPr>
          <w:smallCaps/>
        </w:rPr>
        <w:t xml:space="preserve">Gibrat</w:t>
      </w:r>
      <w:r>
        <w:t xml:space="preserve"> </w:t>
      </w:r>
      <w:r>
        <w:t xml:space="preserve">y la distribución de</w:t>
      </w:r>
      <w:r>
        <w:t xml:space="preserve"> </w:t>
      </w:r>
      <w:r>
        <w:rPr>
          <w:smallCaps/>
        </w:rPr>
        <w:t xml:space="preserve">Zipf</w:t>
      </w:r>
      <w:r>
        <w:t xml:space="preserve"> </w:t>
      </w:r>
      <w:r>
        <w:t xml:space="preserve">y el gobierno corporativo en España (anexo </w:t>
      </w:r>
      <w:hyperlink w:anchor="anexo_gobierno_corporativo">
        <w:r>
          <w:rPr>
            <w:rStyle w:val="Hyperlink"/>
          </w:rPr>
          <w:t xml:space="preserve">D</w:t>
        </w:r>
      </w:hyperlink>
      <w:r>
        <w:t xml:space="preserve">).</w:t>
      </w:r>
    </w:p>
    <w:p>
      <w:pPr>
        <w:numPr>
          <w:ilvl w:val="0"/>
          <w:numId w:val="1011"/>
        </w:numPr>
      </w:pPr>
      <w:r>
        <w:t xml:space="preserve">Empezamos por el primer supuesto de la caja negra: la empresa es un agente que maximiza el beneficio con una tecnología dada.</w:t>
      </w:r>
      <w:r>
        <w:t xml:space="preserve"> </w:t>
      </w:r>
      <w:r>
        <w:rPr>
          <w:i/>
          <w:iCs/>
        </w:rPr>
        <w:t xml:space="preserve">Conclusión anticipada</w:t>
      </w:r>
      <w:r>
        <w:t xml:space="preserve">: la tecnología fija un tamaño eficiente</w:t>
      </w:r>
      <w:r>
        <w:t xml:space="preserve"> </w:t>
      </w:r>
      <w:r>
        <w:rPr>
          <w:i/>
          <w:iCs/>
        </w:rPr>
        <w:t xml:space="preserve">mínimo</w:t>
      </w:r>
      <w:r>
        <w:t xml:space="preserve">, pero no un máximo; los límites al tamaño vienen de dentro de la empresa, de la dirección y de los incentivos de quienes la gobiernan.</w:t>
      </w:r>
    </w:p>
    <w:bookmarkStart w:id="66" w:name="sec_tamano_eficiente"/>
    <w:p>
      <w:pPr>
        <w:pStyle w:val="Heading2"/>
      </w:pPr>
      <w:r>
        <w:t xml:space="preserve">I.1.</w:t>
      </w:r>
      <w:r>
        <w:t xml:space="preserve"> </w:t>
      </w:r>
      <w:r>
        <w:t xml:space="preserve">El enfoque tecnológico: el tamaño eficiente</w:t>
      </w:r>
    </w:p>
    <w:bookmarkStart w:id="41" w:name="a_idea"/>
    <w:p>
      <w:pPr>
        <w:pStyle w:val="Heading4"/>
      </w:pPr>
      <w:r>
        <w:t xml:space="preserve">a) Idea</w:t>
      </w:r>
    </w:p>
    <w:p>
      <w:pPr>
        <w:numPr>
          <w:ilvl w:val="0"/>
          <w:numId w:val="1012"/>
        </w:numPr>
      </w:pPr>
      <w:r>
        <w:t xml:space="preserve">Para la teoría neoclásica, la empresa es una tecnología: un conjunto de posibilidades de producción</w:t>
      </w:r>
      <w:r>
        <w:t xml:space="preserve"> </w:t>
      </w:r>
      <w:hyperlink r:id="rId23">
        <w:r>
          <w:rPr>
            <w:rStyle w:val="Referenciaatema"/>
          </w:rPr>
          <w:t xml:space="preserve">[ver tema 3.A.11]</w:t>
        </w:r>
      </w:hyperlink>
      <w:r>
        <w:t xml:space="preserve"> </w:t>
      </w:r>
      <w:r>
        <w:t xml:space="preserve">del que se deriva una función de costes</w:t>
      </w:r>
      <w:r>
        <w:t xml:space="preserve"> </w:t>
      </w:r>
      <m:oMath>
        <m:r>
          <m:t>C</m:t>
        </m:r>
        <m:d>
          <m:dPr>
            <m:begChr m:val="("/>
            <m:sepChr m:val=""/>
            <m:endChr m:val=")"/>
            <m:grow/>
          </m:dPr>
          <m:e>
            <m:acc>
              <m:accPr>
                <m:chr m:val="⃗"/>
              </m:accPr>
              <m:e>
                <m:r>
                  <m:t>w</m:t>
                </m:r>
              </m:e>
            </m:acc>
            <m:r>
              <m:rPr>
                <m:sty m:val="p"/>
              </m:rPr>
              <m:t>,</m:t>
            </m:r>
            <m:r>
              <m:t>q</m:t>
            </m:r>
          </m:e>
        </m:d>
      </m:oMath>
      <w:r>
        <w:t xml:space="preserve"> </w:t>
      </w:r>
      <w:hyperlink r:id="rId24">
        <w:r>
          <w:rPr>
            <w:rStyle w:val="Referenciaatema"/>
          </w:rPr>
          <w:t xml:space="preserve">[ver tema 3.A.12]</w:t>
        </w:r>
      </w:hyperlink>
      <w:r>
        <w:t xml:space="preserve">. Su tamaño eficiente es el que minimiza el coste por unidad, y la configuración eficiente de la industria, la que produce la cantidad demandada al menor coste total.</w:t>
      </w:r>
    </w:p>
    <w:p>
      <w:pPr>
        <w:numPr>
          <w:ilvl w:val="0"/>
          <w:numId w:val="1012"/>
        </w:numPr>
      </w:pPr>
      <w:r>
        <w:t xml:space="preserve">Pese a ser un reduccionismo, este enfoque explica 3 cosas: el</w:t>
      </w:r>
      <w:r>
        <w:t xml:space="preserve"> </w:t>
      </w:r>
      <w:r>
        <w:rPr>
          <w:i/>
          <w:iCs/>
        </w:rPr>
        <w:t xml:space="preserve">tamaño</w:t>
      </w:r>
      <w:r>
        <w:t xml:space="preserve"> </w:t>
      </w:r>
      <w:r>
        <w:t xml:space="preserve">de la empresa, la</w:t>
      </w:r>
      <w:r>
        <w:t xml:space="preserve"> </w:t>
      </w:r>
      <w:r>
        <w:rPr>
          <w:i/>
          <w:iCs/>
        </w:rPr>
        <w:t xml:space="preserve">configuración</w:t>
      </w:r>
      <w:r>
        <w:t xml:space="preserve"> </w:t>
      </w:r>
      <w:r>
        <w:t xml:space="preserve">de la industria y el grado de</w:t>
      </w:r>
      <w:r>
        <w:t xml:space="preserve"> </w:t>
      </w:r>
      <w:r>
        <w:rPr>
          <w:i/>
          <w:iCs/>
        </w:rPr>
        <w:t xml:space="preserve">integración</w:t>
      </w:r>
      <w:r>
        <w:t xml:space="preserve">.</w:t>
      </w:r>
    </w:p>
    <w:bookmarkEnd w:id="41"/>
    <w:bookmarkStart w:id="62" w:name="b_modelo"/>
    <w:p>
      <w:pPr>
        <w:pStyle w:val="Heading4"/>
      </w:pPr>
      <w:r>
        <w:t xml:space="preserve">b) Modelo</w:t>
      </w:r>
    </w:p>
    <w:bookmarkStart w:id="42" w:name="i_supuestos"/>
    <w:p>
      <w:pPr>
        <w:pStyle w:val="Heading5"/>
      </w:pPr>
      <w:r>
        <w:t xml:space="preserve">i) Supuestos</w:t>
      </w:r>
    </w:p>
    <w:p>
      <w:pPr>
        <w:numPr>
          <w:ilvl w:val="0"/>
          <w:numId w:val="1013"/>
        </w:numPr>
      </w:pPr>
      <w:r>
        <w:t xml:space="preserve">Empresas con la misma tecnología, que minimizan costes y toman como dados los precios de los factores,</w:t>
      </w:r>
      <w:r>
        <w:t xml:space="preserve"> </w:t>
      </w:r>
      <m:oMath>
        <m:acc>
          <m:accPr>
            <m:chr m:val="⃗"/>
          </m:accPr>
          <m:e>
            <m:r>
              <m:t>w</m:t>
            </m:r>
          </m:e>
        </m:acc>
      </m:oMath>
      <w:r>
        <w:t xml:space="preserve">.</w:t>
      </w:r>
    </w:p>
    <w:p>
      <w:pPr>
        <w:numPr>
          <w:ilvl w:val="0"/>
          <w:numId w:val="1013"/>
        </w:numPr>
      </w:pPr>
      <w:r>
        <w:t xml:space="preserve">Una demanda de mercado</w:t>
      </w:r>
      <w:r>
        <w:t xml:space="preserve"> </w:t>
      </w:r>
      <m:oMath>
        <m:r>
          <m:t>x</m:t>
        </m:r>
        <m:d>
          <m:dPr>
            <m:begChr m:val="("/>
            <m:sepChr m:val=""/>
            <m:endChr m:val=")"/>
            <m:grow/>
          </m:dPr>
          <m:e>
            <m:r>
              <m:t>p</m:t>
            </m:r>
          </m:e>
        </m:d>
      </m:oMath>
      <w:r>
        <w:t xml:space="preserve"> </w:t>
      </w:r>
      <w:r>
        <w:t xml:space="preserve">y, a largo plazo, libre entrada y salida.</w:t>
      </w:r>
    </w:p>
    <w:bookmarkEnd w:id="42"/>
    <w:bookmarkStart w:id="60" w:name="ii_desarrollo"/>
    <w:p>
      <w:pPr>
        <w:pStyle w:val="Heading5"/>
      </w:pPr>
      <w:r>
        <w:t xml:space="preserve">ii) Desarrollo</w:t>
      </w:r>
    </w:p>
    <w:p>
      <w:pPr>
        <w:keepNext/>
        <w:numPr>
          <w:ilvl w:val="0"/>
          <w:numId w:val="1014"/>
        </w:numPr>
      </w:pPr>
      <w:r>
        <w:rPr>
          <w:b/>
          <w:bCs/>
        </w:rPr>
        <w:t xml:space="preserve">Tamaño eficiente de la empresa</w:t>
      </w:r>
      <w:r>
        <w:t xml:space="preserve">: la</w:t>
      </w:r>
      <w:r>
        <w:t xml:space="preserve"> </w:t>
      </w:r>
      <w:r>
        <w:rPr>
          <w:b/>
          <w:bCs/>
        </w:rPr>
        <w:t xml:space="preserve">escala mínima eficiente</w:t>
      </w:r>
      <w:r>
        <w:t xml:space="preserve">,</w:t>
      </w:r>
      <w:r>
        <w:t xml:space="preserve"> </w:t>
      </w:r>
      <m:oMath>
        <m:bar>
          <m:barPr>
            <m:pos m:val="top"/>
          </m:barPr>
          <m:e>
            <m:r>
              <m:t>q</m:t>
            </m:r>
          </m:e>
        </m:bar>
      </m:oMath>
      <w:r>
        <w:t xml:space="preserve">, es el menor nivel de producción con el que se alcanza el coste medio mínimo a largo plazo,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oMath>
      <w:r>
        <w:t xml:space="preserve">. Por debajo hay economías de escala (</w:t>
      </w:r>
      <m:oMath>
        <m:r>
          <m:rPr>
            <m:sty m:val="p"/>
          </m:rPr>
          <m:t>C</m:t>
        </m:r>
        <m:r>
          <m:rPr>
            <m:sty m:val="p"/>
          </m:rPr>
          <m:t>M</m:t>
        </m:r>
        <m:r>
          <m:rPr>
            <m:sty m:val="p"/>
          </m:rPr>
          <m:t>g</m:t>
        </m:r>
        <m:r>
          <m:rPr>
            <m:sty m:val="p"/>
          </m:rPr>
          <m:t>&lt;</m:t>
        </m:r>
        <m:r>
          <m:rPr>
            <m:sty m:val="p"/>
          </m:rPr>
          <m:t>C</m:t>
        </m:r>
        <m:r>
          <m:rPr>
            <m:sty m:val="p"/>
          </m:rPr>
          <m:t>M</m:t>
        </m:r>
        <m:r>
          <m:rPr>
            <m:sty m:val="p"/>
          </m:rPr>
          <m:t>e</m:t>
        </m:r>
      </m:oMath>
      <w:r>
        <w:t xml:space="preserve">); por encima, si las hay, deseconomías</w:t>
      </w:r>
      <w:r>
        <w:t xml:space="preserve"> </w:t>
      </w:r>
      <w:hyperlink r:id="rId24">
        <w:r>
          <w:rPr>
            <w:rStyle w:val="Referenciaatema"/>
          </w:rPr>
          <w:t xml:space="preserve">[ver tema 3.A.12]</w:t>
        </w:r>
      </w:hyperlink>
      <w:r>
        <w:t xml:space="preserve">.</w:t>
      </w:r>
    </w:p>
    <w:p>
      <w:pPr>
        <w:numPr>
          <w:ilvl w:val="1"/>
          <w:numId w:val="1015"/>
        </w:numPr>
      </w:pPr>
      <w:r>
        <w:t xml:space="preserve">Si el coste medio tiene forma de U, hay un único tamaño eficiente. Los estudios empíricos encuentran con frecuencia costes medios en forma de L: decrecientes hasta</w:t>
      </w:r>
      <w:r>
        <w:t xml:space="preserve"> </w:t>
      </w:r>
      <m:oMath>
        <m:bar>
          <m:barPr>
            <m:pos m:val="top"/>
          </m:barPr>
          <m:e>
            <m:r>
              <m:t>q</m:t>
            </m:r>
          </m:e>
        </m:bar>
      </m:oMath>
      <w:r>
        <w:t xml:space="preserve"> </w:t>
      </w:r>
      <w:r>
        <w:t xml:space="preserve">y casi constantes después, de modo que hay una</w:t>
      </w:r>
      <w:r>
        <w:t xml:space="preserve"> </w:t>
      </w:r>
      <w:r>
        <w:rPr>
          <w:i/>
          <w:iCs/>
        </w:rPr>
        <w:t xml:space="preserve">horquilla</w:t>
      </w:r>
      <w:r>
        <w:t xml:space="preserve"> </w:t>
      </w:r>
      <w:r>
        <w:t xml:space="preserve">de tamaños eficientes (gráfico </w:t>
      </w:r>
      <w:hyperlink w:anchor="fig_costes_l">
        <w:r>
          <w:rPr>
            <w:rStyle w:val="Hyperlink"/>
          </w:rPr>
          <w:t xml:space="preserve">1</w:t>
        </w:r>
      </w:hyperlink>
      <w:r>
        <w:t xml:space="preserve">)</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w:t>
      </w:r>
      <w:r>
        <w:rPr>
          <w:rStyle w:val="FootnoteReference"/>
        </w:rPr>
        <w:footnoteReference w:id="43"/>
      </w:r>
    </w:p>
    <w:p>
      <w:pPr>
        <w:keepNext/>
        <w:numPr>
          <w:ilvl w:val="0"/>
          <w:numId w:val="1014"/>
        </w:numPr>
      </w:pPr>
      <w:r>
        <w:rPr>
          <w:b/>
          <w:bCs/>
        </w:rPr>
        <w:t xml:space="preserve">Configuración eficiente de la industria</w:t>
      </w:r>
      <w:r>
        <w:t xml:space="preserve">: con libre entrada y coste medio en U, cada empresa produce</w:t>
      </w:r>
      <w:r>
        <w:t xml:space="preserve"> </w:t>
      </w:r>
      <m:oMath>
        <m:bar>
          <m:barPr>
            <m:pos m:val="top"/>
          </m:barPr>
          <m:e>
            <m:r>
              <m:t>q</m:t>
            </m:r>
          </m:e>
        </m:bar>
      </m:oMath>
      <w:r>
        <w:t xml:space="preserve"> </w:t>
      </w:r>
      <w:r>
        <w:t xml:space="preserve">al precio</w:t>
      </w:r>
      <w:r>
        <w:t xml:space="preserve"> </w:t>
      </w:r>
      <m:oMath>
        <m:sSup>
          <m:e>
            <m:r>
              <m:t>p</m:t>
            </m:r>
          </m:e>
          <m:sup>
            <m:r>
              <m:rPr>
                <m:sty m:val="p"/>
              </m:rPr>
              <m:t>*</m:t>
            </m:r>
          </m:sup>
        </m:sSup>
        <m:r>
          <m:rPr>
            <m:sty m:val="p"/>
          </m:rPr>
          <m:t>=</m:t>
        </m:r>
        <m:bar>
          <m:barPr>
            <m:pos m:val="top"/>
          </m:barPr>
          <m:e>
            <m:r>
              <m:t>c</m:t>
            </m:r>
          </m:e>
        </m:bar>
      </m:oMath>
      <w:r>
        <w:t xml:space="preserve">, y el número de empresas es</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hyperlink r:id="rId25">
        <w:r>
          <w:rPr>
            <w:rStyle w:val="Referenciaatema"/>
          </w:rPr>
          <w:t xml:space="preserve">[ver tema 3.A.16]</w:t>
        </w:r>
      </w:hyperlink>
      <w:r>
        <w:t xml:space="preserve">. Lo que decide la estructura es el tamaño eficiente</w:t>
      </w:r>
      <w:r>
        <w:t xml:space="preserve"> </w:t>
      </w:r>
      <w:r>
        <w:rPr>
          <w:i/>
          <w:iCs/>
        </w:rPr>
        <w:t xml:space="preserve">relativo a la demanda</w:t>
      </w:r>
      <w:r>
        <w:t xml:space="preserve">:</w:t>
      </w:r>
    </w:p>
    <w:p>
      <w:pPr>
        <w:numPr>
          <w:ilvl w:val="1"/>
          <w:numId w:val="1016"/>
        </w:numPr>
      </w:pPr>
      <w:r>
        <w:t xml:space="preserve">si</w:t>
      </w:r>
      <w:r>
        <w:t xml:space="preserve"> </w:t>
      </w:r>
      <m:oMath>
        <m:bar>
          <m:barPr>
            <m:pos m:val="top"/>
          </m:barPr>
          <m:e>
            <m:r>
              <m:t>q</m:t>
            </m:r>
          </m:e>
        </m:bar>
      </m:oMath>
      <w:r>
        <w:t xml:space="preserve"> </w:t>
      </w:r>
      <w:r>
        <w:t xml:space="preserve">es pequeña frente a</w:t>
      </w:r>
      <w:r>
        <w:t xml:space="preserve"> </w:t>
      </w:r>
      <m:oMath>
        <m:r>
          <m:t>x</m:t>
        </m:r>
        <m:d>
          <m:dPr>
            <m:begChr m:val="("/>
            <m:sepChr m:val=""/>
            <m:endChr m:val=")"/>
            <m:grow/>
          </m:dPr>
          <m:e>
            <m:bar>
              <m:barPr>
                <m:pos m:val="top"/>
              </m:barPr>
              <m:e>
                <m:r>
                  <m:t>c</m:t>
                </m:r>
              </m:e>
            </m:bar>
          </m:e>
        </m:d>
      </m:oMath>
      <w:r>
        <w:t xml:space="preserve">, caben muchas empresas eficientes y la competencia es posible;</w:t>
      </w:r>
    </w:p>
    <w:p>
      <w:pPr>
        <w:numPr>
          <w:ilvl w:val="1"/>
          <w:numId w:val="1016"/>
        </w:numPr>
      </w:pPr>
      <w:r>
        <w:t xml:space="preserve">si es grande, solo caben unas pocas (oligopolio natural)</w:t>
      </w:r>
      <w:r>
        <w:t xml:space="preserve"> </w:t>
      </w:r>
      <w:hyperlink r:id="rId28">
        <w:r>
          <w:rPr>
            <w:rStyle w:val="Referenciaatema"/>
          </w:rPr>
          <w:t xml:space="preserve">[ver tema 3.A.19]</w:t>
        </w:r>
      </w:hyperlink>
      <w:r>
        <w:t xml:space="preserve">;</w:t>
      </w:r>
    </w:p>
    <w:p>
      <w:pPr>
        <w:numPr>
          <w:ilvl w:val="1"/>
          <w:numId w:val="1016"/>
        </w:numPr>
      </w:pPr>
      <w:r>
        <w:t xml:space="preserve">si la función de costes es</w:t>
      </w:r>
      <w:r>
        <w:t xml:space="preserve"> </w:t>
      </w:r>
      <w:r>
        <w:rPr>
          <w:b/>
          <w:bCs/>
        </w:rPr>
        <w:t xml:space="preserve">subaditiva</w:t>
      </w:r>
      <w:r>
        <w:t xml:space="preserve"> </w:t>
      </w:r>
      <w:r>
        <w:t xml:space="preserve">en la producción relevante, producir todo en una sola empresa es lo más barato:</w:t>
      </w:r>
      <w:r>
        <w:t xml:space="preserve"> </w:t>
      </w:r>
      <w:bookmarkStart w:id="47" w:name="eq_subaditividad"/>
      <w:bookmarkEnd w:id="47"/>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J</m:t>
                  </m:r>
                </m:sup>
                <m:e>
                  <m:sSub>
                    <m:e>
                      <m:r>
                        <m:t>q</m:t>
                      </m:r>
                    </m:e>
                    <m:sub>
                      <m:r>
                        <m:t>j</m:t>
                      </m:r>
                    </m:sub>
                  </m:sSub>
                </m:e>
              </m:nary>
            </m:e>
          </m:d>
          <m:r>
            <m:rPr>
              <m:sty m:val="p"/>
            </m:rPr>
            <m:t>&lt;</m:t>
          </m:r>
          <m:nary>
            <m:naryPr>
              <m:chr m:val="∑"/>
              <m:limLoc m:val="undOvr"/>
              <m:subHide m:val="off"/>
              <m:supHide m:val="off"/>
            </m:naryPr>
            <m:sub>
              <m:r>
                <m:t>j</m:t>
              </m:r>
              <m:r>
                <m:rPr>
                  <m:sty m:val="p"/>
                </m:rPr>
                <m:t>=</m:t>
              </m:r>
              <m:r>
                <m:t>1</m:t>
              </m:r>
            </m:sub>
            <m:sup>
              <m:r>
                <m:t>J</m:t>
              </m:r>
            </m:sup>
            <m:e>
              <m:r>
                <m:t>C</m:t>
              </m:r>
            </m:e>
          </m:nary>
          <m:d>
            <m:dPr>
              <m:begChr m:val="("/>
              <m:sepChr m:val=""/>
              <m:endChr m:val=")"/>
              <m:grow/>
            </m:dPr>
            <m:e>
              <m:sSub>
                <m:e>
                  <m:r>
                    <m:t>q</m:t>
                  </m:r>
                </m:e>
                <m:sub>
                  <m:r>
                    <m:t>j</m:t>
                  </m:r>
                </m:sub>
              </m:sSub>
            </m:e>
          </m:d>
          <m:r>
            <m:t>  </m:t>
          </m:r>
          <m:r>
            <m:rPr>
              <m:nor/>
              <m:sty m:val="p"/>
            </m:rPr>
            <m:t>para todo reparto </m:t>
          </m:r>
          <m:d>
            <m:dPr>
              <m:begChr m:val="("/>
              <m:sepChr m:val=""/>
              <m:endChr m:val=")"/>
              <m:grow/>
            </m:dPr>
            <m:e>
              <m:sSub>
                <m:e>
                  <m:r>
                    <m:t>q</m:t>
                  </m:r>
                </m:e>
                <m:sub>
                  <m:r>
                    <m:t>1</m:t>
                  </m:r>
                </m:sub>
              </m:sSub>
              <m:r>
                <m:rPr>
                  <m:sty m:val="p"/>
                </m:rPr>
                <m:t>,</m:t>
              </m:r>
              <m:r>
                <m:rPr>
                  <m:sty m:val="p"/>
                </m:rPr>
                <m:t>…</m:t>
              </m:r>
              <m:r>
                <m:rPr>
                  <m:sty m:val="p"/>
                </m:rPr>
                <m:t>,</m:t>
              </m:r>
              <m:sSub>
                <m:e>
                  <m:r>
                    <m:t>q</m:t>
                  </m:r>
                </m:e>
                <m:sub>
                  <m:r>
                    <m:t>J</m:t>
                  </m:r>
                </m:sub>
              </m:sSub>
            </m:e>
          </m:d>
          <m:r>
            <m:rPr>
              <m:sty m:val="p"/>
            </m:rPr>
            <m:t>,</m:t>
          </m:r>
        </m:oMath>
      </m:oMathPara>
    </w:p>
    <w:p>
      <w:pPr>
        <w:numPr>
          <w:ilvl w:val="1"/>
          <w:numId w:val="1000"/>
        </w:numPr>
      </w:pPr>
      <w:r>
        <w:t xml:space="preserve">con la</w:t>
      </w:r>
      <w:r>
        <w:t xml:space="preserve"> </w:t>
      </w:r>
      <w:r>
        <w:rPr>
          <w:i/>
          <w:iCs/>
        </w:rPr>
        <w:t xml:space="preserve">misma</w:t>
      </w:r>
      <w:r>
        <w:t xml:space="preserve"> </w:t>
      </w:r>
      <w:r>
        <w:t xml:space="preserve">función de costes</w:t>
      </w:r>
      <w:r>
        <w:t xml:space="preserve"> </w:t>
      </w:r>
      <m:oMath>
        <m:r>
          <m:t>C</m:t>
        </m:r>
        <m:d>
          <m:dPr>
            <m:begChr m:val="("/>
            <m:sepChr m:val=""/>
            <m:endChr m:val=")"/>
            <m:grow/>
          </m:dPr>
          <m:e>
            <m:r>
              <m:rPr>
                <m:sty m:val="p"/>
              </m:rPr>
              <m:t>⋅</m:t>
            </m:r>
          </m:e>
        </m:d>
      </m:oMath>
      <w:r>
        <w:t xml:space="preserve"> </w:t>
      </w:r>
      <w:r>
        <w:t xml:space="preserve">para todas las empresas: es la definición de</w:t>
      </w:r>
      <w:r>
        <w:t xml:space="preserve"> </w:t>
      </w:r>
      <w:r>
        <w:rPr>
          <w:b/>
          <w:bCs/>
        </w:rPr>
        <w:t xml:space="preserve">monopolio natural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la garantizan, pero no son necesarias (gráfico </w:t>
      </w:r>
      <w:hyperlink w:anchor="fig_subaditividad">
        <w:r>
          <w:rPr>
            <w:rStyle w:val="Hyperlink"/>
          </w:rPr>
          <w:t xml:space="preserve">2</w:t>
        </w:r>
      </w:hyperlink>
      <w:r>
        <w:t xml:space="preserve">)</w:t>
      </w:r>
      <w:r>
        <w:t xml:space="preserve"> </w:t>
      </w:r>
      <w:hyperlink r:id="rId26">
        <w:r>
          <w:rPr>
            <w:rStyle w:val="Referenciaatema"/>
          </w:rPr>
          <w:t xml:space="preserve">[ver tema 3.A.17]</w:t>
        </w:r>
      </w:hyperlink>
      <w:r>
        <w:t xml:space="preserve">.</w:t>
      </w:r>
    </w:p>
    <w:p>
      <w:pPr>
        <w:numPr>
          <w:ilvl w:val="0"/>
          <w:numId w:val="1014"/>
        </w:numPr>
      </w:pPr>
      <w:r>
        <w:rPr>
          <w:b/>
          <w:bCs/>
        </w:rPr>
        <w:t xml:space="preserve">Alcance de la empresa</w:t>
      </w:r>
      <w:r>
        <w:t xml:space="preserve">: con varios productos, hay</w:t>
      </w:r>
      <w:r>
        <w:t xml:space="preserve"> </w:t>
      </w:r>
      <w:r>
        <w:rPr>
          <w:b/>
          <w:bCs/>
        </w:rPr>
        <w:t xml:space="preserve">economías de alcance</w:t>
      </w:r>
      <w:r>
        <w:t xml:space="preserve"> </w:t>
      </w:r>
      <w:r>
        <w:t xml:space="preserve">si producirlos juntos es más barato que por separado,</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por factores compartidos:</w:t>
      </w:r>
      <w:r>
        <w:t xml:space="preserve"> </w:t>
      </w:r>
      <w:r>
        <w:rPr>
          <w:i/>
          <w:iCs/>
        </w:rPr>
        <w:t xml:space="preserve">factores públicos</w:t>
      </w:r>
      <w:r>
        <w:t xml:space="preserve">, que, una vez usados para un producto, sirven para otro sin coste adicional (una red, una marca, un conocimiento), o factores que se pueden repartir entre varios productos, como el capital (gráfico </w:t>
      </w:r>
      <w:hyperlink w:anchor="fig_alcance">
        <w:r>
          <w:rPr>
            <w:rStyle w:val="Hyperlink"/>
          </w:rPr>
          <w:t xml:space="preserve">3</w:t>
        </w:r>
      </w:hyperlink>
      <w:r>
        <w:t xml:space="preserv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 </w:t>
      </w:r>
      <w:hyperlink r:id="rId24">
        <w:r>
          <w:rPr>
            <w:rStyle w:val="Referenciaatema"/>
          </w:rPr>
          <w:t xml:space="preserve">[ver tema 3.A.12]</w:t>
        </w:r>
      </w:hyperlink>
      <w:r>
        <w:t xml:space="preserve">.</w:t>
      </w:r>
    </w:p>
    <w:bookmarkStart w:id="51" w:name="fig_costes_l"/>
    <w:p>
      <w:pPr>
        <w:pStyle w:val="ImageCaption"/>
      </w:pPr>
      <w:r>
        <w:t xml:space="preserve">Gráfico 1.–</w:t>
      </w:r>
      <w:r>
        <w:t xml:space="preserve"> </w:t>
      </w:r>
      <w:r>
        <w:t xml:space="preserve">Costes medios a largo plazo en forma de L: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p>
    <w:p>
      <w:pPr>
        <w:pStyle w:val="CaptionedFigure"/>
      </w:pPr>
      <w:r>
        <w:drawing>
          <wp:inline>
            <wp:extent cx="3282950" cy="1939803"/>
            <wp:effectExtent b="0" l="0" r="0" t="0"/>
            <wp:docPr descr="Gráfico 1.– Costes medios a largo plazo en forma de L: escala mínima eficiente \overline{q} y coste medio mínimo \overline{c}" title="" id="49" name="Picture"/>
            <a:graphic>
              <a:graphicData uri="http://schemas.openxmlformats.org/drawingml/2006/picture">
                <pic:pic>
                  <pic:nvPicPr>
                    <pic:cNvPr descr="C:\Users\vgutierrez\Documents\src\victorgutierrezmarcos.github.io-revision\oposicion\temario\fuentes\3A15\graficos/costes-l.png" id="50" name="Picture"/>
                    <pic:cNvPicPr>
                      <a:picLocks noChangeArrowheads="1" noChangeAspect="1"/>
                    </pic:cNvPicPr>
                  </pic:nvPicPr>
                  <pic:blipFill>
                    <a:blip r:embed="rId48"/>
                    <a:stretch>
                      <a:fillRect/>
                    </a:stretch>
                  </pic:blipFill>
                  <pic:spPr bwMode="auto">
                    <a:xfrm>
                      <a:off x="0" y="0"/>
                      <a:ext cx="3282950" cy="1939803"/>
                    </a:xfrm>
                    <a:prstGeom prst="rect">
                      <a:avLst/>
                    </a:prstGeom>
                    <a:noFill/>
                    <a:ln w="9525">
                      <a:noFill/>
                      <a:headEnd/>
                      <a:tailEnd/>
                    </a:ln>
                  </pic:spPr>
                </pic:pic>
              </a:graphicData>
            </a:graphic>
          </wp:inline>
        </w:drawing>
      </w:r>
    </w:p>
    <w:bookmarkEnd w:id="51"/>
    <w:p>
      <w:pPr>
        <w:pStyle w:val="Piedeimagen"/>
      </w:pPr>
      <w:r>
        <w:t xml:space="preserve">Fuente: elaboración propia a partir de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y</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w:t>
      </w:r>
    </w:p>
    <w:bookmarkStart w:id="55" w:name="fig_subaditividad"/>
    <w:p>
      <w:pPr>
        <w:pStyle w:val="ImageCaption"/>
      </w:pPr>
      <w:r>
        <w:t xml:space="preserve">Gráfico 2.–</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 Subaditividad de costes con un producto: entre q^0 y q^1 una sola empresa produce más barato aunque su coste medio crezca" title="" id="53" name="Picture"/>
            <a:graphic>
              <a:graphicData uri="http://schemas.openxmlformats.org/drawingml/2006/picture">
                <pic:pic>
                  <pic:nvPicPr>
                    <pic:cNvPr descr="C:\Users\vgutierrez\Documents\src\victorgutierrezmarcos.github.io-revision\oposicion\temario\fuentes\3A15\graficos/subaditividad.png" id="54" name="Picture"/>
                    <pic:cNvPicPr>
                      <a:picLocks noChangeArrowheads="1" noChangeAspect="1"/>
                    </pic:cNvPicPr>
                  </pic:nvPicPr>
                  <pic:blipFill>
                    <a:blip r:embed="rId52"/>
                    <a:stretch>
                      <a:fillRect/>
                    </a:stretch>
                  </pic:blipFill>
                  <pic:spPr bwMode="auto">
                    <a:xfrm>
                      <a:off x="0" y="0"/>
                      <a:ext cx="3260034" cy="2626988"/>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Start w:id="59" w:name="fig_alcance"/>
    <w:p>
      <w:pPr>
        <w:pStyle w:val="ImageCaption"/>
      </w:pPr>
      <w:r>
        <w:t xml:space="preserve">Gráfico 3.–</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3.– Economías de alcance: coste de producir los dos bienes juntos frente a por separado" title="" id="57" name="Picture"/>
            <a:graphic>
              <a:graphicData uri="http://schemas.openxmlformats.org/drawingml/2006/picture">
                <pic:pic>
                  <pic:nvPicPr>
                    <pic:cNvPr descr="C:\Users\vgutierrez\Documents\src\victorgutierrezmarcos.github.io-revision\oposicion\temario\fuentes\3A15\graficos/alcance.png" id="58" name="Picture"/>
                    <pic:cNvPicPr>
                      <a:picLocks noChangeArrowheads="1" noChangeAspect="1"/>
                    </pic:cNvPicPr>
                  </pic:nvPicPr>
                  <pic:blipFill>
                    <a:blip r:embed="rId56"/>
                    <a:stretch>
                      <a:fillRect/>
                    </a:stretch>
                  </pic:blipFill>
                  <pic:spPr bwMode="auto">
                    <a:xfrm>
                      <a:off x="0" y="0"/>
                      <a:ext cx="2984500" cy="1893907"/>
                    </a:xfrm>
                    <a:prstGeom prst="rect">
                      <a:avLst/>
                    </a:prstGeom>
                    <a:noFill/>
                    <a:ln w="9525">
                      <a:noFill/>
                      <a:headEnd/>
                      <a:tailEnd/>
                    </a:ln>
                  </pic:spPr>
                </pic:pic>
              </a:graphicData>
            </a:graphic>
          </wp:inline>
        </w:drawing>
      </w:r>
    </w:p>
    <w:bookmarkEnd w:id="5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60"/>
    <w:bookmarkStart w:id="61" w:name="iii_implicaciones"/>
    <w:p>
      <w:pPr>
        <w:pStyle w:val="Heading5"/>
      </w:pPr>
      <w:r>
        <w:t xml:space="preserve">iii) Implicaciones</w:t>
      </w:r>
    </w:p>
    <w:p>
      <w:pPr>
        <w:numPr>
          <w:ilvl w:val="0"/>
          <w:numId w:val="1017"/>
        </w:numPr>
      </w:pPr>
      <w:r>
        <w:t xml:space="preserve">El tamaño eficiente es el que aprovecha las economías de escala y de alcance. La tecnología explica así la</w:t>
      </w:r>
      <w:r>
        <w:t xml:space="preserve"> </w:t>
      </w:r>
      <w:r>
        <w:rPr>
          <w:i/>
          <w:iCs/>
        </w:rPr>
        <w:t xml:space="preserve">integración horizontal</w:t>
      </w:r>
      <w:r>
        <w:t xml:space="preserve"> </w:t>
      </w:r>
      <w:r>
        <w:t xml:space="preserve">(escala), la</w:t>
      </w:r>
      <w:r>
        <w:t xml:space="preserve"> </w:t>
      </w:r>
      <w:r>
        <w:rPr>
          <w:i/>
          <w:iCs/>
        </w:rPr>
        <w:t xml:space="preserve">diversificación</w:t>
      </w:r>
      <w:r>
        <w:t xml:space="preserve"> </w:t>
      </w:r>
      <w:r>
        <w:t xml:space="preserve">(alcance) y la existencia de monopolios naturales (subaditividad).</w:t>
      </w:r>
    </w:p>
    <w:p>
      <w:pPr>
        <w:numPr>
          <w:ilvl w:val="0"/>
          <w:numId w:val="1017"/>
        </w:numPr>
      </w:pPr>
      <w:r>
        <w:t xml:space="preserve">En definitiva, la estructura de costes y la demanda determinan el</w:t>
      </w:r>
      <w:r>
        <w:t xml:space="preserve"> </w:t>
      </w:r>
      <w:r>
        <w:rPr>
          <w:i/>
          <w:iCs/>
        </w:rPr>
        <w:t xml:space="preserve">tamaño de la empresa</w:t>
      </w:r>
      <w:r>
        <w:t xml:space="preserve">, la</w:t>
      </w:r>
      <w:r>
        <w:t xml:space="preserve"> </w:t>
      </w:r>
      <w:r>
        <w:rPr>
          <w:i/>
          <w:iCs/>
        </w:rPr>
        <w:t xml:space="preserve">configuración de la industria</w:t>
      </w:r>
      <w:r>
        <w:t xml:space="preserve"> </w:t>
      </w:r>
      <w:r>
        <w:t xml:space="preserve">y el</w:t>
      </w:r>
      <w:r>
        <w:t xml:space="preserve"> </w:t>
      </w:r>
      <w:r>
        <w:rPr>
          <w:i/>
          <w:iCs/>
        </w:rPr>
        <w:t xml:space="preserve">grado de integración</w:t>
      </w:r>
      <w:r>
        <w:t xml:space="preserve">.</w:t>
      </w:r>
    </w:p>
    <w:bookmarkEnd w:id="61"/>
    <w:bookmarkEnd w:id="62"/>
    <w:bookmarkStart w:id="64" w:name="c_evidencia_emp__rica"/>
    <w:p>
      <w:pPr>
        <w:pStyle w:val="Heading4"/>
      </w:pPr>
      <w:r>
        <w:t xml:space="preserve">c) Evidencia empírica</w:t>
      </w:r>
    </w:p>
    <w:p>
      <w:pPr>
        <w:numPr>
          <w:ilvl w:val="0"/>
          <w:numId w:val="1018"/>
        </w:numPr>
      </w:pPr>
      <w:r>
        <w:rPr>
          <w:i/>
          <w:iCs/>
        </w:rPr>
        <w:t xml:space="preserve">Escala mínima eficiente</w:t>
      </w:r>
      <w:r>
        <w:t xml:space="preserve">: con la</w:t>
      </w:r>
      <w:r>
        <w:t xml:space="preserve"> </w:t>
      </w:r>
      <w:r>
        <w:rPr>
          <w:b/>
          <w:bCs/>
        </w:rPr>
        <w:t xml:space="preserve">técnica del superviviente</w:t>
      </w:r>
      <w:r>
        <w:t xml:space="preserve"> </w:t>
      </w:r>
      <w:r>
        <w:t xml:space="preserve">(los tamaños eficientes son los que ganan cuota con el tiempo),</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encuentra en muchas industrias una horquilla amplia de tamaños eficientes, coherente con costes medios en forma de L.</w:t>
      </w:r>
    </w:p>
    <w:p>
      <w:pPr>
        <w:keepNext/>
        <w:numPr>
          <w:ilvl w:val="0"/>
          <w:numId w:val="1018"/>
        </w:numPr>
      </w:pPr>
      <w:r>
        <w:rPr>
          <w:i/>
          <w:iCs/>
        </w:rPr>
        <w:t xml:space="preserve">Distribución de tamaños</w:t>
      </w:r>
      <w:r>
        <w:t xml:space="preserve">: muy asimétrica, con muchas empresas pequeñas y pocas muy grandes.</w:t>
      </w:r>
    </w:p>
    <w:p>
      <w:pPr>
        <w:numPr>
          <w:ilvl w:val="1"/>
          <w:numId w:val="1019"/>
        </w:numPr>
      </w:pPr>
      <w:r>
        <w:t xml:space="preserve">En España había 3,31 millones de empresas activas a 1 de enero de 2025; el 54,4 % no tenía asalariados y solo el 2,3 % tenía 20 o más</w:t>
      </w:r>
      <w:r>
        <w:t xml:space="preserve"> </w:t>
      </w:r>
      <w:r>
        <w:t xml:space="preserve">(</w:t>
      </w:r>
      <w:hyperlink w:anchor="ref_INE2025DIRCE">
        <w:r>
          <w:rPr>
            <w:rStyle w:val="Hyperlink"/>
            <w:smallCaps/>
          </w:rPr>
          <w:t xml:space="preserve">Instituto Nacional de Estadística</w:t>
        </w:r>
        <w:r>
          <w:rPr>
            <w:rStyle w:val="Hyperlink"/>
          </w:rPr>
          <w:t xml:space="preserve">, 2025</w:t>
        </w:r>
      </w:hyperlink>
      <w:r>
        <w:t xml:space="preserve">)</w:t>
      </w:r>
      <w:r>
        <w:t xml:space="preserve">. Y el tamaño importa para la productividad: en 2024, el valor añadido por ocupado de las grandes empresas (71.900 euros) era 1,7 veces el de las microempresas (42.800 euros); en la UE-27, 2,1 veces en 2023</w:t>
      </w:r>
      <w:r>
        <w:t xml:space="preserve"> </w:t>
      </w:r>
      <w:r>
        <w:t xml:space="preserve">(</w:t>
      </w:r>
      <w:hyperlink w:anchor="ref_Eurostat2026SBS">
        <w:r>
          <w:rPr>
            <w:rStyle w:val="Hyperlink"/>
            <w:smallCaps/>
          </w:rPr>
          <w:t xml:space="preserve">Eurostat</w:t>
        </w:r>
        <w:r>
          <w:rPr>
            <w:rStyle w:val="Hyperlink"/>
          </w:rPr>
          <w:t xml:space="preserve">, 2026</w:t>
        </w:r>
      </w:hyperlink>
      <w:r>
        <w:t xml:space="preserve">)</w:t>
      </w:r>
      <w:r>
        <w:t xml:space="preserve">.</w:t>
      </w:r>
    </w:p>
    <w:p>
      <w:pPr>
        <w:numPr>
          <w:ilvl w:val="1"/>
          <w:numId w:val="1019"/>
        </w:numPr>
      </w:pPr>
      <w:r>
        <w:t xml:space="preserve">La</w:t>
      </w:r>
      <w:r>
        <w:t xml:space="preserve"> </w:t>
      </w:r>
      <w:r>
        <w:rPr>
          <w:b/>
          <w:bCs/>
        </w:rPr>
        <w:t xml:space="preserve">ley de</w:t>
      </w:r>
      <w:r>
        <w:rPr>
          <w:b/>
          <w:bCs/>
        </w:rPr>
        <w:t xml:space="preserve"> </w:t>
      </w:r>
      <w:r>
        <w:rPr>
          <w:b/>
          <w:bCs/>
          <w:smallCaps/>
        </w:rPr>
        <w:t xml:space="preserve">Gibrat</w:t>
      </w:r>
      <w:r>
        <w:t xml:space="preserve"> </w:t>
      </w:r>
      <w:r>
        <w:t xml:space="preserve">(el crecimiento de una empresa es independiente de su tamaño) explica esa asimetría como resultado de perturbaciones multiplicativas</w:t>
      </w:r>
      <w:r>
        <w:t xml:space="preserve"> </w:t>
      </w:r>
      <w:r>
        <w:t xml:space="preserve">(</w:t>
      </w:r>
      <w:hyperlink w:anchor="ref_Gibrat1931Inegalites">
        <w:r>
          <w:rPr>
            <w:rStyle w:val="Hyperlink"/>
            <w:smallCaps/>
          </w:rPr>
          <w:t xml:space="preserve">Gibrat</w:t>
        </w:r>
        <w:r>
          <w:rPr>
            <w:rStyle w:val="Hyperlink"/>
          </w:rPr>
          <w:t xml:space="preserve">, 1931</w:t>
        </w:r>
      </w:hyperlink>
      <w:r>
        <w:t xml:space="preserve">)</w:t>
      </w:r>
      <w:r>
        <w:t xml:space="preserve">; se cumple aproximadamente para las empresas grandes, mientras que las pequeñas y jóvenes crecen más deprisa</w:t>
      </w:r>
      <w:r>
        <w:t xml:space="preserve"> </w:t>
      </w:r>
      <w:r>
        <w:t xml:space="preserve">(</w:t>
      </w:r>
      <w:hyperlink w:anchor="ref_Sutton1997Gibrat">
        <w:r>
          <w:rPr>
            <w:rStyle w:val="Hyperlink"/>
            <w:smallCaps/>
          </w:rPr>
          <w:t xml:space="preserve">Sutton</w:t>
        </w:r>
        <w:r>
          <w:rPr>
            <w:rStyle w:val="Hyperlink"/>
          </w:rPr>
          <w:t xml:space="preserve">, 1997</w:t>
        </w:r>
      </w:hyperlink>
      <w:r>
        <w:t xml:space="preserve">)</w:t>
      </w:r>
      <w:r>
        <w:t xml:space="preserve"> </w:t>
      </w:r>
      <w:hyperlink r:id="rId63">
        <w:r>
          <w:rPr>
            <w:rStyle w:val="Referenciaatema"/>
          </w:rPr>
          <w:t xml:space="preserve">[ver tema 3.B.4]</w:t>
        </w:r>
      </w:hyperlink>
      <w:r>
        <w:t xml:space="preserve">. En Estados Unidos, el tamaño de las empresas sigue una distribución de</w:t>
      </w:r>
      <w:r>
        <w:t xml:space="preserve"> </w:t>
      </w:r>
      <w:r>
        <w:rPr>
          <w:smallCaps/>
        </w:rPr>
        <w:t xml:space="preserve">Zipf</w:t>
      </w:r>
      <w:r>
        <w:t xml:space="preserve"> </w:t>
      </w:r>
      <w:r>
        <w:t xml:space="preserve">(</w:t>
      </w:r>
      <w:hyperlink w:anchor="ref_Axtell2001Zipf">
        <w:r>
          <w:rPr>
            <w:rStyle w:val="Hyperlink"/>
            <w:smallCaps/>
          </w:rPr>
          <w:t xml:space="preserve">Axtell</w:t>
        </w:r>
        <w:r>
          <w:rPr>
            <w:rStyle w:val="Hyperlink"/>
          </w:rPr>
          <w:t xml:space="preserve">, 2001</w:t>
        </w:r>
      </w:hyperlink>
      <w:r>
        <w:t xml:space="preserve">)</w:t>
      </w:r>
      <w:r>
        <w:t xml:space="preserve">.</w:t>
      </w:r>
    </w:p>
    <w:p>
      <w:pPr>
        <w:numPr>
          <w:ilvl w:val="0"/>
          <w:numId w:val="1018"/>
        </w:numPr>
      </w:pPr>
      <w:r>
        <w:rPr>
          <w:i/>
          <w:iCs/>
        </w:rPr>
        <w:t xml:space="preserve">Tendencia reciente</w:t>
      </w:r>
      <w:r>
        <w:t xml:space="preserve">: la cuota de las mayores empresas de cada sector ha crecido.</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w:t>
      </w:r>
      <w:r>
        <w:t xml:space="preserve">lo atribuyen a empresas «superestrella», más productivas, en mercados en los que el ganador se lleva la mayor parte (tecnologías digitales, efectos de red); otros, a más barreras a la entrada y menos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 Es la pregunta del bloque </w:t>
      </w:r>
      <w:hyperlink w:anchor="sec_toi">
        <w:r>
          <w:rPr>
            <w:rStyle w:val="Hyperlink"/>
          </w:rPr>
          <w:t xml:space="preserve">III</w:t>
        </w:r>
      </w:hyperlink>
      <w:r>
        <w:t xml:space="preserve">.</w:t>
      </w:r>
    </w:p>
    <w:bookmarkEnd w:id="64"/>
    <w:bookmarkStart w:id="65" w:name="d_valoraci__n"/>
    <w:p>
      <w:pPr>
        <w:pStyle w:val="Heading4"/>
      </w:pPr>
      <w:r>
        <w:t xml:space="preserve">d) Valoración</w:t>
      </w:r>
    </w:p>
    <w:p>
      <w:pPr>
        <w:numPr>
          <w:ilvl w:val="0"/>
          <w:numId w:val="1020"/>
        </w:numPr>
      </w:pPr>
      <w:r>
        <w:t xml:space="preserve">El enfoque explica el tamaño de la</w:t>
      </w:r>
      <w:r>
        <w:t xml:space="preserve"> </w:t>
      </w:r>
      <w:r>
        <w:rPr>
          <w:i/>
          <w:iCs/>
        </w:rPr>
        <w:t xml:space="preserve">planta</w:t>
      </w:r>
      <w:r>
        <w:t xml:space="preserve">, no el de la</w:t>
      </w:r>
      <w:r>
        <w:t xml:space="preserve"> </w:t>
      </w:r>
      <w:r>
        <w:rPr>
          <w:i/>
          <w:iCs/>
        </w:rPr>
        <w:t xml:space="preserve">empresa</w:t>
      </w:r>
      <w:r>
        <w:t xml:space="preserve">: una empresa puede tener muchas plantas, y muchas empresas grandes reúnen actividades sin economías técnicas entre ellas.</w:t>
      </w:r>
    </w:p>
    <w:p>
      <w:pPr>
        <w:numPr>
          <w:ilvl w:val="0"/>
          <w:numId w:val="1020"/>
        </w:numPr>
      </w:pPr>
      <w:r>
        <w:t xml:space="preserve">Además, no explica por qué las economías de escala y de alcance tienen que aprovecharse</w:t>
      </w:r>
      <w:r>
        <w:t xml:space="preserve"> </w:t>
      </w:r>
      <w:r>
        <w:rPr>
          <w:i/>
          <w:iCs/>
        </w:rPr>
        <w:t xml:space="preserve">dentro</w:t>
      </w:r>
      <w:r>
        <w:t xml:space="preserve"> </w:t>
      </w:r>
      <w:r>
        <w:t xml:space="preserve">de una empresa y no con</w:t>
      </w:r>
      <w:r>
        <w:t xml:space="preserve"> </w:t>
      </w:r>
      <w:r>
        <w:rPr>
          <w:i/>
          <w:iCs/>
        </w:rPr>
        <w:t xml:space="preserve">contratos entre empresas</w:t>
      </w:r>
      <w:r>
        <w:t xml:space="preserve"> </w:t>
      </w:r>
      <w:r>
        <w:t xml:space="preserve">jurídicamente independientes: 2 productores podrían compartir un factor alquilándolo, o un proveedor abastecer a varios clientes con contratos a largo plazo</w:t>
      </w:r>
      <w:r>
        <w:t xml:space="preserve"> </w:t>
      </w:r>
      <w:r>
        <w:t xml:space="preserve">(</w:t>
      </w:r>
      <w:hyperlink w:anchor="ref_Teece1980Economies">
        <w:r>
          <w:rPr>
            <w:rStyle w:val="Hyperlink"/>
            <w:smallCaps/>
          </w:rPr>
          <w:t xml:space="preserve">Teece</w:t>
        </w:r>
        <w:r>
          <w:rPr>
            <w:rStyle w:val="Hyperlink"/>
          </w:rPr>
          <w:t xml:space="preserve">, 1980</w:t>
        </w:r>
      </w:hyperlink>
      <w:r>
        <w:t xml:space="preserve">)</w:t>
      </w:r>
      <w:r>
        <w:t xml:space="preserve">. ¿Por qué se integran, entonces? La respuesta exige mirar los costes de usar el mercado (</w:t>
      </w:r>
      <w:hyperlink w:anchor="sec_costes_transaccion">
        <w:r>
          <w:rPr>
            <w:rStyle w:val="Hyperlink"/>
          </w:rPr>
          <w:t xml:space="preserve">II</w:t>
        </w:r>
      </w:hyperlink>
      <w:r>
        <w:t xml:space="preserve">). Antes, veamos por qué la empresa no crece sin límite.</w:t>
      </w:r>
    </w:p>
    <w:bookmarkEnd w:id="65"/>
    <w:bookmarkEnd w:id="66"/>
    <w:bookmarkStart w:id="94" w:name="sec_limites_internos"/>
    <w:p>
      <w:pPr>
        <w:pStyle w:val="Heading2"/>
      </w:pPr>
      <w:r>
        <w:t xml:space="preserve">I.2.</w:t>
      </w:r>
      <w:r>
        <w:t xml:space="preserve"> </w:t>
      </w:r>
      <w:r>
        <w:t xml:space="preserve">Objetivo y funcionamiento de la empresa: los límites internos</w:t>
      </w:r>
    </w:p>
    <w:p>
      <w:pPr>
        <w:numPr>
          <w:ilvl w:val="0"/>
          <w:numId w:val="1021"/>
        </w:numPr>
      </w:pPr>
      <w:r>
        <w:t xml:space="preserve">Una vez visto qué tamaño dicta la tecnología, pasamos a lo que lo frena. Si producir en grande es más barato, ¿qué impide que una empresa crezca sin límite? La respuesta está en quién dirige la empresa, con qué objetivos y con qué incentivos.</w:t>
      </w:r>
    </w:p>
    <w:bookmarkStart w:id="68" w:name="sec_direccion"/>
    <w:p>
      <w:pPr>
        <w:pStyle w:val="Heading3"/>
      </w:pPr>
      <w:r>
        <w:t xml:space="preserve">I.2.1.</w:t>
      </w:r>
      <w:r>
        <w:t xml:space="preserve"> </w:t>
      </w:r>
      <w:r>
        <w:t xml:space="preserve">El enfoque neoclásico: la dirección como factor fijo</w:t>
      </w:r>
    </w:p>
    <w:p>
      <w:pPr>
        <w:keepNext/>
        <w:numPr>
          <w:ilvl w:val="0"/>
          <w:numId w:val="1022"/>
        </w:numPr>
      </w:pPr>
      <w:r>
        <w:rPr>
          <w:i/>
          <w:iCs/>
        </w:rPr>
        <w:t xml:space="preserve">Los rendimientos decrecientes de la dirección</w:t>
      </w:r>
      <w:r>
        <w:t xml:space="preserve">: para</w:t>
      </w:r>
      <w:r>
        <w:t xml:space="preserve"> </w:t>
      </w:r>
      <w:r>
        <w:rPr>
          <w:smallCaps/>
        </w:rPr>
        <w:t xml:space="preserve">Kaldor</w:t>
      </w:r>
      <w:r>
        <w:t xml:space="preserve"> </w:t>
      </w:r>
      <w:r>
        <w:t xml:space="preserve">(</w:t>
      </w:r>
      <w:hyperlink w:anchor="ref_Kaldor1934Equilibrium">
        <w:r>
          <w:rPr>
            <w:rStyle w:val="Hyperlink"/>
          </w:rPr>
          <w:t xml:space="preserve">1934</w:t>
        </w:r>
      </w:hyperlink>
      <w:r>
        <w:t xml:space="preserve">)</w:t>
      </w:r>
      <w:r>
        <w:t xml:space="preserve"> </w:t>
      </w:r>
      <w:r>
        <w:t xml:space="preserve">y</w:t>
      </w:r>
      <w:r>
        <w:t xml:space="preserve"> </w:t>
      </w:r>
      <w:r>
        <w:t xml:space="preserve">E. A. G.</w:t>
      </w:r>
      <w:r>
        <w:t xml:space="preserve"> </w:t>
      </w:r>
      <w:r>
        <w:rPr>
          <w:smallCaps/>
        </w:rPr>
        <w:t xml:space="preserve">Robinson</w:t>
      </w:r>
      <w:r>
        <w:t xml:space="preserve"> </w:t>
      </w:r>
      <w:r>
        <w:t xml:space="preserve">(</w:t>
      </w:r>
      <w:hyperlink w:anchor="ref_Robinson1934Problem">
        <w:r>
          <w:rPr>
            <w:rStyle w:val="Hyperlink"/>
          </w:rPr>
          <w:t xml:space="preserve">1934</w:t>
        </w:r>
      </w:hyperlink>
      <w:r>
        <w:t xml:space="preserve">)</w:t>
      </w:r>
      <w:r>
        <w:t xml:space="preserve">, el factor fijo de la empresa a largo plazo es la</w:t>
      </w:r>
      <w:r>
        <w:t xml:space="preserve"> </w:t>
      </w:r>
      <w:r>
        <w:rPr>
          <w:b/>
          <w:bCs/>
        </w:rPr>
        <w:t xml:space="preserve">capacidad de coordinación</w:t>
      </w:r>
      <w:r>
        <w:t xml:space="preserve"> </w:t>
      </w:r>
      <w:r>
        <w:t xml:space="preserve">del empresario. Al crecer, cada decisión adicional se toma peor o más despacio, y el coste medio acaba subiendo.</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lo llama</w:t>
      </w:r>
      <w:r>
        <w:t xml:space="preserve"> </w:t>
      </w:r>
      <w:r>
        <w:rPr>
          <w:i/>
          <w:iCs/>
        </w:rPr>
        <w:t xml:space="preserve">rendimientos decrecientes de la función empresarial</w:t>
      </w:r>
      <w:r>
        <w:t xml:space="preserve"> </w:t>
      </w:r>
      <w:r>
        <w:t xml:space="preserve">y lo convierte en el límite de la empresa (</w:t>
      </w:r>
      <w:hyperlink w:anchor="sec_coase">
        <w:r>
          <w:rPr>
            <w:rStyle w:val="Hyperlink"/>
          </w:rPr>
          <w:t xml:space="preserve">II.1</w:t>
        </w:r>
      </w:hyperlink>
      <w:r>
        <w:t xml:space="preserve">).</w:t>
      </w:r>
    </w:p>
    <w:p>
      <w:pPr>
        <w:numPr>
          <w:ilvl w:val="1"/>
          <w:numId w:val="1023"/>
        </w:numPr>
      </w:pPr>
      <w:r>
        <w:rPr>
          <w:smallCaps/>
        </w:rPr>
        <w:t xml:space="preserve">Penrose</w:t>
      </w:r>
      <w:r>
        <w:t xml:space="preserve"> </w:t>
      </w:r>
      <w:r>
        <w:t xml:space="preserve">(</w:t>
      </w:r>
      <w:hyperlink w:anchor="ref_Penrose1959Theory">
        <w:r>
          <w:rPr>
            <w:rStyle w:val="Hyperlink"/>
          </w:rPr>
          <w:t xml:space="preserve">1959</w:t>
        </w:r>
      </w:hyperlink>
      <w:r>
        <w:t xml:space="preserve">)</w:t>
      </w:r>
      <w:r>
        <w:t xml:space="preserve"> </w:t>
      </w:r>
      <w:r>
        <w:t xml:space="preserve">lo traslada del tamaño al</w:t>
      </w:r>
      <w:r>
        <w:t xml:space="preserve"> </w:t>
      </w:r>
      <w:r>
        <w:rPr>
          <w:i/>
          <w:iCs/>
        </w:rPr>
        <w:t xml:space="preserve">crecimiento</w:t>
      </w:r>
      <w:r>
        <w:t xml:space="preserve">: los directivos que ya están en la empresa tienen que formar e integrar a los nuevos, de modo que la capacidad de dirección limita la</w:t>
      </w:r>
      <w:r>
        <w:t xml:space="preserve"> </w:t>
      </w:r>
      <w:r>
        <w:rPr>
          <w:i/>
          <w:iCs/>
        </w:rPr>
        <w:t xml:space="preserve">velocidad</w:t>
      </w:r>
      <w:r>
        <w:t xml:space="preserve"> </w:t>
      </w:r>
      <w:r>
        <w:t xml:space="preserve">a la que una empresa puede crecer de forma rentable (el</w:t>
      </w:r>
      <w:r>
        <w:t xml:space="preserve"> </w:t>
      </w:r>
      <w:r>
        <w:rPr>
          <w:b/>
          <w:bCs/>
        </w:rPr>
        <w:t xml:space="preserve">efecto</w:t>
      </w:r>
      <w:r>
        <w:rPr>
          <w:b/>
          <w:bCs/>
        </w:rPr>
        <w:t xml:space="preserve"> </w:t>
      </w:r>
      <w:r>
        <w:rPr>
          <w:b/>
          <w:bCs/>
          <w:smallCaps/>
        </w:rPr>
        <w:t xml:space="preserve">Penrose</w:t>
      </w:r>
      <w:r>
        <w:t xml:space="preserve">), aunque no fije un tamaño máximo</w:t>
      </w:r>
      <w:r>
        <w:t xml:space="preserve"> </w:t>
      </w:r>
      <w:hyperlink r:id="rId63">
        <w:r>
          <w:rPr>
            <w:rStyle w:val="Referenciaatema"/>
          </w:rPr>
          <w:t xml:space="preserve">[ver tema 3.B.4]</w:t>
        </w:r>
      </w:hyperlink>
      <w:r>
        <w:t xml:space="preserve">.</w:t>
      </w:r>
    </w:p>
    <w:p>
      <w:pPr>
        <w:numPr>
          <w:ilvl w:val="0"/>
          <w:numId w:val="1022"/>
        </w:numPr>
      </w:pPr>
      <w:r>
        <w:rPr>
          <w:i/>
          <w:iCs/>
        </w:rPr>
        <w:t xml:space="preserve">La pérdida de control en la jerarquía</w:t>
      </w:r>
      <w:r>
        <w:t xml:space="preserve">:</w:t>
      </w:r>
      <w:r>
        <w:t xml:space="preserve"> </w:t>
      </w:r>
      <w:r>
        <w:rPr>
          <w:smallCaps/>
        </w:rPr>
        <w:t xml:space="preserve">Williamson</w:t>
      </w:r>
      <w:r>
        <w:t xml:space="preserve"> </w:t>
      </w:r>
      <w:r>
        <w:t xml:space="preserve">(</w:t>
      </w:r>
      <w:hyperlink w:anchor="ref_Williamson1967Hierarchical">
        <w:r>
          <w:rPr>
            <w:rStyle w:val="Hyperlink"/>
          </w:rPr>
          <w:t xml:space="preserve">1967</w:t>
        </w:r>
      </w:hyperlink>
      <w:r>
        <w:t xml:space="preserve">)</w:t>
      </w:r>
      <w:r>
        <w:t xml:space="preserve"> </w:t>
      </w:r>
      <w:r>
        <w:t xml:space="preserve">formaliza el límite. Si cada nivel de la jerarquía solo transmite al siguiente una fracción</w:t>
      </w:r>
      <w:r>
        <w:t xml:space="preserve"> </w:t>
      </w:r>
      <m:oMath>
        <m:r>
          <m:t>α</m:t>
        </m:r>
        <m:r>
          <m:rPr>
            <m:sty m:val="p"/>
          </m:rPr>
          <m:t>∈</m:t>
        </m:r>
        <m:d>
          <m:dPr>
            <m:begChr m:val="("/>
            <m:sepChr m:val=""/>
            <m:endChr m:val=")"/>
            <m:grow/>
          </m:dPr>
          <m:e>
            <m:r>
              <m:t>0</m:t>
            </m:r>
            <m:r>
              <m:rPr>
                <m:sty m:val="p"/>
              </m:rPr>
              <m:t>,</m:t>
            </m:r>
            <m:r>
              <m:t>1</m:t>
            </m:r>
          </m:e>
        </m:d>
      </m:oMath>
      <w:r>
        <w:t xml:space="preserve"> </w:t>
      </w:r>
      <w:r>
        <w:t xml:space="preserve">de las intenciones de su superior, en una empresa con</w:t>
      </w:r>
      <w:r>
        <w:t xml:space="preserve"> </w:t>
      </w:r>
      <m:oMath>
        <m:r>
          <m:t>N</m:t>
        </m:r>
      </m:oMath>
      <w:r>
        <w:t xml:space="preserve"> </w:t>
      </w:r>
      <w:r>
        <w:t xml:space="preserve">niveles a la base solo llega la fracción</w:t>
      </w:r>
      <w:r>
        <w:t xml:space="preserve"> </w:t>
      </w:r>
      <m:oMath>
        <m:sSup>
          <m:e>
            <m:r>
              <m:t>α</m:t>
            </m:r>
          </m:e>
          <m:sup>
            <m:r>
              <m:t>N</m:t>
            </m:r>
            <m:r>
              <m:rPr>
                <m:sty m:val="p"/>
              </m:rPr>
              <m:t>−</m:t>
            </m:r>
            <m:r>
              <m:t>1</m:t>
            </m:r>
          </m:sup>
        </m:sSup>
      </m:oMath>
      <w:r>
        <w:t xml:space="preserve">: la pérdida de control crece de forma geométrica con el número de niveles. Aunque los costes de administración crezcan solo en proporción al tamaño, la pérdida acumulada de control da un</w:t>
      </w:r>
      <w:r>
        <w:t xml:space="preserve"> </w:t>
      </w:r>
      <w:r>
        <w:rPr>
          <w:i/>
          <w:iCs/>
        </w:rPr>
        <w:t xml:space="preserve">tamaño óptimo finito</w:t>
      </w:r>
      <w:r>
        <w:t xml:space="preserve">.</w:t>
      </w:r>
    </w:p>
    <w:p>
      <w:pPr>
        <w:keepNext/>
        <w:numPr>
          <w:ilvl w:val="0"/>
          <w:numId w:val="1022"/>
        </w:numPr>
      </w:pPr>
      <w:r>
        <w:rPr>
          <w:i/>
          <w:iCs/>
        </w:rPr>
        <w:t xml:space="preserve">La separación entre la propiedad y el control</w:t>
      </w:r>
      <w:r>
        <w:t xml:space="preserve">: hasta aquí hemos supuesto que la empresa es un</w:t>
      </w:r>
      <w:r>
        <w:t xml:space="preserve"> </w:t>
      </w:r>
      <w:r>
        <w:rPr>
          <w:i/>
          <w:iCs/>
        </w:rPr>
        <w:t xml:space="preserve">ente homogéneo</w:t>
      </w:r>
      <w:r>
        <w:t xml:space="preserve">, en cuyo seno todos los intereses coinciden y se maximiza el beneficio. Pero en la gran sociedad anónima la propiedad está repartida entre muchos accionistas y el control lo ejercen los directivos</w:t>
      </w:r>
      <w:r>
        <w:t xml:space="preserve"> </w:t>
      </w:r>
      <w:r>
        <w:t xml:space="preserve">(</w:t>
      </w:r>
      <w:hyperlink w:anchor="ref_BerleMeans1932Modern">
        <w:r>
          <w:rPr>
            <w:rStyle w:val="Hyperlink"/>
            <w:smallCaps/>
          </w:rPr>
          <w:t xml:space="preserve">Berle</w:t>
        </w:r>
        <w:r>
          <w:rPr>
            <w:rStyle w:val="Hyperlink"/>
          </w:rPr>
          <w:t xml:space="preserve"> </w:t>
        </w:r>
        <w:r>
          <w:rPr>
            <w:rStyle w:val="Hyperlink"/>
          </w:rPr>
          <w:t xml:space="preserve">y</w:t>
        </w:r>
        <w:r>
          <w:rPr>
            <w:rStyle w:val="Hyperlink"/>
          </w:rPr>
          <w:t xml:space="preserve"> </w:t>
        </w:r>
        <w:r>
          <w:rPr>
            <w:rStyle w:val="Hyperlink"/>
            <w:smallCaps/>
          </w:rPr>
          <w:t xml:space="preserve">Means</w:t>
        </w:r>
        <w:r>
          <w:rPr>
            <w:rStyle w:val="Hyperlink"/>
          </w:rPr>
          <w:t xml:space="preserve">, 1932</w:t>
        </w:r>
      </w:hyperlink>
      <w:r>
        <w:t xml:space="preserve">)</w:t>
      </w:r>
      <w:r>
        <w:t xml:space="preserve">, y sus objetivos pueden no coincidir:</w:t>
      </w:r>
    </w:p>
    <w:p>
      <w:pPr>
        <w:numPr>
          <w:ilvl w:val="1"/>
          <w:numId w:val="1024"/>
        </w:numPr>
      </w:pPr>
      <w:r>
        <w:t xml:space="preserve">el</w:t>
      </w:r>
      <w:r>
        <w:t xml:space="preserve"> </w:t>
      </w:r>
      <w:r>
        <w:rPr>
          <w:i/>
          <w:iCs/>
        </w:rPr>
        <w:t xml:space="preserve">propietario</w:t>
      </w:r>
      <w:r>
        <w:t xml:space="preserve"> </w:t>
      </w:r>
      <w:r>
        <w:t xml:space="preserve">(el</w:t>
      </w:r>
      <w:r>
        <w:t xml:space="preserve"> </w:t>
      </w:r>
      <w:r>
        <w:rPr>
          <w:i/>
          <w:iCs/>
        </w:rPr>
        <w:t xml:space="preserve">principal</w:t>
      </w:r>
      <w:r>
        <w:t xml:space="preserve">) quiere maximizar su beneficio;</w:t>
      </w:r>
    </w:p>
    <w:p>
      <w:pPr>
        <w:numPr>
          <w:ilvl w:val="1"/>
          <w:numId w:val="1024"/>
        </w:numPr>
      </w:pPr>
      <w:r>
        <w:t xml:space="preserve">el</w:t>
      </w:r>
      <w:r>
        <w:t xml:space="preserve"> </w:t>
      </w:r>
      <w:r>
        <w:rPr>
          <w:i/>
          <w:iCs/>
        </w:rPr>
        <w:t xml:space="preserve">directivo</w:t>
      </w:r>
      <w:r>
        <w:t xml:space="preserve"> </w:t>
      </w:r>
      <w:r>
        <w:t xml:space="preserve">(el</w:t>
      </w:r>
      <w:r>
        <w:t xml:space="preserve"> </w:t>
      </w:r>
      <w:r>
        <w:rPr>
          <w:i/>
          <w:iCs/>
        </w:rPr>
        <w:t xml:space="preserve">agente</w:t>
      </w:r>
      <w:r>
        <w:t xml:space="preserve">) quiere maximizar su utilidad, que depende de su retribución, de la influencia que le da dirigir la empresa, del prestigio y del tamaño de esta.</w:t>
      </w:r>
      <w:r>
        <w:rPr>
          <w:rStyle w:val="FootnoteReference"/>
        </w:rPr>
        <w:footnoteReference w:id="67"/>
      </w:r>
    </w:p>
    <w:p>
      <w:pPr>
        <w:numPr>
          <w:ilvl w:val="0"/>
          <w:numId w:val="1000"/>
        </w:numPr>
      </w:pPr>
      <w:r>
        <w:t xml:space="preserve">Las teorías gerenciales y la teoría de la agencia estudian ese conflicto.</w:t>
      </w:r>
    </w:p>
    <w:bookmarkEnd w:id="68"/>
    <w:bookmarkStart w:id="83" w:name="sec_gerencialistas"/>
    <w:p>
      <w:pPr>
        <w:pStyle w:val="Heading3"/>
      </w:pPr>
      <w:r>
        <w:t xml:space="preserve">I.2.2.</w:t>
      </w:r>
      <w:r>
        <w:t xml:space="preserve"> </w:t>
      </w:r>
      <w:r>
        <w:t xml:space="preserve">El enfoque directivista o gerencialista</w:t>
      </w:r>
    </w:p>
    <w:bookmarkStart w:id="69" w:name="a_idea_1"/>
    <w:p>
      <w:pPr>
        <w:pStyle w:val="Heading4"/>
      </w:pPr>
      <w:r>
        <w:t xml:space="preserve">a) Idea</w:t>
      </w:r>
    </w:p>
    <w:p>
      <w:pPr>
        <w:numPr>
          <w:ilvl w:val="0"/>
          <w:numId w:val="1025"/>
        </w:numPr>
      </w:pPr>
      <w:r>
        <w:t xml:space="preserve">Los primeros modelos de una empresa con objetivos distintos del beneficio, en los años 50 y 60, sustituyen ese objetivo por el de los directivos (ventas, prestigio, emolumentos, seguridad, crecimiento), sujeto a que los accionistas reciban un</w:t>
      </w:r>
      <w:r>
        <w:t xml:space="preserve"> </w:t>
      </w:r>
      <w:r>
        <w:rPr>
          <w:b/>
          <w:bCs/>
        </w:rPr>
        <w:t xml:space="preserve">beneficio mínimo</w:t>
      </w:r>
      <w:r>
        <w:t xml:space="preserve">,</w:t>
      </w:r>
      <w:r>
        <w:t xml:space="preserve"> </w:t>
      </w:r>
      <m:oMath>
        <m:bar>
          <m:barPr>
            <m:pos m:val="bot"/>
          </m:barPr>
          <m:e>
            <m:r>
              <m:t>B</m:t>
            </m:r>
          </m:e>
        </m:bar>
      </m:oMath>
      <w:r>
        <w:t xml:space="preserve">, que les evite vender sus acciones o cambiar de equipo directivo.</w:t>
      </w:r>
    </w:p>
    <w:bookmarkEnd w:id="69"/>
    <w:bookmarkStart w:id="81" w:name="b_modelo_1"/>
    <w:p>
      <w:pPr>
        <w:pStyle w:val="Heading4"/>
      </w:pPr>
      <w:r>
        <w:t xml:space="preserve">b) Modelo</w:t>
      </w:r>
    </w:p>
    <w:bookmarkStart w:id="70" w:name="i_supuestos_1"/>
    <w:p>
      <w:pPr>
        <w:pStyle w:val="Heading5"/>
      </w:pPr>
      <w:r>
        <w:t xml:space="preserve">i) Supuestos</w:t>
      </w:r>
    </w:p>
    <w:p>
      <w:pPr>
        <w:numPr>
          <w:ilvl w:val="0"/>
          <w:numId w:val="1026"/>
        </w:numPr>
      </w:pPr>
      <w:r>
        <w:t xml:space="preserve">Separación entre propiedad y control: los directivos deciden y maximizan su propio objetivo.</w:t>
      </w:r>
    </w:p>
    <w:p>
      <w:pPr>
        <w:numPr>
          <w:ilvl w:val="0"/>
          <w:numId w:val="1026"/>
        </w:numPr>
      </w:pPr>
      <w:r>
        <w:t xml:space="preserve">Los accionistas solo exigen el beneficio mínimo</w:t>
      </w:r>
      <w:r>
        <w:t xml:space="preserve"> </w:t>
      </w:r>
      <m:oMath>
        <m:bar>
          <m:barPr>
            <m:pos m:val="bot"/>
          </m:barPr>
          <m:e>
            <m:r>
              <m:t>B</m:t>
            </m:r>
          </m:e>
        </m:bar>
      </m:oMath>
      <w:r>
        <w:t xml:space="preserve">; por lo demás, la información es perfecta y simétrica, como en la teoría neoclásica.</w:t>
      </w:r>
    </w:p>
    <w:bookmarkEnd w:id="70"/>
    <w:bookmarkStart w:id="79" w:name="ii_desarrollo_1"/>
    <w:p>
      <w:pPr>
        <w:pStyle w:val="Heading5"/>
      </w:pPr>
      <w:r>
        <w:t xml:space="preserve">ii) Desarrollo</w:t>
      </w:r>
    </w:p>
    <w:p>
      <w:pPr>
        <w:numPr>
          <w:ilvl w:val="0"/>
          <w:numId w:val="1027"/>
        </w:numPr>
      </w:pPr>
      <w:r>
        <w:rPr>
          <w:i/>
          <w:iCs/>
        </w:rPr>
        <w:t xml:space="preserve">Maximización de los ingresos por ventas</w:t>
      </w:r>
      <w:r>
        <w:t xml:space="preserve"> </w:t>
      </w:r>
      <w:r>
        <w:t xml:space="preserve">(</w:t>
      </w:r>
      <w:hyperlink w:anchor="ref_Baumol1958Theory">
        <w:r>
          <w:rPr>
            <w:rStyle w:val="Hyperlink"/>
            <w:smallCaps/>
          </w:rPr>
          <w:t xml:space="preserve">Baumol</w:t>
        </w:r>
        <w:r>
          <w:rPr>
            <w:rStyle w:val="Hyperlink"/>
          </w:rPr>
          <w:t xml:space="preserve">, 1958</w:t>
        </w:r>
      </w:hyperlink>
      <w:r>
        <w:t xml:space="preserve">,</w:t>
      </w:r>
      <w:r>
        <w:t xml:space="preserve"> </w:t>
      </w:r>
      <w:hyperlink w:anchor="ref_Baumol1959Business">
        <w:r>
          <w:rPr>
            <w:rStyle w:val="Hyperlink"/>
          </w:rPr>
          <w:t xml:space="preserve">1959</w:t>
        </w:r>
      </w:hyperlink>
      <w:r>
        <w:t xml:space="preserve">)</w:t>
      </w:r>
      <w:r>
        <w:t xml:space="preserve">: los directivos asocian su remuneración, su poder y su prestigio a la cifra de ventas más que al beneficio, y los accionistas, los prestamistas y los trabajadores ven en la evolución de las ventas un buen indicador de la gestión. La empresa maximiza su ingreso total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I</m:t>
                </m:r>
                <m:d>
                  <m:dPr>
                    <m:begChr m:val="("/>
                    <m:sepChr m:val=""/>
                    <m:endChr m:val=")"/>
                    <m:grow/>
                  </m:dPr>
                  <m:e>
                    <m:r>
                      <m:t>q</m:t>
                    </m:r>
                  </m:e>
                </m:d>
                <m:r>
                  <m:rPr>
                    <m:sty m:val="p"/>
                  </m:rPr>
                  <m:t>=</m:t>
                </m:r>
                <m:r>
                  <m:t>p</m:t>
                </m:r>
                <m:d>
                  <m:dPr>
                    <m:begChr m:val="("/>
                    <m:sepChr m:val=""/>
                    <m:endChr m:val=")"/>
                    <m:grow/>
                  </m:dPr>
                  <m:e>
                    <m:r>
                      <m:t>q</m:t>
                    </m:r>
                  </m:e>
                </m:d>
                <m:r>
                  <m:t> </m:t>
                </m:r>
                <m:r>
                  <m:t>q</m:t>
                </m:r>
              </m:e>
            </m:mr>
            <m:mr>
              <m:e>
                <m:r>
                  <m:rPr>
                    <m:nor/>
                    <m:sty m:val="p"/>
                  </m:rPr>
                  <m:t>s.a.</m:t>
                </m:r>
              </m:e>
              <m:e>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e>
            </m:mr>
          </m:m>
        </m:oMath>
      </m:oMathPara>
    </w:p>
    <w:p>
      <w:pPr>
        <w:numPr>
          <w:ilvl w:val="1"/>
          <w:numId w:val="1028"/>
        </w:numPr>
      </w:pPr>
      <w:r>
        <w:t xml:space="preserve">si, en el máximo del ingreso (</w:t>
      </w:r>
      <m:oMath>
        <m:r>
          <m:rPr>
            <m:sty m:val="p"/>
          </m:rPr>
          <m:t>I</m:t>
        </m:r>
        <m:r>
          <m:rPr>
            <m:sty m:val="p"/>
          </m:rPr>
          <m:t>M</m:t>
        </m:r>
        <m:r>
          <m:rPr>
            <m:sty m:val="p"/>
          </m:rPr>
          <m:t>g</m:t>
        </m:r>
        <m:r>
          <m:rPr>
            <m:sty m:val="p"/>
          </m:rPr>
          <m:t>=</m:t>
        </m:r>
        <m:r>
          <m:t>0</m:t>
        </m:r>
      </m:oMath>
      <w:r>
        <w:t xml:space="preserve">), el beneficio todavía supera</w:t>
      </w:r>
      <w:r>
        <w:t xml:space="preserve"> </w:t>
      </w:r>
      <m:oMath>
        <m:bar>
          <m:barPr>
            <m:pos m:val="bot"/>
          </m:barPr>
          <m:e>
            <m:r>
              <m:t>B</m:t>
            </m:r>
          </m:e>
        </m:bar>
      </m:oMath>
      <w:r>
        <w:t xml:space="preserve">, la restricción no es activa y la empresa produce donde</w:t>
      </w:r>
      <w:r>
        <w:t xml:space="preserve"> </w:t>
      </w:r>
      <m:oMath>
        <m:r>
          <m:rPr>
            <m:sty m:val="p"/>
          </m:rPr>
          <m:t>I</m:t>
        </m:r>
        <m:r>
          <m:rPr>
            <m:sty m:val="p"/>
          </m:rPr>
          <m:t>M</m:t>
        </m:r>
        <m:r>
          <m:rPr>
            <m:sty m:val="p"/>
          </m:rPr>
          <m:t>g</m:t>
        </m:r>
        <m:r>
          <m:rPr>
            <m:sty m:val="p"/>
          </m:rPr>
          <m:t>=</m:t>
        </m:r>
        <m:r>
          <m:t>0</m:t>
        </m:r>
      </m:oMath>
      <w:r>
        <w:t xml:space="preserve">;</w:t>
      </w:r>
    </w:p>
    <w:p>
      <w:pPr>
        <w:numPr>
          <w:ilvl w:val="1"/>
          <w:numId w:val="1028"/>
        </w:numPr>
      </w:pPr>
      <w:r>
        <w:t xml:space="preserve">si no, produce la cantidad</w:t>
      </w:r>
      <w:r>
        <w:t xml:space="preserve"> </w:t>
      </w:r>
      <m:oMath>
        <m:sSup>
          <m:e>
            <m:r>
              <m:t>q</m:t>
            </m:r>
          </m:e>
          <m:sup>
            <m:r>
              <m:t>B</m:t>
            </m:r>
          </m:sup>
        </m:sSup>
      </m:oMath>
      <w:r>
        <w:t xml:space="preserve"> </w:t>
      </w:r>
      <w:r>
        <w:t xml:space="preserve">en la que</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 a la derecha de la del monopolista que maximiza el beneficio,</w:t>
      </w:r>
      <w:r>
        <w:t xml:space="preserve"> </w:t>
      </w:r>
      <m:oMath>
        <m:sSup>
          <m:e>
            <m:r>
              <m:t>q</m:t>
            </m:r>
          </m:e>
          <m:sup>
            <m:r>
              <m:t>M</m:t>
            </m:r>
          </m:sup>
        </m:sSup>
      </m:oMath>
      <w:r>
        <w:t xml:space="preserve">. Con</w:t>
      </w:r>
      <w:r>
        <w:t xml:space="preserve"> </w:t>
      </w:r>
      <m:oMath>
        <m:r>
          <m:t>λ</m:t>
        </m:r>
        <m:r>
          <m:rPr>
            <m:sty m:val="p"/>
          </m:rPr>
          <m:t>&gt;</m:t>
        </m:r>
        <m:r>
          <m:t>0</m:t>
        </m:r>
      </m:oMath>
      <w:r>
        <w:t xml:space="preserve"> </w:t>
      </w:r>
      <w:r>
        <w:t xml:space="preserve">el multiplicador de la restricción,</w:t>
      </w:r>
      <w:r>
        <w:t xml:space="preserve"> </w:t>
      </w:r>
      <m:oMath>
        <m:r>
          <m:rPr>
            <m:sty m:val="p"/>
          </m:rPr>
          <m:t>I</m:t>
        </m:r>
        <m:r>
          <m:rPr>
            <m:sty m:val="p"/>
          </m:rPr>
          <m:t>M</m:t>
        </m:r>
        <m:r>
          <m:rPr>
            <m:sty m:val="p"/>
          </m:rPr>
          <m:t>g</m:t>
        </m:r>
        <m:d>
          <m:dPr>
            <m:begChr m:val="("/>
            <m:sepChr m:val=""/>
            <m:endChr m:val=")"/>
            <m:grow/>
          </m:dPr>
          <m:e>
            <m:sSup>
              <m:e>
                <m:r>
                  <m:t>q</m:t>
                </m:r>
              </m:e>
              <m:sup>
                <m:r>
                  <m:t>B</m:t>
                </m:r>
              </m:sup>
            </m:sSup>
          </m:e>
        </m:d>
        <m:r>
          <m:rPr>
            <m:sty m:val="p"/>
          </m:rPr>
          <m:t>=</m:t>
        </m:r>
        <m:f>
          <m:fPr>
            <m:type m:val="bar"/>
          </m:fPr>
          <m:num>
            <m:r>
              <m:t>λ</m:t>
            </m:r>
          </m:num>
          <m:den>
            <m:r>
              <m:t>1</m:t>
            </m:r>
            <m:r>
              <m:rPr>
                <m:sty m:val="p"/>
              </m:rPr>
              <m:t>+</m:t>
            </m:r>
            <m:r>
              <m:t>λ</m:t>
            </m:r>
          </m:den>
        </m:f>
        <m:r>
          <m:t> </m:t>
        </m:r>
        <m:r>
          <m:rPr>
            <m:sty m:val="p"/>
          </m:rPr>
          <m:t>C</m:t>
        </m:r>
        <m:r>
          <m:rPr>
            <m:sty m:val="p"/>
          </m:rPr>
          <m:t>M</m:t>
        </m:r>
        <m:r>
          <m:rPr>
            <m:sty m:val="p"/>
          </m:rPr>
          <m:t>g</m:t>
        </m:r>
        <m:d>
          <m:dPr>
            <m:begChr m:val="("/>
            <m:sepChr m:val=""/>
            <m:endChr m:val=")"/>
            <m:grow/>
          </m:dPr>
          <m:e>
            <m:sSup>
              <m:e>
                <m:r>
                  <m:t>q</m:t>
                </m:r>
              </m:e>
              <m:sup>
                <m:r>
                  <m:t>B</m:t>
                </m:r>
              </m:sup>
            </m:sSup>
          </m:e>
        </m:d>
      </m:oMath>
      <w:r>
        <w:t xml:space="preserve">: el ingreso marginal queda entre 0 y el coste marginal (gráfico </w:t>
      </w:r>
      <w:hyperlink w:anchor="fig_baumol">
        <w:r>
          <w:rPr>
            <w:rStyle w:val="Hyperlink"/>
          </w:rPr>
          <w:t xml:space="preserve">4</w:t>
        </w:r>
      </w:hyperlink>
      <w:r>
        <w:t xml:space="preserve">; derivación en el anexo </w:t>
      </w:r>
      <w:hyperlink w:anchor="anexo_baumol">
        <w:r>
          <w:rPr>
            <w:rStyle w:val="Hyperlink"/>
          </w:rPr>
          <w:t xml:space="preserve">B.1</w:t>
        </w:r>
      </w:hyperlink>
      <w:r>
        <w:t xml:space="preserve">).</w:t>
      </w:r>
    </w:p>
    <w:p>
      <w:pPr>
        <w:numPr>
          <w:ilvl w:val="0"/>
          <w:numId w:val="1027"/>
        </w:numPr>
      </w:pPr>
      <w:r>
        <w:rPr>
          <w:i/>
          <w:iCs/>
        </w:rPr>
        <w:t xml:space="preserve">Maximización de la utilidad de los directivos</w:t>
      </w:r>
      <w:r>
        <w:t xml:space="preserve"> </w:t>
      </w:r>
      <w:r>
        <w:t xml:space="preserve">(</w:t>
      </w:r>
      <w:hyperlink w:anchor="ref_Williamson1964Economics">
        <w:r>
          <w:rPr>
            <w:rStyle w:val="Hyperlink"/>
            <w:smallCaps/>
          </w:rPr>
          <w:t xml:space="preserve">Williamson</w:t>
        </w:r>
        <w:r>
          <w:rPr>
            <w:rStyle w:val="Hyperlink"/>
          </w:rPr>
          <w:t xml:space="preserve">, 1964</w:t>
        </w:r>
      </w:hyperlink>
      <w:r>
        <w:t xml:space="preserve">)</w:t>
      </w:r>
      <w:r>
        <w:t xml:space="preserve">: el directivo valora el gasto en personal,</w:t>
      </w:r>
      <w:r>
        <w:t xml:space="preserve"> </w:t>
      </w:r>
      <m:oMath>
        <m:r>
          <m:t>S</m:t>
        </m:r>
      </m:oMath>
      <w:r>
        <w:t xml:space="preserve"> </w:t>
      </w:r>
      <w:r>
        <w:t xml:space="preserve">(influencia y prestigio), los emolumentos y gastos discrecionales,</w:t>
      </w:r>
      <w:r>
        <w:t xml:space="preserve"> </w:t>
      </w:r>
      <m:oMath>
        <m:r>
          <m:t>M</m:t>
        </m:r>
      </m:oMath>
      <w:r>
        <w:t xml:space="preserve"> </w:t>
      </w:r>
      <w:r>
        <w:t xml:space="preserve">(coches, oficinas, viajes), y la inversión discrecional,</w:t>
      </w:r>
      <w:r>
        <w:t xml:space="preserve"> </w:t>
      </w:r>
      <m:oMath>
        <m:sSub>
          <m:e>
            <m:r>
              <m:t>I</m:t>
            </m:r>
          </m:e>
          <m:sub>
            <m:r>
              <m:t>D</m:t>
            </m:r>
          </m:sub>
        </m:sSub>
      </m:oMath>
      <w:r>
        <w:t xml:space="preserve">, la que hace por encima de lo necesario: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r>
                      <m:rPr>
                        <m:sty m:val="p"/>
                      </m:rPr>
                      <m:t>,</m:t>
                    </m:r>
                    <m:r>
                      <m:t> </m:t>
                    </m:r>
                    <m:r>
                      <m:t>M</m:t>
                    </m:r>
                  </m:lim>
                </m:limLow>
              </m:e>
              <m:e>
                <m:r>
                  <m:t>U</m:t>
                </m:r>
                <m:d>
                  <m:dPr>
                    <m:begChr m:val="("/>
                    <m:sepChr m:val=""/>
                    <m:endChr m:val=")"/>
                    <m:grow/>
                  </m:dPr>
                  <m:e>
                    <m:r>
                      <m:t>S</m:t>
                    </m:r>
                    <m:r>
                      <m:rPr>
                        <m:sty m:val="p"/>
                      </m:rPr>
                      <m:t>,</m:t>
                    </m:r>
                    <m:r>
                      <m:t>M</m:t>
                    </m:r>
                    <m:r>
                      <m:rPr>
                        <m:sty m:val="p"/>
                      </m:rPr>
                      <m:t>,</m:t>
                    </m:r>
                    <m:sSub>
                      <m:e>
                        <m:r>
                          <m:t>I</m:t>
                        </m:r>
                      </m:e>
                      <m:sub>
                        <m:r>
                          <m:t>D</m:t>
                        </m:r>
                      </m:sub>
                    </m:sSub>
                  </m:e>
                </m:d>
              </m:e>
            </m:mr>
            <m:mr>
              <m:e>
                <m:r>
                  <m:rPr>
                    <m:nor/>
                    <m:sty m:val="p"/>
                  </m:rPr>
                  <m:t>s.a.</m:t>
                </m:r>
              </m:e>
              <m:e>
                <m:r>
                  <m:t>B</m:t>
                </m:r>
                <m:d>
                  <m:dPr>
                    <m:begChr m:val="("/>
                    <m:sepChr m:val=""/>
                    <m:endChr m:val=")"/>
                    <m:grow/>
                  </m:dPr>
                  <m:e>
                    <m:r>
                      <m:t>S</m:t>
                    </m:r>
                  </m:e>
                </m:d>
                <m:r>
                  <m:rPr>
                    <m:sty m:val="p"/>
                  </m:rPr>
                  <m:t>−</m:t>
                </m:r>
                <m:r>
                  <m:t>M</m:t>
                </m:r>
                <m:r>
                  <m:rPr>
                    <m:sty m:val="p"/>
                  </m:rPr>
                  <m:t>≥</m:t>
                </m:r>
                <m:bar>
                  <m:barPr>
                    <m:pos m:val="bot"/>
                  </m:barPr>
                  <m:e>
                    <m:r>
                      <m:t>B</m:t>
                    </m:r>
                  </m:e>
                </m:bar>
              </m:e>
            </m:mr>
          </m:m>
        </m:oMath>
      </m:oMathPara>
    </w:p>
    <w:p>
      <w:pPr>
        <w:numPr>
          <w:ilvl w:val="0"/>
          <w:numId w:val="1000"/>
        </w:numPr>
      </w:pPr>
      <w:r>
        <w:t xml:space="preserve">con</w:t>
      </w:r>
      <w:r>
        <w:t xml:space="preserve"> </w:t>
      </w:r>
      <m:oMath>
        <m:sSub>
          <m:e>
            <m:r>
              <m:t>I</m:t>
            </m:r>
          </m:e>
          <m:sub>
            <m:r>
              <m:t>D</m:t>
            </m:r>
          </m:sub>
        </m:sSub>
        <m:r>
          <m:rPr>
            <m:sty m:val="p"/>
          </m:rPr>
          <m:t>=</m:t>
        </m:r>
        <m:r>
          <m:t>B</m:t>
        </m:r>
        <m:d>
          <m:dPr>
            <m:begChr m:val="("/>
            <m:sepChr m:val=""/>
            <m:endChr m:val=")"/>
            <m:grow/>
          </m:dPr>
          <m:e>
            <m:r>
              <m:t>S</m:t>
            </m:r>
          </m:e>
        </m:d>
        <m:r>
          <m:rPr>
            <m:sty m:val="p"/>
          </m:rPr>
          <m:t>−</m:t>
        </m:r>
        <m:r>
          <m:t>M</m:t>
        </m:r>
        <m:r>
          <m:rPr>
            <m:sty m:val="p"/>
          </m:rPr>
          <m:t>−</m:t>
        </m:r>
        <m:bar>
          <m:barPr>
            <m:pos m:val="bot"/>
          </m:barPr>
          <m:e>
            <m:r>
              <m:t>B</m:t>
            </m:r>
          </m:e>
        </m:bar>
      </m:oMath>
      <w:r>
        <w:t xml:space="preserve">, lo que queda del beneficio declarado tras pagar el mínimo a los accionistas. En el plano</w:t>
      </w:r>
      <w:r>
        <w:t xml:space="preserve"> </w:t>
      </w:r>
      <m:oMath>
        <m:d>
          <m:dPr>
            <m:begChr m:val="("/>
            <m:sepChr m:val=""/>
            <m:endChr m:val=")"/>
            <m:grow/>
          </m:dPr>
          <m:e>
            <m:r>
              <m:t>S</m:t>
            </m:r>
            <m:r>
              <m:rPr>
                <m:sty m:val="p"/>
              </m:rPr>
              <m:t>,</m:t>
            </m:r>
            <m:r>
              <m:t> </m:t>
            </m:r>
            <m:r>
              <m:t>B</m:t>
            </m:r>
            <m:r>
              <m:rPr>
                <m:sty m:val="p"/>
              </m:rPr>
              <m:t>−</m:t>
            </m:r>
            <m:bar>
              <m:barPr>
                <m:pos m:val="bot"/>
              </m:barPr>
              <m:e>
                <m:r>
                  <m:t>B</m:t>
                </m:r>
              </m:e>
            </m:bar>
          </m:e>
        </m:d>
      </m:oMath>
      <w:r>
        <w:t xml:space="preserve">, la curva de beneficio tiene forma de campana (el personal es productivo hasta cierto punto) y el equilibrio está en la tangencia con la curva de indiferencia más alta del directivo, a la derecha del máximo del beneficio: la empresa</w:t>
      </w:r>
      <w:r>
        <w:t xml:space="preserve"> </w:t>
      </w:r>
      <w:r>
        <w:rPr>
          <w:i/>
          <w:iCs/>
        </w:rPr>
        <w:t xml:space="preserve">gasta de más en personal</w:t>
      </w:r>
      <w:r>
        <w:t xml:space="preserve"> </w:t>
      </w:r>
      <w:r>
        <w:t xml:space="preserve">(gráfico </w:t>
      </w:r>
      <w:hyperlink w:anchor="fig_williamson_gerencial">
        <w:r>
          <w:rPr>
            <w:rStyle w:val="Hyperlink"/>
          </w:rPr>
          <w:t xml:space="preserve">5</w:t>
        </w:r>
      </w:hyperlink>
      <w:r>
        <w:t xml:space="preserve">).</w:t>
      </w:r>
    </w:p>
    <w:p>
      <w:pPr>
        <w:numPr>
          <w:ilvl w:val="0"/>
          <w:numId w:val="1027"/>
        </w:numPr>
      </w:pPr>
      <w:r>
        <w:rPr>
          <w:i/>
          <w:iCs/>
        </w:rPr>
        <w:t xml:space="preserve">Maximización del crecimiento</w:t>
      </w:r>
      <w:r>
        <w:t xml:space="preserve"> </w:t>
      </w:r>
      <w:r>
        <w:t xml:space="preserve">(</w:t>
      </w:r>
      <w:hyperlink w:anchor="ref_Marris1963Model">
        <w:r>
          <w:rPr>
            <w:rStyle w:val="Hyperlink"/>
            <w:smallCaps/>
          </w:rPr>
          <w:t xml:space="preserve">Marris</w:t>
        </w:r>
        <w:r>
          <w:rPr>
            <w:rStyle w:val="Hyperlink"/>
          </w:rPr>
          <w:t xml:space="preserve">, 1963</w:t>
        </w:r>
      </w:hyperlink>
      <w:r>
        <w:t xml:space="preserve">,</w:t>
      </w:r>
      <w:r>
        <w:t xml:space="preserve"> </w:t>
      </w:r>
      <w:hyperlink w:anchor="ref_Marris1964Economic">
        <w:r>
          <w:rPr>
            <w:rStyle w:val="Hyperlink"/>
          </w:rPr>
          <w:t xml:space="preserve">1964</w:t>
        </w:r>
      </w:hyperlink>
      <w:r>
        <w:t xml:space="preserve">)</w:t>
      </w:r>
      <w:r>
        <w:t xml:space="preserve">: el sueldo, el estatus y la seguridad del puesto de los directivos dependen del tamaño de la empresa y de sus departamentos, porque es difícil evaluar su gestión de otra forma. La empresa maximiza la tasa de crecimiento equilibrado, la misma para la demanda (con diversificación y publicidad) y para el capital (con beneficios retenidos), sujeta a una</w:t>
      </w:r>
      <w:r>
        <w:t xml:space="preserve"> </w:t>
      </w:r>
      <w:r>
        <w:rPr>
          <w:i/>
          <w:iCs/>
        </w:rPr>
        <w:t xml:space="preserve">restricción de seguridad</w:t>
      </w:r>
      <w:r>
        <w:t xml:space="preserve">: que su</w:t>
      </w:r>
      <w:r>
        <w:t xml:space="preserve"> </w:t>
      </w:r>
      <w:r>
        <w:rPr>
          <w:i/>
          <w:iCs/>
        </w:rPr>
        <w:t xml:space="preserve">ratio de valoración</w:t>
      </w:r>
      <w:r>
        <w:t xml:space="preserve"> </w:t>
      </w:r>
      <w:r>
        <w:t xml:space="preserve">(valor de mercado entre valor contable) no caiga tanto como para que otra empresa la compre y despida a los directivos. Crecer más deprisa exige retener más beneficios y diversificar hacia negocios menos rentables, lo que baja la cotización: el directivo elige el crecimiento máximo compatible con evitar la absorción, mayor que el que maximiza el valor para el accionista.</w:t>
      </w:r>
    </w:p>
    <w:bookmarkStart w:id="74" w:name="fig_baumol"/>
    <w:p>
      <w:pPr>
        <w:pStyle w:val="ImageCaption"/>
      </w:pPr>
      <w:r>
        <w:t xml:space="preserve">Gráfico 4.–</w:t>
      </w:r>
      <w:r>
        <w:t xml:space="preserve"> </w:t>
      </w:r>
      <w:r>
        <w:t xml:space="preserve">Maximización de las ventas con beneficio mínimo: la empresa produce más que el maximizador del beneficio</w:t>
      </w:r>
    </w:p>
    <w:p>
      <w:pPr>
        <w:pStyle w:val="CaptionedFigure"/>
      </w:pPr>
      <w:r>
        <w:drawing>
          <wp:inline>
            <wp:extent cx="3581400" cy="2254955"/>
            <wp:effectExtent b="0" l="0" r="0" t="0"/>
            <wp:docPr descr="Gráfico 4.– Maximización de las ventas con beneficio mínimo: la empresa produce más que el maximizador del beneficio" title="" id="72" name="Picture"/>
            <a:graphic>
              <a:graphicData uri="http://schemas.openxmlformats.org/drawingml/2006/picture">
                <pic:pic>
                  <pic:nvPicPr>
                    <pic:cNvPr descr="C:\Users\vgutierrez\Documents\src\victorgutierrezmarcos.github.io-revision\oposicion\temario\fuentes\3A15\graficos/baumol.png" id="73" name="Picture"/>
                    <pic:cNvPicPr>
                      <a:picLocks noChangeArrowheads="1" noChangeAspect="1"/>
                    </pic:cNvPicPr>
                  </pic:nvPicPr>
                  <pic:blipFill>
                    <a:blip r:embed="rId71"/>
                    <a:stretch>
                      <a:fillRect/>
                    </a:stretch>
                  </pic:blipFill>
                  <pic:spPr bwMode="auto">
                    <a:xfrm>
                      <a:off x="0" y="0"/>
                      <a:ext cx="3581400" cy="2254955"/>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Baumol</w:t>
      </w:r>
      <w:r>
        <w:t xml:space="preserve"> </w:t>
      </w:r>
      <w:r>
        <w:t xml:space="preserve">(</w:t>
      </w:r>
      <w:hyperlink w:anchor="ref_Baumol1959Business">
        <w:r>
          <w:rPr>
            <w:rStyle w:val="Hyperlink"/>
          </w:rPr>
          <w:t xml:space="preserve">1959</w:t>
        </w:r>
      </w:hyperlink>
      <w:r>
        <w:t xml:space="preserve">)</w:t>
      </w:r>
      <w:r>
        <w:t xml:space="preserve">.</w:t>
      </w:r>
    </w:p>
    <w:bookmarkStart w:id="78" w:name="fig_williamson_gerencial"/>
    <w:p>
      <w:pPr>
        <w:pStyle w:val="ImageCaption"/>
      </w:pPr>
      <w:r>
        <w:t xml:space="preserve">Gráfico 5.–</w:t>
      </w:r>
      <w:r>
        <w:t xml:space="preserve"> </w:t>
      </w:r>
      <w:r>
        <w:t xml:space="preserve">Utilidad de los directivos: más gasto en personal que el maximizador del beneficio</w:t>
      </w:r>
    </w:p>
    <w:p>
      <w:pPr>
        <w:pStyle w:val="CaptionedFigure"/>
      </w:pPr>
      <w:r>
        <w:drawing>
          <wp:inline>
            <wp:extent cx="3581400" cy="2626174"/>
            <wp:effectExtent b="0" l="0" r="0" t="0"/>
            <wp:docPr descr="Gráfico 5.– Utilidad de los directivos: más gasto en personal que el maximizador del beneficio" title="" id="76" name="Picture"/>
            <a:graphic>
              <a:graphicData uri="http://schemas.openxmlformats.org/drawingml/2006/picture">
                <pic:pic>
                  <pic:nvPicPr>
                    <pic:cNvPr descr="C:\Users\vgutierrez\Documents\src\victorgutierrezmarcos.github.io-revision\oposicion\temario\fuentes\3A15\graficos/williamson-gerencial.png" id="77" name="Picture"/>
                    <pic:cNvPicPr>
                      <a:picLocks noChangeArrowheads="1" noChangeAspect="1"/>
                    </pic:cNvPicPr>
                  </pic:nvPicPr>
                  <pic:blipFill>
                    <a:blip r:embed="rId75"/>
                    <a:stretch>
                      <a:fillRect/>
                    </a:stretch>
                  </pic:blipFill>
                  <pic:spPr bwMode="auto">
                    <a:xfrm>
                      <a:off x="0" y="0"/>
                      <a:ext cx="3581400" cy="2626174"/>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64Economics">
        <w:r>
          <w:rPr>
            <w:rStyle w:val="Hyperlink"/>
          </w:rPr>
          <w:t xml:space="preserve">1964</w:t>
        </w:r>
      </w:hyperlink>
      <w:r>
        <w:t xml:space="preserve">)</w:t>
      </w:r>
      <w:r>
        <w:t xml:space="preserve">.</w:t>
      </w:r>
    </w:p>
    <w:bookmarkEnd w:id="79"/>
    <w:bookmarkStart w:id="80" w:name="iii_implicaciones_1"/>
    <w:p>
      <w:pPr>
        <w:pStyle w:val="Heading5"/>
      </w:pPr>
      <w:r>
        <w:t xml:space="preserve">iii) Implicaciones</w:t>
      </w:r>
    </w:p>
    <w:p>
      <w:pPr>
        <w:numPr>
          <w:ilvl w:val="0"/>
          <w:numId w:val="1029"/>
        </w:numPr>
      </w:pPr>
      <w:r>
        <w:t xml:space="preserve">La empresa de</w:t>
      </w:r>
      <w:r>
        <w:t xml:space="preserve"> </w:t>
      </w:r>
      <w:r>
        <w:rPr>
          <w:smallCaps/>
        </w:rPr>
        <w:t xml:space="preserve">Baumol</w:t>
      </w:r>
      <w:r>
        <w:t xml:space="preserve"> </w:t>
      </w:r>
      <w:r>
        <w:t xml:space="preserve">produce más, cobra menos y gasta más en publicidad que el maximizador del beneficio. Y hace una predicción contrastable: si sube un coste fijo (o un impuesto de suma fija), el maximizador del beneficio no cambia su producción, pero la empresa de</w:t>
      </w:r>
      <w:r>
        <w:t xml:space="preserve"> </w:t>
      </w:r>
      <w:r>
        <w:rPr>
          <w:smallCaps/>
        </w:rPr>
        <w:t xml:space="preserve">Baumol</w:t>
      </w:r>
      <w:r>
        <w:t xml:space="preserve">, con la restricción activa, la</w:t>
      </w:r>
      <w:r>
        <w:t xml:space="preserve"> </w:t>
      </w:r>
      <w:r>
        <w:rPr>
          <w:i/>
          <w:iCs/>
        </w:rPr>
        <w:t xml:space="preserve">reduce</w:t>
      </w:r>
      <w:r>
        <w:t xml:space="preserve"> </w:t>
      </w:r>
      <w:r>
        <w:t xml:space="preserve">para seguir cubriendo</w:t>
      </w:r>
      <w:r>
        <w:t xml:space="preserve"> </w:t>
      </w:r>
      <m:oMath>
        <m:bar>
          <m:barPr>
            <m:pos m:val="bot"/>
          </m:barPr>
          <m:e>
            <m:r>
              <m:t>B</m:t>
            </m:r>
          </m:e>
        </m:bar>
      </m:oMath>
      <w:r>
        <w:t xml:space="preserve">.</w:t>
      </w:r>
    </w:p>
    <w:p>
      <w:pPr>
        <w:numPr>
          <w:ilvl w:val="0"/>
          <w:numId w:val="1029"/>
        </w:numPr>
      </w:pPr>
      <w:r>
        <w:t xml:space="preserve">La empresa de</w:t>
      </w:r>
      <w:r>
        <w:t xml:space="preserve"> </w:t>
      </w:r>
      <w:r>
        <w:rPr>
          <w:smallCaps/>
        </w:rPr>
        <w:t xml:space="preserve">Williamson</w:t>
      </w:r>
      <w:r>
        <w:t xml:space="preserve"> </w:t>
      </w:r>
      <w:r>
        <w:t xml:space="preserve">(1964) gasta de más en personal y en emolumentos: en las recesiones, cuando el beneficio se acerca al mínimo, los recortes de personal y de gastos discrecionales son mayores de lo que predice la maximización del beneficio.</w:t>
      </w:r>
    </w:p>
    <w:p>
      <w:pPr>
        <w:numPr>
          <w:ilvl w:val="0"/>
          <w:numId w:val="1029"/>
        </w:numPr>
      </w:pPr>
      <w:r>
        <w:t xml:space="preserve">Para acercar la decisión a la del accionista se puede ligar la retribución al beneficio o a la cotización (el directivo valora más el beneficio y sus curvas de indiferencia se hacen más planas en ese plano, lo que acerca la tangencia al máximo: en el gráfico </w:t>
      </w:r>
      <w:hyperlink w:anchor="fig_williamson_gerencial">
        <w:r>
          <w:rPr>
            <w:rStyle w:val="Hyperlink"/>
          </w:rPr>
          <w:t xml:space="preserve">5</w:t>
        </w:r>
      </w:hyperlink>
      <w:r>
        <w:t xml:space="preserve">, la curva</w:t>
      </w:r>
      <w:r>
        <w:t xml:space="preserve"> </w:t>
      </w:r>
      <m:oMath>
        <m:r>
          <m:t>U</m:t>
        </m:r>
        <m:r>
          <m:rPr>
            <m:sty m:val="p"/>
          </m:rPr>
          <m:t>′</m:t>
        </m:r>
      </m:oMath>
      <w:r>
        <w:t xml:space="preserve"> </w:t>
      </w:r>
      <w:r>
        <w:t xml:space="preserve">y el punto</w:t>
      </w:r>
      <w:r>
        <w:t xml:space="preserve"> </w:t>
      </w:r>
      <m:oMath>
        <m:sSup>
          <m:e>
            <m:r>
              <m:t>S</m:t>
            </m:r>
          </m:e>
          <m:sup>
            <m:r>
              <m:rPr>
                <m:sty m:val="p"/>
              </m:rPr>
              <m:t>*</m:t>
            </m:r>
            <m:r>
              <m:rPr>
                <m:sty m:val="p"/>
              </m:rPr>
              <m:t>*</m:t>
            </m:r>
          </m:sup>
        </m:sSup>
      </m:oMath>
      <w:r>
        <w:t xml:space="preserve">), exigir más transparencia y códigos éticos o comparar la gestión con la de empresas parecidas a través de los mercados financieros. La retribución con opciones sobre acciones tiene, a su vez, un riesgo: empujar a operaciones que suban la cotización a corto plazo aunque sean demasiado arriesgadas, por lo que suele diferirse en el tiempo para que el directivo se interese por la supervivencia de la empresa.</w:t>
      </w:r>
    </w:p>
    <w:bookmarkEnd w:id="80"/>
    <w:bookmarkEnd w:id="81"/>
    <w:bookmarkStart w:id="82" w:name="c_valoraci__n_de_los_objetivos_a_l_95934"/>
    <w:p>
      <w:pPr>
        <w:pStyle w:val="Heading4"/>
      </w:pPr>
      <w:r>
        <w:t xml:space="preserve">c) Valoración: de los objetivos a los incentivos</w:t>
      </w:r>
    </w:p>
    <w:p>
      <w:pPr>
        <w:numPr>
          <w:ilvl w:val="0"/>
          <w:numId w:val="1030"/>
        </w:numPr>
      </w:pPr>
      <w:r>
        <w:t xml:space="preserve">Las teorías gerenciales describen bien el conflicto, pero mantienen el supuesto neoclásico de</w:t>
      </w:r>
      <w:r>
        <w:t xml:space="preserve"> </w:t>
      </w:r>
      <w:r>
        <w:rPr>
          <w:i/>
          <w:iCs/>
        </w:rPr>
        <w:t xml:space="preserve">información perfecta y simétrica</w:t>
      </w:r>
      <w:r>
        <w:t xml:space="preserve">, y con él no explican por qué los propietarios no lo resuelven. Si pudieran observar lo que hacen los directivos, les impondrían el objetivo del beneficio: el conflicto de objetivos solo aparta a la empresa del máximo beneficio si hay</w:t>
      </w:r>
      <w:r>
        <w:t xml:space="preserve"> </w:t>
      </w:r>
      <w:r>
        <w:rPr>
          <w:i/>
          <w:iCs/>
        </w:rPr>
        <w:t xml:space="preserve">información asimétrica</w:t>
      </w:r>
      <w:r>
        <w:t xml:space="preserve">.</w:t>
      </w:r>
    </w:p>
    <w:p>
      <w:pPr>
        <w:numPr>
          <w:ilvl w:val="0"/>
          <w:numId w:val="1030"/>
        </w:numPr>
      </w:pPr>
      <w:r>
        <w:t xml:space="preserve">La bisagra 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presión competitiva, las empresas producen por encima del coste mínimo,</w:t>
      </w:r>
      <w:r>
        <w:t xml:space="preserve"> </w:t>
      </w: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 </w:t>
      </w:r>
      <w:r>
        <w:t xml:space="preserve">y decreciente en la competencia</w:t>
      </w:r>
      <w:r>
        <w:t xml:space="preserve"> </w:t>
      </w:r>
      <w:hyperlink r:id="rId24">
        <w:r>
          <w:rPr>
            <w:rStyle w:val="Referenciaatema"/>
          </w:rPr>
          <w:t xml:space="preserve">[ver tema 3.A.12]</w:t>
        </w:r>
      </w:hyperlink>
      <w:r>
        <w:t xml:space="preserve">; «el mejor de los beneficios del monopolio es una vida tranquila»</w:t>
      </w:r>
      <w:r>
        <w:t xml:space="preserve"> </w:t>
      </w:r>
      <w:r>
        <w:t xml:space="preserve">(</w:t>
      </w:r>
      <w:hyperlink w:anchor="ref_Hicks1935Annual">
        <w:r>
          <w:rPr>
            <w:rStyle w:val="Hyperlink"/>
            <w:smallCaps/>
          </w:rPr>
          <w:t xml:space="preserve">Hicks</w:t>
        </w:r>
        <w:r>
          <w:rPr>
            <w:rStyle w:val="Hyperlink"/>
          </w:rPr>
          <w:t xml:space="preserve">, 1935</w:t>
        </w:r>
      </w:hyperlink>
      <w:r>
        <w:t xml:space="preserve">)</w:t>
      </w:r>
      <w:r>
        <w:t xml:space="preserve">.</w:t>
      </w:r>
      <w:r>
        <w:t xml:space="preserve"> </w:t>
      </w: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no es ineficiencia, sino minimización con otros costes: vigilar el esfuerzo solo compensa hasta que su coste marginal iguala su beneficio marginal. El debate desemboca en la teoría de la agencia y, después, en la de los contratos incompletos (</w:t>
      </w:r>
      <w:hyperlink w:anchor="sec_contratos_incompletos">
        <w:r>
          <w:rPr>
            <w:rStyle w:val="Hyperlink"/>
          </w:rPr>
          <w:t xml:space="preserve">II.3</w:t>
        </w:r>
      </w:hyperlink>
      <w:r>
        <w:t xml:space="preserve">).</w:t>
      </w:r>
    </w:p>
    <w:bookmarkEnd w:id="82"/>
    <w:bookmarkEnd w:id="83"/>
    <w:bookmarkStart w:id="93" w:name="sec_agencia"/>
    <w:p>
      <w:pPr>
        <w:pStyle w:val="Heading3"/>
      </w:pPr>
      <w:r>
        <w:t xml:space="preserve">I.2.3.</w:t>
      </w:r>
      <w:r>
        <w:t xml:space="preserve"> </w:t>
      </w:r>
      <w:r>
        <w:t xml:space="preserve">La teoría de la agencia</w:t>
      </w:r>
    </w:p>
    <w:bookmarkStart w:id="84" w:name="a_idea_2"/>
    <w:p>
      <w:pPr>
        <w:pStyle w:val="Heading4"/>
      </w:pPr>
      <w:r>
        <w:t xml:space="preserve">a) Idea</w:t>
      </w:r>
    </w:p>
    <w:p>
      <w:pPr>
        <w:numPr>
          <w:ilvl w:val="0"/>
          <w:numId w:val="1031"/>
        </w:numPr>
      </w:pPr>
      <w:r>
        <w:t xml:space="preserve">Hoy los problemas que crea la separación entre propiedad y dirección se analizan con la</w:t>
      </w:r>
      <w:r>
        <w:t xml:space="preserve"> </w:t>
      </w:r>
      <w:r>
        <w:rPr>
          <w:b/>
          <w:bCs/>
        </w:rPr>
        <w:t xml:space="preserve">teoría de la agencia</w:t>
      </w:r>
      <w:r>
        <w:t xml:space="preserve">, que añade lo que faltaba: la información asimétrica. La</w:t>
      </w:r>
      <w:r>
        <w:t xml:space="preserve"> </w:t>
      </w:r>
      <w:r>
        <w:rPr>
          <w:b/>
          <w:bCs/>
        </w:rPr>
        <w:t xml:space="preserve">relación de agencia</w:t>
      </w:r>
      <w:r>
        <w:t xml:space="preserve"> </w:t>
      </w:r>
      <w:r>
        <w:t xml:space="preserve">une a un</w:t>
      </w:r>
      <w:r>
        <w:t xml:space="preserve"> </w:t>
      </w:r>
      <w:r>
        <w:rPr>
          <w:i/>
          <w:iCs/>
        </w:rPr>
        <w:t xml:space="preserve">principal</w:t>
      </w:r>
      <w:r>
        <w:t xml:space="preserve"> </w:t>
      </w:r>
      <w:r>
        <w:t xml:space="preserve">(los accionistas) que delega una tarea en un</w:t>
      </w:r>
      <w:r>
        <w:t xml:space="preserve"> </w:t>
      </w:r>
      <w:r>
        <w:rPr>
          <w:i/>
          <w:iCs/>
        </w:rPr>
        <w:t xml:space="preserve">agente</w:t>
      </w:r>
      <w:r>
        <w:t xml:space="preserve"> </w:t>
      </w:r>
      <w:r>
        <w:t xml:space="preserve">(el directivo) cuyas acciones no observa del todo</w:t>
      </w:r>
      <w:r>
        <w:t xml:space="preserve"> </w:t>
      </w:r>
      <w:hyperlink r:id="rId35">
        <w:r>
          <w:rPr>
            <w:rStyle w:val="Referenciaatema"/>
          </w:rPr>
          <w:t xml:space="preserve">[ver tema 3.A.13]</w:t>
        </w:r>
      </w:hyperlink>
      <w:r>
        <w:t xml:space="preserve">.</w:t>
      </w:r>
    </w:p>
    <w:bookmarkEnd w:id="84"/>
    <w:bookmarkStart w:id="89" w:name="b_modelo_2"/>
    <w:p>
      <w:pPr>
        <w:pStyle w:val="Heading4"/>
      </w:pPr>
      <w:r>
        <w:t xml:space="preserve">b) Modelo</w:t>
      </w:r>
    </w:p>
    <w:bookmarkStart w:id="86" w:name="i_supuestos_2"/>
    <w:p>
      <w:pPr>
        <w:pStyle w:val="Heading5"/>
      </w:pPr>
      <w:r>
        <w:t xml:space="preserve">i) Supuestos</w:t>
      </w:r>
    </w:p>
    <w:p>
      <w:pPr>
        <w:keepNext/>
        <w:numPr>
          <w:ilvl w:val="0"/>
          <w:numId w:val="1032"/>
        </w:numPr>
      </w:pPr>
      <w:r>
        <w:t xml:space="preserve">Hay un problema de</w:t>
      </w:r>
      <w:r>
        <w:t xml:space="preserve"> </w:t>
      </w:r>
      <w:r>
        <w:rPr>
          <w:b/>
          <w:bCs/>
        </w:rPr>
        <w:t xml:space="preserve">riesgo moral</w:t>
      </w:r>
      <w:r>
        <w:t xml:space="preserve"> </w:t>
      </w:r>
      <w:r>
        <w:t xml:space="preserve">(acción oculta, después de firmar el contrato) si se dan 3 condiciones:</w:t>
      </w:r>
    </w:p>
    <w:p>
      <w:pPr>
        <w:numPr>
          <w:ilvl w:val="1"/>
          <w:numId w:val="1033"/>
        </w:numPr>
      </w:pPr>
      <w:r>
        <w:rPr>
          <w:i/>
          <w:iCs/>
        </w:rPr>
        <w:t xml:space="preserve">acción oculta</w:t>
      </w:r>
      <w:r>
        <w:t xml:space="preserve">: la acción del agente (su esfuerzo) no es observable ni verificable;</w:t>
      </w:r>
    </w:p>
    <w:p>
      <w:pPr>
        <w:numPr>
          <w:ilvl w:val="1"/>
          <w:numId w:val="1033"/>
        </w:numPr>
      </w:pPr>
      <w:r>
        <w:rPr>
          <w:i/>
          <w:iCs/>
        </w:rPr>
        <w:t xml:space="preserve">conflicto de intereses</w:t>
      </w:r>
      <w:r>
        <w:t xml:space="preserve">: el esfuerzo le cuesta al agente y beneficia al principal;</w:t>
      </w:r>
    </w:p>
    <w:p>
      <w:pPr>
        <w:numPr>
          <w:ilvl w:val="1"/>
          <w:numId w:val="1033"/>
        </w:numPr>
      </w:pPr>
      <w:r>
        <w:rPr>
          <w:i/>
          <w:iCs/>
        </w:rPr>
        <w:t xml:space="preserve">riesgo y aversión</w:t>
      </w:r>
      <w:r>
        <w:t xml:space="preserve">: el resultado depende también del azar, de modo que no revela la acción, y el agente es averso al riesgo.</w:t>
      </w:r>
    </w:p>
    <w:p>
      <w:pPr>
        <w:numPr>
          <w:ilvl w:val="0"/>
          <w:numId w:val="1000"/>
        </w:numPr>
      </w:pPr>
      <w:r>
        <w:t xml:space="preserve">La relación entre propietarios y directivos es de este tipo.</w:t>
      </w:r>
      <w:r>
        <w:rPr>
          <w:rStyle w:val="FootnoteReference"/>
        </w:rPr>
        <w:footnoteReference w:id="85"/>
      </w:r>
    </w:p>
    <w:bookmarkEnd w:id="86"/>
    <w:bookmarkStart w:id="87" w:name="ii_desarrollo_2"/>
    <w:p>
      <w:pPr>
        <w:pStyle w:val="Heading5"/>
      </w:pPr>
      <w:r>
        <w:t xml:space="preserve">ii) Desarrollo</w:t>
      </w:r>
    </w:p>
    <w:p>
      <w:pPr>
        <w:numPr>
          <w:ilvl w:val="0"/>
          <w:numId w:val="1034"/>
        </w:numPr>
      </w:pPr>
      <w:r>
        <w:t xml:space="preserve">El contrato óptimo resuelve un dilema:</w:t>
      </w:r>
      <w:r>
        <w:t xml:space="preserve"> </w:t>
      </w:r>
      <w:r>
        <w:rPr>
          <w:i/>
          <w:iCs/>
        </w:rPr>
        <w:t xml:space="preserve">dar incentivos</w:t>
      </w:r>
      <w:r>
        <w:t xml:space="preserve"> </w:t>
      </w:r>
      <w:r>
        <w:t xml:space="preserve">exige que el pago dependa del resultado, y eso carga riesgo sobre el agente, que pide una compensación;</w:t>
      </w:r>
      <w:r>
        <w:t xml:space="preserve"> </w:t>
      </w:r>
      <w:r>
        <w:rPr>
          <w:i/>
          <w:iCs/>
        </w:rPr>
        <w:t xml:space="preserve">repartir bien el riesgo</w:t>
      </w:r>
      <w:r>
        <w:t xml:space="preserve"> </w:t>
      </w:r>
      <w:r>
        <w:t xml:space="preserve">exige un pago fijo, que no da incentivos</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principal elige el contrato que maximiza su beneficio esperado sujeto a la</w:t>
      </w:r>
      <w:r>
        <w:t xml:space="preserve"> </w:t>
      </w:r>
      <w:r>
        <w:rPr>
          <w:b/>
          <w:bCs/>
        </w:rPr>
        <w:t xml:space="preserve">restricción de participación</w:t>
      </w:r>
      <w:r>
        <w:t xml:space="preserve"> </w:t>
      </w:r>
      <w:r>
        <w:t xml:space="preserve">(PC), que el agente acepte el contrato, y a la</w:t>
      </w:r>
      <w:r>
        <w:t xml:space="preserve"> </w:t>
      </w:r>
      <w:r>
        <w:rPr>
          <w:b/>
          <w:bCs/>
        </w:rPr>
        <w:t xml:space="preserve">restricción de compatibilidad de incentivos</w:t>
      </w:r>
      <w:r>
        <w:t xml:space="preserve"> </w:t>
      </w:r>
      <w:r>
        <w:t xml:space="preserve">(IC), que al agente le convenga esforzarse. La diferencia con lo que costaría ese esfuerzo si fuera observable es el</w:t>
      </w:r>
      <w:r>
        <w:t xml:space="preserve"> </w:t>
      </w:r>
      <w:r>
        <w:rPr>
          <w:b/>
          <w:bCs/>
        </w:rPr>
        <w:t xml:space="preserve">coste de agencia</w:t>
      </w:r>
      <w:r>
        <w:t xml:space="preserve"> </w:t>
      </w:r>
      <w:hyperlink r:id="rId35">
        <w:r>
          <w:rPr>
            <w:rStyle w:val="Referenciaatema"/>
          </w:rPr>
          <w:t xml:space="preserve">[ver tema 3.A.13]</w:t>
        </w:r>
      </w:hyperlink>
      <w:r>
        <w:t xml:space="preserve">.</w:t>
      </w:r>
    </w:p>
    <w:p>
      <w:pPr>
        <w:keepNext/>
        <w:numPr>
          <w:ilvl w:val="0"/>
          <w:numId w:val="1034"/>
        </w:numPr>
      </w:pP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ven la empresa como un</w:t>
      </w:r>
      <w:r>
        <w:t xml:space="preserve"> </w:t>
      </w:r>
      <w:r>
        <w:rPr>
          <w:b/>
          <w:bCs/>
        </w:rPr>
        <w:t xml:space="preserve">nexo de contratos</w:t>
      </w:r>
      <w:r>
        <w:t xml:space="preserve"> </w:t>
      </w:r>
      <w:r>
        <w:t xml:space="preserve">y llaman</w:t>
      </w:r>
      <w:r>
        <w:t xml:space="preserve"> </w:t>
      </w:r>
      <w:r>
        <w:rPr>
          <w:b/>
          <w:bCs/>
        </w:rPr>
        <w:t xml:space="preserve">costes de agencia</w:t>
      </w:r>
      <w:r>
        <w:t xml:space="preserve"> </w:t>
      </w:r>
      <w:r>
        <w:t xml:space="preserve">a la suma de 3 partidas:</w:t>
      </w:r>
    </w:p>
    <w:p>
      <w:pPr>
        <w:numPr>
          <w:ilvl w:val="1"/>
          <w:numId w:val="1035"/>
        </w:numPr>
      </w:pPr>
      <w:r>
        <w:t xml:space="preserve">los</w:t>
      </w:r>
      <w:r>
        <w:t xml:space="preserve"> </w:t>
      </w:r>
      <w:r>
        <w:rPr>
          <w:i/>
          <w:iCs/>
        </w:rPr>
        <w:t xml:space="preserve">costes de supervisión</w:t>
      </w:r>
      <w:r>
        <w:t xml:space="preserve"> </w:t>
      </w:r>
      <w:r>
        <w:t xml:space="preserve">que soporta el principal (auditorías, consejos, presupuestos);</w:t>
      </w:r>
    </w:p>
    <w:p>
      <w:pPr>
        <w:numPr>
          <w:ilvl w:val="1"/>
          <w:numId w:val="1035"/>
        </w:numPr>
      </w:pPr>
      <w:r>
        <w:t xml:space="preserve">los</w:t>
      </w:r>
      <w:r>
        <w:t xml:space="preserve"> </w:t>
      </w:r>
      <w:r>
        <w:rPr>
          <w:i/>
          <w:iCs/>
        </w:rPr>
        <w:t xml:space="preserve">costes de compromiso</w:t>
      </w:r>
      <w:r>
        <w:t xml:space="preserve"> </w:t>
      </w:r>
      <w:r>
        <w:t xml:space="preserve">(</w:t>
      </w:r>
      <w:r>
        <w:rPr>
          <w:i/>
          <w:iCs/>
        </w:rPr>
        <w:t xml:space="preserve">bonding</w:t>
      </w:r>
      <w:r>
        <w:t xml:space="preserve">) que asume el agente para garantizar que no actuará contra el principal;</w:t>
      </w:r>
    </w:p>
    <w:p>
      <w:pPr>
        <w:numPr>
          <w:ilvl w:val="1"/>
          <w:numId w:val="1035"/>
        </w:numPr>
      </w:pPr>
      <w:r>
        <w:t xml:space="preserve">la</w:t>
      </w:r>
      <w:r>
        <w:t xml:space="preserve"> </w:t>
      </w:r>
      <w:r>
        <w:rPr>
          <w:i/>
          <w:iCs/>
        </w:rPr>
        <w:t xml:space="preserve">pérdida residual</w:t>
      </w:r>
      <w:r>
        <w:t xml:space="preserve">: lo que se sigue perdiendo porque, pese a todo, las decisiones del agente no son las que tomaría el principal.</w:t>
      </w:r>
    </w:p>
    <w:bookmarkEnd w:id="87"/>
    <w:bookmarkStart w:id="88" w:name="iii_implicaciones_2"/>
    <w:p>
      <w:pPr>
        <w:pStyle w:val="Heading5"/>
      </w:pPr>
      <w:r>
        <w:t xml:space="preserve">iii) Implicaciones</w:t>
      </w:r>
    </w:p>
    <w:p>
      <w:pPr>
        <w:numPr>
          <w:ilvl w:val="0"/>
          <w:numId w:val="1036"/>
        </w:numPr>
      </w:pPr>
      <w:r>
        <w:t xml:space="preserve">Los costes de agencia crecen con la separación entre propiedad y control y con el número de niveles de la jerarquía: son otro</w:t>
      </w:r>
      <w:r>
        <w:t xml:space="preserve"> </w:t>
      </w:r>
      <w:r>
        <w:rPr>
          <w:i/>
          <w:iCs/>
        </w:rPr>
        <w:t xml:space="preserve">límite al tamaño</w:t>
      </w:r>
      <w:r>
        <w:t xml:space="preserve"> </w:t>
      </w:r>
      <w:r>
        <w:t xml:space="preserve">de la empresa.</w:t>
      </w:r>
    </w:p>
    <w:p>
      <w:pPr>
        <w:numPr>
          <w:ilvl w:val="0"/>
          <w:numId w:val="1036"/>
        </w:numPr>
      </w:pPr>
      <w:r>
        <w:t xml:space="preserve">Unos incentivos insuficientes llevan al directivo a no tomar las decisiones que aumentarían el beneficio, pero unos incentivos desmedidos o mal diseñados lo empujan a asumir riesgos excesivos.</w:t>
      </w:r>
      <w:r>
        <w:t xml:space="preserve"> </w:t>
      </w:r>
      <w:r>
        <w:rPr>
          <w:i/>
          <w:iCs/>
        </w:rPr>
        <w:t xml:space="preserve">Ejemplo</w:t>
      </w:r>
      <w:r>
        <w:t xml:space="preserve">: antes de la crisis de 2008, en muchas entidades de crédito españolas los directores de oficina se evaluaban por el volumen de crédito concedido, sin ponderar bien su riesgo. Los incentivos empujaban a prestar de más, también a clientes de dudosa solvencia, en contra del valor de la entidad a largo plazo.</w:t>
      </w:r>
    </w:p>
    <w:bookmarkEnd w:id="88"/>
    <w:bookmarkEnd w:id="89"/>
    <w:bookmarkStart w:id="92" w:name="c_valoraci__n_la_disciplina_del_mercado"/>
    <w:p>
      <w:pPr>
        <w:pStyle w:val="Heading4"/>
      </w:pPr>
      <w:r>
        <w:t xml:space="preserve">c) Valoración: la disciplina del mercado</w:t>
      </w:r>
    </w:p>
    <w:p>
      <w:pPr>
        <w:keepNext/>
        <w:numPr>
          <w:ilvl w:val="0"/>
          <w:numId w:val="1037"/>
        </w:numPr>
      </w:pPr>
      <w:r>
        <w:t xml:space="preserve">La teoría de la agencia, por ser estática, puede exagerar la discrecionalidad de los directivos. En un contexto dinámico, la competencia la limita:</w:t>
      </w:r>
    </w:p>
    <w:p>
      <w:pPr>
        <w:numPr>
          <w:ilvl w:val="1"/>
          <w:numId w:val="1038"/>
        </w:numPr>
      </w:pPr>
      <w:r>
        <w:t xml:space="preserve">la</w:t>
      </w:r>
      <w:r>
        <w:t xml:space="preserve"> </w:t>
      </w:r>
      <w:r>
        <w:rPr>
          <w:i/>
          <w:iCs/>
        </w:rPr>
        <w:t xml:space="preserve">comparación</w:t>
      </w:r>
      <w:r>
        <w:t xml:space="preserve"> </w:t>
      </w:r>
      <w:r>
        <w:t xml:space="preserve">con otras empresas o con otras divisiones de la misma, que filtra el azar común</w:t>
      </w:r>
      <w:r>
        <w:t xml:space="preserve"> </w:t>
      </w:r>
      <w:hyperlink r:id="rId35">
        <w:r>
          <w:rPr>
            <w:rStyle w:val="Referenciaatema"/>
          </w:rPr>
          <w:t xml:space="preserve">[ver tema 3.A.13]</w:t>
        </w:r>
      </w:hyperlink>
      <w:r>
        <w:t xml:space="preserve">;</w:t>
      </w:r>
    </w:p>
    <w:p>
      <w:pPr>
        <w:numPr>
          <w:ilvl w:val="1"/>
          <w:numId w:val="1038"/>
        </w:numPr>
      </w:pPr>
      <w:r>
        <w:t xml:space="preserve">el</w:t>
      </w:r>
      <w:r>
        <w:t xml:space="preserve"> </w:t>
      </w:r>
      <w:r>
        <w:rPr>
          <w:i/>
          <w:iCs/>
        </w:rPr>
        <w:t xml:space="preserve">mercado de control empresarial</w:t>
      </w:r>
      <w:r>
        <w:t xml:space="preserve">: si la empresa vale menos de lo que podría, otro puede comprarla y sustituir a la dirección</w:t>
      </w:r>
      <w:r>
        <w:t xml:space="preserve"> </w:t>
      </w:r>
      <w:r>
        <w:t xml:space="preserve">(</w:t>
      </w:r>
      <w:hyperlink w:anchor="ref_Manne1965Mergers">
        <w:r>
          <w:rPr>
            <w:rStyle w:val="Hyperlink"/>
            <w:smallCaps/>
          </w:rPr>
          <w:t xml:space="preserve">Manne</w:t>
        </w:r>
        <w:r>
          <w:rPr>
            <w:rStyle w:val="Hyperlink"/>
          </w:rPr>
          <w:t xml:space="preserve">, 1965</w:t>
        </w:r>
      </w:hyperlink>
      <w:r>
        <w:t xml:space="preserve">)</w:t>
      </w:r>
      <w:r>
        <w:t xml:space="preserve"> </w:t>
      </w:r>
      <w:hyperlink r:id="rId63">
        <w:r>
          <w:rPr>
            <w:rStyle w:val="Referenciaatema"/>
          </w:rPr>
          <w:t xml:space="preserve">[ver tema 3.B.4]</w:t>
        </w:r>
      </w:hyperlink>
      <w:r>
        <w:t xml:space="preserve">;</w:t>
      </w:r>
    </w:p>
    <w:p>
      <w:pPr>
        <w:numPr>
          <w:ilvl w:val="1"/>
          <w:numId w:val="1038"/>
        </w:numPr>
      </w:pPr>
      <w:r>
        <w:t xml:space="preserve">el</w:t>
      </w:r>
      <w:r>
        <w:t xml:space="preserve"> </w:t>
      </w:r>
      <w:r>
        <w:rPr>
          <w:i/>
          <w:iCs/>
        </w:rPr>
        <w:t xml:space="preserve">mercado de directivos</w:t>
      </w:r>
      <w:r>
        <w:t xml:space="preserve">: la reputación disciplina a quien quiere hacer carrera</w:t>
      </w:r>
      <w:r>
        <w:t xml:space="preserve"> </w:t>
      </w:r>
      <w:r>
        <w:t xml:space="preserve">(</w:t>
      </w:r>
      <w:hyperlink w:anchor="ref_Fama1980Agency">
        <w:r>
          <w:rPr>
            <w:rStyle w:val="Hyperlink"/>
            <w:smallCaps/>
          </w:rPr>
          <w:t xml:space="preserve">Fama</w:t>
        </w:r>
        <w:r>
          <w:rPr>
            <w:rStyle w:val="Hyperlink"/>
          </w:rPr>
          <w:t xml:space="preserve">, 1980</w:t>
        </w:r>
      </w:hyperlink>
      <w:r>
        <w:t xml:space="preserve">;</w:t>
      </w:r>
      <w:r>
        <w:t xml:space="preserve"> </w:t>
      </w:r>
      <w:hyperlink w:anchor="ref_Holmstrom1999Managerial">
        <w:r>
          <w:rPr>
            <w:rStyle w:val="Hyperlink"/>
            <w:smallCaps/>
          </w:rPr>
          <w:t xml:space="preserve">Holmström</w:t>
        </w:r>
        <w:r>
          <w:rPr>
            <w:rStyle w:val="Hyperlink"/>
          </w:rPr>
          <w:t xml:space="preserve">, 1999</w:t>
        </w:r>
      </w:hyperlink>
      <w:r>
        <w:t xml:space="preserve">)</w:t>
      </w:r>
      <w:r>
        <w:t xml:space="preserve">;</w:t>
      </w:r>
    </w:p>
    <w:p>
      <w:pPr>
        <w:numPr>
          <w:ilvl w:val="1"/>
          <w:numId w:val="1038"/>
        </w:numPr>
      </w:pPr>
      <w:r>
        <w:t xml:space="preserve">la</w:t>
      </w:r>
      <w:r>
        <w:t xml:space="preserve"> </w:t>
      </w:r>
      <w:r>
        <w:rPr>
          <w:i/>
          <w:iCs/>
        </w:rPr>
        <w:t xml:space="preserve">competencia en el mercado del producto</w:t>
      </w:r>
      <w:r>
        <w:t xml:space="preserve">, que reduce el margen para la ineficiencia X.</w:t>
      </w:r>
    </w:p>
    <w:p>
      <w:pPr>
        <w:keepNext/>
        <w:numPr>
          <w:ilvl w:val="0"/>
          <w:numId w:val="1037"/>
        </w:numPr>
      </w:pPr>
      <w:r>
        <w:t xml:space="preserve">Donde esa disciplina falta, los problemas de agencia son mayores:</w:t>
      </w:r>
    </w:p>
    <w:p>
      <w:pPr>
        <w:numPr>
          <w:ilvl w:val="1"/>
          <w:numId w:val="1039"/>
        </w:numPr>
      </w:pPr>
      <w:r>
        <w:t xml:space="preserve">en la</w:t>
      </w:r>
      <w:r>
        <w:t xml:space="preserve"> </w:t>
      </w:r>
      <w:r>
        <w:rPr>
          <w:i/>
          <w:iCs/>
        </w:rPr>
        <w:t xml:space="preserve">empresa pública</w:t>
      </w:r>
      <w:r>
        <w:t xml:space="preserve"> </w:t>
      </w:r>
      <w:r>
        <w:t xml:space="preserve">no hay mercado de control: el burócrata puede maximizar su presupuesto, con exceso de tamaño</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Es uno de los fallos del sector público</w:t>
      </w:r>
      <w:r>
        <w:t xml:space="preserve"> </w:t>
      </w:r>
      <w:hyperlink r:id="rId30">
        <w:r>
          <w:rPr>
            <w:rStyle w:val="Referenciaatema"/>
          </w:rPr>
          <w:t xml:space="preserve">[ver tema 3.A.23]</w:t>
        </w:r>
      </w:hyperlink>
      <w:r>
        <w:t xml:space="preserve"> </w:t>
      </w:r>
      <w:r>
        <w:t xml:space="preserve">que, desde los años 80, se usaron para justificar las privatizaciones (someter las empresas a la disciplina del mercado) y las liberalizaciones (bajar las barreras para que la competencia potencial impida las conductas estratégicas); para ampliar,</w:t>
      </w:r>
      <w:r>
        <w:t xml:space="preserve"> </w:t>
      </w:r>
      <w:hyperlink r:id="rId90">
        <w:r>
          <w:rPr>
            <w:rStyle w:val="Referenciaatema"/>
          </w:rPr>
          <w:t xml:space="preserve">[ver tema 4.B.2]</w:t>
        </w:r>
      </w:hyperlink>
      <w:r>
        <w:t xml:space="preserve"> </w:t>
      </w:r>
      <w:r>
        <w:t xml:space="preserve">y</w:t>
      </w:r>
      <w:r>
        <w:t xml:space="preserve"> </w:t>
      </w:r>
      <w:hyperlink r:id="rId91">
        <w:r>
          <w:rPr>
            <w:rStyle w:val="Referenciaatema"/>
          </w:rPr>
          <w:t xml:space="preserve">[ver tema 4.B.15]</w:t>
        </w:r>
      </w:hyperlink>
      <w:r>
        <w:t xml:space="preserve">;</w:t>
      </w:r>
    </w:p>
    <w:p>
      <w:pPr>
        <w:numPr>
          <w:ilvl w:val="1"/>
          <w:numId w:val="1039"/>
        </w:numPr>
      </w:pPr>
      <w:r>
        <w:t xml:space="preserve">en la</w:t>
      </w:r>
      <w:r>
        <w:t xml:space="preserve"> </w:t>
      </w:r>
      <w:r>
        <w:rPr>
          <w:i/>
          <w:iCs/>
        </w:rPr>
        <w:t xml:space="preserve">empresa privada</w:t>
      </w:r>
      <w:r>
        <w:t xml:space="preserve">, los escándalos financieros, como la quiebra de Enron en 2001</w:t>
      </w:r>
      <w:r>
        <w:t xml:space="preserve"> </w:t>
      </w:r>
      <w:r>
        <w:t xml:space="preserve">(</w:t>
      </w:r>
      <w:hyperlink w:anchor="ref_HealyPalepu2003Fall">
        <w:r>
          <w:rPr>
            <w:rStyle w:val="Hyperlink"/>
            <w:smallCaps/>
          </w:rPr>
          <w:t xml:space="preserve">Healy</w:t>
        </w:r>
        <w:r>
          <w:rPr>
            <w:rStyle w:val="Hyperlink"/>
          </w:rPr>
          <w:t xml:space="preserve"> </w:t>
        </w:r>
        <w:r>
          <w:rPr>
            <w:rStyle w:val="Hyperlink"/>
          </w:rPr>
          <w:t xml:space="preserve">y</w:t>
        </w:r>
        <w:r>
          <w:rPr>
            <w:rStyle w:val="Hyperlink"/>
          </w:rPr>
          <w:t xml:space="preserve"> </w:t>
        </w:r>
        <w:r>
          <w:rPr>
            <w:rStyle w:val="Hyperlink"/>
            <w:smallCaps/>
          </w:rPr>
          <w:t xml:space="preserve">Palepu</w:t>
        </w:r>
        <w:r>
          <w:rPr>
            <w:rStyle w:val="Hyperlink"/>
          </w:rPr>
          <w:t xml:space="preserve">, 2003</w:t>
        </w:r>
      </w:hyperlink>
      <w:r>
        <w:t xml:space="preserve">)</w:t>
      </w:r>
      <w:r>
        <w:t xml:space="preserve">, impulsaron el</w:t>
      </w:r>
      <w:r>
        <w:t xml:space="preserve"> </w:t>
      </w:r>
      <w:r>
        <w:rPr>
          <w:b/>
          <w:bCs/>
        </w:rPr>
        <w:t xml:space="preserve">gobierno corporativo</w:t>
      </w:r>
      <w:r>
        <w:t xml:space="preserve">: en España, códigos de buen gobierno de asunción voluntaria con el principio de «cumplir o explicar», del Informe Olivencia (1998) al Código de buen gobierno de las sociedades cotizadas de la CNMV, de 2015 y revisado en 2020</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20CBG">
        <w:r>
          <w:rPr>
            <w:rStyle w:val="Hyperlink"/>
            <w:smallCaps/>
          </w:rPr>
          <w:t xml:space="preserve">Comisión Nacional del Mercado de Valores</w:t>
        </w:r>
        <w:r>
          <w:rPr>
            <w:rStyle w:val="Hyperlink"/>
          </w:rPr>
          <w:t xml:space="preserve">, 2020</w:t>
        </w:r>
      </w:hyperlink>
      <w:r>
        <w:t xml:space="preserve">)</w:t>
      </w:r>
      <w:r>
        <w:t xml:space="preserve">, y la reforma penal de la administración desleal</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 </w:t>
      </w:r>
      <w:r>
        <w:t xml:space="preserve">(anexo </w:t>
      </w:r>
      <w:hyperlink w:anchor="anexo_gobierno_corporativo">
        <w:r>
          <w:rPr>
            <w:rStyle w:val="Hyperlink"/>
          </w:rPr>
          <w:t xml:space="preserve">D</w:t>
        </w:r>
      </w:hyperlink>
      <w:r>
        <w:t xml:space="preserve">).</w:t>
      </w:r>
    </w:p>
    <w:p>
      <w:pPr>
        <w:numPr>
          <w:ilvl w:val="0"/>
          <w:numId w:val="1040"/>
        </w:numPr>
      </w:pPr>
      <w:r>
        <w:rPr>
          <w:i/>
          <w:iCs/>
        </w:rPr>
        <w:t xml:space="preserve">Recapitulación del bloque </w:t>
      </w:r>
      <w:hyperlink w:anchor="sec_tamano_limites">
        <w:r>
          <w:rPr>
            <w:rStyle w:val="Hyperlink"/>
            <w:i/>
            <w:iCs/>
          </w:rPr>
          <w:t xml:space="preserve">I</w:t>
        </w:r>
      </w:hyperlink>
      <w:r>
        <w:t xml:space="preserve">: la tecnología fija el tamaño eficiente de la planta, la escala mínima eficiente, y cuántas empresas caben en el mercado; los límites al tamaño de la empresa están dentro de ella: en la capacidad de dirección, en los objetivos de los directivos y en los incentivos con información asimétrica. Pero la tecnología no explica por qué esas economías se aprovechan dentro de una empresa y no con contratos entre empresas: es el puzle que abre la economía de los costes de transacción.</w:t>
      </w:r>
    </w:p>
    <w:bookmarkEnd w:id="92"/>
    <w:bookmarkEnd w:id="93"/>
    <w:bookmarkEnd w:id="94"/>
    <w:bookmarkEnd w:id="95"/>
    <w:bookmarkStart w:id="141" w:name="sec_costes_transaccion"/>
    <w:p>
      <w:pPr>
        <w:pStyle w:val="Heading1"/>
      </w:pPr>
      <w:r>
        <w:t xml:space="preserve">II.</w:t>
      </w:r>
      <w:r>
        <w:t xml:space="preserve"> </w:t>
      </w:r>
      <w:r>
        <w:t xml:space="preserve">La economía de los costes de transacción</w:t>
      </w:r>
      <w:r>
        <w:t xml:space="preserve"> </w:t>
      </w:r>
      <w:r>
        <w:rPr>
          <w:rStyle w:val="Minutos"/>
        </w:rPr>
        <w:t xml:space="preserve">9′30″</w:t>
      </w:r>
    </w:p>
    <w:p>
      <w:pPr>
        <w:pStyle w:val="Notaalopositor"/>
      </w:pPr>
      <w:r>
        <w:rPr>
          <w:b/>
          <w:bCs/>
        </w:rPr>
        <w:t xml:space="preserve">Nota al opositor. </w:t>
      </w:r>
      <w:r>
        <w:t xml:space="preserve">Es la «mención especial» del título y el núcleo de la exposición. En el cante: la pregunta de</w:t>
      </w:r>
      <w:r>
        <w:t xml:space="preserve"> </w:t>
      </w:r>
      <w:r>
        <w:rPr>
          <w:smallCaps/>
        </w:rPr>
        <w:t xml:space="preserve">Coase</w:t>
      </w:r>
      <w:r>
        <w:t xml:space="preserve">, los costes de usar el mercado y la frontera de la empresa en el margen, con su gráfico y su función clave (</w:t>
      </w:r>
      <w:hyperlink w:anchor="eq_coase">
        <w:r>
          <w:rPr>
            <w:rStyle w:val="Hyperlink"/>
          </w:rPr>
          <w:t xml:space="preserve">2</w:t>
        </w:r>
      </w:hyperlink>
      <w:r>
        <w:t xml:space="preserve">) (2′);</w:t>
      </w:r>
      <w:r>
        <w:t xml:space="preserve"> </w:t>
      </w:r>
      <w:r>
        <w:rPr>
          <w:smallCaps/>
        </w:rPr>
        <w:t xml:space="preserve">Williamson</w:t>
      </w:r>
      <w:r>
        <w:t xml:space="preserve">: los 2 supuestos de comportamiento, los 3 atributos de las transacciones, la cuasirrenta y el</w:t>
      </w:r>
      <w:r>
        <w:t xml:space="preserve"> </w:t>
      </w:r>
      <w:r>
        <w:rPr>
          <w:i/>
          <w:iCs/>
        </w:rPr>
        <w:t xml:space="preserve">hold-up</w:t>
      </w:r>
      <w:r>
        <w:t xml:space="preserve"> </w:t>
      </w:r>
      <w:r>
        <w:t xml:space="preserve">con el caso Fisher Body en una frase, las 3 estructuras de gobierno con su gráfico y su función clave (</w:t>
      </w:r>
      <w:hyperlink w:anchor="eq_gobierno">
        <w:r>
          <w:rPr>
            <w:rStyle w:val="Hyperlink"/>
          </w:rPr>
          <w:t xml:space="preserve">3</w:t>
        </w:r>
      </w:hyperlink>
      <w:r>
        <w:t xml:space="preserve">), que se queda en la pizarra, y los límites de la jerarquía (3′30″);</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derechos residuales de control, infrainversión y por qué integrar también tiene costes (2′30″); los otros enfoques en una frase cada uno y las implicaciones de política económica (1′30″). Son de profundización la red de contratos de la nota, la condición de</w:t>
      </w:r>
      <w:r>
        <w:t xml:space="preserve"> </w:t>
      </w:r>
      <w:r>
        <w:rPr>
          <w:smallCaps/>
        </w:rPr>
        <w:t xml:space="preserve">Riordan</w:t>
      </w:r>
      <w:r>
        <w:t xml:space="preserve"> </w:t>
      </w:r>
      <w:r>
        <w:t xml:space="preserve">y</w:t>
      </w:r>
      <w:r>
        <w:t xml:space="preserve"> </w:t>
      </w:r>
      <w:r>
        <w:rPr>
          <w:smallCaps/>
        </w:rPr>
        <w:t xml:space="preserve">Williamson</w:t>
      </w:r>
      <w:r>
        <w:t xml:space="preserve">, la condición de primer orden del modelo de contratos incompletos y su derivación (anexo </w:t>
      </w:r>
      <w:hyperlink w:anchor="anexo_ghm">
        <w:r>
          <w:rPr>
            <w:rStyle w:val="Hyperlink"/>
          </w:rPr>
          <w:t xml:space="preserve">B.3</w:t>
        </w:r>
      </w:hyperlink>
      <w:r>
        <w:t xml:space="preserve">) y el debate sobre Fisher Body.</w:t>
      </w:r>
    </w:p>
    <w:p>
      <w:pPr>
        <w:numPr>
          <w:ilvl w:val="0"/>
          <w:numId w:val="1041"/>
        </w:numPr>
      </w:pPr>
      <w:r>
        <w:t xml:space="preserve">Una vez visto qué fija el tamaño eficiente y qué lo limita, pasamos a la mención especial del título, que levanta el segundo supuesto de la caja negra: ¿por qué hay empresa?</w:t>
      </w:r>
      <w:r>
        <w:t xml:space="preserve"> </w:t>
      </w:r>
      <w:r>
        <w:rPr>
          <w:i/>
          <w:iCs/>
        </w:rPr>
        <w:t xml:space="preserve">Conclusión anticipada</w:t>
      </w:r>
      <w:r>
        <w:t xml:space="preserve">: la empresa existe porque usar el mercado cuesta; integra las transacciones en las que el riesgo de comportamiento oportunista es mayor, las que exigen activos específicos, y su frontera está donde el coste de organizar una transacción más dentro iguala el de hacerla en el mercado. Integrar también tiene costes, y por eso la empresa tiene límites.</w:t>
      </w:r>
    </w:p>
    <w:bookmarkStart w:id="112" w:name="sec_coase"/>
    <w:p>
      <w:pPr>
        <w:pStyle w:val="Heading2"/>
      </w:pPr>
      <w:r>
        <w:t xml:space="preserve">II.1.</w:t>
      </w:r>
      <w:r>
        <w:t xml:space="preserve"> </w:t>
      </w:r>
      <w:r>
        <w:t xml:space="preserve">El enfoque transaccional: los costes de transacción de</w:t>
      </w:r>
      <w:r>
        <w:t xml:space="preserve"> </w:t>
      </w:r>
      <w:r>
        <w:rPr>
          <w:smallCaps/>
        </w:rPr>
        <w:t xml:space="preserve">Coase</w:t>
      </w:r>
      <w:r>
        <w:t xml:space="preserve"> </w:t>
      </w:r>
      <w:r>
        <w:t xml:space="preserve">(1937)</w:t>
      </w:r>
    </w:p>
    <w:p>
      <w:pPr>
        <w:pStyle w:val="Cajadeanotaciones"/>
      </w:pPr>
      <w:r>
        <w:rPr>
          <w:i/>
          <w:iCs/>
        </w:rPr>
        <w:t xml:space="preserve">«The main reason why it is profitable to establish a firm would seem to be that there is a cost of using the price mechanism.»</w:t>
      </w:r>
      <w:r>
        <w:t xml:space="preserve"> </w:t>
      </w:r>
      <w:r>
        <w:rPr>
          <w:smallCaps/>
        </w:rPr>
        <w:t xml:space="preserve">Coase</w:t>
      </w:r>
      <w:r>
        <w:t xml:space="preserve"> </w:t>
      </w:r>
      <w:r>
        <w:t xml:space="preserve">(</w:t>
      </w:r>
      <w:hyperlink w:anchor="ref_Coase1937Nature">
        <w:r>
          <w:rPr>
            <w:rStyle w:val="Hyperlink"/>
          </w:rPr>
          <w:t xml:space="preserve">1937, 390</w:t>
        </w:r>
      </w:hyperlink>
      <w:r>
        <w:t xml:space="preserve">)</w:t>
      </w:r>
    </w:p>
    <w:bookmarkStart w:id="96" w:name="a_idea_3"/>
    <w:p>
      <w:pPr>
        <w:pStyle w:val="Heading4"/>
      </w:pPr>
      <w:r>
        <w:t xml:space="preserve">a) Idea</w:t>
      </w:r>
    </w:p>
    <w:p>
      <w:pPr>
        <w:numPr>
          <w:ilvl w:val="0"/>
          <w:numId w:val="1042"/>
        </w:numPr>
      </w:pPr>
      <w:r>
        <w:t xml:space="preserve">Hay 2 formas de coordinar la producción: el</w:t>
      </w:r>
      <w:r>
        <w:t xml:space="preserve"> </w:t>
      </w:r>
      <w:r>
        <w:rPr>
          <w:i/>
          <w:iCs/>
        </w:rPr>
        <w:t xml:space="preserve">mercado</w:t>
      </w:r>
      <w:r>
        <w:t xml:space="preserve">, con precios, y la</w:t>
      </w:r>
      <w:r>
        <w:t xml:space="preserve"> </w:t>
      </w:r>
      <w:r>
        <w:rPr>
          <w:i/>
          <w:iCs/>
        </w:rPr>
        <w:t xml:space="preserve">empresa</w:t>
      </w:r>
      <w:r>
        <w:t xml:space="preserve">, con</w:t>
      </w:r>
      <w:r>
        <w:t xml:space="preserve"> </w:t>
      </w:r>
      <w:r>
        <w:rPr>
          <w:i/>
          <w:iCs/>
        </w:rPr>
        <w:t xml:space="preserve">autoridad</w:t>
      </w:r>
      <w:r>
        <w:t xml:space="preserve">: dentro de ella, un trabajador no cambia de tarea porque cambie un precio relativo, sino porque se lo ordenan. Las empresas son «islas de poder consciente» en un océano de cooperación inconsciente, como decía</w:t>
      </w:r>
      <w:r>
        <w:t xml:space="preserve"> </w:t>
      </w:r>
      <w:r>
        <w:rPr>
          <w:smallCaps/>
        </w:rPr>
        <w:t xml:space="preserve">Robertson</w:t>
      </w:r>
      <w:r>
        <w:t xml:space="preserve">, citado por</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p>
      <w:pPr>
        <w:numPr>
          <w:ilvl w:val="0"/>
          <w:numId w:val="1042"/>
        </w:numPr>
      </w:pPr>
      <w:r>
        <w:t xml:space="preserve">La pregunta de</w:t>
      </w:r>
      <w:r>
        <w:t xml:space="preserve"> </w:t>
      </w:r>
      <w:r>
        <w:rPr>
          <w:smallCaps/>
        </w:rPr>
        <w:t xml:space="preserve">Coase</w:t>
      </w:r>
      <w:r>
        <w:t xml:space="preserve"> </w:t>
      </w:r>
      <w:r>
        <w:t xml:space="preserve">es la del enganche: si el mercado asigna bien los recursos, ¿por qué hay tanta actividad organizada por la autoridad? La producción podría organizarse con transacciones puntuales entre productores independientes, y la empresa no tendría por qué existir. Es el dilema de</w:t>
      </w:r>
      <w:r>
        <w:t xml:space="preserve"> </w:t>
      </w:r>
      <w:r>
        <w:rPr>
          <w:i/>
          <w:iCs/>
        </w:rPr>
        <w:t xml:space="preserve">hacer o comprar</w:t>
      </w:r>
      <w:r>
        <w:t xml:space="preserve"> </w:t>
      </w:r>
      <w:r>
        <w:t xml:space="preserve">(</w:t>
      </w:r>
      <w:r>
        <w:rPr>
          <w:i/>
          <w:iCs/>
        </w:rPr>
        <w:t xml:space="preserve">make or buy</w:t>
      </w:r>
      <w:r>
        <w:t xml:space="preserve">).</w:t>
      </w:r>
    </w:p>
    <w:bookmarkEnd w:id="96"/>
    <w:bookmarkStart w:id="109" w:name="b_modelo_3"/>
    <w:p>
      <w:pPr>
        <w:pStyle w:val="Heading4"/>
      </w:pPr>
      <w:r>
        <w:t xml:space="preserve">b) Modelo</w:t>
      </w:r>
    </w:p>
    <w:bookmarkStart w:id="101" w:name="i_supuestos_3"/>
    <w:p>
      <w:pPr>
        <w:pStyle w:val="Heading5"/>
      </w:pPr>
      <w:r>
        <w:t xml:space="preserve">i) Supuestos</w:t>
      </w:r>
    </w:p>
    <w:p>
      <w:pPr>
        <w:keepNext/>
        <w:numPr>
          <w:ilvl w:val="0"/>
          <w:numId w:val="1043"/>
        </w:numPr>
      </w:pPr>
      <w:r>
        <w:t xml:space="preserve">Usar el mecanismo de precios tiene</w:t>
      </w:r>
      <w:r>
        <w:t xml:space="preserve"> </w:t>
      </w:r>
      <w:r>
        <w:rPr>
          <w:b/>
          <w:bCs/>
        </w:rPr>
        <w:t xml:space="preserve">costes de transacción</w:t>
      </w:r>
      <w:r>
        <w:t xml:space="preserve">, que la teoría anterior, atenta solo a los costes de producción, había pasado por alto</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w:t>
      </w:r>
      <w:hyperlink w:anchor="ref_Coase1991Institutional">
        <w:r>
          <w:rPr>
            <w:rStyle w:val="Hyperlink"/>
          </w:rPr>
          <w:t xml:space="preserve">1991</w:t>
        </w:r>
      </w:hyperlink>
      <w:r>
        <w:t xml:space="preserve">)</w:t>
      </w:r>
      <w:r>
        <w:t xml:space="preserve">:</w:t>
      </w:r>
    </w:p>
    <w:p>
      <w:pPr>
        <w:numPr>
          <w:ilvl w:val="1"/>
          <w:numId w:val="1044"/>
        </w:numPr>
      </w:pPr>
      <w:r>
        <w:t xml:space="preserve">costes</w:t>
      </w:r>
      <w:r>
        <w:t xml:space="preserve"> </w:t>
      </w:r>
      <w:r>
        <w:rPr>
          <w:i/>
          <w:iCs/>
        </w:rPr>
        <w:t xml:space="preserve">ex ante</w:t>
      </w:r>
      <w:r>
        <w:t xml:space="preserve">: descubrir cuáles son los precios relevantes y buscar proveedores fiables, y negociar y redactar un contrato para cada transacción;</w:t>
      </w:r>
    </w:p>
    <w:p>
      <w:pPr>
        <w:numPr>
          <w:ilvl w:val="1"/>
          <w:numId w:val="1044"/>
        </w:numPr>
      </w:pPr>
      <w:r>
        <w:t xml:space="preserve">costes</w:t>
      </w:r>
      <w:r>
        <w:t xml:space="preserve"> </w:t>
      </w:r>
      <w:r>
        <w:rPr>
          <w:i/>
          <w:iCs/>
        </w:rPr>
        <w:t xml:space="preserve">ex post</w:t>
      </w:r>
      <w:r>
        <w:t xml:space="preserve">: vigilar el cumplimiento, coordinar los distintos procesos, adaptar el contrato a lo que no se previó y resolver los conflictos.</w:t>
      </w:r>
    </w:p>
    <w:p>
      <w:pPr>
        <w:numPr>
          <w:ilvl w:val="0"/>
          <w:numId w:val="1000"/>
        </w:numPr>
      </w:pPr>
      <w:r>
        <w:t xml:space="preserve">Son mayores cuanto más larga e incierta es la relación, porque el contrato no puede preverlo todo.</w:t>
      </w:r>
      <w:r>
        <w:rPr>
          <w:rStyle w:val="FootnoteReference"/>
        </w:rPr>
        <w:footnoteReference w:id="97"/>
      </w:r>
    </w:p>
    <w:p>
      <w:pPr>
        <w:numPr>
          <w:ilvl w:val="0"/>
          <w:numId w:val="1043"/>
        </w:numPr>
      </w:pPr>
      <w:r>
        <w:t xml:space="preserve">Organizar dentro también cuesta: la dirección tiene</w:t>
      </w:r>
      <w:r>
        <w:t xml:space="preserve"> </w:t>
      </w:r>
      <w:r>
        <w:rPr>
          <w:i/>
          <w:iCs/>
        </w:rPr>
        <w:t xml:space="preserve">rendimientos decrecientes</w:t>
      </w:r>
      <w:r>
        <w:t xml:space="preserve"> </w:t>
      </w:r>
      <w:r>
        <w:t xml:space="preserve">(</w:t>
      </w:r>
      <w:hyperlink w:anchor="sec_direccion">
        <w:r>
          <w:rPr>
            <w:rStyle w:val="Hyperlink"/>
          </w:rPr>
          <w:t xml:space="preserve">I.2.1</w:t>
        </w:r>
      </w:hyperlink>
      <w:r>
        <w:t xml:space="preserve">), de modo que el coste de organizar una transacción más crece con el tamaño de la empresa.</w:t>
      </w:r>
    </w:p>
    <w:bookmarkEnd w:id="101"/>
    <w:bookmarkStart w:id="107" w:name="ii_desarrollo_3"/>
    <w:p>
      <w:pPr>
        <w:pStyle w:val="Heading5"/>
      </w:pPr>
      <w:r>
        <w:t xml:space="preserve">ii) Desarrollo</w:t>
      </w:r>
    </w:p>
    <w:p>
      <w:pPr>
        <w:numPr>
          <w:ilvl w:val="0"/>
          <w:numId w:val="1045"/>
        </w:numPr>
      </w:pPr>
      <w:r>
        <w:t xml:space="preserve">Cada transacción se organiza donde resulta más barata. La empresa crece incorporando transacciones mientras organizar una más dentro cueste menos que hacerla en el mercado o en otra empresa; su frontera es una condición en el</w:t>
      </w:r>
      <w:r>
        <w:t xml:space="preserve"> </w:t>
      </w:r>
      <w:r>
        <w:rPr>
          <w:i/>
          <w:iCs/>
        </w:rPr>
        <w:t xml:space="preserve">margen</w:t>
      </w:r>
      <w:r>
        <w:t xml:space="preserve">, no una comparación de totales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Si</w:t>
      </w:r>
      <w:r>
        <w:t xml:space="preserve"> </w:t>
      </w:r>
      <m:oMath>
        <m:r>
          <m:t>m</m:t>
        </m:r>
      </m:oMath>
      <w:r>
        <w:t xml:space="preserve"> </w:t>
      </w:r>
      <w:r>
        <w:t xml:space="preserve">es el número de transacciones que organiza la empresa, su tamaño,</w:t>
      </w:r>
      <w:r>
        <w:t xml:space="preserve"> </w:t>
      </w:r>
      <m:oMath>
        <m:sSup>
          <m:e>
            <m:r>
              <m:t>m</m:t>
            </m:r>
          </m:e>
          <m:sup>
            <m:r>
              <m:rPr>
                <m:sty m:val="p"/>
              </m:rPr>
              <m:t>*</m:t>
            </m:r>
          </m:sup>
        </m:sSup>
      </m:oMath>
      <w:r>
        <w:t xml:space="preserve">, cumple</w:t>
      </w:r>
    </w:p>
    <w:bookmarkStart w:id="102" w:name="eq_coase"/>
    <w:bookmarkEnd w:id="102"/>
    <w:p>
      <w:pPr>
        <w:pStyle w:val="Funcionclave"/>
      </w:pPr>
      <m:oMathPara>
        <m:oMathParaPr>
          <m:jc m:val="center"/>
        </m:oMathParaPr>
        <m:oMath>
          <m:sSup>
            <m:e>
              <m:r>
                <m:rPr>
                  <m:sty m:val="p"/>
                </m:rPr>
                <m:t>C</m:t>
              </m:r>
              <m:r>
                <m:rPr>
                  <m:sty m:val="p"/>
                </m:rPr>
                <m:t>M</m:t>
              </m:r>
              <m:r>
                <m:rPr>
                  <m:sty m:val="p"/>
                </m:rPr>
                <m:t>g</m:t>
              </m:r>
            </m:e>
            <m:sup>
              <m:r>
                <m:rPr>
                  <m:sty m:val="p"/>
                </m:rPr>
                <m:t>o</m:t>
              </m:r>
              <m:r>
                <m:rPr>
                  <m:sty m:val="p"/>
                </m:rPr>
                <m:t>r</m:t>
              </m:r>
              <m:r>
                <m:rPr>
                  <m:sty m:val="p"/>
                </m:rPr>
                <m:t>g</m:t>
              </m:r>
            </m:sup>
          </m:sSup>
          <m:d>
            <m:dPr>
              <m:begChr m:val="("/>
              <m:sepChr m:val=""/>
              <m:endChr m:val=")"/>
              <m:grow/>
            </m:dPr>
            <m:e>
              <m:sSup>
                <m:e>
                  <m:r>
                    <m:t>m</m:t>
                  </m:r>
                </m:e>
                <m:sup>
                  <m:r>
                    <m:rPr>
                      <m:sty m:val="p"/>
                    </m:rPr>
                    <m:t>*</m:t>
                  </m:r>
                </m:sup>
              </m:sSup>
            </m:e>
          </m:d>
          <m:r>
            <m:rPr>
              <m:sty m:val="p"/>
            </m:rPr>
            <m:t>=</m:t>
          </m:r>
          <m:sSup>
            <m:e>
              <m:r>
                <m:rPr>
                  <m:sty m:val="p"/>
                </m:rPr>
                <m:t>C</m:t>
              </m:r>
              <m:r>
                <m:rPr>
                  <m:sty m:val="p"/>
                </m:rPr>
                <m:t>M</m:t>
              </m:r>
              <m:r>
                <m:rPr>
                  <m:sty m:val="p"/>
                </m:rPr>
                <m:t>g</m:t>
              </m:r>
            </m:e>
            <m:sup>
              <m:r>
                <m:rPr>
                  <m:sty m:val="p"/>
                </m:rPr>
                <m:t>t</m:t>
              </m:r>
              <m:r>
                <m:rPr>
                  <m:sty m:val="p"/>
                </m:rPr>
                <m:t>r</m:t>
              </m:r>
            </m:sup>
          </m:sSup>
          <m:d>
            <m:dPr>
              <m:begChr m:val="("/>
              <m:sepChr m:val=""/>
              <m:endChr m:val=")"/>
              <m:grow/>
            </m:dPr>
            <m:e>
              <m:sSup>
                <m:e>
                  <m:r>
                    <m:t>m</m:t>
                  </m:r>
                </m:e>
                <m:sup>
                  <m:r>
                    <m:rPr>
                      <m:sty m:val="p"/>
                    </m:rPr>
                    <m:t>*</m:t>
                  </m:r>
                </m:sup>
              </m:sSup>
            </m:e>
          </m:d>
        </m:oMath>
      </m:oMathPara>
    </w:p>
    <w:p>
      <w:pPr>
        <w:numPr>
          <w:ilvl w:val="0"/>
          <w:numId w:val="1000"/>
        </w:numPr>
      </w:pPr>
      <w:r>
        <w:t xml:space="preserve">con</w:t>
      </w:r>
      <w:r>
        <w:t xml:space="preserve"> </w:t>
      </w:r>
      <m:oMath>
        <m:sSup>
          <m:e>
            <m:r>
              <m:rPr>
                <m:sty m:val="p"/>
              </m:rPr>
              <m:t>C</m:t>
            </m:r>
            <m:r>
              <m:rPr>
                <m:sty m:val="p"/>
              </m:rPr>
              <m:t>M</m:t>
            </m:r>
            <m:r>
              <m:rPr>
                <m:sty m:val="p"/>
              </m:rPr>
              <m:t>g</m:t>
            </m:r>
          </m:e>
          <m:sup>
            <m:r>
              <m:rPr>
                <m:sty m:val="p"/>
              </m:rPr>
              <m:t>o</m:t>
            </m:r>
            <m:r>
              <m:rPr>
                <m:sty m:val="p"/>
              </m:rPr>
              <m:t>r</m:t>
            </m:r>
            <m:r>
              <m:rPr>
                <m:sty m:val="p"/>
              </m:rPr>
              <m:t>g</m:t>
            </m:r>
          </m:sup>
        </m:sSup>
      </m:oMath>
      <w:r>
        <w:t xml:space="preserve"> </w:t>
      </w:r>
      <w:r>
        <w:t xml:space="preserve">el coste marginal de organizar una transacción más dentro, creciente por los rendimientos decrecientes de la dirección, y</w:t>
      </w:r>
      <w:r>
        <w:t xml:space="preserve"> </w:t>
      </w:r>
      <m:oMath>
        <m:sSup>
          <m:e>
            <m:r>
              <m:rPr>
                <m:sty m:val="p"/>
              </m:rPr>
              <m:t>C</m:t>
            </m:r>
            <m:r>
              <m:rPr>
                <m:sty m:val="p"/>
              </m:rPr>
              <m:t>M</m:t>
            </m:r>
            <m:r>
              <m:rPr>
                <m:sty m:val="p"/>
              </m:rPr>
              <m:t>g</m:t>
            </m:r>
          </m:e>
          <m:sup>
            <m:r>
              <m:rPr>
                <m:sty m:val="p"/>
              </m:rPr>
              <m:t>t</m:t>
            </m:r>
            <m:r>
              <m:rPr>
                <m:sty m:val="p"/>
              </m:rPr>
              <m:t>r</m:t>
            </m:r>
          </m:sup>
        </m:sSup>
      </m:oMath>
      <w:r>
        <w:t xml:space="preserve"> </w:t>
      </w:r>
      <w:r>
        <w:t xml:space="preserve">el de hacerla en el mercado o en otra empresa (gráfico </w:t>
      </w:r>
      <w:hyperlink w:anchor="fig_coase_margen">
        <w:r>
          <w:rPr>
            <w:rStyle w:val="Hyperlink"/>
          </w:rPr>
          <w:t xml:space="preserve">6</w:t>
        </w:r>
      </w:hyperlink>
      <w:r>
        <w:t xml:space="preserve">).</w:t>
      </w:r>
    </w:p>
    <w:bookmarkStart w:id="106" w:name="fig_coase_margen"/>
    <w:p>
      <w:pPr>
        <w:pStyle w:val="ImageCaption"/>
      </w:pPr>
      <w:r>
        <w:t xml:space="preserve">Gráfico 6.–</w:t>
      </w:r>
      <w:r>
        <w:t xml:space="preserve"> </w:t>
      </w:r>
      <w:r>
        <w:t xml:space="preserve">El tamaño de la empresa según</w:t>
      </w:r>
      <w:r>
        <w:t xml:space="preserve"> </w:t>
      </w:r>
      <w:r>
        <w:rPr>
          <w:smallCaps/>
        </w:rPr>
        <w:t xml:space="preserve">Coase</w:t>
      </w:r>
      <w:r>
        <w:t xml:space="preserve">: el margen entre organizar y comprar</w:t>
      </w:r>
    </w:p>
    <w:p>
      <w:pPr>
        <w:pStyle w:val="CaptionedFigure"/>
      </w:pPr>
      <w:r>
        <w:drawing>
          <wp:inline>
            <wp:extent cx="3282950" cy="1874300"/>
            <wp:effectExtent b="0" l="0" r="0" t="0"/>
            <wp:docPr descr="Gráfico 6.– El tamaño de la empresa según Coase: el margen entre organizar y comprar" title="" id="104" name="Picture"/>
            <a:graphic>
              <a:graphicData uri="http://schemas.openxmlformats.org/drawingml/2006/picture">
                <pic:pic>
                  <pic:nvPicPr>
                    <pic:cNvPr descr="C:\Users\vgutierrez\Documents\src\victorgutierrezmarcos.github.io-revision\oposicion\temario\fuentes\3A15\graficos/coase-margen.png" id="105" name="Picture"/>
                    <pic:cNvPicPr>
                      <a:picLocks noChangeArrowheads="1" noChangeAspect="1"/>
                    </pic:cNvPicPr>
                  </pic:nvPicPr>
                  <pic:blipFill>
                    <a:blip r:embed="rId103"/>
                    <a:stretch>
                      <a:fillRect/>
                    </a:stretch>
                  </pic:blipFill>
                  <pic:spPr bwMode="auto">
                    <a:xfrm>
                      <a:off x="0" y="0"/>
                      <a:ext cx="3282950" cy="187430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bookmarkEnd w:id="107"/>
    <w:bookmarkStart w:id="108" w:name="iii_implicaciones_3"/>
    <w:p>
      <w:pPr>
        <w:pStyle w:val="Heading5"/>
      </w:pPr>
      <w:r>
        <w:t xml:space="preserve">iii) Implicaciones</w:t>
      </w:r>
    </w:p>
    <w:p>
      <w:pPr>
        <w:numPr>
          <w:ilvl w:val="0"/>
          <w:numId w:val="1046"/>
        </w:numPr>
      </w:pPr>
      <w:r>
        <w:t xml:space="preserve">La empresa será mayor cuanto menores sean sus costes de organizar y más despacio crezcan, y cuanto mayores sean los de usar el mercado. Una innovación que abarate la coordinación a distancia, como el teléfono y el telégrafo en tiempos de</w:t>
      </w:r>
      <w:r>
        <w:t xml:space="preserve"> </w:t>
      </w:r>
      <w:r>
        <w:rPr>
          <w:smallCaps/>
        </w:rPr>
        <w:t xml:space="preserve">Coase</w:t>
      </w:r>
      <w:r>
        <w:t xml:space="preserve">, agranda las empresas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una que abarate las transacciones de mercado (la estandarización, las plataformas digitales) favorece la subcontratación.</w:t>
      </w:r>
    </w:p>
    <w:p>
      <w:pPr>
        <w:numPr>
          <w:ilvl w:val="0"/>
          <w:numId w:val="1046"/>
        </w:numPr>
      </w:pPr>
      <w:r>
        <w:t xml:space="preserve">El tamaño de la empresa y el alcance del mercado se determinan juntos, en el margen: es la misma lógica marginalista de la teoría neoclásica aplicada a la organización.</w:t>
      </w:r>
    </w:p>
    <w:bookmarkEnd w:id="108"/>
    <w:bookmarkEnd w:id="109"/>
    <w:bookmarkStart w:id="110" w:name="c_extensiones"/>
    <w:p>
      <w:pPr>
        <w:pStyle w:val="Heading4"/>
      </w:pPr>
      <w:r>
        <w:t xml:space="preserve">c) Extensiones</w:t>
      </w:r>
    </w:p>
    <w:p>
      <w:pPr>
        <w:numPr>
          <w:ilvl w:val="0"/>
          <w:numId w:val="1047"/>
        </w:numPr>
      </w:pPr>
      <w:r>
        <w:t xml:space="preserve">El mismo concepto le sirve a</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23 años después, para otra pregunta: sin costes de transacción, la negociación resuelve las externalidades sea quien sea el titular de los derechos; con ellos, importa a quién se asignan</w:t>
      </w:r>
      <w:r>
        <w:t xml:space="preserve"> </w:t>
      </w:r>
      <w:hyperlink r:id="rId30">
        <w:r>
          <w:rPr>
            <w:rStyle w:val="Referenciaatema"/>
          </w:rPr>
          <w:t xml:space="preserve">[ver tema 3.A.23]</w:t>
        </w:r>
      </w:hyperlink>
      <w:r>
        <w:t xml:space="preserve">. Es la misma idea que decide quién debe ser dueño de los activos (</w:t>
      </w:r>
      <w:hyperlink w:anchor="sec_contratos_incompletos">
        <w:r>
          <w:rPr>
            <w:rStyle w:val="Hyperlink"/>
          </w:rPr>
          <w:t xml:space="preserve">II.3</w:t>
        </w:r>
      </w:hyperlink>
      <w:r>
        <w:t xml:space="preserve">).</w:t>
      </w:r>
    </w:p>
    <w:bookmarkEnd w:id="110"/>
    <w:bookmarkStart w:id="111" w:name="d_valoraci__n_1"/>
    <w:p>
      <w:pPr>
        <w:pStyle w:val="Heading4"/>
      </w:pPr>
      <w:r>
        <w:t xml:space="preserve">d) Valoración</w:t>
      </w:r>
    </w:p>
    <w:p>
      <w:pPr>
        <w:numPr>
          <w:ilvl w:val="0"/>
          <w:numId w:val="1048"/>
        </w:numPr>
      </w:pPr>
      <w:r>
        <w:rPr>
          <w:smallCaps/>
        </w:rPr>
        <w:t xml:space="preserve">Coase</w:t>
      </w:r>
      <w:r>
        <w:t xml:space="preserve"> </w:t>
      </w:r>
      <w:r>
        <w:t xml:space="preserve">cambia la pregunta (por qué hay empresas y dónde termina cada una), pero deja sin decir</w:t>
      </w:r>
      <w:r>
        <w:t xml:space="preserve"> </w:t>
      </w:r>
      <w:r>
        <w:rPr>
          <w:i/>
          <w:iCs/>
        </w:rPr>
        <w:t xml:space="preserve">qué</w:t>
      </w:r>
      <w:r>
        <w:t xml:space="preserve"> </w:t>
      </w:r>
      <w:r>
        <w:t xml:space="preserve">hace que una transacción sea cara en el mercado y barata dentro. Durante casi 40 años su artículo fue mucho más citado que usado en el análisis aplicado, hasta que</w:t>
      </w:r>
      <w:r>
        <w:t xml:space="preserve"> </w:t>
      </w:r>
      <w:r>
        <w:rPr>
          <w:smallCaps/>
        </w:rPr>
        <w:t xml:space="preserve">Williamson</w:t>
      </w:r>
      <w:r>
        <w:t xml:space="preserve"> </w:t>
      </w:r>
      <w:r>
        <w:t xml:space="preserve">identificó esos factores.</w:t>
      </w:r>
    </w:p>
    <w:bookmarkEnd w:id="111"/>
    <w:bookmarkEnd w:id="112"/>
    <w:bookmarkStart w:id="127" w:name="sec_williamson"/>
    <w:p>
      <w:pPr>
        <w:pStyle w:val="Heading2"/>
      </w:pPr>
      <w:r>
        <w:t xml:space="preserve">II.2.</w:t>
      </w:r>
      <w:r>
        <w:t xml:space="preserve"> </w:t>
      </w:r>
      <w:r>
        <w:rPr>
          <w:smallCaps/>
        </w:rPr>
        <w:t xml:space="preserve">Williamson</w:t>
      </w:r>
      <w:r>
        <w:t xml:space="preserve">: especificidad de los activos, oportunismo y estructuras de gobierno</w:t>
      </w:r>
    </w:p>
    <w:bookmarkStart w:id="114" w:name="a_idea_4"/>
    <w:p>
      <w:pPr>
        <w:pStyle w:val="Heading4"/>
      </w:pPr>
      <w:r>
        <w:t xml:space="preserve">a) Idea</w:t>
      </w:r>
    </w:p>
    <w:p>
      <w:pPr>
        <w:numPr>
          <w:ilvl w:val="0"/>
          <w:numId w:val="1049"/>
        </w:numPr>
      </w:pP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hyperlink w:anchor="ref_Williamson1985Economic">
        <w:r>
          <w:rPr>
            <w:rStyle w:val="Hyperlink"/>
          </w:rPr>
          <w:t xml:space="preserve">1985</w:t>
        </w:r>
      </w:hyperlink>
      <w:r>
        <w:t xml:space="preserve">)</w:t>
      </w:r>
      <w:r>
        <w:t xml:space="preserve"> </w:t>
      </w:r>
      <w:r>
        <w:t xml:space="preserve">convierte la intuición de</w:t>
      </w:r>
      <w:r>
        <w:t xml:space="preserve"> </w:t>
      </w:r>
      <w:r>
        <w:rPr>
          <w:smallCaps/>
        </w:rPr>
        <w:t xml:space="preserve">Coase</w:t>
      </w:r>
      <w:r>
        <w:t xml:space="preserve"> </w:t>
      </w:r>
      <w:r>
        <w:t xml:space="preserve">en una teoría contrastable: la</w:t>
      </w:r>
      <w:r>
        <w:t xml:space="preserve"> </w:t>
      </w:r>
      <w:r>
        <w:rPr>
          <w:b/>
          <w:bCs/>
        </w:rPr>
        <w:t xml:space="preserve">economía de los costes de transacción</w:t>
      </w:r>
      <w:r>
        <w:t xml:space="preserve">. La unidad de análisis es la</w:t>
      </w:r>
      <w:r>
        <w:t xml:space="preserve"> </w:t>
      </w:r>
      <w:r>
        <w:rPr>
          <w:i/>
          <w:iCs/>
        </w:rPr>
        <w:t xml:space="preserve">transacción</w:t>
      </w:r>
      <w:r>
        <w:t xml:space="preserve">, y la pregunta, qué</w:t>
      </w:r>
      <w:r>
        <w:t xml:space="preserve"> </w:t>
      </w:r>
      <w:r>
        <w:rPr>
          <w:b/>
          <w:bCs/>
        </w:rPr>
        <w:t xml:space="preserve">estructura de gobierno</w:t>
      </w:r>
      <w:r>
        <w:t xml:space="preserve"> </w:t>
      </w:r>
      <w:r>
        <w:t xml:space="preserve">(mercado, contrato a largo plazo o empresa) la organiza con menos costes.</w:t>
      </w:r>
      <w:r>
        <w:rPr>
          <w:rStyle w:val="FootnoteReference"/>
        </w:rPr>
        <w:footnoteReference w:id="113"/>
      </w:r>
    </w:p>
    <w:bookmarkEnd w:id="114"/>
    <w:bookmarkStart w:id="124" w:name="b_modelo_4"/>
    <w:p>
      <w:pPr>
        <w:pStyle w:val="Heading4"/>
      </w:pPr>
      <w:r>
        <w:t xml:space="preserve">b) Modelo</w:t>
      </w:r>
    </w:p>
    <w:bookmarkStart w:id="115" w:name="i_supuestos_de_comportamiento"/>
    <w:p>
      <w:pPr>
        <w:pStyle w:val="Heading5"/>
      </w:pPr>
      <w:r>
        <w:t xml:space="preserve">i) Supuestos de comportamiento</w:t>
      </w:r>
    </w:p>
    <w:p>
      <w:pPr>
        <w:numPr>
          <w:ilvl w:val="0"/>
          <w:numId w:val="1050"/>
        </w:numPr>
      </w:pPr>
      <w:r>
        <w:rPr>
          <w:b/>
          <w:b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los agentes quieren ser racionales, pero solo lo consiguen en parte; no pueden prever ni escribir todas las contingencias, y por eso</w:t>
      </w:r>
      <w:r>
        <w:t xml:space="preserve"> </w:t>
      </w:r>
      <w:r>
        <w:rPr>
          <w:i/>
          <w:iCs/>
        </w:rPr>
        <w:t xml:space="preserve">todos los contratos complejos son incompletos</w:t>
      </w:r>
      <w:r>
        <w:t xml:space="preserve">: muchas contingencias son imprevisibles y, aunque se pudieran prever, son tantas que no cabrían en un contrato.</w:t>
      </w:r>
    </w:p>
    <w:p>
      <w:pPr>
        <w:numPr>
          <w:ilvl w:val="0"/>
          <w:numId w:val="1050"/>
        </w:numPr>
      </w:pPr>
      <w:r>
        <w:rPr>
          <w:b/>
          <w:bCs/>
        </w:rPr>
        <w:t xml:space="preserve">Oportunismo</w:t>
      </w:r>
      <w:r>
        <w:t xml:space="preserve">: la búsqueda del propio interés con engaño: ocultar información, prometer lo que no se piensa cumplir, aprovechar los huecos del contrato.</w:t>
      </w:r>
    </w:p>
    <w:p>
      <w:pPr>
        <w:numPr>
          <w:ilvl w:val="0"/>
          <w:numId w:val="1050"/>
        </w:numPr>
      </w:pPr>
      <w:r>
        <w:t xml:space="preserve">Sin racionalidad limitada, bastaría un contrato completo; sin oportunismo, bastaría la palabra dada. Con los 2, el problema es proteger las transacciones de los comportamientos oportunistas</w:t>
      </w:r>
      <w:r>
        <w:t xml:space="preserve"> </w:t>
      </w:r>
      <w:r>
        <w:rPr>
          <w:i/>
          <w:iCs/>
        </w:rPr>
        <w:t xml:space="preserve">ex post</w:t>
      </w:r>
      <w:r>
        <w:t xml:space="preserve">, y vigilarlos puede tener un coste prohibitivo.</w:t>
      </w:r>
    </w:p>
    <w:bookmarkEnd w:id="115"/>
    <w:bookmarkStart w:id="122" w:name="ii_desarrollo_4"/>
    <w:p>
      <w:pPr>
        <w:pStyle w:val="Heading5"/>
      </w:pPr>
      <w:r>
        <w:t xml:space="preserve">ii) Desarrollo</w:t>
      </w:r>
    </w:p>
    <w:p>
      <w:pPr>
        <w:keepNext/>
        <w:numPr>
          <w:ilvl w:val="0"/>
          <w:numId w:val="1051"/>
        </w:numPr>
      </w:pPr>
      <w:r>
        <w:rPr>
          <w:i/>
          <w:iCs/>
        </w:rPr>
        <w:t xml:space="preserve">Atributos de las transacciones</w:t>
      </w:r>
      <w:r>
        <w:t xml:space="preserve">: se distinguen por 3</w:t>
      </w:r>
      <w:r>
        <w:t xml:space="preserve"> </w:t>
      </w:r>
      <w:r>
        <w:rPr>
          <w:b/>
          <w:bCs/>
        </w:rPr>
        <w:t xml:space="preserve">atributos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numPr>
          <w:ilvl w:val="1"/>
          <w:numId w:val="1052"/>
        </w:numPr>
      </w:pPr>
      <w:r>
        <w:t xml:space="preserve">la</w:t>
      </w:r>
      <w:r>
        <w:t xml:space="preserve"> </w:t>
      </w:r>
      <w:r>
        <w:rPr>
          <w:b/>
          <w:bCs/>
        </w:rPr>
        <w:t xml:space="preserve">especificidad de los activos</w:t>
      </w:r>
      <w:r>
        <w:t xml:space="preserve">,</w:t>
      </w:r>
      <w:r>
        <w:t xml:space="preserve"> </w:t>
      </w:r>
      <m:oMath>
        <m:r>
          <m:t>a</m:t>
        </m:r>
      </m:oMath>
      <w:r>
        <w:t xml:space="preserve">, el más importante: un activo es específico si pierde buena parte de su valor fuera de la relación para la que se invirtió (está, por tanto, muy ligado a los costes hundidos). Puede ser específico por su</w:t>
      </w:r>
      <w:r>
        <w:t xml:space="preserve"> </w:t>
      </w:r>
      <w:r>
        <w:rPr>
          <w:i/>
          <w:iCs/>
        </w:rPr>
        <w:t xml:space="preserve">localización</w:t>
      </w:r>
      <w:r>
        <w:t xml:space="preserve"> </w:t>
      </w:r>
      <w:r>
        <w:t xml:space="preserve">(una central junto a una mina),</w:t>
      </w:r>
      <w:r>
        <w:t xml:space="preserve"> </w:t>
      </w:r>
      <w:r>
        <w:rPr>
          <w:i/>
          <w:iCs/>
        </w:rPr>
        <w:t xml:space="preserve">físico</w:t>
      </w:r>
      <w:r>
        <w:t xml:space="preserve"> </w:t>
      </w:r>
      <w:r>
        <w:t xml:space="preserve">(un molde para un solo cliente),</w:t>
      </w:r>
      <w:r>
        <w:t xml:space="preserve"> </w:t>
      </w:r>
      <w:r>
        <w:rPr>
          <w:i/>
          <w:iCs/>
        </w:rPr>
        <w:t xml:space="preserve">humano</w:t>
      </w:r>
      <w:r>
        <w:t xml:space="preserve"> </w:t>
      </w:r>
      <w:r>
        <w:t xml:space="preserve">(lo que se aprende trabajando con un socio),</w:t>
      </w:r>
      <w:r>
        <w:t xml:space="preserve"> </w:t>
      </w:r>
      <w:r>
        <w:rPr>
          <w:i/>
          <w:iCs/>
        </w:rPr>
        <w:t xml:space="preserve">dedicado</w:t>
      </w:r>
      <w:r>
        <w:t xml:space="preserve"> </w:t>
      </w:r>
      <w:r>
        <w:t xml:space="preserve">(capacidad ampliada para un cliente) o de</w:t>
      </w:r>
      <w:r>
        <w:t xml:space="preserve"> </w:t>
      </w:r>
      <w:r>
        <w:rPr>
          <w:i/>
          <w:iCs/>
        </w:rPr>
        <w:t xml:space="preserve">marca</w:t>
      </w:r>
      <w:r>
        <w:t xml:space="preserve">;</w:t>
      </w:r>
    </w:p>
    <w:p>
      <w:pPr>
        <w:numPr>
          <w:ilvl w:val="1"/>
          <w:numId w:val="1052"/>
        </w:numPr>
      </w:pPr>
      <w:r>
        <w:t xml:space="preserve">la</w:t>
      </w:r>
      <w:r>
        <w:t xml:space="preserve"> </w:t>
      </w:r>
      <w:r>
        <w:rPr>
          <w:i/>
          <w:iCs/>
        </w:rPr>
        <w:t xml:space="preserve">incertidumbre</w:t>
      </w:r>
      <w:r>
        <w:t xml:space="preserve">: cuantas más contingencias, más huecos tiene el contrato y más hay que adaptarlo;</w:t>
      </w:r>
    </w:p>
    <w:p>
      <w:pPr>
        <w:numPr>
          <w:ilvl w:val="1"/>
          <w:numId w:val="1052"/>
        </w:numPr>
      </w:pPr>
      <w:r>
        <w:t xml:space="preserve">la</w:t>
      </w:r>
      <w:r>
        <w:t xml:space="preserve"> </w:t>
      </w:r>
      <w:r>
        <w:rPr>
          <w:i/>
          <w:iCs/>
        </w:rPr>
        <w:t xml:space="preserve">frecuencia</w:t>
      </w:r>
      <w:r>
        <w:t xml:space="preserve">: si la transacción se repite, compensa montar una estructura de gobierno especializada, cuyo coste fijo se reparte entre muchas transacciones. No es que la frecuencia encarezca la transacción: con activos específicos y transacciones frecuentes, compensa integrarlas.</w:t>
      </w:r>
    </w:p>
    <w:p>
      <w:pPr>
        <w:numPr>
          <w:ilvl w:val="0"/>
          <w:numId w:val="1051"/>
        </w:numPr>
      </w:pPr>
      <w:r>
        <w:rPr>
          <w:i/>
          <w:iCs/>
        </w:rPr>
        <w:t xml:space="preserve">Cuasirrenta y retención</w:t>
      </w:r>
      <w:r>
        <w:t xml:space="preserve">: la</w:t>
      </w:r>
      <w:r>
        <w:t xml:space="preserve"> </w:t>
      </w:r>
      <w:r>
        <w:rPr>
          <w:b/>
          <w:bCs/>
        </w:rPr>
        <w:t xml:space="preserve">cuasirrenta</w:t>
      </w:r>
      <w:r>
        <w:t xml:space="preserve"> </w:t>
      </w:r>
      <w:r>
        <w:t xml:space="preserve">de un activo específico es la diferencia entre su valor en la relación y su valor en el mejor uso alternativo</w:t>
      </w:r>
      <w:r>
        <w:t xml:space="preserve"> </w:t>
      </w:r>
      <w:r>
        <w:t xml:space="preserve">(</w:t>
      </w:r>
      <w:hyperlink w:anchor="ref_KleinCrawfordAlchian1978Vertical">
        <w:r>
          <w:rPr>
            <w:rStyle w:val="Hyperlink"/>
            <w:smallCaps/>
          </w:rPr>
          <w:t xml:space="preserve">Klein</w:t>
        </w:r>
        <w:r>
          <w:rPr>
            <w:rStyle w:val="Hyperlink"/>
          </w:rPr>
          <w:t xml:space="preserve">,</w:t>
        </w:r>
        <w:r>
          <w:rPr>
            <w:rStyle w:val="Hyperlink"/>
          </w:rPr>
          <w:t xml:space="preserve"> </w:t>
        </w:r>
        <w:r>
          <w:rPr>
            <w:rStyle w:val="Hyperlink"/>
            <w:smallCaps/>
          </w:rPr>
          <w:t xml:space="preserve">Crawford</w:t>
        </w:r>
        <w:r>
          <w:rPr>
            <w:rStyle w:val="Hyperlink"/>
          </w:rPr>
          <w:t xml:space="preserve"> </w:t>
        </w:r>
        <w:r>
          <w:rPr>
            <w:rStyle w:val="Hyperlink"/>
          </w:rPr>
          <w:t xml:space="preserve">y</w:t>
        </w:r>
        <w:r>
          <w:rPr>
            <w:rStyle w:val="Hyperlink"/>
          </w:rPr>
          <w:t xml:space="preserve"> </w:t>
        </w:r>
        <w:r>
          <w:rPr>
            <w:rStyle w:val="Hyperlink"/>
            <w:smallCaps/>
          </w:rPr>
          <w:t xml:space="preserve">Alchian</w:t>
        </w:r>
        <w:r>
          <w:rPr>
            <w:rStyle w:val="Hyperlink"/>
          </w:rPr>
          <w:t xml:space="preserve">, 1978</w:t>
        </w:r>
      </w:hyperlink>
      <w:r>
        <w:t xml:space="preserve">)</w:t>
      </w:r>
      <w:r>
        <w:t xml:space="preserve">. Una vez hecha la inversión, la otra parte puede amenazar con romper para renegociar el precio y apropiarse de la cuasirrenta: es el</w:t>
      </w:r>
      <w:r>
        <w:t xml:space="preserve"> </w:t>
      </w:r>
      <w:r>
        <w:rPr>
          <w:b/>
          <w:bCs/>
        </w:rPr>
        <w:t xml:space="preserve">problema de la expropiación de la cuasirrenta</w:t>
      </w:r>
      <w:r>
        <w:t xml:space="preserve"> </w:t>
      </w:r>
      <w:r>
        <w:t xml:space="preserve">(</w:t>
      </w:r>
      <w:r>
        <w:rPr>
          <w:i/>
          <w:iCs/>
        </w:rPr>
        <w:t xml:space="preserve">hold-up</w:t>
      </w:r>
      <w:r>
        <w:t xml:space="preserve">). El proveedor que ha invertido teme que el cliente no renueve o le imponga un reparto peor, y el cliente que depende de un proveedor especializado teme quedar como rehén. Lo que antes de invertir era un mercado con muchos oferentes se convierte después en un</w:t>
      </w:r>
      <w:r>
        <w:t xml:space="preserve"> </w:t>
      </w:r>
      <w:r>
        <w:rPr>
          <w:b/>
          <w:bCs/>
        </w:rPr>
        <w:t xml:space="preserve">monopolio bilateral</w:t>
      </w:r>
      <w:r>
        <w:t xml:space="preserve">, con el precio indeterminado entre los 2 y decidido por la negociación</w:t>
      </w:r>
      <w:r>
        <w:t xml:space="preserve"> </w:t>
      </w:r>
      <w:hyperlink r:id="rId26">
        <w:r>
          <w:rPr>
            <w:rStyle w:val="Referenciaatema"/>
          </w:rPr>
          <w:t xml:space="preserve">[ver tema 3.A.17]</w:t>
        </w:r>
      </w:hyperlink>
      <w:r>
        <w:t xml:space="preserve">: es la</w:t>
      </w:r>
      <w:r>
        <w:t xml:space="preserve"> </w:t>
      </w:r>
      <w:r>
        <w:rPr>
          <w:b/>
          <w:bCs/>
        </w:rPr>
        <w:t xml:space="preserve">transformación fundamental</w:t>
      </w:r>
      <w:r>
        <w:t xml:space="preserve"> </w:t>
      </w:r>
      <w:r>
        <w:t xml:space="preserve">de</w:t>
      </w:r>
      <w:r>
        <w:t xml:space="preserve"> </w:t>
      </w:r>
      <w:r>
        <w:rPr>
          <w:smallCaps/>
        </w:rPr>
        <w:t xml:space="preserve">Williamson</w:t>
      </w:r>
      <w:r>
        <w:t xml:space="preserve"> </w:t>
      </w:r>
      <w:r>
        <w:t xml:space="preserve">(</w:t>
      </w:r>
      <w:hyperlink w:anchor="ref_Williamson1985Economic">
        <w:r>
          <w:rPr>
            <w:rStyle w:val="Hyperlink"/>
          </w:rPr>
          <w:t xml:space="preserve">1985</w:t>
        </w:r>
      </w:hyperlink>
      <w:r>
        <w:t xml:space="preserve">)</w:t>
      </w:r>
      <w:r>
        <w:t xml:space="preserve">. Anticipándolo, la parte que tendría que invertir invierte menos o pide salvaguardas, y se pierde eficiencia.</w:t>
      </w:r>
      <w:r>
        <w:rPr>
          <w:rStyle w:val="FootnoteReference"/>
        </w:rPr>
        <w:footnoteReference w:id="116"/>
      </w:r>
    </w:p>
    <w:p>
      <w:pPr>
        <w:keepNext/>
        <w:numPr>
          <w:ilvl w:val="0"/>
          <w:numId w:val="1051"/>
        </w:numPr>
      </w:pPr>
      <w:r>
        <w:rPr>
          <w:i/>
          <w:iCs/>
        </w:rPr>
        <w:t xml:space="preserve">Estructuras de gobierno</w:t>
      </w:r>
      <w:r>
        <w:t xml:space="preserv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 </w:t>
      </w:r>
      <w:r>
        <w:t xml:space="preserve">compara 3:</w:t>
      </w:r>
    </w:p>
    <w:p>
      <w:pPr>
        <w:numPr>
          <w:ilvl w:val="1"/>
          <w:numId w:val="1053"/>
        </w:numPr>
      </w:pPr>
      <w:r>
        <w:t xml:space="preserve">el</w:t>
      </w:r>
      <w:r>
        <w:t xml:space="preserve"> </w:t>
      </w:r>
      <w:r>
        <w:rPr>
          <w:i/>
          <w:iCs/>
        </w:rPr>
        <w:t xml:space="preserve">mercado</w:t>
      </w:r>
      <w:r>
        <w:t xml:space="preserve">, que da incentivos fuertes y se adapta solo a los cambios de precios, pero protege mal las inversiones específicas;</w:t>
      </w:r>
    </w:p>
    <w:p>
      <w:pPr>
        <w:numPr>
          <w:ilvl w:val="1"/>
          <w:numId w:val="1053"/>
        </w:numPr>
      </w:pPr>
      <w:r>
        <w:t xml:space="preserve">la</w:t>
      </w:r>
      <w:r>
        <w:t xml:space="preserve"> </w:t>
      </w:r>
      <w:r>
        <w:rPr>
          <w:i/>
          <w:iCs/>
        </w:rPr>
        <w:t xml:space="preserve">jerarquía</w:t>
      </w:r>
      <w:r>
        <w:t xml:space="preserve"> </w:t>
      </w:r>
      <w:r>
        <w:t xml:space="preserve">(la empresa), que adapta por autoridad y protege la inversión, pero con incentivos débiles y costes burocráticos;</w:t>
      </w:r>
    </w:p>
    <w:p>
      <w:pPr>
        <w:numPr>
          <w:ilvl w:val="1"/>
          <w:numId w:val="1053"/>
        </w:numPr>
      </w:pPr>
      <w:r>
        <w:t xml:space="preserve">las</w:t>
      </w:r>
      <w:r>
        <w:t xml:space="preserve"> </w:t>
      </w:r>
      <w:r>
        <w:rPr>
          <w:i/>
          <w:iCs/>
        </w:rPr>
        <w:t xml:space="preserve">formas híbridas</w:t>
      </w:r>
      <w:r>
        <w:t xml:space="preserve"> </w:t>
      </w:r>
      <w:r>
        <w:t xml:space="preserve">(contratos a largo plazo, franquicias,</w:t>
      </w:r>
      <w:r>
        <w:t xml:space="preserve"> </w:t>
      </w:r>
      <w:r>
        <w:rPr>
          <w:i/>
          <w:iCs/>
        </w:rPr>
        <w:t xml:space="preserve">joint ventures</w:t>
      </w:r>
      <w:r>
        <w:t xml:space="preserve">, alianzas), entre ambas.</w:t>
      </w:r>
    </w:p>
    <w:p>
      <w:pPr>
        <w:numPr>
          <w:ilvl w:val="0"/>
          <w:numId w:val="1000"/>
        </w:numPr>
      </w:pPr>
      <w:r>
        <w:t xml:space="preserve">Sus costes de gobierno dependen de la especificidad, con</w:t>
      </w:r>
    </w:p>
    <w:p>
      <w:pPr>
        <w:pStyle w:val="BodyText"/>
        <w:keepNext/>
      </w:pPr>
      <m:oMathPara>
        <m:oMathParaPr>
          <m:jc m:val="center"/>
        </m:oMathParaPr>
        <m:oMath>
          <m:sSub>
            <m:e>
              <m:r>
                <m:t>C</m:t>
              </m:r>
            </m:e>
            <m:sub>
              <m:r>
                <m:rPr>
                  <m:nor/>
                  <m:sty m:val="p"/>
                </m:rPr>
                <m:t>mercado</m:t>
              </m:r>
            </m:sub>
          </m:sSub>
          <m:d>
            <m:dPr>
              <m:begChr m:val="("/>
              <m:sepChr m:val=""/>
              <m:endChr m:val=")"/>
              <m:grow/>
            </m:dPr>
            <m:e>
              <m:r>
                <m:t>0</m:t>
              </m:r>
            </m:e>
          </m:d>
          <m:r>
            <m:rPr>
              <m:sty m:val="p"/>
            </m:rPr>
            <m:t>&lt;</m:t>
          </m:r>
          <m:sSub>
            <m:e>
              <m:r>
                <m:t>C</m:t>
              </m:r>
            </m:e>
            <m:sub>
              <m:r>
                <m:rPr>
                  <m:nor/>
                  <m:sty m:val="p"/>
                </m:rPr>
                <m:t>híbrida</m:t>
              </m:r>
            </m:sub>
          </m:sSub>
          <m:d>
            <m:dPr>
              <m:begChr m:val="("/>
              <m:sepChr m:val=""/>
              <m:endChr m:val=")"/>
              <m:grow/>
            </m:dPr>
            <m:e>
              <m:r>
                <m:t>0</m:t>
              </m:r>
            </m:e>
          </m:d>
          <m:r>
            <m:rPr>
              <m:sty m:val="p"/>
            </m:rPr>
            <m:t>&lt;</m:t>
          </m:r>
          <m:sSub>
            <m:e>
              <m:r>
                <m:t>C</m:t>
              </m:r>
            </m:e>
            <m:sub>
              <m:r>
                <m:rPr>
                  <m:nor/>
                  <m:sty m:val="p"/>
                </m:rPr>
                <m:t>jerarquía</m:t>
              </m:r>
            </m:sub>
          </m:sSub>
          <m:d>
            <m:dPr>
              <m:begChr m:val="("/>
              <m:sepChr m:val=""/>
              <m:endChr m:val=")"/>
              <m:grow/>
            </m:dPr>
            <m:e>
              <m:r>
                <m:t>0</m:t>
              </m:r>
            </m:e>
          </m:d>
          <m:r>
            <m:t>  </m:t>
          </m:r>
          <m:r>
            <m:rPr>
              <m:nor/>
              <m:sty m:val="p"/>
            </m:rPr>
            <m:t>y</m:t>
          </m:r>
          <m:r>
            <m:t>  </m:t>
          </m:r>
          <m:sSub>
            <m:e>
              <m:r>
                <m:t>C</m:t>
              </m:r>
            </m:e>
            <m:sub>
              <m:r>
                <m:rPr>
                  <m:nor/>
                  <m:sty m:val="p"/>
                </m:rPr>
                <m:t>mercado</m:t>
              </m:r>
            </m:sub>
          </m:sSub>
          <m:r>
            <m:rPr>
              <m:sty m:val="p"/>
            </m:rPr>
            <m:t>′</m:t>
          </m:r>
          <m:d>
            <m:dPr>
              <m:begChr m:val="("/>
              <m:sepChr m:val=""/>
              <m:endChr m:val=")"/>
              <m:grow/>
            </m:dPr>
            <m:e>
              <m:r>
                <m:t>a</m:t>
              </m:r>
            </m:e>
          </m:d>
          <m:r>
            <m:rPr>
              <m:sty m:val="p"/>
            </m:rPr>
            <m:t>&gt;</m:t>
          </m:r>
          <m:sSub>
            <m:e>
              <m:r>
                <m:t>C</m:t>
              </m:r>
            </m:e>
            <m:sub>
              <m:r>
                <m:rPr>
                  <m:nor/>
                  <m:sty m:val="p"/>
                </m:rPr>
                <m:t>híbrida</m:t>
              </m:r>
            </m:sub>
          </m:sSub>
          <m:r>
            <m:rPr>
              <m:sty m:val="p"/>
            </m:rPr>
            <m:t>′</m:t>
          </m:r>
          <m:d>
            <m:dPr>
              <m:begChr m:val="("/>
              <m:sepChr m:val=""/>
              <m:endChr m:val=")"/>
              <m:grow/>
            </m:dPr>
            <m:e>
              <m:r>
                <m:t>a</m:t>
              </m:r>
            </m:e>
          </m:d>
          <m:r>
            <m:rPr>
              <m:sty m:val="p"/>
            </m:rPr>
            <m:t>&gt;</m:t>
          </m:r>
          <m:sSub>
            <m:e>
              <m:r>
                <m:t>C</m:t>
              </m:r>
            </m:e>
            <m:sub>
              <m:r>
                <m:rPr>
                  <m:nor/>
                  <m:sty m:val="p"/>
                </m:rPr>
                <m:t>jerarquía</m:t>
              </m:r>
            </m:sub>
          </m:sSub>
          <m:r>
            <m:rPr>
              <m:sty m:val="p"/>
            </m:rPr>
            <m:t>′</m:t>
          </m:r>
          <m:d>
            <m:dPr>
              <m:begChr m:val="("/>
              <m:sepChr m:val=""/>
              <m:endChr m:val=")"/>
              <m:grow/>
            </m:dPr>
            <m:e>
              <m:r>
                <m:t>a</m:t>
              </m:r>
            </m:e>
          </m:d>
          <m:r>
            <m:rPr>
              <m:sty m:val="p"/>
            </m:rPr>
            <m:t>&gt;</m:t>
          </m:r>
          <m:r>
            <m:t>0</m:t>
          </m:r>
          <m:r>
            <m:rPr>
              <m:sty m:val="p"/>
            </m:rPr>
            <m:t>,</m:t>
          </m:r>
        </m:oMath>
      </m:oMathPara>
    </w:p>
    <w:p>
      <w:pPr>
        <w:numPr>
          <w:ilvl w:val="0"/>
          <w:numId w:val="1000"/>
        </w:numPr>
      </w:pPr>
      <w:r>
        <w:t xml:space="preserve">y la estructura eficiente es la que minimiza el coste de gobierno:</w:t>
      </w:r>
    </w:p>
    <w:bookmarkStart w:id="117" w:name="eq_gobierno"/>
    <w:bookmarkEnd w:id="117"/>
    <w:p>
      <w:pPr>
        <w:pStyle w:val="Funcionclave"/>
      </w:pPr>
      <m:oMathPara>
        <m:oMathParaPr>
          <m:jc m:val="center"/>
        </m:oMathParaPr>
        <m:oMath>
          <m:sSup>
            <m:e>
              <m:r>
                <m:t>C</m:t>
              </m:r>
            </m:e>
            <m:sup>
              <m:r>
                <m:rPr>
                  <m:sty m:val="p"/>
                </m:rPr>
                <m:t>*</m:t>
              </m:r>
            </m:sup>
          </m:sSup>
          <m:d>
            <m:dPr>
              <m:begChr m:val="("/>
              <m:sepChr m:val=""/>
              <m:endChr m:val=")"/>
              <m:grow/>
            </m:dPr>
            <m:e>
              <m:r>
                <m:t>a</m:t>
              </m:r>
            </m:e>
          </m:d>
          <m:r>
            <m:rPr>
              <m:sty m:val="p"/>
            </m:rPr>
            <m:t>=</m:t>
          </m:r>
          <m:r>
            <m:rPr>
              <m:sty m:val="p"/>
            </m:rPr>
            <m:t>min</m:t>
          </m:r>
          <m:d>
            <m:dPr>
              <m:begChr m:val="{"/>
              <m:sepChr m:val=""/>
              <m:endChr m:val="}"/>
              <m:grow/>
            </m:dPr>
            <m:e>
              <m:sSub>
                <m:e>
                  <m:r>
                    <m:t>C</m:t>
                  </m:r>
                </m:e>
                <m:sub>
                  <m:r>
                    <m:rPr>
                      <m:nor/>
                      <m:sty m:val="p"/>
                    </m:rPr>
                    <m:t>mercado</m:t>
                  </m:r>
                </m:sub>
              </m:sSub>
              <m:d>
                <m:dPr>
                  <m:begChr m:val="("/>
                  <m:sepChr m:val=""/>
                  <m:endChr m:val=")"/>
                  <m:grow/>
                </m:dPr>
                <m:e>
                  <m:r>
                    <m:t>a</m:t>
                  </m:r>
                </m:e>
              </m:d>
              <m:r>
                <m:rPr>
                  <m:sty m:val="p"/>
                </m:rPr>
                <m:t>,</m:t>
              </m:r>
              <m:r>
                <m:t> </m:t>
              </m:r>
              <m:sSub>
                <m:e>
                  <m:r>
                    <m:t>C</m:t>
                  </m:r>
                </m:e>
                <m:sub>
                  <m:r>
                    <m:rPr>
                      <m:nor/>
                      <m:sty m:val="p"/>
                    </m:rPr>
                    <m:t>híbrida</m:t>
                  </m:r>
                </m:sub>
              </m:sSub>
              <m:d>
                <m:dPr>
                  <m:begChr m:val="("/>
                  <m:sepChr m:val=""/>
                  <m:endChr m:val=")"/>
                  <m:grow/>
                </m:dPr>
                <m:e>
                  <m:r>
                    <m:t>a</m:t>
                  </m:r>
                </m:e>
              </m:d>
              <m:r>
                <m:rPr>
                  <m:sty m:val="p"/>
                </m:rPr>
                <m:t>,</m:t>
              </m:r>
              <m:r>
                <m:t> </m:t>
              </m:r>
              <m:sSub>
                <m:e>
                  <m:r>
                    <m:t>C</m:t>
                  </m:r>
                </m:e>
                <m:sub>
                  <m:r>
                    <m:rPr>
                      <m:nor/>
                      <m:sty m:val="p"/>
                    </m:rPr>
                    <m:t>jerarquía</m:t>
                  </m:r>
                </m:sub>
              </m:sSub>
              <m:d>
                <m:dPr>
                  <m:begChr m:val="("/>
                  <m:sepChr m:val=""/>
                  <m:endChr m:val=")"/>
                  <m:grow/>
                </m:dPr>
                <m:e>
                  <m:r>
                    <m:t>a</m:t>
                  </m:r>
                </m:e>
              </m:d>
            </m:e>
          </m:d>
        </m:oMath>
      </m:oMathPara>
    </w:p>
    <w:p>
      <w:pPr>
        <w:numPr>
          <w:ilvl w:val="0"/>
          <w:numId w:val="1000"/>
        </w:numPr>
      </w:pPr>
      <w:r>
        <w:t xml:space="preserve">mercado si</w:t>
      </w:r>
      <w:r>
        <w:t xml:space="preserve"> </w:t>
      </w:r>
      <m:oMath>
        <m:r>
          <m:t>a</m:t>
        </m:r>
        <m:r>
          <m:rPr>
            <m:sty m:val="p"/>
          </m:rPr>
          <m:t>&lt;</m:t>
        </m:r>
        <m:sSub>
          <m:e>
            <m:r>
              <m:t>a</m:t>
            </m:r>
          </m:e>
          <m:sub>
            <m:r>
              <m:t>1</m:t>
            </m:r>
          </m:sub>
        </m:sSub>
      </m:oMath>
      <w:r>
        <w:t xml:space="preserve">, forma híbrida si</w:t>
      </w:r>
      <w:r>
        <w:t xml:space="preserve"> </w:t>
      </w:r>
      <m:oMath>
        <m:sSub>
          <m:e>
            <m:r>
              <m:t>a</m:t>
            </m:r>
          </m:e>
          <m:sub>
            <m:r>
              <m:t>1</m:t>
            </m:r>
          </m:sub>
        </m:sSub>
        <m:r>
          <m:rPr>
            <m:sty m:val="p"/>
          </m:rPr>
          <m:t>&lt;</m:t>
        </m:r>
        <m:r>
          <m:t>a</m:t>
        </m:r>
        <m:r>
          <m:rPr>
            <m:sty m:val="p"/>
          </m:rPr>
          <m:t>&lt;</m:t>
        </m:r>
        <m:sSub>
          <m:e>
            <m:r>
              <m:t>a</m:t>
            </m:r>
          </m:e>
          <m:sub>
            <m:r>
              <m:t>2</m:t>
            </m:r>
          </m:sub>
        </m:sSub>
      </m:oMath>
      <w:r>
        <w:t xml:space="preserve"> </w:t>
      </w:r>
      <w:r>
        <w:t xml:space="preserve">y jerarquía si</w:t>
      </w:r>
      <w:r>
        <w:t xml:space="preserve"> </w:t>
      </w:r>
      <m:oMath>
        <m:r>
          <m:t>a</m:t>
        </m:r>
        <m:r>
          <m:rPr>
            <m:sty m:val="p"/>
          </m:rPr>
          <m:t>&gt;</m:t>
        </m:r>
        <m:sSub>
          <m:e>
            <m:r>
              <m:t>a</m:t>
            </m:r>
          </m:e>
          <m:sub>
            <m:r>
              <m:t>2</m:t>
            </m:r>
          </m:sub>
        </m:sSub>
      </m:oMath>
      <w:r>
        <w:t xml:space="preserve"> </w:t>
      </w:r>
      <w:r>
        <w:t xml:space="preserve">(gráfico </w:t>
      </w:r>
      <w:hyperlink w:anchor="fig_gobierno_williamson">
        <w:r>
          <w:rPr>
            <w:rStyle w:val="Hyperlink"/>
          </w:rPr>
          <w:t xml:space="preserve">7</w:t>
        </w:r>
      </w:hyperlink>
      <w:r>
        <w:t xml:space="preserve">).</w:t>
      </w:r>
    </w:p>
    <w:p>
      <w:pPr>
        <w:numPr>
          <w:ilvl w:val="0"/>
          <w:numId w:val="1051"/>
        </w:numPr>
      </w:pPr>
      <w:r>
        <w:rPr>
          <w:i/>
          <w:iCs/>
        </w:rPr>
        <w:t xml:space="preserve">Producción y gobierno juntos</w:t>
      </w:r>
      <w:r>
        <w:t xml:space="preserve">: el mercado tiene además una ventaja en los costes de</w:t>
      </w:r>
      <w:r>
        <w:t xml:space="preserve"> </w:t>
      </w:r>
      <w:r>
        <w:rPr>
          <w:i/>
          <w:iCs/>
        </w:rPr>
        <w:t xml:space="preserve">producción</w:t>
      </w:r>
      <w:r>
        <w:t xml:space="preserve">, porque un proveedor que vende a muchos clientes agrega demandas y aprovecha las economías de escala. Por eso la integración solo compensa con una especificidad mayor de la que justificarían los costes de gobierno solos: las empresas compran más de lo que haría pensar el</w:t>
      </w:r>
      <w:r>
        <w:t xml:space="preserve"> </w:t>
      </w:r>
      <w:r>
        <w:rPr>
          <w:i/>
          <w:iCs/>
        </w:rPr>
        <w:t xml:space="preserve">hold-up</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r>
        <w:t xml:space="preserve">(anexo </w:t>
      </w:r>
      <w:hyperlink w:anchor="anexo_riordan_williamson">
        <w:r>
          <w:rPr>
            <w:rStyle w:val="Hyperlink"/>
          </w:rPr>
          <w:t xml:space="preserve">B.2</w:t>
        </w:r>
      </w:hyperlink>
      <w:r>
        <w:t xml:space="preserve">).</w:t>
      </w:r>
    </w:p>
    <w:bookmarkStart w:id="121" w:name="fig_gobierno_williamson"/>
    <w:p>
      <w:pPr>
        <w:pStyle w:val="ImageCaption"/>
      </w:pPr>
      <w:r>
        <w:t xml:space="preserve">Gráfico 7.–</w:t>
      </w:r>
      <w:r>
        <w:t xml:space="preserve"> </w:t>
      </w:r>
      <w:r>
        <w:t xml:space="preserve">Costes de gobierno y especificidad de los activos: mercado, forma híbrida y jerarquía</w:t>
      </w:r>
    </w:p>
    <w:p>
      <w:pPr>
        <w:pStyle w:val="CaptionedFigure"/>
      </w:pPr>
      <w:r>
        <w:drawing>
          <wp:inline>
            <wp:extent cx="3581400" cy="2117487"/>
            <wp:effectExtent b="0" l="0" r="0" t="0"/>
            <wp:docPr descr="Gráfico 7.– Costes de gobierno y especificidad de los activos: mercado, forma híbrida y jerarquía" title="" id="119" name="Picture"/>
            <a:graphic>
              <a:graphicData uri="http://schemas.openxmlformats.org/drawingml/2006/picture">
                <pic:pic>
                  <pic:nvPicPr>
                    <pic:cNvPr descr="C:\Users\vgutierrez\Documents\src\victorgutierrezmarcos.github.io-revision\oposicion\temario\fuentes\3A15\graficos/gobierno-williamson.png" id="120" name="Picture"/>
                    <pic:cNvPicPr>
                      <a:picLocks noChangeArrowheads="1" noChangeAspect="1"/>
                    </pic:cNvPicPr>
                  </pic:nvPicPr>
                  <pic:blipFill>
                    <a:blip r:embed="rId118"/>
                    <a:stretch>
                      <a:fillRect/>
                    </a:stretch>
                  </pic:blipFill>
                  <pic:spPr bwMode="auto">
                    <a:xfrm>
                      <a:off x="0" y="0"/>
                      <a:ext cx="3581400" cy="211748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w:t>
      </w:r>
    </w:p>
    <w:bookmarkEnd w:id="122"/>
    <w:bookmarkStart w:id="123" w:name="iii_implicaciones_4"/>
    <w:p>
      <w:pPr>
        <w:pStyle w:val="Heading5"/>
      </w:pPr>
      <w:r>
        <w:t xml:space="preserve">iii) Implicaciones</w:t>
      </w:r>
    </w:p>
    <w:p>
      <w:pPr>
        <w:numPr>
          <w:ilvl w:val="0"/>
          <w:numId w:val="1054"/>
        </w:numPr>
      </w:pPr>
      <w:r>
        <w:t xml:space="preserve">Las transacciones con activos poco específicos van al mercado, sea cual sea su frecuencia; con especificidad intermedia, a contratos a largo plazo y formas híbridas; con mucha especificidad, sobre todo si son frecuentes e inciertas, a la empresa</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 Lo que caracteriza a la empresa es la jerarquía, una organización para ahorrar costes de transacción, y esos costes fijan su tamaño, su alcance y los de la industria.</w:t>
      </w:r>
    </w:p>
    <w:p>
      <w:pPr>
        <w:numPr>
          <w:ilvl w:val="0"/>
          <w:numId w:val="1054"/>
        </w:numPr>
      </w:pPr>
      <w:r>
        <w:t xml:space="preserve">La integración vertical deja de ser un indicio de monopolización: puede ser la forma más barata de proteger una inversión.</w:t>
      </w:r>
    </w:p>
    <w:p>
      <w:pPr>
        <w:keepNext/>
        <w:numPr>
          <w:ilvl w:val="0"/>
          <w:numId w:val="1054"/>
        </w:numPr>
      </w:pPr>
      <w:r>
        <w:t xml:space="preserve">Y la jerarquía tiene sus</w:t>
      </w:r>
      <w:r>
        <w:t xml:space="preserve"> </w:t>
      </w:r>
      <w:r>
        <w:rPr>
          <w:i/>
          <w:iCs/>
        </w:rPr>
        <w:t xml:space="preserve">límites</w:t>
      </w:r>
      <w:r>
        <w:t xml:space="preserve">: su coste de gobierno,</w:t>
      </w:r>
      <w:r>
        <w:t xml:space="preserve"> </w:t>
      </w:r>
      <m:oMath>
        <m:sSub>
          <m:e>
            <m:r>
              <m:t>C</m:t>
            </m:r>
          </m:e>
          <m:sub>
            <m:r>
              <m:rPr>
                <m:nor/>
                <m:sty m:val="p"/>
              </m:rPr>
              <m:t>jerarquía</m:t>
            </m:r>
          </m:sub>
        </m:sSub>
        <m:d>
          <m:dPr>
            <m:begChr m:val="("/>
            <m:sepChr m:val=""/>
            <m:endChr m:val=")"/>
            <m:grow/>
          </m:dPr>
          <m:e>
            <m:r>
              <m:t>a</m:t>
            </m:r>
          </m:e>
        </m:d>
      </m:oMath>
      <w:r>
        <w:t xml:space="preserve">, es el más alto cuando la especificidad es baja. Una empresa grande podría, en principio, hacer lo mismo que varias pequeñas y algo más: mantener cada unidad como si fuera independiente e intervenir solo cuando así se gane; si pudiera, una sola empresa organizaría toda la economía.</w:t>
      </w:r>
      <w:r>
        <w:t xml:space="preserve"> </w:t>
      </w:r>
      <w:r>
        <w:rPr>
          <w:smallCaps/>
        </w:rPr>
        <w:t xml:space="preserve">Williamson</w:t>
      </w:r>
      <w:r>
        <w:t xml:space="preserve"> </w:t>
      </w:r>
      <w:r>
        <w:t xml:space="preserve">(</w:t>
      </w:r>
      <w:hyperlink w:anchor="ref_Williamson1985Economic">
        <w:r>
          <w:rPr>
            <w:rStyle w:val="Hyperlink"/>
          </w:rPr>
          <w:t xml:space="preserve">1985, cap. 6</w:t>
        </w:r>
      </w:hyperlink>
      <w:r>
        <w:t xml:space="preserve">)</w:t>
      </w:r>
      <w:r>
        <w:t xml:space="preserve"> </w:t>
      </w:r>
      <w:r>
        <w:t xml:space="preserve">explica por qué no puede (la</w:t>
      </w:r>
      <w:r>
        <w:t xml:space="preserve"> </w:t>
      </w:r>
      <w:r>
        <w:rPr>
          <w:b/>
          <w:bCs/>
        </w:rPr>
        <w:t xml:space="preserve">imposibilidad de la intervención selectiva</w:t>
      </w:r>
      <w:r>
        <w:t xml:space="preserve">):</w:t>
      </w:r>
    </w:p>
    <w:p>
      <w:pPr>
        <w:numPr>
          <w:ilvl w:val="1"/>
          <w:numId w:val="1055"/>
        </w:numPr>
      </w:pPr>
      <w:r>
        <w:t xml:space="preserve">al integrar, el antiguo propietario pasa a ser empleado y pierde el derecho al beneficio residual: sus incentivos se debilitan (incentivos de</w:t>
      </w:r>
      <w:r>
        <w:t xml:space="preserve"> </w:t>
      </w:r>
      <w:r>
        <w:rPr>
          <w:i/>
          <w:iCs/>
        </w:rPr>
        <w:t xml:space="preserve">baja potencia</w:t>
      </w:r>
      <w:r>
        <w:t xml:space="preserve">);</w:t>
      </w:r>
    </w:p>
    <w:p>
      <w:pPr>
        <w:numPr>
          <w:ilvl w:val="1"/>
          <w:numId w:val="1055"/>
        </w:numPr>
      </w:pPr>
      <w:r>
        <w:t xml:space="preserve">la dirección no puede comprometerse a intervenir solo cuando conviene, y los precios internos se pueden manipular;</w:t>
      </w:r>
    </w:p>
    <w:p>
      <w:pPr>
        <w:numPr>
          <w:ilvl w:val="1"/>
          <w:numId w:val="1055"/>
        </w:numPr>
      </w:pPr>
      <w:r>
        <w:t xml:space="preserve">crecen los</w:t>
      </w:r>
      <w:r>
        <w:t xml:space="preserve"> </w:t>
      </w:r>
      <w:r>
        <w:rPr>
          <w:i/>
          <w:iCs/>
        </w:rPr>
        <w:t xml:space="preserve">costes burocráticos</w:t>
      </w:r>
      <w:r>
        <w:t xml:space="preserve">: reglas, controles y actividades de influencia de quienes buscan que las decisiones les favorezcan.</w:t>
      </w:r>
    </w:p>
    <w:p>
      <w:pPr>
        <w:pStyle w:val="Cajadeanotaciones"/>
      </w:pPr>
      <w:r>
        <w:rPr>
          <w:b/>
          <w:bCs/>
        </w:rPr>
        <w:t xml:space="preserve">El caso Fisher Body–General Motors</w:t>
      </w:r>
      <w:r>
        <w:t xml:space="preserve">. En 1919, General Motors compró el 60 % de Fisher Body, su proveedor de carrocerías, y firmó con ella un contrato de suministro en exclusiva por 10 años, a coste más un margen. Cuando la demanda de carrocerías cerradas de acero se disparó, según</w:t>
      </w:r>
      <w:r>
        <w:t xml:space="preserve"> </w:t>
      </w:r>
      <w:r>
        <w:rPr>
          <w:smallCaps/>
        </w:rPr>
        <w:t xml:space="preserve">Klein</w:t>
      </w:r>
      <w:r>
        <w:t xml:space="preserve">,</w:t>
      </w:r>
      <w:r>
        <w:t xml:space="preserve"> </w:t>
      </w:r>
      <w:r>
        <w:rPr>
          <w:smallCaps/>
        </w:rPr>
        <w:t xml:space="preserve">Crawford</w:t>
      </w:r>
      <w:r>
        <w:t xml:space="preserve"> </w:t>
      </w:r>
      <w:r>
        <w:t xml:space="preserve">y</w:t>
      </w:r>
      <w:r>
        <w:t xml:space="preserve"> </w:t>
      </w:r>
      <w:r>
        <w:rPr>
          <w:smallCaps/>
        </w:rPr>
        <w:t xml:space="preserve">Alchian</w:t>
      </w:r>
      <w:r>
        <w:t xml:space="preserve"> </w:t>
      </w:r>
      <w:r>
        <w:t xml:space="preserve">(</w:t>
      </w:r>
      <w:hyperlink w:anchor="ref_KleinCrawfordAlchian1978Vertical">
        <w:r>
          <w:rPr>
            <w:rStyle w:val="Hyperlink"/>
          </w:rPr>
          <w:t xml:space="preserve">1978</w:t>
        </w:r>
      </w:hyperlink>
      <w:r>
        <w:t xml:space="preserve">)</w:t>
      </w:r>
      <w:r>
        <w:t xml:space="preserve"> </w:t>
      </w:r>
      <w:r>
        <w:t xml:space="preserve">Fisher Body se aprovechó del contrato: precios altos por el margen sobre el coste y negativa a instalar sus plantas junto a las de General Motors. En 1926, General Motors compró el 40 % restante: la integración vertical habría resuelto el</w:t>
      </w:r>
      <w:r>
        <w:t xml:space="preserve"> </w:t>
      </w:r>
      <w:r>
        <w:rPr>
          <w:i/>
          <w:iCs/>
        </w:rPr>
        <w:t xml:space="preserve">hold-up</w:t>
      </w:r>
      <w:r>
        <w:t xml:space="preserve">. Es el ejemplo de los manuales, y también un caso discutido: con documentos de la época,</w:t>
      </w:r>
      <w:r>
        <w:t xml:space="preserve"> </w:t>
      </w:r>
      <w:r>
        <w:rPr>
          <w:smallCaps/>
        </w:rPr>
        <w:t xml:space="preserve">Coase</w:t>
      </w:r>
      <w:r>
        <w:t xml:space="preserve"> </w:t>
      </w:r>
      <w:r>
        <w:t xml:space="preserve">(</w:t>
      </w:r>
      <w:hyperlink w:anchor="ref_Coase2000Acquisition">
        <w:r>
          <w:rPr>
            <w:rStyle w:val="Hyperlink"/>
          </w:rPr>
          <w:t xml:space="preserve">2000</w:t>
        </w:r>
      </w:hyperlink>
      <w:r>
        <w:t xml:space="preserve">)</w:t>
      </w:r>
      <w:r>
        <w:t xml:space="preserve"> </w:t>
      </w:r>
      <w:r>
        <w:t xml:space="preserve">y</w:t>
      </w:r>
      <w:r>
        <w:t xml:space="preserve"> </w:t>
      </w:r>
      <w:r>
        <w:rPr>
          <w:smallCaps/>
        </w:rPr>
        <w:t xml:space="preserve">Casadesus-Masanell</w:t>
      </w:r>
      <w:r>
        <w:t xml:space="preserve"> </w:t>
      </w:r>
      <w:r>
        <w:t xml:space="preserve">y</w:t>
      </w:r>
      <w:r>
        <w:t xml:space="preserve"> </w:t>
      </w:r>
      <w:r>
        <w:rPr>
          <w:smallCaps/>
        </w:rPr>
        <w:t xml:space="preserve">Spulber</w:t>
      </w:r>
      <w:r>
        <w:t xml:space="preserve"> </w:t>
      </w:r>
      <w:r>
        <w:t xml:space="preserve">(</w:t>
      </w:r>
      <w:hyperlink w:anchor="ref_CasadesusMasanellSpulber2000Fable">
        <w:r>
          <w:rPr>
            <w:rStyle w:val="Hyperlink"/>
          </w:rPr>
          <w:t xml:space="preserve">2000</w:t>
        </w:r>
      </w:hyperlink>
      <w:r>
        <w:t xml:space="preserve">)</w:t>
      </w:r>
      <w:r>
        <w:t xml:space="preserve"> </w:t>
      </w:r>
      <w:r>
        <w:t xml:space="preserve">sostienen que no hubo expropiación, y</w:t>
      </w:r>
      <w:r>
        <w:t xml:space="preserve"> </w:t>
      </w:r>
      <w:r>
        <w:rPr>
          <w:smallCaps/>
        </w:rPr>
        <w:t xml:space="preserve">Freeland</w:t>
      </w:r>
      <w:r>
        <w:t xml:space="preserve"> </w:t>
      </w:r>
      <w:r>
        <w:t xml:space="preserve">(</w:t>
      </w:r>
      <w:hyperlink w:anchor="ref_Freeland2000Creating">
        <w:r>
          <w:rPr>
            <w:rStyle w:val="Hyperlink"/>
          </w:rPr>
          <w:t xml:space="preserve">2000</w:t>
        </w:r>
      </w:hyperlink>
      <w:r>
        <w:t xml:space="preserve">)</w:t>
      </w:r>
      <w:r>
        <w:t xml:space="preserve"> </w:t>
      </w:r>
      <w:r>
        <w:t xml:space="preserve">atribuye la compra al deseo de retener a los hermanos Fisher en la dirección;</w:t>
      </w:r>
      <w:r>
        <w:t xml:space="preserve"> </w:t>
      </w:r>
      <w:r>
        <w:rPr>
          <w:smallCaps/>
        </w:rPr>
        <w:t xml:space="preserve">Klein</w:t>
      </w:r>
      <w:r>
        <w:t xml:space="preserve"> </w:t>
      </w:r>
      <w:r>
        <w:t xml:space="preserve">(</w:t>
      </w:r>
      <w:hyperlink w:anchor="ref_Klein2000Fisher">
        <w:r>
          <w:rPr>
            <w:rStyle w:val="Hyperlink"/>
          </w:rPr>
          <w:t xml:space="preserve">2000</w:t>
        </w:r>
      </w:hyperlink>
      <w:r>
        <w:t xml:space="preserve">)</w:t>
      </w:r>
      <w:r>
        <w:t xml:space="preserve"> </w:t>
      </w:r>
      <w:r>
        <w:t xml:space="preserve">mantiene su interpretación.</w:t>
      </w:r>
    </w:p>
    <w:bookmarkEnd w:id="123"/>
    <w:bookmarkEnd w:id="124"/>
    <w:bookmarkStart w:id="125" w:name="c_evidencia_emp__rica_1"/>
    <w:p>
      <w:pPr>
        <w:pStyle w:val="Heading4"/>
      </w:pPr>
      <w:r>
        <w:t xml:space="preserve">c) Evidencia empírica</w:t>
      </w:r>
    </w:p>
    <w:p>
      <w:pPr>
        <w:numPr>
          <w:ilvl w:val="0"/>
          <w:numId w:val="1056"/>
        </w:numPr>
      </w:pPr>
      <w:r>
        <w:t xml:space="preserve">En la industria del automóvil, los componentes que exigen más conocimiento específico de ingeniería se fabrican más a menudo dentro</w:t>
      </w:r>
      <w:r>
        <w:t xml:space="preserve"> </w:t>
      </w:r>
      <w:r>
        <w:t xml:space="preserve">(</w:t>
      </w:r>
      <w:hyperlink w:anchor="ref_MonteverdeTeece1982Supplier">
        <w:r>
          <w:rPr>
            <w:rStyle w:val="Hyperlink"/>
            <w:smallCaps/>
          </w:rPr>
          <w:t xml:space="preserve">Monteverde</w:t>
        </w:r>
        <w:r>
          <w:rPr>
            <w:rStyle w:val="Hyperlink"/>
          </w:rPr>
          <w:t xml:space="preserve"> </w:t>
        </w:r>
        <w:r>
          <w:rPr>
            <w:rStyle w:val="Hyperlink"/>
          </w:rPr>
          <w:t xml:space="preserve">y</w:t>
        </w:r>
        <w:r>
          <w:rPr>
            <w:rStyle w:val="Hyperlink"/>
          </w:rPr>
          <w:t xml:space="preserve"> </w:t>
        </w:r>
        <w:r>
          <w:rPr>
            <w:rStyle w:val="Hyperlink"/>
            <w:smallCaps/>
          </w:rPr>
          <w:t xml:space="preserve">Teece</w:t>
        </w:r>
        <w:r>
          <w:rPr>
            <w:rStyle w:val="Hyperlink"/>
          </w:rPr>
          <w:t xml:space="preserve">, 1982</w:t>
        </w:r>
      </w:hyperlink>
      <w:r>
        <w:t xml:space="preserve">)</w:t>
      </w:r>
      <w:r>
        <w:t xml:space="preserve">; en el carbón, los contratos entre centrales y minas son más largos cuanto más específica es la relación, y más aún en las centrales a pie de mina</w:t>
      </w:r>
      <w:r>
        <w:t xml:space="preserve"> </w:t>
      </w:r>
      <w:r>
        <w:t xml:space="preserve">(</w:t>
      </w:r>
      <w:hyperlink w:anchor="ref_Joskow1987Contract">
        <w:r>
          <w:rPr>
            <w:rStyle w:val="Hyperlink"/>
            <w:smallCaps/>
          </w:rPr>
          <w:t xml:space="preserve">Joskow</w:t>
        </w:r>
        <w:r>
          <w:rPr>
            <w:rStyle w:val="Hyperlink"/>
          </w:rPr>
          <w:t xml:space="preserve">, 1987</w:t>
        </w:r>
      </w:hyperlink>
      <w:r>
        <w:t xml:space="preserve">)</w:t>
      </w:r>
      <w:r>
        <w:t xml:space="preserve">. En conjunto, los estudios apoyan las predicciones de la teoría</w:t>
      </w:r>
      <w:r>
        <w:t xml:space="preserve"> </w:t>
      </w:r>
      <w:r>
        <w:t xml:space="preserve">(</w:t>
      </w:r>
      <w:hyperlink w:anchor="ref_LafontaineSlade2007Vertical">
        <w:r>
          <w:rPr>
            <w:rStyle w:val="Hyperlink"/>
            <w:smallCaps/>
          </w:rPr>
          <w:t xml:space="preserve">Lafontaine</w:t>
        </w:r>
        <w:r>
          <w:rPr>
            <w:rStyle w:val="Hyperlink"/>
          </w:rPr>
          <w:t xml:space="preserve"> </w:t>
        </w:r>
        <w:r>
          <w:rPr>
            <w:rStyle w:val="Hyperlink"/>
          </w:rPr>
          <w:t xml:space="preserve">y</w:t>
        </w:r>
        <w:r>
          <w:rPr>
            <w:rStyle w:val="Hyperlink"/>
          </w:rPr>
          <w:t xml:space="preserve"> </w:t>
        </w:r>
        <w:r>
          <w:rPr>
            <w:rStyle w:val="Hyperlink"/>
            <w:smallCaps/>
          </w:rPr>
          <w:t xml:space="preserve">Slade</w:t>
        </w:r>
        <w:r>
          <w:rPr>
            <w:rStyle w:val="Hyperlink"/>
          </w:rPr>
          <w:t xml:space="preserve">, 2007</w:t>
        </w:r>
      </w:hyperlink>
      <w:r>
        <w:t xml:space="preserve">)</w:t>
      </w:r>
      <w:r>
        <w:t xml:space="preserve">.</w:t>
      </w:r>
    </w:p>
    <w:bookmarkEnd w:id="125"/>
    <w:bookmarkStart w:id="126" w:name="d_valoraci__n_2"/>
    <w:p>
      <w:pPr>
        <w:pStyle w:val="Heading4"/>
      </w:pPr>
      <w:r>
        <w:t xml:space="preserve">d) Valoración</w:t>
      </w:r>
    </w:p>
    <w:p>
      <w:pPr>
        <w:numPr>
          <w:ilvl w:val="0"/>
          <w:numId w:val="1057"/>
        </w:numPr>
      </w:pPr>
      <w:r>
        <w:t xml:space="preserve">Explica fenómenos que la tecnología no explica: las fusiones y adquisiciones verticales, las alianzas estratégicas y las</w:t>
      </w:r>
      <w:r>
        <w:t xml:space="preserve"> </w:t>
      </w:r>
      <w:r>
        <w:rPr>
          <w:i/>
          <w:iCs/>
        </w:rPr>
        <w:t xml:space="preserve">joint ventures</w:t>
      </w:r>
      <w:r>
        <w:t xml:space="preserve"> </w:t>
      </w:r>
      <w:r>
        <w:t xml:space="preserve">en los casos intermedios, las franquicias y la externalización de actividades poco específicas aunque sean frecuentes (limpieza, contabilidad); sirve también para elegir la estructura organizativa interna más eficaz.</w:t>
      </w:r>
    </w:p>
    <w:p>
      <w:pPr>
        <w:numPr>
          <w:ilvl w:val="0"/>
          <w:numId w:val="1057"/>
        </w:numPr>
      </w:pPr>
      <w:r>
        <w:t xml:space="preserve">Pero sus conceptos son difíciles de medir, compara estructuras de forma casi verbal y no dice por qué integrar resuelve el oportunismo: si el proveedor pasa a ser una división, ¿por qué deja de comportarse de forma oportunista? Es la pregunta de la teoría de los derechos de propiedad.</w:t>
      </w:r>
    </w:p>
    <w:bookmarkEnd w:id="126"/>
    <w:bookmarkEnd w:id="127"/>
    <w:bookmarkStart w:id="139" w:name="sec_contratos_incompletos"/>
    <w:p>
      <w:pPr>
        <w:pStyle w:val="Heading2"/>
      </w:pPr>
      <w:r>
        <w:t xml:space="preserve">II.3.</w:t>
      </w:r>
      <w:r>
        <w:t xml:space="preserve"> </w:t>
      </w:r>
      <w:r>
        <w:t xml:space="preserve">El enfoque de los derechos de propiedad: contratos incompletos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pStyle w:val="Cajadeanotaciones"/>
      </w:pPr>
      <w:r>
        <w:t xml:space="preserve">Lecturas: el Nobel de</w:t>
      </w:r>
      <w:r>
        <w:t xml:space="preserve"> </w:t>
      </w:r>
      <w:r>
        <w:rPr>
          <w:smallCaps/>
        </w:rPr>
        <w:t xml:space="preserve">Hart</w:t>
      </w:r>
      <w:r>
        <w:t xml:space="preserve"> </w:t>
      </w:r>
      <w:r>
        <w:t xml:space="preserve">y</w:t>
      </w:r>
      <w:r>
        <w:t xml:space="preserve"> </w:t>
      </w:r>
      <w:r>
        <w:rPr>
          <w:smallCaps/>
        </w:rPr>
        <w:t xml:space="preserve">Holmström</w:t>
      </w:r>
      <w:r>
        <w:t xml:space="preserve"> </w:t>
      </w:r>
      <w:r>
        <w:t xml:space="preserve">en Nada es Gratis (</w:t>
      </w:r>
      <w:hyperlink r:id="rId128">
        <w:r>
          <w:rPr>
            <w:rStyle w:val="Hyperlink"/>
          </w:rPr>
          <w:t xml:space="preserve">https://nadaesgratis.es/admin/un-nobel-para-la-teoria-de-contratos-hart-y-holmstrom</w:t>
        </w:r>
      </w:hyperlink>
      <w:r>
        <w:t xml:space="preserve">) y una explicación jurídica de los contratos incompletos (</w:t>
      </w:r>
      <w:hyperlink r:id="rId129">
        <w:r>
          <w:rPr>
            <w:rStyle w:val="Hyperlink"/>
          </w:rPr>
          <w:t xml:space="preserve">https://derechomercantilespana.blogspot.com/2017/06/contratos-incompletos-oliver-hart-2.html</w:t>
        </w:r>
      </w:hyperlink>
      <w:r>
        <w:t xml:space="preserve">).</w:t>
      </w:r>
    </w:p>
    <w:bookmarkStart w:id="130" w:name="a_idea_5"/>
    <w:p>
      <w:pPr>
        <w:pStyle w:val="Heading4"/>
      </w:pPr>
      <w:r>
        <w:t xml:space="preserve">a) Idea</w:t>
      </w:r>
    </w:p>
    <w:p>
      <w:pPr>
        <w:numPr>
          <w:ilvl w:val="0"/>
          <w:numId w:val="1058"/>
        </w:numPr>
      </w:pP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6Costs">
        <w:r>
          <w:rPr>
            <w:rStyle w:val="Hyperlink"/>
          </w:rPr>
          <w:t xml:space="preserve">1986</w:t>
        </w:r>
      </w:hyperlink>
      <w:r>
        <w:t xml:space="preserve">)</w:t>
      </w:r>
      <w:r>
        <w:t xml:space="preserve"> </w:t>
      </w:r>
      <w:r>
        <w:t xml:space="preserve">y</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w:t>
      </w:r>
      <w:hyperlink w:anchor="ref_HartMoore1990Property">
        <w:r>
          <w:rPr>
            <w:rStyle w:val="Hyperlink"/>
          </w:rPr>
          <w:t xml:space="preserve">1990</w:t>
        </w:r>
      </w:hyperlink>
      <w:r>
        <w:t xml:space="preserve">)</w:t>
      </w:r>
      <w:r>
        <w:t xml:space="preserve"> </w:t>
      </w:r>
      <w:r>
        <w:t xml:space="preserve">responden a la pregunta que deja</w:t>
      </w:r>
      <w:r>
        <w:t xml:space="preserve"> </w:t>
      </w:r>
      <w:r>
        <w:rPr>
          <w:smallCaps/>
        </w:rPr>
        <w:t xml:space="preserve">Williamson</w:t>
      </w:r>
      <w:r>
        <w:t xml:space="preserve">: ¿qué cambia al integrar? Cambia</w:t>
      </w:r>
      <w:r>
        <w:t xml:space="preserve"> </w:t>
      </w:r>
      <w:r>
        <w:rPr>
          <w:i/>
          <w:iCs/>
        </w:rPr>
        <w:t xml:space="preserve">quién es el dueño de los activos</w:t>
      </w:r>
      <w:r>
        <w:t xml:space="preserve">. Una empresa es un conjunto de activos físicos de</w:t>
      </w:r>
      <w:r>
        <w:t xml:space="preserve"> </w:t>
      </w:r>
      <w:r>
        <w:rPr>
          <w:i/>
          <w:iCs/>
        </w:rPr>
        <w:t xml:space="preserve">propiedad común</w:t>
      </w:r>
      <w:r>
        <w:t xml:space="preserve">: si 2 activos tienen el mismo dueño, forman una empresa integrada; si tienen dueños distintos, son 2 empresas que se relacionan en el mercado.</w:t>
      </w:r>
    </w:p>
    <w:p>
      <w:pPr>
        <w:numPr>
          <w:ilvl w:val="0"/>
          <w:numId w:val="1058"/>
        </w:numPr>
      </w:pPr>
      <w:r>
        <w:t xml:space="preserve">Como en la economía de los costes de transacción, la empresa existe porque los contratos son incompletos; lo nuevo es que la propiedad es una fuente de poder precisamente por eso: decide quién manda en lo que el contrato no prevé.</w:t>
      </w:r>
    </w:p>
    <w:bookmarkEnd w:id="130"/>
    <w:bookmarkStart w:id="134" w:name="b_modelo_5"/>
    <w:p>
      <w:pPr>
        <w:pStyle w:val="Heading4"/>
      </w:pPr>
      <w:r>
        <w:t xml:space="preserve">b) Modelo</w:t>
      </w:r>
    </w:p>
    <w:bookmarkStart w:id="131" w:name="i_supuestos_4"/>
    <w:p>
      <w:pPr>
        <w:pStyle w:val="Heading5"/>
      </w:pPr>
      <w:r>
        <w:t xml:space="preserve">i) Supuestos</w:t>
      </w:r>
    </w:p>
    <w:p>
      <w:pPr>
        <w:numPr>
          <w:ilvl w:val="0"/>
          <w:numId w:val="1059"/>
        </w:numPr>
      </w:pPr>
      <w:r>
        <w:t xml:space="preserve">Los contratos son incompletos no solo por la racionalidad limitada, sino porque muchas variables, aunque las partes las vean, no son</w:t>
      </w:r>
      <w:r>
        <w:t xml:space="preserve"> </w:t>
      </w:r>
      <w:r>
        <w:rPr>
          <w:i/>
          <w:iCs/>
        </w:rPr>
        <w:t xml:space="preserve">verificables</w:t>
      </w:r>
      <w:r>
        <w:t xml:space="preserve"> </w:t>
      </w:r>
      <w:r>
        <w:t xml:space="preserve">por un juez.</w:t>
      </w:r>
    </w:p>
    <w:p>
      <w:pPr>
        <w:numPr>
          <w:ilvl w:val="0"/>
          <w:numId w:val="1059"/>
        </w:numPr>
      </w:pPr>
      <w:r>
        <w:t xml:space="preserve">Hay 2 tipos de derechos sobre un activo: los</w:t>
      </w:r>
      <w:r>
        <w:t xml:space="preserve"> </w:t>
      </w:r>
      <w:r>
        <w:rPr>
          <w:b/>
          <w:bCs/>
        </w:rPr>
        <w:t xml:space="preserve">derechos específicos</w:t>
      </w:r>
      <w:r>
        <w:t xml:space="preserve">, los que el contrato detalla y se pueden ceder (qué se entrega, a qué precio), y los</w:t>
      </w:r>
      <w:r>
        <w:t xml:space="preserve"> </w:t>
      </w:r>
      <w:r>
        <w:rPr>
          <w:b/>
          <w:bCs/>
        </w:rPr>
        <w:t xml:space="preserve">derechos residuales de control</w:t>
      </w:r>
      <w:r>
        <w:t xml:space="preserve">, el derecho a decidir sobre el uso del activo en todo lo que el contrato, la ley o la costumbre no prevén</w:t>
      </w:r>
      <w:r>
        <w:t xml:space="preserve"> </w:t>
      </w:r>
      <w:r>
        <w:t xml:space="preserve">(</w:t>
      </w:r>
      <w:hyperlink w:anchor="ref_Hart1995Firms">
        <w:r>
          <w:rPr>
            <w:rStyle w:val="Hyperlink"/>
            <w:smallCaps/>
          </w:rPr>
          <w:t xml:space="preserve">Hart</w:t>
        </w:r>
        <w:r>
          <w:rPr>
            <w:rStyle w:val="Hyperlink"/>
          </w:rPr>
          <w:t xml:space="preserve">, 1995</w:t>
        </w:r>
      </w:hyperlink>
      <w:r>
        <w:t xml:space="preserve">)</w:t>
      </w:r>
      <w:r>
        <w:t xml:space="preserve">. La</w:t>
      </w:r>
      <w:r>
        <w:t xml:space="preserve"> </w:t>
      </w:r>
      <w:r>
        <w:rPr>
          <w:i/>
          <w:iCs/>
        </w:rPr>
        <w:t xml:space="preserve">propiedad</w:t>
      </w:r>
      <w:r>
        <w:t xml:space="preserve"> </w:t>
      </w:r>
      <w:r>
        <w:t xml:space="preserve">es la titularidad de los derechos residuales. Recaen sobre activos físicos, no sobre las personas: el trabajo no se puede poseer.</w:t>
      </w:r>
    </w:p>
    <w:p>
      <w:pPr>
        <w:numPr>
          <w:ilvl w:val="0"/>
          <w:numId w:val="1059"/>
        </w:numPr>
      </w:pPr>
      <w:r>
        <w:t xml:space="preserve">2 partes, un comprador y un vendedor. Antes de comerciar, el comprador hace una inversión específica</w:t>
      </w:r>
      <w:r>
        <w:t xml:space="preserve"> </w:t>
      </w:r>
      <m:oMath>
        <m:r>
          <m:t>e</m:t>
        </m:r>
      </m:oMath>
      <w:r>
        <w:t xml:space="preserve">, con coste</w:t>
      </w:r>
      <w:r>
        <w:t xml:space="preserve"> </w:t>
      </w:r>
      <m:oMath>
        <m:r>
          <m:t>e</m:t>
        </m:r>
      </m:oMath>
      <w:r>
        <w:t xml:space="preserve">, que no se puede contratar. Si comercian, generan un valor</w:t>
      </w:r>
      <w:r>
        <w:t xml:space="preserve"> </w:t>
      </w:r>
      <m:oMath>
        <m:r>
          <m:t>y</m:t>
        </m:r>
        <m:d>
          <m:dPr>
            <m:begChr m:val="("/>
            <m:sepChr m:val=""/>
            <m:endChr m:val=")"/>
            <m:grow/>
          </m:dPr>
          <m:e>
            <m:r>
              <m:t>e</m:t>
            </m:r>
          </m:e>
        </m:d>
      </m:oMath>
      <w:r>
        <w:t xml:space="preserve">, con</w:t>
      </w:r>
      <w:r>
        <w:t xml:space="preserve"> </w:t>
      </w:r>
      <m:oMath>
        <m:r>
          <m:t>y</m:t>
        </m:r>
        <m:r>
          <m:rPr>
            <m:sty m:val="p"/>
          </m:rPr>
          <m:t>′</m:t>
        </m:r>
        <m:r>
          <m:rPr>
            <m:sty m:val="p"/>
          </m:rPr>
          <m:t>&gt;</m:t>
        </m:r>
        <m:r>
          <m:t>0</m:t>
        </m:r>
      </m:oMath>
      <w:r>
        <w:t xml:space="preserve"> </w:t>
      </w:r>
      <w:r>
        <w:t xml:space="preserve">e</w:t>
      </w:r>
      <w:r>
        <w:t xml:space="preserve"> </w:t>
      </w:r>
      <m:oMath>
        <m:r>
          <m:t>y</m:t>
        </m:r>
        <m:r>
          <m:rPr>
            <m:sty m:val="p"/>
          </m:rPr>
          <m:t>″</m:t>
        </m:r>
        <m:r>
          <m:rPr>
            <m:sty m:val="p"/>
          </m:rPr>
          <m:t>&lt;</m:t>
        </m:r>
        <m:r>
          <m:t>0</m:t>
        </m:r>
      </m:oMath>
      <w:r>
        <w:t xml:space="preserve">; si no, el comprador obtiene su opción exterior</w:t>
      </w:r>
      <w:r>
        <w:t xml:space="preserve"> </w:t>
      </w:r>
      <m:oMath>
        <m:sSub>
          <m:e>
            <m:r>
              <m:t>y</m:t>
            </m:r>
          </m:e>
          <m:sub>
            <m:r>
              <m:t>0</m:t>
            </m:r>
          </m:sub>
        </m:sSub>
        <m:d>
          <m:dPr>
            <m:begChr m:val="("/>
            <m:sepChr m:val=""/>
            <m:endChr m:val=")"/>
            <m:grow/>
          </m:dPr>
          <m:e>
            <m:r>
              <m:t>e</m:t>
            </m:r>
          </m:e>
        </m:d>
      </m:oMath>
      <w:r>
        <w:t xml:space="preserve">, con</w:t>
      </w:r>
      <w:r>
        <w:t xml:space="preserve"> </w:t>
      </w:r>
      <m:oMath>
        <m:r>
          <m:t>0</m:t>
        </m:r>
        <m:r>
          <m:rPr>
            <m:sty m:val="p"/>
          </m:rPr>
          <m:t>≤</m:t>
        </m:r>
        <m:sSub>
          <m:e>
            <m:r>
              <m:t>y</m:t>
            </m:r>
          </m:e>
          <m:sub>
            <m:r>
              <m:t>0</m:t>
            </m:r>
          </m:sub>
        </m:sSub>
        <m:r>
          <m:rPr>
            <m:sty m:val="p"/>
          </m:rPr>
          <m:t>′</m:t>
        </m:r>
        <m:d>
          <m:dPr>
            <m:begChr m:val="("/>
            <m:sepChr m:val=""/>
            <m:endChr m:val=")"/>
            <m:grow/>
          </m:dPr>
          <m:e>
            <m:r>
              <m:t>e</m:t>
            </m:r>
          </m:e>
        </m:d>
        <m:r>
          <m:rPr>
            <m:sty m:val="p"/>
          </m:rPr>
          <m:t>&lt;</m:t>
        </m:r>
        <m:r>
          <m:t>y</m:t>
        </m:r>
        <m:r>
          <m:rPr>
            <m:sty m:val="p"/>
          </m:rPr>
          <m:t>′</m:t>
        </m:r>
        <m:d>
          <m:dPr>
            <m:begChr m:val="("/>
            <m:sepChr m:val=""/>
            <m:endChr m:val=")"/>
            <m:grow/>
          </m:dPr>
          <m:e>
            <m:r>
              <m:t>e</m:t>
            </m:r>
          </m:e>
        </m:d>
      </m:oMath>
      <w:r>
        <w:t xml:space="preserve"> </w:t>
      </w:r>
      <w:r>
        <w:t xml:space="preserve">(la inversión vale menos fuera de la relación: es específica), y el vendedor obtiene 0. Después de invertir, negocian y se reparten a partes iguales la ganancia de comerciar: la solución de negociación de</w:t>
      </w:r>
      <w:r>
        <w:t xml:space="preserve"> </w:t>
      </w:r>
      <w:r>
        <w:rPr>
          <w:smallCaps/>
        </w:rPr>
        <w:t xml:space="preserve">Nash</w:t>
      </w:r>
      <w:r>
        <w:t xml:space="preserve"> </w:t>
      </w:r>
      <w:r>
        <w:t xml:space="preserve">simétrica, con poder de negociación</w:t>
      </w:r>
      <w:r>
        <w:t xml:space="preserve"> </w:t>
      </w:r>
      <m:oMath>
        <m:r>
          <m:t>γ</m:t>
        </m:r>
        <m:r>
          <m:rPr>
            <m:sty m:val="p"/>
          </m:rPr>
          <m:t>=</m:t>
        </m:r>
        <m:f>
          <m:fPr>
            <m:type m:val="lin"/>
          </m:fPr>
          <m:num>
            <m:r>
              <m:t>1</m:t>
            </m:r>
          </m:num>
          <m:den>
            <m:r>
              <m:t>2</m:t>
            </m:r>
          </m:den>
        </m:f>
      </m:oMath>
      <w:r>
        <w:t xml:space="preserve"> </w:t>
      </w:r>
      <w:r>
        <w:t xml:space="preserve">(</w:t>
      </w:r>
      <w:hyperlink w:anchor="ref_Nash1950Bargaining">
        <w:r>
          <w:rPr>
            <w:rStyle w:val="Hyperlink"/>
            <w:smallCaps/>
          </w:rPr>
          <w:t xml:space="preserve">Nash</w:t>
        </w:r>
        <w:r>
          <w:rPr>
            <w:rStyle w:val="Hyperlink"/>
          </w:rPr>
          <w:t xml:space="preserve">, 1950</w:t>
        </w:r>
      </w:hyperlink>
      <w:r>
        <w:t xml:space="preserve">)</w:t>
      </w:r>
      <w:r>
        <w:t xml:space="preserve"> </w:t>
      </w:r>
      <w:hyperlink r:id="rId36">
        <w:r>
          <w:rPr>
            <w:rStyle w:val="Referenciaatema"/>
          </w:rPr>
          <w:t xml:space="preserve">[ver tema 3.A.14]</w:t>
        </w:r>
      </w:hyperlink>
      <w:r>
        <w:t xml:space="preserve">.</w:t>
      </w:r>
    </w:p>
    <w:bookmarkEnd w:id="131"/>
    <w:bookmarkStart w:id="132" w:name="ii_desarrollo_5"/>
    <w:p>
      <w:pPr>
        <w:pStyle w:val="Heading5"/>
      </w:pPr>
      <w:r>
        <w:t xml:space="preserve">ii) Desarrollo</w:t>
      </w:r>
    </w:p>
    <w:p>
      <w:pPr>
        <w:numPr>
          <w:ilvl w:val="0"/>
          <w:numId w:val="1060"/>
        </w:numPr>
      </w:pPr>
      <w:r>
        <w:t xml:space="preserve">El comprador anticipa que recibirá su opción exterior más la mitad de la ganancia,</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oMath>
      <w:r>
        <w:t xml:space="preserve">, e invierte hasta</w:t>
      </w:r>
    </w:p>
    <w:p>
      <w:pPr>
        <w:pStyle w:val="BodyText"/>
        <w:keepNext/>
      </w:pPr>
      <m:oMathPara>
        <m:oMathParaPr>
          <m:jc m:val="center"/>
        </m:oMathParaP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r>
            <m:rPr>
              <m:sty m:val="p"/>
            </m:rPr>
            <m:t>,</m:t>
          </m:r>
        </m:oMath>
      </m:oMathPara>
    </w:p>
    <w:p>
      <w:pPr>
        <w:numPr>
          <w:ilvl w:val="0"/>
          <w:numId w:val="1000"/>
        </w:numPr>
      </w:pPr>
      <w:r>
        <w:t xml:space="preserve">mientras que la inversión eficiente cumple</w:t>
      </w:r>
      <w:r>
        <w:t xml:space="preserve"> </w:t>
      </w:r>
      <m:oMath>
        <m:r>
          <m:t>y</m:t>
        </m:r>
        <m:r>
          <m:rPr>
            <m:sty m:val="p"/>
          </m:rPr>
          <m:t>′</m:t>
        </m:r>
        <m:d>
          <m:dPr>
            <m:begChr m:val="("/>
            <m:sepChr m:val=""/>
            <m:endChr m:val=")"/>
            <m:grow/>
          </m:dPr>
          <m:e>
            <m:sSup>
              <m:e>
                <m:r>
                  <m:t>e</m:t>
                </m:r>
              </m:e>
              <m:sup>
                <m:r>
                  <m:t>o</m:t>
                </m:r>
              </m:sup>
            </m:sSup>
          </m:e>
        </m:d>
        <m:r>
          <m:rPr>
            <m:sty m:val="p"/>
          </m:rPr>
          <m:t>=</m:t>
        </m:r>
        <m:r>
          <m:t>1</m:t>
        </m:r>
      </m:oMath>
      <w:r>
        <w:t xml:space="preserve">. Como</w:t>
      </w:r>
      <w:r>
        <w:t xml:space="preserve"> </w:t>
      </w:r>
      <m:oMath>
        <m:sSub>
          <m:e>
            <m:r>
              <m:t>y</m:t>
            </m:r>
          </m:e>
          <m:sub>
            <m:r>
              <m:t>0</m:t>
            </m:r>
          </m:sub>
        </m:sSub>
        <m:r>
          <m:rPr>
            <m:sty m:val="p"/>
          </m:rPr>
          <m:t>′</m:t>
        </m:r>
        <m:r>
          <m:rPr>
            <m:sty m:val="p"/>
          </m:rPr>
          <m:t>&lt;</m:t>
        </m:r>
        <m:r>
          <m:t>y</m:t>
        </m:r>
        <m:r>
          <m:rPr>
            <m:sty m:val="p"/>
          </m:rPr>
          <m:t>′</m:t>
        </m:r>
      </m:oMath>
      <w:r>
        <w:t xml:space="preserve">, en</w:t>
      </w:r>
      <w:r>
        <w:t xml:space="preserve"> </w:t>
      </w:r>
      <m:oMath>
        <m:sSup>
          <m:e>
            <m:r>
              <m:t>e</m:t>
            </m:r>
          </m:e>
          <m:sup>
            <m:r>
              <m:rPr>
                <m:sty m:val="p"/>
              </m:rPr>
              <m:t>*</m:t>
            </m:r>
          </m:sup>
        </m:sSup>
      </m:oMath>
      <w:r>
        <w:t xml:space="preserve"> </w:t>
      </w:r>
      <w:r>
        <w:t xml:space="preserve">el valor marginal de la inversión supera su coste:</w:t>
      </w:r>
      <w:r>
        <w:t xml:space="preserve"> </w:t>
      </w:r>
      <m:oMath>
        <m:sSup>
          <m:e>
            <m:r>
              <m:t>e</m:t>
            </m:r>
          </m:e>
          <m:sup>
            <m:r>
              <m:rPr>
                <m:sty m:val="p"/>
              </m:rPr>
              <m:t>*</m:t>
            </m:r>
          </m:sup>
        </m:sSup>
        <m:r>
          <m:rPr>
            <m:sty m:val="p"/>
          </m:rPr>
          <m:t>&lt;</m:t>
        </m:r>
        <m:sSup>
          <m:e>
            <m:r>
              <m:t>e</m:t>
            </m:r>
          </m:e>
          <m:sup>
            <m:r>
              <m:t>o</m:t>
            </m:r>
          </m:sup>
        </m:sSup>
      </m:oMath>
      <w:r>
        <w:t xml:space="preserve">, hay</w:t>
      </w:r>
      <w:r>
        <w:t xml:space="preserve"> </w:t>
      </w:r>
      <w:r>
        <w:rPr>
          <w:b/>
          <w:bCs/>
        </w:rPr>
        <w:t xml:space="preserve">infrainversión</w:t>
      </w:r>
      <w:r>
        <w:t xml:space="preserve">. Es el</w:t>
      </w:r>
      <w:r>
        <w:t xml:space="preserve"> </w:t>
      </w:r>
      <w:r>
        <w:rPr>
          <w:i/>
          <w:iCs/>
        </w:rPr>
        <w:t xml:space="preserve">hold-up</w:t>
      </w:r>
      <w:r>
        <w:t xml:space="preserve"> </w:t>
      </w:r>
      <w:r>
        <w:t xml:space="preserve">formalizado: el comprador paga todo el coste y se queda solo con una parte del rendimiento (anexo </w:t>
      </w:r>
      <w:hyperlink w:anchor="anexo_ghm">
        <w:r>
          <w:rPr>
            <w:rStyle w:val="Hyperlink"/>
          </w:rPr>
          <w:t xml:space="preserve">B.3</w:t>
        </w:r>
      </w:hyperlink>
      <w:r>
        <w:t xml:space="preserve">).</w:t>
      </w:r>
    </w:p>
    <w:p>
      <w:pPr>
        <w:numPr>
          <w:ilvl w:val="0"/>
          <w:numId w:val="1060"/>
        </w:numPr>
      </w:pPr>
      <w:r>
        <w:t xml:space="preserve">La propiedad mueve la opción exterior. Si el comprador es dueño también del activo del vendedor (integración), su opción exterior es mayor y más sensible a su inversión,</w:t>
      </w:r>
      <w:r>
        <w:t xml:space="preserve"> </w:t>
      </w:r>
      <m:oMath>
        <m:sSub>
          <m:e>
            <m:r>
              <m:t>y</m:t>
            </m:r>
          </m:e>
          <m:sub>
            <m:r>
              <m:t>0</m:t>
            </m:r>
          </m:sub>
        </m:sSub>
        <m:r>
          <m:rPr>
            <m:sty m:val="p"/>
          </m:rPr>
          <m:t>′</m:t>
        </m:r>
      </m:oMath>
      <w:r>
        <w:t xml:space="preserve"> </w:t>
      </w:r>
      <w:r>
        <w:t xml:space="preserve">sube y</w:t>
      </w:r>
      <w:r>
        <w:t xml:space="preserve"> </w:t>
      </w:r>
      <m:oMath>
        <m:sSup>
          <m:e>
            <m:r>
              <m:t>e</m:t>
            </m:r>
          </m:e>
          <m:sup>
            <m:r>
              <m:rPr>
                <m:sty m:val="p"/>
              </m:rPr>
              <m:t>*</m:t>
            </m:r>
          </m:sup>
        </m:sSup>
      </m:oMath>
      <w:r>
        <w:t xml:space="preserve"> </w:t>
      </w:r>
      <w:r>
        <w:t xml:space="preserve">se acerca a</w:t>
      </w:r>
      <w:r>
        <w:t xml:space="preserve"> </w:t>
      </w:r>
      <m:oMath>
        <m:sSup>
          <m:e>
            <m:r>
              <m:t>e</m:t>
            </m:r>
          </m:e>
          <m:sup>
            <m:r>
              <m:t>o</m:t>
            </m:r>
          </m:sup>
        </m:sSup>
      </m:oMath>
      <w:r>
        <w:t xml:space="preserve">. Pero si el vendedor también tuviera que invertir, perdería incentivos: integrar</w:t>
      </w:r>
      <w:r>
        <w:t xml:space="preserve"> </w:t>
      </w:r>
      <w:r>
        <w:rPr>
          <w:i/>
          <w:iCs/>
        </w:rPr>
        <w:t xml:space="preserve">da</w:t>
      </w:r>
      <w:r>
        <w:t xml:space="preserve"> </w:t>
      </w:r>
      <w:r>
        <w:t xml:space="preserve">incentivos al que compra y los</w:t>
      </w:r>
      <w:r>
        <w:t xml:space="preserve"> </w:t>
      </w:r>
      <w:r>
        <w:rPr>
          <w:i/>
          <w:iCs/>
        </w:rPr>
        <w:t xml:space="preserve">quita</w:t>
      </w:r>
      <w:r>
        <w:t xml:space="preserve"> </w:t>
      </w:r>
      <w:r>
        <w:t xml:space="preserve">al que es comprado.</w:t>
      </w:r>
    </w:p>
    <w:bookmarkEnd w:id="132"/>
    <w:bookmarkStart w:id="133" w:name="iii_implicaciones_5"/>
    <w:p>
      <w:pPr>
        <w:pStyle w:val="Heading5"/>
      </w:pPr>
      <w:r>
        <w:t xml:space="preserve">iii) Implicaciones</w:t>
      </w:r>
    </w:p>
    <w:p>
      <w:pPr>
        <w:numPr>
          <w:ilvl w:val="0"/>
          <w:numId w:val="1061"/>
        </w:numPr>
      </w:pPr>
      <w:r>
        <w:rPr>
          <w:i/>
          <w:iCs/>
        </w:rPr>
        <w:t xml:space="preserve">La integración tiene costes además de beneficios</w:t>
      </w:r>
      <w:r>
        <w:t xml:space="preserve">: la propiedad de los activos debe ir a la parte cuya inversión específica es más importante para el valor de la relación</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 los activos muy complementarios deben tener el mismo dueño, y los independientes, dueños distintos; la parte imprescindible debe ser propietaria</w:t>
      </w:r>
      <w:r>
        <w:t xml:space="preserve"> </w:t>
      </w:r>
      <w:r>
        <w:t xml:space="preserve">(</w:t>
      </w:r>
      <w:hyperlink w:anchor="ref_HartMoore1990Property">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Moore</w:t>
        </w:r>
        <w:r>
          <w:rPr>
            <w:rStyle w:val="Hyperlink"/>
          </w:rPr>
          <w:t xml:space="preserve">, 1990</w:t>
        </w:r>
      </w:hyperlink>
      <w:r>
        <w:t xml:space="preserve">)</w:t>
      </w:r>
      <w:r>
        <w:t xml:space="preserve">.</w:t>
      </w:r>
    </w:p>
    <w:p>
      <w:pPr>
        <w:numPr>
          <w:ilvl w:val="0"/>
          <w:numId w:val="1061"/>
        </w:numPr>
      </w:pPr>
      <w:r>
        <w:rPr>
          <w:i/>
          <w:iCs/>
        </w:rPr>
        <w:t xml:space="preserve">La frontera de la empresa</w:t>
      </w:r>
      <w:r>
        <w:t xml:space="preserve">: es el conjunto de activos bajo propiedad común que da los mejores incentivos de inversión. La empresa</w:t>
      </w:r>
      <w:r>
        <w:t xml:space="preserve"> </w:t>
      </w:r>
      <w:r>
        <w:rPr>
          <w:i/>
          <w:iCs/>
        </w:rPr>
        <w:t xml:space="preserve">no</w:t>
      </w:r>
      <w:r>
        <w:t xml:space="preserve"> </w:t>
      </w:r>
      <w:r>
        <w:t xml:space="preserve">crece hasta hacerse con todos los derechos residuales: la integración hacia atrás (el comprador adquiere al vendedor), hacia delante (el vendedor adquiere al comprador) o la no integración pueden ser cada una la mejor, según quién invierte. Ese coste de integrar es un</w:t>
      </w:r>
      <w:r>
        <w:t xml:space="preserve"> </w:t>
      </w:r>
      <w:r>
        <w:rPr>
          <w:i/>
          <w:iCs/>
        </w:rPr>
        <w:t xml:space="preserve">límite</w:t>
      </w:r>
      <w:r>
        <w:t xml:space="preserve"> </w:t>
      </w:r>
      <w:r>
        <w:t xml:space="preserve">al tamaño de la empresa que el enfoque tecnológico no ve.</w:t>
      </w:r>
    </w:p>
    <w:bookmarkEnd w:id="133"/>
    <w:bookmarkEnd w:id="134"/>
    <w:bookmarkStart w:id="136" w:name="c_extensiones_1"/>
    <w:p>
      <w:pPr>
        <w:pStyle w:val="Heading4"/>
      </w:pPr>
      <w:r>
        <w:t xml:space="preserve">c) Extensiones</w:t>
      </w:r>
    </w:p>
    <w:p>
      <w:pPr>
        <w:numPr>
          <w:ilvl w:val="0"/>
          <w:numId w:val="1062"/>
        </w:numPr>
      </w:pPr>
      <w:r>
        <w:rPr>
          <w:i/>
          <w:iCs/>
        </w:rPr>
        <w:t xml:space="preserve">Propiedad pública o privada</w:t>
      </w:r>
      <w:r>
        <w:t xml:space="preserve">: un gestor privado de prisiones tiene incentivos a reducir costes que también reducen la calidad no contratable (la formación de los vigilantes), y el Estado debería mantener la propiedad cuando ese deterioro es grave</w:t>
      </w:r>
      <w:r>
        <w:t xml:space="preserve"> </w:t>
      </w:r>
      <w:r>
        <w:t xml:space="preserve">(</w:t>
      </w:r>
      <w:hyperlink w:anchor="ref_HartShleiferVishny1997Proper">
        <w:r>
          <w:rPr>
            <w:rStyle w:val="Hyperlink"/>
            <w:smallCaps/>
          </w:rPr>
          <w:t xml:space="preserve">Hart</w:t>
        </w:r>
        <w:r>
          <w:rPr>
            <w:rStyle w:val="Hyperlink"/>
          </w:rPr>
          <w:t xml:space="preserve">,</w:t>
        </w:r>
        <w:r>
          <w:rPr>
            <w:rStyle w:val="Hyperlink"/>
          </w:rPr>
          <w:t xml:space="preserve"> </w:t>
        </w:r>
        <w:r>
          <w:rPr>
            <w:rStyle w:val="Hyperlink"/>
            <w:smallCaps/>
          </w:rPr>
          <w:t xml:space="preserve">Shleifer</w:t>
        </w:r>
        <w:r>
          <w:rPr>
            <w:rStyle w:val="Hyperlink"/>
          </w:rPr>
          <w:t xml:space="preserve"> </w:t>
        </w:r>
        <w:r>
          <w:rPr>
            <w:rStyle w:val="Hyperlink"/>
          </w:rPr>
          <w:t xml:space="preserve">y</w:t>
        </w:r>
        <w:r>
          <w:rPr>
            <w:rStyle w:val="Hyperlink"/>
          </w:rPr>
          <w:t xml:space="preserve"> </w:t>
        </w:r>
        <w:r>
          <w:rPr>
            <w:rStyle w:val="Hyperlink"/>
            <w:smallCaps/>
          </w:rPr>
          <w:t xml:space="preserve">Vishny</w:t>
        </w:r>
        <w:r>
          <w:rPr>
            <w:rStyle w:val="Hyperlink"/>
          </w:rPr>
          <w:t xml:space="preserve">, 1997</w:t>
        </w:r>
      </w:hyperlink>
      <w:r>
        <w:t xml:space="preserve">)</w:t>
      </w:r>
      <w:r>
        <w:t xml:space="preserve">; para ampliar,</w:t>
      </w:r>
      <w:r>
        <w:t xml:space="preserve"> </w:t>
      </w:r>
      <w:hyperlink r:id="rId91">
        <w:r>
          <w:rPr>
            <w:rStyle w:val="Referenciaatema"/>
          </w:rPr>
          <w:t xml:space="preserve">[ver tema 4.B.15]</w:t>
        </w:r>
      </w:hyperlink>
      <w:r>
        <w:t xml:space="preserve">.</w:t>
      </w:r>
    </w:p>
    <w:p>
      <w:pPr>
        <w:numPr>
          <w:ilvl w:val="0"/>
          <w:numId w:val="1062"/>
        </w:numPr>
      </w:pPr>
      <w:r>
        <w:rPr>
          <w:i/>
          <w:iCs/>
        </w:rPr>
        <w:t xml:space="preserve">Finanzas</w:t>
      </w:r>
      <w:r>
        <w:t xml:space="preserve">: la deuda y las acciones se pueden ver como un reparto de los derechos de control entre acreedores y accionistas</w:t>
      </w:r>
      <w:r>
        <w:t xml:space="preserve"> </w:t>
      </w:r>
      <w:hyperlink r:id="rId135">
        <w:r>
          <w:rPr>
            <w:rStyle w:val="Referenciaatema"/>
          </w:rPr>
          <w:t xml:space="preserve">[ver tema 3.B.3]</w:t>
        </w:r>
      </w:hyperlink>
      <w:r>
        <w:t xml:space="preserve">.</w:t>
      </w:r>
    </w:p>
    <w:bookmarkEnd w:id="136"/>
    <w:bookmarkStart w:id="137" w:name="d_evidencia_emp__rica"/>
    <w:p>
      <w:pPr>
        <w:pStyle w:val="Heading4"/>
      </w:pPr>
      <w:r>
        <w:t xml:space="preserve">d) Evidencia empírica</w:t>
      </w:r>
    </w:p>
    <w:p>
      <w:pPr>
        <w:numPr>
          <w:ilvl w:val="0"/>
          <w:numId w:val="1063"/>
        </w:numPr>
      </w:pPr>
      <w:r>
        <w:t xml:space="preserve">En el transporte por carretera de Estados Unidos, la llegada de ordenadores a bordo, que hacen verificables más acciones del conductor, cambió quién era dueño de los camiones, como predice la teoría</w:t>
      </w:r>
      <w:r>
        <w:t xml:space="preserve"> </w:t>
      </w:r>
      <w:r>
        <w:t xml:space="preserve">(</w:t>
      </w:r>
      <w:hyperlink w:anchor="ref_BakerHubbard2003Make">
        <w:r>
          <w:rPr>
            <w:rStyle w:val="Hyperlink"/>
            <w:smallCaps/>
          </w:rPr>
          <w:t xml:space="preserve">Baker</w:t>
        </w:r>
        <w:r>
          <w:rPr>
            <w:rStyle w:val="Hyperlink"/>
          </w:rPr>
          <w:t xml:space="preserve"> </w:t>
        </w:r>
        <w:r>
          <w:rPr>
            <w:rStyle w:val="Hyperlink"/>
          </w:rPr>
          <w:t xml:space="preserve">y</w:t>
        </w:r>
        <w:r>
          <w:rPr>
            <w:rStyle w:val="Hyperlink"/>
          </w:rPr>
          <w:t xml:space="preserve"> </w:t>
        </w:r>
        <w:r>
          <w:rPr>
            <w:rStyle w:val="Hyperlink"/>
            <w:smallCaps/>
          </w:rPr>
          <w:t xml:space="preserve">Hubbard</w:t>
        </w:r>
        <w:r>
          <w:rPr>
            <w:rStyle w:val="Hyperlink"/>
          </w:rPr>
          <w:t xml:space="preserve">, 2003</w:t>
        </w:r>
      </w:hyperlink>
      <w:r>
        <w:t xml:space="preserve">)</w:t>
      </w:r>
      <w:r>
        <w:t xml:space="preserve">.</w:t>
      </w:r>
    </w:p>
    <w:bookmarkEnd w:id="137"/>
    <w:bookmarkStart w:id="138" w:name="e_valoraci__n"/>
    <w:p>
      <w:pPr>
        <w:pStyle w:val="Heading4"/>
      </w:pPr>
      <w:r>
        <w:t xml:space="preserve">e) Valoración</w:t>
      </w:r>
    </w:p>
    <w:p>
      <w:pPr>
        <w:numPr>
          <w:ilvl w:val="0"/>
          <w:numId w:val="1064"/>
        </w:numPr>
      </w:pPr>
      <w:r>
        <w:t xml:space="preserve">Explica por qué la propiedad importa y por qué integrar no es gratis, y valió a</w:t>
      </w:r>
      <w:r>
        <w:t xml:space="preserve"> </w:t>
      </w:r>
      <w:r>
        <w:rPr>
          <w:smallCaps/>
        </w:rPr>
        <w:t xml:space="preserve">Hart</w:t>
      </w:r>
      <w:r>
        <w:t xml:space="preserve"> </w:t>
      </w:r>
      <w:r>
        <w:t xml:space="preserve">el Nobel de 2016, compartido con</w:t>
      </w:r>
      <w:r>
        <w:t xml:space="preserve"> </w:t>
      </w:r>
      <w:r>
        <w:rPr>
          <w:smallCaps/>
        </w:rPr>
        <w:t xml:space="preserve">Holmström</w:t>
      </w:r>
      <w:r>
        <w:t xml:space="preserve"> </w:t>
      </w:r>
      <w:r>
        <w:t xml:space="preserve">por la teoría de los contratos. Sus críticas: supone que la negociación</w:t>
      </w:r>
      <w:r>
        <w:t xml:space="preserve"> </w:t>
      </w:r>
      <w:r>
        <w:rPr>
          <w:i/>
          <w:iCs/>
        </w:rPr>
        <w:t xml:space="preserve">ex post</w:t>
      </w:r>
      <w:r>
        <w:t xml:space="preserve"> </w:t>
      </w:r>
      <w:r>
        <w:t xml:space="preserve">es eficiente, aunque no se pueda contratar</w:t>
      </w:r>
      <w:r>
        <w:t xml:space="preserve"> </w:t>
      </w:r>
      <w:r>
        <w:rPr>
          <w:i/>
          <w:iCs/>
        </w:rPr>
        <w:t xml:space="preserve">ex ante</w:t>
      </w:r>
      <w:r>
        <w:t xml:space="preserve"> </w:t>
      </w:r>
      <w:r>
        <w:t xml:space="preserve">(</w:t>
      </w:r>
      <w:hyperlink w:anchor="ref_Hart2017Incomplete">
        <w:r>
          <w:rPr>
            <w:rStyle w:val="Hyperlink"/>
            <w:smallCaps/>
          </w:rPr>
          <w:t xml:space="preserve">Hart</w:t>
        </w:r>
        <w:r>
          <w:rPr>
            <w:rStyle w:val="Hyperlink"/>
          </w:rPr>
          <w:t xml:space="preserve">, 2017</w:t>
        </w:r>
      </w:hyperlink>
      <w:r>
        <w:t xml:space="preserve">)</w:t>
      </w:r>
      <w:r>
        <w:t xml:space="preserve">, y se centra en la inversión en activos físicos, cuando en muchas empresas el activo clave es el capital humano, que no se puede poseer.</w:t>
      </w:r>
    </w:p>
    <w:bookmarkEnd w:id="138"/>
    <w:bookmarkEnd w:id="139"/>
    <w:bookmarkStart w:id="140" w:name="sec_otros_enfoques"/>
    <w:p>
      <w:pPr>
        <w:pStyle w:val="Heading2"/>
      </w:pPr>
      <w:r>
        <w:t xml:space="preserve">II.4.</w:t>
      </w:r>
      <w:r>
        <w:t xml:space="preserve"> </w:t>
      </w:r>
      <w:r>
        <w:t xml:space="preserve">Otras teorías de la empresa e implicaciones de política económica</w:t>
      </w:r>
    </w:p>
    <w:p>
      <w:pPr>
        <w:keepNext/>
        <w:numPr>
          <w:ilvl w:val="0"/>
          <w:numId w:val="1065"/>
        </w:numPr>
      </w:pPr>
      <w:r>
        <w:t xml:space="preserve">Una vez vistos los 3 enfoques centrales, otras teorías ponen el acento en otros rasgos de la empresa; todas son complementarias de las anteriores:</w:t>
      </w:r>
    </w:p>
    <w:p>
      <w:pPr>
        <w:numPr>
          <w:ilvl w:val="1"/>
          <w:numId w:val="1066"/>
        </w:numPr>
      </w:pPr>
      <w:r>
        <w:rPr>
          <w:i/>
          <w:iCs/>
        </w:rPr>
        <w:t xml:space="preserve">La producción en equipo</w:t>
      </w:r>
      <w:r>
        <w:t xml:space="preserve"> </w:t>
      </w:r>
      <w:r>
        <w:t xml:space="preserve">(</w:t>
      </w:r>
      <w:hyperlink w:anchor="ref_AlchianDemsetz1972Production">
        <w:r>
          <w:rPr>
            <w:rStyle w:val="Hyperlink"/>
            <w:smallCaps/>
          </w:rPr>
          <w:t xml:space="preserve">Alchian</w:t>
        </w:r>
        <w:r>
          <w:rPr>
            <w:rStyle w:val="Hyperlink"/>
          </w:rPr>
          <w:t xml:space="preserve"> </w:t>
        </w:r>
        <w:r>
          <w:rPr>
            <w:rStyle w:val="Hyperlink"/>
          </w:rPr>
          <w:t xml:space="preserve">y</w:t>
        </w:r>
        <w:r>
          <w:rPr>
            <w:rStyle w:val="Hyperlink"/>
          </w:rPr>
          <w:t xml:space="preserve"> </w:t>
        </w:r>
        <w:r>
          <w:rPr>
            <w:rStyle w:val="Hyperlink"/>
            <w:smallCaps/>
          </w:rPr>
          <w:t xml:space="preserve">Demsetz</w:t>
        </w:r>
        <w:r>
          <w:rPr>
            <w:rStyle w:val="Hyperlink"/>
          </w:rPr>
          <w:t xml:space="preserve">, 1972</w:t>
        </w:r>
      </w:hyperlink>
      <w:r>
        <w:t xml:space="preserve">)</w:t>
      </w:r>
      <w:r>
        <w:t xml:space="preserve">: cuando varios trabajan juntos, el resultado conjunto es mayor que la suma de las partes, pero solo se observa ese resultado y cada uno tiene incentivos a escaquearse. La solución es un supervisor que mida la productividad, vigile y sancione (despida, resuelva contratos), y para que tenga incentivos a vigilar se le da el</w:t>
      </w:r>
      <w:r>
        <w:t xml:space="preserve"> </w:t>
      </w:r>
      <w:r>
        <w:rPr>
          <w:i/>
          <w:iCs/>
        </w:rPr>
        <w:t xml:space="preserve">derecho al beneficio residual</w:t>
      </w:r>
      <w:r>
        <w:t xml:space="preserve">: el empresario es el</w:t>
      </w:r>
      <w:r>
        <w:t xml:space="preserve"> </w:t>
      </w:r>
      <w:r>
        <w:rPr>
          <w:b/>
          <w:bCs/>
        </w:rPr>
        <w:t xml:space="preserve">perceptor del residuo</w:t>
      </w:r>
      <w:r>
        <w:t xml:space="preserve">. Para</w:t>
      </w:r>
      <w:r>
        <w:t xml:space="preserve"> </w:t>
      </w:r>
      <w:r>
        <w:rPr>
          <w:smallCaps/>
        </w:rPr>
        <w:t xml:space="preserve">Alchian</w:t>
      </w:r>
      <w:r>
        <w:t xml:space="preserve"> </w:t>
      </w:r>
      <w:r>
        <w:t xml:space="preserve">y</w:t>
      </w:r>
      <w:r>
        <w:t xml:space="preserve"> </w:t>
      </w:r>
      <w:r>
        <w:rPr>
          <w:smallCaps/>
        </w:rPr>
        <w:t xml:space="preserve">Demsetz</w:t>
      </w:r>
      <w:r>
        <w:t xml:space="preserve">, la empresa no tiene un poder de mando distinto del de cualquier contrato: es un contratista central.</w:t>
      </w:r>
    </w:p>
    <w:p>
      <w:pPr>
        <w:numPr>
          <w:ilvl w:val="1"/>
          <w:numId w:val="1066"/>
        </w:numPr>
      </w:pPr>
      <w:r>
        <w:rPr>
          <w:i/>
          <w:iCs/>
        </w:rPr>
        <w:t xml:space="preserve">La empresa como nexo de contratos</w:t>
      </w:r>
      <w:r>
        <w:t xml:space="preserve"> </w:t>
      </w:r>
      <w:r>
        <w:t xml:space="preserve">(</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es la red de contratos entre propietarios, directivos, trabajadores, acreedores y proveedores, y su forma minimiza los costes de agencia (</w:t>
      </w:r>
      <w:hyperlink w:anchor="sec_agencia">
        <w:r>
          <w:rPr>
            <w:rStyle w:val="Hyperlink"/>
          </w:rPr>
          <w:t xml:space="preserve">I.2.3</w:t>
        </w:r>
      </w:hyperlink>
      <w:r>
        <w:t xml:space="preserve">).</w:t>
      </w:r>
    </w:p>
    <w:p>
      <w:pPr>
        <w:numPr>
          <w:ilvl w:val="1"/>
          <w:numId w:val="1066"/>
        </w:numPr>
      </w:pPr>
      <w:r>
        <w:rPr>
          <w:i/>
          <w:iCs/>
        </w:rPr>
        <w:t xml:space="preserve">La empresa como sistema de incentivos</w:t>
      </w:r>
      <w:r>
        <w:t xml:space="preserve"> </w:t>
      </w:r>
      <w:r>
        <w:t xml:space="preserve">(</w:t>
      </w:r>
      <w:hyperlink w:anchor="ref_HolmstromMilgrom1994Firm">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1994</w:t>
        </w:r>
      </w:hyperlink>
      <w:r>
        <w:t xml:space="preserve">)</w:t>
      </w:r>
      <w:r>
        <w:t xml:space="preserve">: la propiedad de los activos, la retribución y el diseño de los puestos se eligen juntos porque son complementarios; un empleado con incentivos débiles y sin activos propios es coherente, y un contratista con incentivos fuertes y sus propias herramientas, también.</w:t>
      </w:r>
    </w:p>
    <w:p>
      <w:pPr>
        <w:numPr>
          <w:ilvl w:val="1"/>
          <w:numId w:val="1066"/>
        </w:numPr>
      </w:pPr>
      <w:r>
        <w:rPr>
          <w:i/>
          <w:iCs/>
        </w:rPr>
        <w:t xml:space="preserve">Autoridad formal y real</w:t>
      </w:r>
      <w:r>
        <w:t xml:space="preserve"> </w:t>
      </w:r>
      <w:r>
        <w:t xml:space="preserve">(</w:t>
      </w:r>
      <w:hyperlink w:anchor="ref_AghionTirole1997Formal">
        <w:r>
          <w:rPr>
            <w:rStyle w:val="Hyperlink"/>
            <w:smallCaps/>
          </w:rPr>
          <w:t xml:space="preserve">Aghion</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1997</w:t>
        </w:r>
      </w:hyperlink>
      <w:r>
        <w:t xml:space="preserve">)</w:t>
      </w:r>
      <w:r>
        <w:t xml:space="preserve">: la</w:t>
      </w:r>
      <w:r>
        <w:t xml:space="preserve"> </w:t>
      </w:r>
      <w:r>
        <w:rPr>
          <w:i/>
          <w:iCs/>
        </w:rPr>
        <w:t xml:space="preserve">autoridad formal</w:t>
      </w:r>
      <w:r>
        <w:t xml:space="preserve"> </w:t>
      </w:r>
      <w:r>
        <w:t xml:space="preserve">es el derecho a decidir; la</w:t>
      </w:r>
      <w:r>
        <w:t xml:space="preserve"> </w:t>
      </w:r>
      <w:r>
        <w:rPr>
          <w:i/>
          <w:iCs/>
        </w:rPr>
        <w:t xml:space="preserve">real</w:t>
      </w:r>
      <w:r>
        <w:t xml:space="preserve">, el control efectivo de las decisiones, que tiene quien está mejor informado. Delegar estimula la iniciativa del subordinado, que se informa porque sabe que decidirá él, a costa de perder control: la empresa elige cuánto centralizar o delegar según ese dilema.</w:t>
      </w:r>
    </w:p>
    <w:p>
      <w:pPr>
        <w:numPr>
          <w:ilvl w:val="1"/>
          <w:numId w:val="1066"/>
        </w:numPr>
      </w:pPr>
      <w:r>
        <w:rPr>
          <w:i/>
          <w:iCs/>
        </w:rPr>
        <w:t xml:space="preserve">Recursos y capacidades</w:t>
      </w:r>
      <w:r>
        <w:t xml:space="preserve"> </w:t>
      </w:r>
      <w:r>
        <w:t xml:space="preserve">(</w:t>
      </w:r>
      <w:hyperlink w:anchor="ref_Penrose1959Theory">
        <w:r>
          <w:rPr>
            <w:rStyle w:val="Hyperlink"/>
            <w:smallCaps/>
          </w:rPr>
          <w:t xml:space="preserve">Penrose</w:t>
        </w:r>
        <w:r>
          <w:rPr>
            <w:rStyle w:val="Hyperlink"/>
          </w:rPr>
          <w:t xml:space="preserve">, 1959</w:t>
        </w:r>
      </w:hyperlink>
      <w:r>
        <w:t xml:space="preserve">;</w:t>
      </w:r>
      <w:r>
        <w:t xml:space="preserve"> </w:t>
      </w:r>
      <w:hyperlink w:anchor="ref_Wernerfelt1984Resource">
        <w:r>
          <w:rPr>
            <w:rStyle w:val="Hyperlink"/>
            <w:smallCaps/>
          </w:rPr>
          <w:t xml:space="preserve">Wernerfelt</w:t>
        </w:r>
        <w:r>
          <w:rPr>
            <w:rStyle w:val="Hyperlink"/>
          </w:rPr>
          <w:t xml:space="preserve">, 1984</w:t>
        </w:r>
      </w:hyperlink>
      <w:r>
        <w:t xml:space="preserve">)</w:t>
      </w:r>
      <w:r>
        <w:t xml:space="preserve">: la empresa es un conjunto de recursos, materiales e inmateriales, y de capacidades organizativas para combinarlos. Sus recursos difíciles de imitar explican su ventaja competitiva, y los recursos ociosos, hacia qué productos y mercados nuevos crece.</w:t>
      </w:r>
    </w:p>
    <w:p>
      <w:pPr>
        <w:numPr>
          <w:ilvl w:val="0"/>
          <w:numId w:val="1065"/>
        </w:numPr>
      </w:pPr>
      <w:r>
        <w:rPr>
          <w:i/>
          <w:iCs/>
        </w:rPr>
        <w:t xml:space="preserve">Implicaciones de política económica</w:t>
      </w:r>
      <w:r>
        <w:t xml:space="preserve">, comunes a todos los enfoques: las autoridades de competencia no deben condenar de antemano la integración vertical u horizontal, las franquicias, los contratos de exclusiva ni las concentraciones. Lo que parece una restricción de la competencia puede ser la forma más barata de aprovechar economías de escala y de alcance (</w:t>
      </w:r>
      <w:hyperlink w:anchor="sec_tamano_eficiente">
        <w:r>
          <w:rPr>
            <w:rStyle w:val="Hyperlink"/>
          </w:rPr>
          <w:t xml:space="preserve">I.1</w:t>
        </w:r>
      </w:hyperlink>
      <w:r>
        <w:t xml:space="preserve">) o de reducir los costes de unos contratos incompletos (</w:t>
      </w:r>
      <w:hyperlink w:anchor="sec_williamson">
        <w:r>
          <w:rPr>
            <w:rStyle w:val="Hyperlink"/>
          </w:rPr>
          <w:t xml:space="preserve">II.2</w:t>
        </w:r>
      </w:hyperlink>
      <w:r>
        <w:t xml:space="preserve">,</w:t>
      </w:r>
      <w:r>
        <w:t xml:space="preserve"> </w:t>
      </w:r>
      <w:hyperlink w:anchor="sec_contratos_incompletos">
        <w:r>
          <w:rPr>
            <w:rStyle w:val="Hyperlink"/>
          </w:rPr>
          <w:t xml:space="preserve">II.3</w:t>
        </w:r>
      </w:hyperlink>
      <w:r>
        <w:t xml:space="preserve">). La valoración tiene que ser caso a caso, comparando las ganancias de eficiencia con el riesgo de cerrar el mercado a los competidores (</w:t>
      </w:r>
      <w:hyperlink w:anchor="sec_nueva_toi">
        <w:r>
          <w:rPr>
            <w:rStyle w:val="Hyperlink"/>
          </w:rPr>
          <w:t xml:space="preserve">III.4</w:t>
        </w:r>
      </w:hyperlink>
      <w:r>
        <w:t xml:space="preserve">)</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numPr>
          <w:ilvl w:val="0"/>
          <w:numId w:val="1067"/>
        </w:numPr>
      </w:pPr>
      <w:r>
        <w:rPr>
          <w:i/>
          <w:iCs/>
        </w:rPr>
        <w:t xml:space="preserve">Recapitulación del bloque </w:t>
      </w:r>
      <w:hyperlink w:anchor="sec_costes_transaccion">
        <w:r>
          <w:rPr>
            <w:rStyle w:val="Hyperlink"/>
            <w:i/>
            <w:iCs/>
          </w:rPr>
          <w:t xml:space="preserve">II</w:t>
        </w:r>
      </w:hyperlink>
      <w:r>
        <w:t xml:space="preserve">: la empresa existe porque usar el mercado cuesta, y su frontera está en el margen en que organizar una transacción más dentro cuesta lo mismo que comprarla</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integra las transacciones con activos específicos, en las que el oportunismo es más peligroso</w:t>
      </w:r>
      <w:r>
        <w:t xml:space="preserve"> </w:t>
      </w:r>
      <w:r>
        <w:t xml:space="preserve">(</w:t>
      </w:r>
      <w:hyperlink w:anchor="ref_Williamson1985Economic">
        <w:r>
          <w:rPr>
            <w:rStyle w:val="Hyperlink"/>
            <w:smallCaps/>
          </w:rPr>
          <w:t xml:space="preserve">Williamson</w:t>
        </w:r>
        <w:r>
          <w:rPr>
            <w:rStyle w:val="Hyperlink"/>
          </w:rPr>
          <w:t xml:space="preserve">, 1985</w:t>
        </w:r>
      </w:hyperlink>
      <w:r>
        <w:t xml:space="preserve">)</w:t>
      </w:r>
      <w:r>
        <w:t xml:space="preserve">, y la propiedad de los activos, que da mejores incentivos a unos a costa de otros, le pone límites</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 Hasta aquí, la empresa por dentro. Pero las fronteras de la empresa también deciden cuántas empresas hay y cómo compiten: pasamos a la Teoría de la Organización Industrial.</w:t>
      </w:r>
    </w:p>
    <w:bookmarkEnd w:id="140"/>
    <w:bookmarkEnd w:id="141"/>
    <w:bookmarkStart w:id="200" w:name="sec_toi"/>
    <w:p>
      <w:pPr>
        <w:pStyle w:val="Heading1"/>
      </w:pPr>
      <w:r>
        <w:t xml:space="preserve">III.</w:t>
      </w:r>
      <w:r>
        <w:t xml:space="preserve"> </w:t>
      </w:r>
      <w:r>
        <w:t xml:space="preserve">La Teoría de la Organización Industrial:</w:t>
      </w:r>
      <w:r>
        <w:br/>
      </w:r>
      <w:r>
        <w:t xml:space="preserve">barreras a la entrada y mercados impugnables</w:t>
      </w:r>
      <w:r>
        <w:t xml:space="preserve"> </w:t>
      </w:r>
      <w:r>
        <w:rPr>
          <w:rStyle w:val="Minutos"/>
        </w:rPr>
        <w:t xml:space="preserve">10′</w:t>
      </w:r>
    </w:p>
    <w:p>
      <w:pPr>
        <w:pStyle w:val="Notaalopositor"/>
      </w:pPr>
      <w:r>
        <w:rPr>
          <w:b/>
          <w:bCs/>
        </w:rPr>
        <w:t xml:space="preserve">Nota al opositor. </w:t>
      </w:r>
      <w:r>
        <w:t xml:space="preserve">En el cante:</w:t>
      </w:r>
      <w:r>
        <w:t xml:space="preserve"> </w:t>
      </w:r>
      <w:r>
        <w:rPr>
          <w:smallCaps/>
        </w:rPr>
        <w:t xml:space="preserve">Chamberlin</w:t>
      </w:r>
      <w:r>
        <w:t xml:space="preserve"> </w:t>
      </w:r>
      <w:r>
        <w:t xml:space="preserve">y el nacimiento de la TOI en una frase; el paradigma ECR con su esquema, el IHH y sus críticas, y la respuesta de</w:t>
      </w:r>
      <w:r>
        <w:t xml:space="preserve"> </w:t>
      </w:r>
      <w:r>
        <w:rPr>
          <w:smallCaps/>
        </w:rPr>
        <w:t xml:space="preserve">Chicago</w:t>
      </w:r>
      <w:r>
        <w:t xml:space="preserve"> </w:t>
      </w:r>
      <w:r>
        <w:t xml:space="preserve">(2′30″); las definiciones de barrera de</w:t>
      </w:r>
      <w:r>
        <w:t xml:space="preserve"> </w:t>
      </w:r>
      <w:r>
        <w:rPr>
          <w:smallCaps/>
        </w:rPr>
        <w:t xml:space="preserve">Bain</w:t>
      </w:r>
      <w:r>
        <w:t xml:space="preserve"> </w:t>
      </w:r>
      <w:r>
        <w:t xml:space="preserve">y</w:t>
      </w:r>
      <w:r>
        <w:t xml:space="preserve"> </w:t>
      </w:r>
      <w:r>
        <w:rPr>
          <w:smallCaps/>
        </w:rPr>
        <w:t xml:space="preserve">Stigler</w:t>
      </w:r>
      <w:r>
        <w:t xml:space="preserve">, los tipos, el precio límite con su gráfico y su función clave (</w:t>
      </w:r>
      <w:hyperlink w:anchor="eq_precio_limite">
        <w:r>
          <w:rPr>
            <w:rStyle w:val="Hyperlink"/>
          </w:rPr>
          <w:t xml:space="preserve">4</w:t>
        </w:r>
      </w:hyperlink>
      <w:r>
        <w:t xml:space="preserve">), su crítica de credibilidad y el árbol de disuasión en 3 etapas, con la señal, la depredación y la proliferación de marcas en una frase cada una (3′30″); los mercados impugnables: los 3 supuestos, la configuración sostenible con su función clave (</w:t>
      </w:r>
      <w:hyperlink w:anchor="eq_sostenible">
        <w:r>
          <w:rPr>
            <w:rStyle w:val="Hyperlink"/>
          </w:rPr>
          <w:t xml:space="preserve">5</w:t>
        </w:r>
      </w:hyperlink>
      <w:r>
        <w:t xml:space="preserve">), las implicaciones y la fragilidad ante los costes hundidos (2′30″); la Nueva TOI, la NOIE y las aportaciones de</w:t>
      </w:r>
      <w:r>
        <w:t xml:space="preserve"> </w:t>
      </w:r>
      <w:r>
        <w:rPr>
          <w:smallCaps/>
        </w:rPr>
        <w:t xml:space="preserve">Tirole</w:t>
      </w:r>
      <w:r>
        <w:t xml:space="preserve"> </w:t>
      </w:r>
      <w:r>
        <w:t xml:space="preserve">(1′30″). Son de profundización la relación de</w:t>
      </w:r>
      <w:r>
        <w:t xml:space="preserve"> </w:t>
      </w:r>
      <w:r>
        <w:rPr>
          <w:smallCaps/>
        </w:rPr>
        <w:t xml:space="preserve">Cowling</w:t>
      </w:r>
      <w:r>
        <w:t xml:space="preserve"> </w:t>
      </w:r>
      <w:r>
        <w:t xml:space="preserve">y</w:t>
      </w:r>
      <w:r>
        <w:t xml:space="preserve"> </w:t>
      </w:r>
      <w:r>
        <w:rPr>
          <w:smallCaps/>
        </w:rPr>
        <w:t xml:space="preserve">Waterson</w:t>
      </w:r>
      <w:r>
        <w:t xml:space="preserve">, los umbrales de las directrices de concentraciones, el caso lineal del precio límite, el modelo de</w:t>
      </w:r>
      <w:r>
        <w:t xml:space="preserve"> </w:t>
      </w:r>
      <w:r>
        <w:rPr>
          <w:smallCaps/>
        </w:rPr>
        <w:t xml:space="preserve">Dixit</w:t>
      </w:r>
      <w:r>
        <w:t xml:space="preserve">, la tabla de supuestos, la NOIE en detalle y los anexos.</w:t>
      </w:r>
    </w:p>
    <w:p>
      <w:pPr>
        <w:numPr>
          <w:ilvl w:val="0"/>
          <w:numId w:val="1068"/>
        </w:numPr>
      </w:pPr>
      <w:r>
        <w:t xml:space="preserve">Abiertas la empresa y sus fronteras, salimos al mercado y levantamos el tercer supuesto de la caja negra: que la estructura del mercado es un dato.</w:t>
      </w:r>
      <w:r>
        <w:t xml:space="preserve"> </w:t>
      </w:r>
      <w:r>
        <w:rPr>
          <w:i/>
          <w:iCs/>
        </w:rPr>
        <w:t xml:space="preserve">Conclusión anticipada</w:t>
      </w:r>
      <w:r>
        <w:t xml:space="preserve">: el poder de mercado no depende tanto del número de empresas como de lo fácil que sea entrar; las instaladas pueden levantar barreras solo si sus amenazas son creíbles, y sin costes hundidos basta la amenaza de entrada para disciplinar incluso a un monopolio.</w:t>
      </w:r>
    </w:p>
    <w:bookmarkStart w:id="152" w:name="sec_harvard_chicago"/>
    <w:p>
      <w:pPr>
        <w:pStyle w:val="Heading2"/>
      </w:pPr>
      <w:r>
        <w:t xml:space="preserve">III.1.</w:t>
      </w:r>
      <w:r>
        <w:t xml:space="preserve"> </w:t>
      </w:r>
      <w:r>
        <w:t xml:space="preserve">Del enfoque neoclásico a Harvard y Chicago</w:t>
      </w:r>
    </w:p>
    <w:p>
      <w:pPr>
        <w:numPr>
          <w:ilvl w:val="0"/>
          <w:numId w:val="1069"/>
        </w:numPr>
      </w:pPr>
      <w:r>
        <w:rPr>
          <w:i/>
          <w:iCs/>
        </w:rPr>
        <w:t xml:space="preserve">El enfoque neoclásico</w:t>
      </w:r>
      <w:r>
        <w:t xml:space="preserve">: hasta los años 30, la empresa es una caja negra precio-aceptante en un mercado de competencia perfecta</w:t>
      </w:r>
      <w:r>
        <w:t xml:space="preserve"> </w:t>
      </w:r>
      <w:hyperlink r:id="rId25">
        <w:r>
          <w:rPr>
            <w:rStyle w:val="Referenciaatema"/>
          </w:rPr>
          <w:t xml:space="preserve">[ver tema 3.A.16]</w:t>
        </w:r>
      </w:hyperlink>
      <w:r>
        <w:t xml:space="preserve">, y la teoría presta poca atención a su conducta y a cómo se forma la estructura del mercado: ofrece una teoría de la producción y de los costes, pero no una teoría de la empresa ni de la industria.</w:t>
      </w:r>
    </w:p>
    <w:p>
      <w:pPr>
        <w:numPr>
          <w:ilvl w:val="0"/>
          <w:numId w:val="1069"/>
        </w:numPr>
      </w:pPr>
      <w:r>
        <w:rPr>
          <w:i/>
          <w:iCs/>
        </w:rPr>
        <w:t xml:space="preserve">La crítica de</w:t>
      </w:r>
      <w:r>
        <w:rPr>
          <w:i/>
          <w:iCs/>
        </w:rPr>
        <w:t xml:space="preserve"> </w:t>
      </w:r>
      <w:r>
        <w:rPr>
          <w:i/>
          <w:iCs/>
          <w:smallCaps/>
        </w:rPr>
        <w:t xml:space="preserve">Chamberlin</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los mercados entre la competencia perfecta y el monopolio</w:t>
      </w:r>
      <w:r>
        <w:t xml:space="preserve"> </w:t>
      </w:r>
      <w:hyperlink r:id="rId27">
        <w:r>
          <w:rPr>
            <w:rStyle w:val="Referenciaatema"/>
          </w:rPr>
          <w:t xml:space="preserve">[ver tema 3.A.18]</w:t>
        </w:r>
      </w:hyperlink>
      <w:r>
        <w:t xml:space="preserve">. Hay consenso en ver ahí el punto en que la TOI se separa de la teoría de los precios: a partir de entonces se estudian las industrias una a una, con datos.</w:t>
      </w:r>
    </w:p>
    <w:bookmarkStart w:id="147" w:name="sec_ecr"/>
    <w:p>
      <w:pPr>
        <w:pStyle w:val="Heading3"/>
      </w:pPr>
      <w:r>
        <w:t xml:space="preserve">III.1.1.</w:t>
      </w:r>
      <w:r>
        <w:t xml:space="preserve"> </w:t>
      </w:r>
      <w:r>
        <w:t xml:space="preserve">El paradigma estructura-conducta-resultado: la escuela de</w:t>
      </w:r>
      <w:r>
        <w:t xml:space="preserve"> </w:t>
      </w:r>
      <w:r>
        <w:rPr>
          <w:smallCaps/>
        </w:rPr>
        <w:t xml:space="preserve">Harvard</w:t>
      </w:r>
    </w:p>
    <w:p>
      <w:pPr>
        <w:keepNext/>
        <w:numPr>
          <w:ilvl w:val="0"/>
          <w:numId w:val="1070"/>
        </w:numPr>
      </w:pPr>
      <w:r>
        <w:rPr>
          <w:i/>
          <w:iCs/>
        </w:rPr>
        <w:t xml:space="preserve">Idea</w:t>
      </w:r>
      <w:r>
        <w:t xml:space="preserve">:</w:t>
      </w:r>
      <w:r>
        <w:t xml:space="preserve"> </w:t>
      </w:r>
      <w:r>
        <w:rPr>
          <w:smallCaps/>
        </w:rPr>
        <w:t xml:space="preserve">Mason</w:t>
      </w:r>
      <w:r>
        <w:t xml:space="preserve"> </w:t>
      </w:r>
      <w:r>
        <w:t xml:space="preserve">(</w:t>
      </w:r>
      <w:hyperlink w:anchor="ref_Mason1939Price">
        <w:r>
          <w:rPr>
            <w:rStyle w:val="Hyperlink"/>
          </w:rPr>
          <w:t xml:space="preserve">1939</w:t>
        </w:r>
      </w:hyperlink>
      <w:r>
        <w:t xml:space="preserve">)</w:t>
      </w:r>
      <w:r>
        <w:t xml:space="preserve"> </w:t>
      </w:r>
      <w:r>
        <w:t xml:space="preserve">y su discípulo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hyperlink w:anchor="ref_Bain1956Barriers">
        <w:r>
          <w:rPr>
            <w:rStyle w:val="Hyperlink"/>
          </w:rPr>
          <w:t xml:space="preserve">1956</w:t>
        </w:r>
      </w:hyperlink>
      <w:r>
        <w:t xml:space="preserve">,</w:t>
      </w:r>
      <w:r>
        <w:t xml:space="preserve"> </w:t>
      </w:r>
      <w:hyperlink w:anchor="ref_Bain1959Industrial">
        <w:r>
          <w:rPr>
            <w:rStyle w:val="Hyperlink"/>
          </w:rPr>
          <w:t xml:space="preserve">1959</w:t>
        </w:r>
      </w:hyperlink>
      <w:r>
        <w:t xml:space="preserve">)</w:t>
      </w:r>
      <w:r>
        <w:t xml:space="preserve"> </w:t>
      </w:r>
      <w:r>
        <w:t xml:space="preserve">proponen el</w:t>
      </w:r>
      <w:r>
        <w:t xml:space="preserve"> </w:t>
      </w:r>
      <w:r>
        <w:rPr>
          <w:b/>
          <w:bCs/>
        </w:rPr>
        <w:t xml:space="preserve">paradigma estructura-conducta-resultado</w:t>
      </w:r>
      <w:r>
        <w:t xml:space="preserve"> </w:t>
      </w:r>
      <w:r>
        <w:t xml:space="preserve">(ECR): una causalidad que va de las condiciones básicas de oferta y demanda a la</w:t>
      </w:r>
      <w:r>
        <w:t xml:space="preserve"> </w:t>
      </w:r>
      <w:r>
        <w:rPr>
          <w:i/>
          <w:iCs/>
        </w:rPr>
        <w:t xml:space="preserve">estructura</w:t>
      </w:r>
      <w:r>
        <w:t xml:space="preserve"> </w:t>
      </w:r>
      <w:r>
        <w:t xml:space="preserve">del mercado, de esta a la</w:t>
      </w:r>
      <w:r>
        <w:t xml:space="preserve"> </w:t>
      </w:r>
      <w:r>
        <w:rPr>
          <w:i/>
          <w:iCs/>
        </w:rPr>
        <w:t xml:space="preserve">conducta</w:t>
      </w:r>
      <w:r>
        <w:t xml:space="preserve"> </w:t>
      </w:r>
      <w:r>
        <w:t xml:space="preserve">de las empresas y de esta al</w:t>
      </w:r>
      <w:r>
        <w:t xml:space="preserve"> </w:t>
      </w:r>
      <w:r>
        <w:rPr>
          <w:i/>
          <w:iCs/>
        </w:rPr>
        <w:t xml:space="preserve">resultado</w:t>
      </w:r>
      <w:r>
        <w:t xml:space="preserve"> </w:t>
      </w:r>
      <w:r>
        <w:t xml:space="preserve">(gráfico </w:t>
      </w:r>
      <w:hyperlink w:anchor="fig_ecr">
        <w:r>
          <w:rPr>
            <w:rStyle w:val="Hyperlink"/>
          </w:rPr>
          <w:t xml:space="preserve">8</w:t>
        </w:r>
      </w:hyperlink>
      <w:r>
        <w:t xml:space="preserve">):</w:t>
      </w:r>
    </w:p>
    <w:p>
      <w:pPr>
        <w:numPr>
          <w:ilvl w:val="1"/>
          <w:numId w:val="1071"/>
        </w:numPr>
      </w:pPr>
      <w:r>
        <w:rPr>
          <w:i/>
          <w:iCs/>
        </w:rPr>
        <w:t xml:space="preserve">estructura</w:t>
      </w:r>
      <w:r>
        <w:t xml:space="preserve">: número y tamaño de vendedores y compradores (la concentración), condiciones de entrada, diferenciación del producto, integración vertical;</w:t>
      </w:r>
    </w:p>
    <w:p>
      <w:pPr>
        <w:numPr>
          <w:ilvl w:val="1"/>
          <w:numId w:val="1071"/>
        </w:numPr>
      </w:pPr>
      <w:r>
        <w:rPr>
          <w:i/>
          <w:iCs/>
        </w:rPr>
        <w:t xml:space="preserve">conducta</w:t>
      </w:r>
      <w:r>
        <w:t xml:space="preserve">: fijación de precios, colusión, publicidad, investigación, creación de barreras;</w:t>
      </w:r>
    </w:p>
    <w:p>
      <w:pPr>
        <w:numPr>
          <w:ilvl w:val="1"/>
          <w:numId w:val="1071"/>
        </w:numPr>
      </w:pPr>
      <w:r>
        <w:rPr>
          <w:i/>
          <w:iCs/>
        </w:rPr>
        <w:t xml:space="preserve">resultado</w:t>
      </w:r>
      <w:r>
        <w:t xml:space="preserve">: margen sobre el coste, beneficios, eficiencia asignativa y productiva, progreso técnico.</w:t>
      </w:r>
    </w:p>
    <w:p>
      <w:pPr>
        <w:numPr>
          <w:ilvl w:val="0"/>
          <w:numId w:val="1070"/>
        </w:numPr>
      </w:pPr>
      <w:r>
        <w:rPr>
          <w:i/>
          <w:iCs/>
        </w:rPr>
        <w:t xml:space="preserve">Medida</w:t>
      </w:r>
      <w:r>
        <w:t xml:space="preserve">: la concentración se mide con la</w:t>
      </w:r>
      <w:r>
        <w:t xml:space="preserve"> </w:t>
      </w:r>
      <w:r>
        <w:rPr>
          <w:b/>
          <w:bCs/>
        </w:rPr>
        <w:t xml:space="preserve">ratio de concentración</w:t>
      </w:r>
      <w:r>
        <w:t xml:space="preserve"> </w:t>
      </w:r>
      <w:r>
        <w:t xml:space="preserve">de las</w:t>
      </w:r>
      <w:r>
        <w:t xml:space="preserve"> </w:t>
      </w:r>
      <m:oMath>
        <m:r>
          <m:t>m</m:t>
        </m:r>
      </m:oMath>
      <w:r>
        <w:t xml:space="preserve"> </w:t>
      </w:r>
      <w:r>
        <w:t xml:space="preserve">mayores empresas y el</w:t>
      </w:r>
      <w:r>
        <w:t xml:space="preserve"> </w:t>
      </w:r>
      <w:r>
        <w:rPr>
          <w:b/>
          <w:bCs/>
        </w:rPr>
        <w:t xml:space="preserve">índice de</w:t>
      </w:r>
      <w:r>
        <w:rPr>
          <w:b/>
          <w:bCs/>
        </w:rPr>
        <w:t xml:space="preserve"> </w:t>
      </w:r>
      <w:r>
        <w:rPr>
          <w:b/>
          <w:bCs/>
          <w:smallCaps/>
        </w:rPr>
        <w:t xml:space="preserve">Herfindahl</w:t>
      </w:r>
      <w:r>
        <w:rPr>
          <w:b/>
          <w:bCs/>
        </w:rPr>
        <w:t xml:space="preserve">-</w:t>
      </w:r>
      <w:r>
        <w:rPr>
          <w:b/>
          <w:bCs/>
          <w:smallCaps/>
        </w:rPr>
        <w:t xml:space="preserve">Hirschman</w:t>
      </w:r>
      <w:r>
        <w:t xml:space="preserve">,</w:t>
      </w:r>
    </w:p>
    <w:p>
      <w:pPr>
        <w:pStyle w:val="BodyText"/>
        <w:keepNext/>
      </w:pPr>
      <m:oMathPara>
        <m:oMathParaPr>
          <m:jc m:val="center"/>
        </m:oMathParaP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r>
            <m:rPr>
              <m:sty m:val="p"/>
            </m:rPr>
            <m:t>,</m:t>
          </m:r>
          <m:r>
            <m:t>  </m:t>
          </m:r>
          <m:r>
            <m:rPr>
              <m:sty m:val="p"/>
            </m:rPr>
            <m:t>I</m:t>
          </m:r>
          <m:r>
            <m:rPr>
              <m:sty m:val="p"/>
            </m:rPr>
            <m:t>H</m:t>
          </m:r>
          <m:r>
            <m:rPr>
              <m:sty m:val="p"/>
            </m:rPr>
            <m:t>H</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numPr>
          <w:ilvl w:val="0"/>
          <w:numId w:val="1000"/>
        </w:numPr>
      </w:pPr>
      <w:r>
        <w:t xml:space="preserve">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 de la empresa</w:t>
      </w:r>
      <w:r>
        <w:t xml:space="preserve"> </w:t>
      </w:r>
      <m:oMath>
        <m:r>
          <m:t>i</m:t>
        </m:r>
      </m:oMath>
      <w:r>
        <w:t xml:space="preserve">, ordenadas de mayor a menor; el IHH vale 10.000 en el monopolio.</w:t>
      </w:r>
      <w:r>
        <w:rPr>
          <w:rStyle w:val="FootnoteReference"/>
        </w:rPr>
        <w:footnoteReference w:id="142"/>
      </w:r>
      <w:r>
        <w:t xml:space="preserve"> </w:t>
      </w:r>
      <w:r>
        <w:t xml:space="preserve">En el oligopolio de</w:t>
      </w:r>
      <w:r>
        <w:t xml:space="preserve"> </w:t>
      </w:r>
      <w:r>
        <w:rPr>
          <w:smallCaps/>
        </w:rPr>
        <w:t xml:space="preserve">Cournot</w:t>
      </w:r>
      <w:r>
        <w:t xml:space="preserve">, el índice de</w:t>
      </w:r>
      <w:r>
        <w:t xml:space="preserve"> </w:t>
      </w:r>
      <w:r>
        <w:rPr>
          <w:smallCaps/>
        </w:rPr>
        <w:t xml:space="preserve">Lerner</w:t>
      </w:r>
      <w:r>
        <w:t xml:space="preserve"> </w:t>
      </w:r>
      <w:r>
        <w:t xml:space="preserve">medio ponderado por las cuotas es proporcional al IHH,</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8">
        <w:r>
          <w:rPr>
            <w:rStyle w:val="Referenciaatema"/>
          </w:rPr>
          <w:t xml:space="preserve">[ver tema 3.A.19]</w:t>
        </w:r>
      </w:hyperlink>
      <w:r>
        <w:t xml:space="preserve"> </w:t>
      </w:r>
      <w:r>
        <w:t xml:space="preserve">(anexo </w:t>
      </w:r>
      <w:hyperlink w:anchor="anexo_cowling_waterson">
        <w:r>
          <w:rPr>
            <w:rStyle w:val="Hyperlink"/>
          </w:rPr>
          <w:t xml:space="preserve">B.4</w:t>
        </w:r>
      </w:hyperlink>
      <w:r>
        <w:t xml:space="preserve">): es la base teórica del paradigma.</w:t>
      </w:r>
    </w:p>
    <w:p>
      <w:pPr>
        <w:numPr>
          <w:ilvl w:val="0"/>
          <w:numId w:val="1070"/>
        </w:numPr>
      </w:pPr>
      <w:r>
        <w:rPr>
          <w:i/>
          <w:iCs/>
        </w:rPr>
        <w:t xml:space="preserve">Contexto histórico</w:t>
      </w:r>
      <w:r>
        <w:t xml:space="preserve">: nace en Estados Unidos, donde la política antimonopolio venía de la</w:t>
      </w:r>
      <w:r>
        <w:t xml:space="preserve"> </w:t>
      </w:r>
      <w:r>
        <w:rPr>
          <w:i/>
          <w:iCs/>
        </w:rPr>
        <w:t xml:space="preserve">Sherman Act</w:t>
      </w:r>
      <w:r>
        <w:t xml:space="preserve"> </w:t>
      </w:r>
      <w:r>
        <w:t xml:space="preserve">de 1890 y de la</w:t>
      </w:r>
      <w:r>
        <w:t xml:space="preserve"> </w:t>
      </w:r>
      <w:r>
        <w:rPr>
          <w:i/>
          <w:iCs/>
        </w:rPr>
        <w:t xml:space="preserve">Clayton Act</w:t>
      </w:r>
      <w:r>
        <w:t xml:space="preserve"> </w:t>
      </w:r>
      <w:r>
        <w:t xml:space="preserve">de 1914</w:t>
      </w:r>
      <w:r>
        <w:t xml:space="preserve"> </w:t>
      </w:r>
      <w:r>
        <w:t xml:space="preserve">(</w:t>
      </w:r>
      <w:hyperlink w:anchor="ref_FTC2026AntitrustLaws">
        <w:r>
          <w:rPr>
            <w:rStyle w:val="Hyperlink"/>
            <w:smallCaps/>
          </w:rPr>
          <w:t xml:space="preserve">Federal Trade Commission</w:t>
        </w:r>
        <w:r>
          <w:rPr>
            <w:rStyle w:val="Hyperlink"/>
          </w:rPr>
          <w:t xml:space="preserve">, 2026</w:t>
        </w:r>
      </w:hyperlink>
      <w:r>
        <w:t xml:space="preserve">)</w:t>
      </w:r>
      <w:r>
        <w:t xml:space="preserve">, y le da un fundamento empírico: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r>
        <w:t xml:space="preserve">encuentra beneficios mayores en las industrias más concentradas.</w:t>
      </w:r>
    </w:p>
    <w:p>
      <w:pPr>
        <w:numPr>
          <w:ilvl w:val="0"/>
          <w:numId w:val="1070"/>
        </w:numPr>
      </w:pPr>
      <w:r>
        <w:rPr>
          <w:i/>
          <w:iCs/>
        </w:rPr>
        <w:t xml:space="preserve">Implicaciones de política económica</w:t>
      </w:r>
      <w:r>
        <w:t xml:space="preserve">: sospechar de las estructuras concentradas, porque llevarán a conductas anticompetitivas, con precios por encima del coste marginal y beneficios extraordinarios: una pérdida de eficiencia</w:t>
      </w:r>
      <w:r>
        <w:t xml:space="preserve"> </w:t>
      </w:r>
      <w:r>
        <w:rPr>
          <w:i/>
          <w:iCs/>
        </w:rPr>
        <w:t xml:space="preserve">asignativa</w:t>
      </w:r>
      <w:r>
        <w:t xml:space="preserve"> </w:t>
      </w:r>
      <w:r>
        <w:t xml:space="preserve">(el triángulo de</w:t>
      </w:r>
      <w:r>
        <w:t xml:space="preserve"> </w:t>
      </w:r>
      <w:r>
        <w:rPr>
          <w:smallCaps/>
        </w:rPr>
        <w:t xml:space="preserve">Harberger</w:t>
      </w:r>
      <w:r>
        <w:t xml:space="preserve">,</w:t>
      </w:r>
      <w:r>
        <w:t xml:space="preserve"> </w:t>
      </w:r>
      <w:hyperlink r:id="rId26">
        <w:r>
          <w:rPr>
            <w:rStyle w:val="Referenciaatema"/>
          </w:rPr>
          <w:t xml:space="preserve">[ver tema 3.A.17]</w:t>
        </w:r>
      </w:hyperlink>
      <w:r>
        <w:t xml:space="preserve">) a la que puede sumarse la ineficiencia X</w:t>
      </w:r>
      <w:r>
        <w:t xml:space="preserve"> </w:t>
      </w:r>
      <w:hyperlink r:id="rId24">
        <w:r>
          <w:rPr>
            <w:rStyle w:val="Referenciaatema"/>
          </w:rPr>
          <w:t xml:space="preserve">[ver tema 3.A.12]</w:t>
        </w:r>
      </w:hyperlink>
      <w:r>
        <w:t xml:space="preserve">. La política actúa sobre la estructura: control de concentraciones y, en el extremo, división de empresas (Standard Oil en 1911, AT&amp;T en 1984).</w:t>
      </w:r>
    </w:p>
    <w:p>
      <w:pPr>
        <w:numPr>
          <w:ilvl w:val="0"/>
          <w:numId w:val="1070"/>
        </w:numPr>
      </w:pPr>
      <w:r>
        <w:rPr>
          <w:i/>
          <w:iCs/>
        </w:rPr>
        <w:t xml:space="preserve">Valoración</w:t>
      </w:r>
      <w:r>
        <w:t xml:space="preserve">: la causalidad no es unidireccional (la conducta cambia la estructura con fusiones, barreras o innovación, y los resultados cambian la conducta); el enfoque es estático; su evidencia es una correlación entre industrias, sin una teoría de la conducta, y la concentración puede ser fruto de la eficiencia.</w:t>
      </w:r>
    </w:p>
    <w:bookmarkStart w:id="146" w:name="fig_ecr"/>
    <w:p>
      <w:pPr>
        <w:pStyle w:val="ImageCaption"/>
      </w:pPr>
      <w:r>
        <w:t xml:space="preserve">Gráfico 8.–</w:t>
      </w:r>
      <w:r>
        <w:t xml:space="preserve"> </w:t>
      </w:r>
      <w:r>
        <w:t xml:space="preserve">El paradigma estructura-conducta-resultado y las relaciones de vuelta</w:t>
      </w:r>
    </w:p>
    <w:p>
      <w:pPr>
        <w:pStyle w:val="CaptionedFigure"/>
      </w:pPr>
      <w:r>
        <w:drawing>
          <wp:inline>
            <wp:extent cx="4178300" cy="2181758"/>
            <wp:effectExtent b="0" l="0" r="0" t="0"/>
            <wp:docPr descr="Gráfico 8.– El paradigma estructura-conducta-resultado y las relaciones de vuelta" title="" id="144" name="Picture"/>
            <a:graphic>
              <a:graphicData uri="http://schemas.openxmlformats.org/drawingml/2006/picture">
                <pic:pic>
                  <pic:nvPicPr>
                    <pic:cNvPr descr="C:\Users\vgutierrez\Documents\src\victorgutierrezmarcos.github.io-revision\oposicion\temario\fuentes\3A15\graficos/ecr.png" id="145" name="Picture"/>
                    <pic:cNvPicPr>
                      <a:picLocks noChangeArrowheads="1" noChangeAspect="1"/>
                    </pic:cNvPicPr>
                  </pic:nvPicPr>
                  <pic:blipFill>
                    <a:blip r:embed="rId143"/>
                    <a:stretch>
                      <a:fillRect/>
                    </a:stretch>
                  </pic:blipFill>
                  <pic:spPr bwMode="auto">
                    <a:xfrm>
                      <a:off x="0" y="0"/>
                      <a:ext cx="4178300" cy="218175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Lipczynski</w:t>
      </w:r>
      <w:r>
        <w:t xml:space="preserve">,</w:t>
      </w:r>
      <w:r>
        <w:t xml:space="preserve"> </w:t>
      </w:r>
      <w:r>
        <w:rPr>
          <w:smallCaps/>
        </w:rPr>
        <w:t xml:space="preserve">Wilson</w:t>
      </w:r>
      <w:r>
        <w:t xml:space="preserve"> </w:t>
      </w:r>
      <w:r>
        <w:t xml:space="preserve">y</w:t>
      </w:r>
      <w:r>
        <w:t xml:space="preserve"> </w:t>
      </w:r>
      <w:r>
        <w:rPr>
          <w:smallCaps/>
        </w:rPr>
        <w:t xml:space="preserve">Goddard</w:t>
      </w:r>
      <w:r>
        <w:t xml:space="preserve"> </w:t>
      </w:r>
      <w:r>
        <w:t xml:space="preserve">(</w:t>
      </w:r>
      <w:hyperlink w:anchor="ref_LipczynskiWilsonGoddard2017Ind_37140">
        <w:r>
          <w:rPr>
            <w:rStyle w:val="Hyperlink"/>
          </w:rPr>
          <w:t xml:space="preserve">2017, cap. 1</w:t>
        </w:r>
      </w:hyperlink>
      <w:r>
        <w:t xml:space="preserve">)</w:t>
      </w:r>
      <w:r>
        <w:t xml:space="preserve">.</w:t>
      </w:r>
    </w:p>
    <w:bookmarkEnd w:id="147"/>
    <w:bookmarkStart w:id="151" w:name="sec_chicago"/>
    <w:p>
      <w:pPr>
        <w:pStyle w:val="Heading3"/>
      </w:pPr>
      <w:r>
        <w:t xml:space="preserve">III.1.2.</w:t>
      </w:r>
      <w:r>
        <w:t xml:space="preserve"> </w:t>
      </w:r>
      <w:r>
        <w:t xml:space="preserve">La escuela de</w:t>
      </w:r>
      <w:r>
        <w:t xml:space="preserve"> </w:t>
      </w:r>
      <w:r>
        <w:rPr>
          <w:smallCaps/>
        </w:rPr>
        <w:t xml:space="preserve">Chicago</w:t>
      </w:r>
    </w:p>
    <w:p>
      <w:pPr>
        <w:keepNext/>
        <w:numPr>
          <w:ilvl w:val="0"/>
          <w:numId w:val="1072"/>
        </w:numPr>
      </w:pPr>
      <w:r>
        <w:rPr>
          <w:i/>
          <w:iCs/>
        </w:rPr>
        <w:t xml:space="preserve">Idea</w:t>
      </w:r>
      <w:r>
        <w:t xml:space="preserve">: desde los años 50 y 60,</w:t>
      </w:r>
      <w:r>
        <w:t xml:space="preserve"> </w:t>
      </w:r>
      <w:r>
        <w:rPr>
          <w:smallCaps/>
        </w:rPr>
        <w:t xml:space="preserve">Stigler</w:t>
      </w:r>
      <w:r>
        <w:t xml:space="preserve"> </w:t>
      </w:r>
      <w:r>
        <w:t xml:space="preserve">(</w:t>
      </w:r>
      <w:hyperlink w:anchor="ref_Stigler1964Theory">
        <w:r>
          <w:rPr>
            <w:rStyle w:val="Hyperlink"/>
          </w:rPr>
          <w:t xml:space="preserve">1964</w:t>
        </w:r>
      </w:hyperlink>
      <w:r>
        <w:t xml:space="preserve">,</w:t>
      </w:r>
      <w:r>
        <w:t xml:space="preserve"> </w:t>
      </w:r>
      <w:hyperlink w:anchor="ref_Stigler1968Organization">
        <w:r>
          <w:rPr>
            <w:rStyle w:val="Hyperlink"/>
          </w:rPr>
          <w:t xml:space="preserve">1968</w:t>
        </w:r>
      </w:hyperlink>
      <w:r>
        <w:t xml:space="preserve">)</w:t>
      </w:r>
      <w:r>
        <w:t xml:space="preserve">,</w:t>
      </w:r>
      <w:r>
        <w:t xml:space="preserve"> </w:t>
      </w:r>
      <w:r>
        <w:rPr>
          <w:smallCaps/>
        </w:rPr>
        <w:t xml:space="preserve">McGee</w:t>
      </w:r>
      <w:r>
        <w:t xml:space="preserve"> </w:t>
      </w:r>
      <w:r>
        <w:t xml:space="preserve">(</w:t>
      </w:r>
      <w:hyperlink w:anchor="ref_McGee1958Predatory">
        <w:r>
          <w:rPr>
            <w:rStyle w:val="Hyperlink"/>
          </w:rPr>
          <w:t xml:space="preserve">1958</w:t>
        </w:r>
      </w:hyperlink>
      <w:r>
        <w:t xml:space="preserve">)</w:t>
      </w:r>
      <w:r>
        <w:t xml:space="preserve"> </w:t>
      </w:r>
      <w:r>
        <w:t xml:space="preserve">y</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hyperlink w:anchor="ref_Demsetz1973Industry">
        <w:r>
          <w:rPr>
            <w:rStyle w:val="Hyperlink"/>
          </w:rPr>
          <w:t xml:space="preserve">1973</w:t>
        </w:r>
      </w:hyperlink>
      <w:r>
        <w:t xml:space="preserve">)</w:t>
      </w:r>
      <w:r>
        <w:t xml:space="preserve"> </w:t>
      </w:r>
      <w:r>
        <w:t xml:space="preserve">vuelven al modelo competitivo como guía:</w:t>
      </w:r>
    </w:p>
    <w:p>
      <w:pPr>
        <w:numPr>
          <w:ilvl w:val="1"/>
          <w:numId w:val="1073"/>
        </w:numPr>
      </w:pPr>
      <w:r>
        <w:t xml:space="preserve">la concentración puede ser fruto de la</w:t>
      </w:r>
      <w:r>
        <w:t xml:space="preserve"> </w:t>
      </w:r>
      <w:r>
        <w:rPr>
          <w:i/>
          <w:iCs/>
        </w:rPr>
        <w:t xml:space="preserve">eficiencia</w:t>
      </w:r>
      <w:r>
        <w:t xml:space="preserve">: si las empresas grandes ganan más porque son más eficientes, la correlación de</w:t>
      </w:r>
      <w:r>
        <w:t xml:space="preserve"> </w:t>
      </w:r>
      <w:r>
        <w:rPr>
          <w:smallCaps/>
        </w:rPr>
        <w:t xml:space="preserve">Bain</w:t>
      </w:r>
      <w:r>
        <w:t xml:space="preserve"> </w:t>
      </w:r>
      <w:r>
        <w:t xml:space="preserve">no prueba colusión; en las industrias concentradas, las empresas pequeñas no ganan más que en las demás</w:t>
      </w:r>
      <w:r>
        <w:t xml:space="preserve"> </w:t>
      </w:r>
      <w:r>
        <w:t xml:space="preserve">(</w:t>
      </w:r>
      <w:hyperlink w:anchor="ref_Demsetz1973Industry">
        <w:r>
          <w:rPr>
            <w:rStyle w:val="Hyperlink"/>
            <w:smallCaps/>
          </w:rPr>
          <w:t xml:space="preserve">Demsetz</w:t>
        </w:r>
        <w:r>
          <w:rPr>
            <w:rStyle w:val="Hyperlink"/>
          </w:rPr>
          <w:t xml:space="preserve">, 1973</w:t>
        </w:r>
      </w:hyperlink>
      <w:r>
        <w:t xml:space="preserve">)</w:t>
      </w:r>
      <w:r>
        <w:t xml:space="preserve">;</w:t>
      </w:r>
    </w:p>
    <w:p>
      <w:pPr>
        <w:numPr>
          <w:ilvl w:val="1"/>
          <w:numId w:val="1073"/>
        </w:numPr>
      </w:pPr>
      <w:r>
        <w:t xml:space="preserve">los cárteles son inestables, porque cada miembro gana rompiéndolos y es caro vigilarlos</w:t>
      </w:r>
      <w:r>
        <w:t xml:space="preserve"> </w:t>
      </w:r>
      <w:r>
        <w:t xml:space="preserve">(</w:t>
      </w:r>
      <w:hyperlink w:anchor="ref_Stigler1964Theory">
        <w:r>
          <w:rPr>
            <w:rStyle w:val="Hyperlink"/>
            <w:smallCaps/>
          </w:rPr>
          <w:t xml:space="preserve">Stigler</w:t>
        </w:r>
        <w:r>
          <w:rPr>
            <w:rStyle w:val="Hyperlink"/>
          </w:rPr>
          <w:t xml:space="preserve">, 1964</w:t>
        </w:r>
      </w:hyperlink>
      <w:r>
        <w:t xml:space="preserve">)</w:t>
      </w:r>
      <w:r>
        <w:t xml:space="preserve"> </w:t>
      </w:r>
      <w:hyperlink r:id="rId28">
        <w:r>
          <w:rPr>
            <w:rStyle w:val="Referenciaatema"/>
          </w:rPr>
          <w:t xml:space="preserve">[ver tema 3.A.19]</w:t>
        </w:r>
      </w:hyperlink>
      <w:r>
        <w:t xml:space="preserve">;</w:t>
      </w:r>
    </w:p>
    <w:p>
      <w:pPr>
        <w:numPr>
          <w:ilvl w:val="1"/>
          <w:numId w:val="1073"/>
        </w:numPr>
      </w:pPr>
      <w:r>
        <w:t xml:space="preserve">la depredación es irracional: comprar al rival es más barato que arruinarse para echarlo</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w:t>
      </w:r>
    </w:p>
    <w:p>
      <w:pPr>
        <w:numPr>
          <w:ilvl w:val="1"/>
          <w:numId w:val="1073"/>
        </w:numPr>
      </w:pPr>
      <w:r>
        <w:t xml:space="preserve">el poder de mercado es temporal: los beneficios atraen la entrada, y las barreras duraderas son casi siempre</w:t>
      </w:r>
      <w:r>
        <w:t xml:space="preserve"> </w:t>
      </w:r>
      <w:r>
        <w:rPr>
          <w:i/>
          <w:iCs/>
        </w:rPr>
        <w:t xml:space="preserve">legales</w:t>
      </w:r>
      <w:r>
        <w:t xml:space="preserve">;</w:t>
      </w:r>
      <w:r>
        <w:rPr>
          <w:rStyle w:val="FootnoteReference"/>
        </w:rPr>
        <w:footnoteReference w:id="148"/>
      </w:r>
    </w:p>
    <w:p>
      <w:pPr>
        <w:numPr>
          <w:ilvl w:val="1"/>
          <w:numId w:val="1073"/>
        </w:numPr>
      </w:pPr>
      <w:r>
        <w:t xml:space="preserve">el monopolio natural se puede disciplinar subastando el derecho a servir el mercado:</w:t>
      </w:r>
      <w:r>
        <w:t xml:space="preserve"> </w:t>
      </w:r>
      <w:r>
        <w:rPr>
          <w:i/>
          <w:iCs/>
        </w:rPr>
        <w:t xml:space="preserve">competencia por el mercado</w:t>
      </w:r>
      <w:r>
        <w:t xml:space="preserve"> </w:t>
      </w:r>
      <w:r>
        <w:t xml:space="preserve">(</w:t>
      </w:r>
      <w:hyperlink w:anchor="ref_Demsetz1968Why">
        <w:r>
          <w:rPr>
            <w:rStyle w:val="Hyperlink"/>
            <w:smallCaps/>
          </w:rPr>
          <w:t xml:space="preserve">Demsetz</w:t>
        </w:r>
        <w:r>
          <w:rPr>
            <w:rStyle w:val="Hyperlink"/>
          </w:rPr>
          <w:t xml:space="preserve">, 1968</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0"/>
          <w:numId w:val="1072"/>
        </w:numPr>
      </w:pPr>
      <w:r>
        <w:rPr>
          <w:i/>
          <w:iCs/>
        </w:rPr>
        <w:t xml:space="preserve">Implicaciones de política económica</w:t>
      </w:r>
      <w:r>
        <w:t xml:space="preserve">: el criterio es el bienestar del consumidor; tolerancia con las concentraciones y las restricciones verticales, y desregulación. Su influencia en la política de competencia de Estados Unidos desde los años 70 fue grande.</w:t>
      </w:r>
    </w:p>
    <w:p>
      <w:pPr>
        <w:numPr>
          <w:ilvl w:val="0"/>
          <w:numId w:val="1072"/>
        </w:numPr>
      </w:pPr>
      <w:r>
        <w:rPr>
          <w:i/>
          <w:iCs/>
        </w:rPr>
        <w:t xml:space="preserve">Valoración</w:t>
      </w:r>
      <w:r>
        <w:t xml:space="preserve">: confía en que la entrada sea rápida y barata y descarta las conductas estratégicas por irracionales; la teoría de juegos mostrará que pueden ser racionales si hay compromisos creíbles o información asimétrica. El debate se resuelve en las</w:t>
      </w:r>
      <w:r>
        <w:t xml:space="preserve"> </w:t>
      </w:r>
      <w:r>
        <w:rPr>
          <w:i/>
          <w:iCs/>
        </w:rPr>
        <w:t xml:space="preserve">barreras a la entrada</w:t>
      </w:r>
      <w:r>
        <w:t xml:space="preserve">: si existen,</w:t>
      </w:r>
      <w:r>
        <w:t xml:space="preserve"> </w:t>
      </w:r>
      <w:r>
        <w:rPr>
          <w:smallCaps/>
        </w:rPr>
        <w:t xml:space="preserve">Harvard</w:t>
      </w:r>
      <w:r>
        <w:t xml:space="preserve"> </w:t>
      </w:r>
      <w:r>
        <w:t xml:space="preserve">puede tener razón; si no, la amenaza de entrada basta.</w:t>
      </w:r>
      <w:r>
        <w:rPr>
          <w:rStyle w:val="FootnoteReference"/>
        </w:rPr>
        <w:footnoteReference w:id="149"/>
      </w:r>
    </w:p>
    <w:bookmarkEnd w:id="151"/>
    <w:bookmarkEnd w:id="152"/>
    <w:bookmarkStart w:id="181" w:name="sec_barreras"/>
    <w:p>
      <w:pPr>
        <w:pStyle w:val="Heading2"/>
      </w:pPr>
      <w:r>
        <w:t xml:space="preserve">III.2.</w:t>
      </w:r>
      <w:r>
        <w:t xml:space="preserve"> </w:t>
      </w:r>
      <w:r>
        <w:t xml:space="preserve">Las barreras a la entrada</w:t>
      </w:r>
    </w:p>
    <w:p>
      <w:pPr>
        <w:numPr>
          <w:ilvl w:val="0"/>
          <w:numId w:val="1074"/>
        </w:numPr>
      </w:pPr>
      <w:r>
        <w:t xml:space="preserve">Una vez visto que el debate entre</w:t>
      </w:r>
      <w:r>
        <w:t xml:space="preserve"> </w:t>
      </w:r>
      <w:r>
        <w:rPr>
          <w:smallCaps/>
        </w:rPr>
        <w:t xml:space="preserve">Harvard</w:t>
      </w:r>
      <w:r>
        <w:t xml:space="preserve"> </w:t>
      </w:r>
      <w:r>
        <w:t xml:space="preserve">y</w:t>
      </w:r>
      <w:r>
        <w:t xml:space="preserve"> </w:t>
      </w:r>
      <w:r>
        <w:rPr>
          <w:smallCaps/>
        </w:rPr>
        <w:t xml:space="preserve">Chicago</w:t>
      </w:r>
      <w:r>
        <w:t xml:space="preserve"> </w:t>
      </w:r>
      <w:r>
        <w:t xml:space="preserve">se resuelve en las condiciones de entrada, pasamos a ellas. Las barreras a la entrada son el supuesto 5 de la lista común de las estructuras de mercado, la libre entrada y salida a largo plazo, que el monopolio levanta</w:t>
      </w:r>
      <w:r>
        <w:t xml:space="preserve"> </w:t>
      </w:r>
      <w:hyperlink r:id="rId26">
        <w:r>
          <w:rPr>
            <w:rStyle w:val="Referenciaatema"/>
          </w:rPr>
          <w:t xml:space="preserve">[ver tema 3.A.17]</w:t>
        </w:r>
      </w:hyperlink>
      <w:r>
        <w:t xml:space="preserve"> </w:t>
      </w:r>
      <w:r>
        <w:t xml:space="preserve">(tabla </w:t>
      </w:r>
      <w:hyperlink w:anchor="tab_supuestos_impugnables">
        <w:r>
          <w:rPr>
            <w:rStyle w:val="Hyperlink"/>
          </w:rPr>
          <w:t xml:space="preserve">1</w:t>
        </w:r>
      </w:hyperlink>
      <w:r>
        <w:t xml:space="preserve">).</w:t>
      </w:r>
    </w:p>
    <w:bookmarkStart w:id="154" w:name="sec_barreras_tipos"/>
    <w:p>
      <w:pPr>
        <w:pStyle w:val="Heading3"/>
      </w:pPr>
      <w:r>
        <w:t xml:space="preserve">III.2.1.</w:t>
      </w:r>
      <w:r>
        <w:t xml:space="preserve"> </w:t>
      </w:r>
      <w:r>
        <w:t xml:space="preserve">Definición y tipos</w:t>
      </w:r>
    </w:p>
    <w:p>
      <w:pPr>
        <w:keepNext/>
        <w:numPr>
          <w:ilvl w:val="0"/>
          <w:numId w:val="1075"/>
        </w:numPr>
      </w:pPr>
      <w:r>
        <w:rPr>
          <w:i/>
          <w:iCs/>
        </w:rPr>
        <w:t xml:space="preserve">Definición</w:t>
      </w:r>
      <w:r>
        <w:t xml:space="preserve">: hay 2 clásicas, y la diferencia importa para la política:</w:t>
      </w:r>
    </w:p>
    <w:p>
      <w:pPr>
        <w:numPr>
          <w:ilvl w:val="1"/>
          <w:numId w:val="1076"/>
        </w:numPr>
      </w:pPr>
      <w:r>
        <w:rPr>
          <w:smallCaps/>
        </w:rPr>
        <w:t xml:space="preserve">Bain</w:t>
      </w:r>
      <w:r>
        <w:t xml:space="preserve"> </w:t>
      </w:r>
      <w:r>
        <w:t xml:space="preserve">(</w:t>
      </w:r>
      <w:hyperlink w:anchor="ref_Bain1956Barriers">
        <w:r>
          <w:rPr>
            <w:rStyle w:val="Hyperlink"/>
          </w:rPr>
          <w:t xml:space="preserve">1956</w:t>
        </w:r>
      </w:hyperlink>
      <w:r>
        <w:t xml:space="preserve">)</w:t>
      </w:r>
      <w:r>
        <w:t xml:space="preserve">: todo lo que permite a las empresas instaladas fijar</w:t>
      </w:r>
      <w:r>
        <w:t xml:space="preserve"> </w:t>
      </w:r>
      <w:r>
        <w:rPr>
          <w:i/>
          <w:iCs/>
        </w:rPr>
        <w:t xml:space="preserve">a largo plazo</w:t>
      </w:r>
      <w:r>
        <w:t xml:space="preserve"> </w:t>
      </w:r>
      <w:r>
        <w:t xml:space="preserve">precios por encima del coste medio mínimo sin atraer la entrada. Señala 3 fuentes: las</w:t>
      </w:r>
      <w:r>
        <w:t xml:space="preserve"> </w:t>
      </w:r>
      <w:r>
        <w:rPr>
          <w:i/>
          <w:iCs/>
        </w:rPr>
        <w:t xml:space="preserve">economías de escala</w:t>
      </w:r>
      <w:r>
        <w:t xml:space="preserve">, las</w:t>
      </w:r>
      <w:r>
        <w:t xml:space="preserve"> </w:t>
      </w:r>
      <w:r>
        <w:rPr>
          <w:i/>
          <w:iCs/>
        </w:rPr>
        <w:t xml:space="preserve">ventajas absolutas en costes</w:t>
      </w:r>
      <w:r>
        <w:t xml:space="preserve"> </w:t>
      </w:r>
      <w:r>
        <w:t xml:space="preserve">(mejor tecnología, factores escasos, patentes, necesidades de capital) y la</w:t>
      </w:r>
      <w:r>
        <w:t xml:space="preserve"> </w:t>
      </w:r>
      <w:r>
        <w:rPr>
          <w:i/>
          <w:iCs/>
        </w:rPr>
        <w:t xml:space="preserve">diferenciación del producto</w:t>
      </w:r>
      <w:r>
        <w:t xml:space="preserve"> </w:t>
      </w:r>
      <w:r>
        <w:t xml:space="preserve">(fidelidad a las marcas);</w:t>
      </w:r>
    </w:p>
    <w:p>
      <w:pPr>
        <w:numPr>
          <w:ilvl w:val="1"/>
          <w:numId w:val="1076"/>
        </w:numPr>
      </w:pPr>
      <w:r>
        <w:rPr>
          <w:smallCaps/>
        </w:rPr>
        <w:t xml:space="preserve">Stigler</w:t>
      </w:r>
      <w:r>
        <w:t xml:space="preserve"> </w:t>
      </w:r>
      <w:r>
        <w:t xml:space="preserve">(</w:t>
      </w:r>
      <w:hyperlink w:anchor="ref_Stigler1968Organization">
        <w:r>
          <w:rPr>
            <w:rStyle w:val="Hyperlink"/>
          </w:rPr>
          <w:t xml:space="preserve">1968</w:t>
        </w:r>
      </w:hyperlink>
      <w:r>
        <w:t xml:space="preserve">)</w:t>
      </w:r>
      <w:r>
        <w:t xml:space="preserve">: un coste que tiene que soportar quien entra y no soportaron las instaladas. Con esta definición, las economías de escala no son una barrera si el entrante accede a la misma tecnología.</w:t>
      </w:r>
    </w:p>
    <w:p>
      <w:pPr>
        <w:numPr>
          <w:ilvl w:val="0"/>
          <w:numId w:val="1000"/>
        </w:numPr>
      </w:pPr>
      <w:r>
        <w:rPr>
          <w:smallCaps/>
        </w:rPr>
        <w:t xml:space="preserve">Weizsäcker</w:t>
      </w:r>
      <w:r>
        <w:t xml:space="preserve"> </w:t>
      </w:r>
      <w:r>
        <w:t xml:space="preserve">(</w:t>
      </w:r>
      <w:hyperlink w:anchor="ref_Weizsacker1980Welfare">
        <w:r>
          <w:rPr>
            <w:rStyle w:val="Hyperlink"/>
          </w:rPr>
          <w:t xml:space="preserve">1980</w:t>
        </w:r>
      </w:hyperlink>
      <w:r>
        <w:t xml:space="preserve">)</w:t>
      </w:r>
      <w:r>
        <w:t xml:space="preserve"> </w:t>
      </w:r>
      <w:r>
        <w:t xml:space="preserve">añade el criterio de bienestar: solo es barrera la que reduce el bienestar; impedir la entrada puede ser eficiente si, con economías de escala, cada entrante duplica costes fijos.</w:t>
      </w:r>
      <w:r>
        <w:rPr>
          <w:rStyle w:val="FootnoteReference"/>
        </w:rPr>
        <w:footnoteReference w:id="153"/>
      </w:r>
    </w:p>
    <w:p>
      <w:pPr>
        <w:keepNext/>
        <w:numPr>
          <w:ilvl w:val="0"/>
          <w:numId w:val="1075"/>
        </w:numPr>
      </w:pPr>
      <w:r>
        <w:rPr>
          <w:i/>
          <w:iCs/>
        </w:rPr>
        <w:t xml:space="preserve">Tipos</w:t>
      </w:r>
      <w:r>
        <w:t xml:space="preserve">:</w:t>
      </w:r>
    </w:p>
    <w:p>
      <w:pPr>
        <w:numPr>
          <w:ilvl w:val="1"/>
          <w:numId w:val="1077"/>
        </w:numPr>
      </w:pPr>
      <w:r>
        <w:rPr>
          <w:b/>
          <w:bCs/>
        </w:rPr>
        <w:t xml:space="preserve">barreras estructurales</w:t>
      </w:r>
      <w:r>
        <w:t xml:space="preserve">, que vienen de la tecnología, la demanda o las instituciones: economías de escala grandes frente a la demanda;</w:t>
      </w:r>
      <w:r>
        <w:t xml:space="preserve"> </w:t>
      </w:r>
      <w:r>
        <w:rPr>
          <w:b/>
          <w:bCs/>
        </w:rPr>
        <w:t xml:space="preserve">costes hundidos</w:t>
      </w:r>
      <w:r>
        <w:t xml:space="preserve">, los que no se recuperan al salir (inversión en activos específicos, publicidad, investigación); ventajas absolutas en costes; fidelidad a la marca y costes de cambio; efectos de red, y barreras</w:t>
      </w:r>
      <w:r>
        <w:t xml:space="preserve"> </w:t>
      </w:r>
      <w:r>
        <w:rPr>
          <w:i/>
          <w:iCs/>
        </w:rPr>
        <w:t xml:space="preserve">legales</w:t>
      </w:r>
      <w:r>
        <w:t xml:space="preserve"> </w:t>
      </w:r>
      <w:r>
        <w:t xml:space="preserve">(licencias, concesiones, patentes);</w:t>
      </w:r>
    </w:p>
    <w:p>
      <w:pPr>
        <w:numPr>
          <w:ilvl w:val="1"/>
          <w:numId w:val="1077"/>
        </w:numPr>
      </w:pPr>
      <w:r>
        <w:rPr>
          <w:b/>
          <w:bCs/>
        </w:rPr>
        <w:t xml:space="preserve">barreras estratégicas</w:t>
      </w:r>
      <w:r>
        <w:t xml:space="preserve">, las que crean las propias instaladas con su conducta: el precio límite, la capacidad, la proliferación de marcas, la depredación o el aumento de los costes de los rivales. Para que disuadan, tienen que ser</w:t>
      </w:r>
      <w:r>
        <w:t xml:space="preserve"> </w:t>
      </w:r>
      <w:r>
        <w:rPr>
          <w:i/>
          <w:iCs/>
        </w:rPr>
        <w:t xml:space="preserve">creíbles</w:t>
      </w:r>
      <w:r>
        <w:t xml:space="preserve">, y eso es lo que la teoría de juegos permite juzgar</w:t>
      </w:r>
      <w:r>
        <w:t xml:space="preserve"> </w:t>
      </w:r>
      <w:hyperlink r:id="rId36">
        <w:r>
          <w:rPr>
            <w:rStyle w:val="Referenciaatema"/>
          </w:rPr>
          <w:t xml:space="preserve">[ver tema 3.A.14]</w:t>
        </w:r>
      </w:hyperlink>
      <w:r>
        <w:t xml:space="preserve">.</w:t>
      </w:r>
    </w:p>
    <w:p>
      <w:pPr>
        <w:numPr>
          <w:ilvl w:val="0"/>
          <w:numId w:val="1075"/>
        </w:numPr>
      </w:pPr>
      <w:r>
        <w:rPr>
          <w:i/>
          <w:iCs/>
        </w:rPr>
        <w:t xml:space="preserve">Condiciones de entrada</w:t>
      </w:r>
      <w:r>
        <w:t xml:space="preserv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distingue 3 situaciones</w:t>
      </w:r>
      <w:r>
        <w:t xml:space="preserve"> </w:t>
      </w:r>
      <w:r>
        <w:t xml:space="preserve">(</w:t>
      </w:r>
      <w:hyperlink w:anchor="ref_Tirole1988Theory">
        <w:r>
          <w:rPr>
            <w:rStyle w:val="Hyperlink"/>
            <w:smallCaps/>
          </w:rPr>
          <w:t xml:space="preserve">Tirole</w:t>
        </w:r>
        <w:r>
          <w:rPr>
            <w:rStyle w:val="Hyperlink"/>
          </w:rPr>
          <w:t xml:space="preserve">, 1988, cap. 8</w:t>
        </w:r>
      </w:hyperlink>
      <w:r>
        <w:t xml:space="preserve">)</w:t>
      </w:r>
      <w:r>
        <w:t xml:space="preserve">: entrada</w:t>
      </w:r>
      <w:r>
        <w:t xml:space="preserve"> </w:t>
      </w:r>
      <w:r>
        <w:rPr>
          <w:b/>
          <w:bCs/>
        </w:rPr>
        <w:t xml:space="preserve">bloqueada</w:t>
      </w:r>
      <w:r>
        <w:t xml:space="preserve"> </w:t>
      </w:r>
      <w:r>
        <w:t xml:space="preserve">(la instalada fija el precio de monopolio y aun así nadie entra),</w:t>
      </w:r>
      <w:r>
        <w:t xml:space="preserve"> </w:t>
      </w:r>
      <w:r>
        <w:rPr>
          <w:b/>
          <w:bCs/>
        </w:rPr>
        <w:t xml:space="preserve">disuadida</w:t>
      </w:r>
      <w:r>
        <w:t xml:space="preserve"> </w:t>
      </w:r>
      <w:r>
        <w:t xml:space="preserve">(la instalada tiene que cambiar su conducta para evitarla) y</w:t>
      </w:r>
      <w:r>
        <w:t xml:space="preserve"> </w:t>
      </w:r>
      <w:r>
        <w:rPr>
          <w:b/>
          <w:bCs/>
        </w:rPr>
        <w:t xml:space="preserve">acomodada</w:t>
      </w:r>
      <w:r>
        <w:t xml:space="preserve"> </w:t>
      </w:r>
      <w:r>
        <w:t xml:space="preserve">(le sale más a cuenta dejar entrar).</w:t>
      </w:r>
    </w:p>
    <w:bookmarkEnd w:id="154"/>
    <w:bookmarkStart w:id="167" w:name="sec_precio_limite"/>
    <w:p>
      <w:pPr>
        <w:pStyle w:val="Heading3"/>
      </w:pPr>
      <w:r>
        <w:t xml:space="preserve">III.2.2.</w:t>
      </w:r>
      <w:r>
        <w:t xml:space="preserve"> </w:t>
      </w:r>
      <w:r>
        <w:t xml:space="preserve">El precio límite</w:t>
      </w:r>
    </w:p>
    <w:bookmarkStart w:id="155" w:name="a_idea_6"/>
    <w:p>
      <w:pPr>
        <w:pStyle w:val="Heading4"/>
      </w:pPr>
      <w:r>
        <w:t xml:space="preserve">a) Idea</w:t>
      </w:r>
    </w:p>
    <w:p>
      <w:pPr>
        <w:numPr>
          <w:ilvl w:val="0"/>
          <w:numId w:val="1078"/>
        </w:numPr>
      </w:pPr>
      <w:r>
        <w:rPr>
          <w:smallCaps/>
        </w:rPr>
        <w:t xml:space="preserve">Bain</w:t>
      </w:r>
      <w:r>
        <w:t xml:space="preserve"> </w:t>
      </w:r>
      <w:r>
        <w:t xml:space="preserve">(</w:t>
      </w:r>
      <w:hyperlink w:anchor="ref_Bain1949Note">
        <w:r>
          <w:rPr>
            <w:rStyle w:val="Hyperlink"/>
          </w:rPr>
          <w:t xml:space="preserve">1949</w:t>
        </w:r>
      </w:hyperlink>
      <w:r>
        <w:t xml:space="preserve">)</w:t>
      </w:r>
      <w:r>
        <w:t xml:space="preserve">,</w:t>
      </w:r>
      <w:r>
        <w:t xml:space="preserve"> </w:t>
      </w:r>
      <w:r>
        <w:rPr>
          <w:smallCaps/>
        </w:rPr>
        <w:t xml:space="preserve">Sylos-Labini</w:t>
      </w:r>
      <w:r>
        <w:t xml:space="preserve"> </w:t>
      </w:r>
      <w:r>
        <w:t xml:space="preserve">(</w:t>
      </w:r>
      <w:hyperlink w:anchor="ref_SylosLabini1957Oligopolio">
        <w:r>
          <w:rPr>
            <w:rStyle w:val="Hyperlink"/>
          </w:rPr>
          <w:t xml:space="preserve">1957</w:t>
        </w:r>
      </w:hyperlink>
      <w:r>
        <w:t xml:space="preserve">)</w:t>
      </w:r>
      <w:r>
        <w:t xml:space="preserve"> </w:t>
      </w:r>
      <w:r>
        <w:t xml:space="preserve">y</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la instalada puede fijar hoy un precio más bajo que el de monopolio, sacrificando beneficio presente, para que entrar no compense.</w:t>
      </w:r>
    </w:p>
    <w:bookmarkEnd w:id="155"/>
    <w:bookmarkStart w:id="165" w:name="b_modelo_6"/>
    <w:p>
      <w:pPr>
        <w:pStyle w:val="Heading4"/>
      </w:pPr>
      <w:r>
        <w:t xml:space="preserve">b) Modelo</w:t>
      </w:r>
    </w:p>
    <w:bookmarkStart w:id="156" w:name="i_supuestos_5"/>
    <w:p>
      <w:pPr>
        <w:pStyle w:val="Heading5"/>
      </w:pPr>
      <w:r>
        <w:t xml:space="preserve">i) Supuestos</w:t>
      </w:r>
    </w:p>
    <w:p>
      <w:pPr>
        <w:numPr>
          <w:ilvl w:val="0"/>
          <w:numId w:val="1079"/>
        </w:numPr>
      </w:pPr>
      <w:r>
        <w:t xml:space="preserve">Una empresa instalada y un entrante potencial con la misma tecnología: coste medio a largo plazo en forma de L, con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r>
        <w:t xml:space="preserve"> </w:t>
      </w:r>
      <w:r>
        <w:t xml:space="preserve">(gráfico </w:t>
      </w:r>
      <w:hyperlink w:anchor="fig_costes_l">
        <w:r>
          <w:rPr>
            <w:rStyle w:val="Hyperlink"/>
          </w:rPr>
          <w:t xml:space="preserve">1</w:t>
        </w:r>
      </w:hyperlink>
      <w:r>
        <w:t xml:space="preserve">); demanda de mercado</w:t>
      </w:r>
      <w:r>
        <w:t xml:space="preserve"> </w:t>
      </w:r>
      <m:oMath>
        <m:r>
          <m:t>x</m:t>
        </m:r>
        <m:d>
          <m:dPr>
            <m:begChr m:val="("/>
            <m:sepChr m:val=""/>
            <m:endChr m:val=")"/>
            <m:grow/>
          </m:dPr>
          <m:e>
            <m:r>
              <m:t>p</m:t>
            </m:r>
          </m:e>
        </m:d>
      </m:oMath>
      <w:r>
        <w:t xml:space="preserve">, con inversa</w:t>
      </w:r>
      <w:r>
        <w:t xml:space="preserve"> </w:t>
      </w:r>
      <m:oMath>
        <m:r>
          <m:t>p</m:t>
        </m:r>
        <m:d>
          <m:dPr>
            <m:begChr m:val="("/>
            <m:sepChr m:val=""/>
            <m:endChr m:val=")"/>
            <m:grow/>
          </m:dPr>
          <m:e>
            <m:r>
              <m:t>Q</m:t>
            </m:r>
          </m:e>
        </m:d>
      </m:oMath>
      <w:r>
        <w:t xml:space="preserve">.</w:t>
      </w:r>
    </w:p>
    <w:p>
      <w:pPr>
        <w:numPr>
          <w:ilvl w:val="0"/>
          <w:numId w:val="1079"/>
        </w:numPr>
      </w:pPr>
      <w:r>
        <w:rPr>
          <w:i/>
          <w:iCs/>
        </w:rPr>
        <w:t xml:space="preserve">Postulado de</w:t>
      </w:r>
      <w:r>
        <w:rPr>
          <w:i/>
          <w:iCs/>
        </w:rPr>
        <w:t xml:space="preserve"> </w:t>
      </w:r>
      <w:r>
        <w:rPr>
          <w:i/>
          <w:iCs/>
          <w:smallCaps/>
        </w:rPr>
        <w:t xml:space="preserve">Sylos-Labini</w:t>
      </w:r>
      <w:r>
        <w:t xml:space="preserve">: el entrante cree que, si entra, la instalada mantendrá su producción</w:t>
      </w:r>
      <w:r>
        <w:t xml:space="preserve"> </w:t>
      </w:r>
      <m:oMath>
        <m:sSub>
          <m:e>
            <m:r>
              <m:t>q</m:t>
            </m:r>
          </m:e>
          <m:sub>
            <m:r>
              <m:rPr>
                <m:sty m:val="p"/>
              </m:rPr>
              <m:t>I</m:t>
            </m:r>
          </m:sub>
        </m:sSub>
      </m:oMath>
      <w:r>
        <w:t xml:space="preserve">; y, para no tener una desventaja de costes, tiene que entrar al menos con</w:t>
      </w:r>
      <w:r>
        <w:t xml:space="preserve"> </w:t>
      </w:r>
      <m:oMath>
        <m:bar>
          <m:barPr>
            <m:pos m:val="top"/>
          </m:barPr>
          <m:e>
            <m:r>
              <m:t>q</m:t>
            </m:r>
          </m:e>
        </m:bar>
      </m:oMath>
      <w:r>
        <w:t xml:space="preserve">.</w:t>
      </w:r>
    </w:p>
    <w:bookmarkEnd w:id="156"/>
    <w:bookmarkStart w:id="163" w:name="ii_desarrollo_6"/>
    <w:p>
      <w:pPr>
        <w:pStyle w:val="Heading5"/>
      </w:pPr>
      <w:r>
        <w:t xml:space="preserve">ii) Desarrollo</w:t>
      </w:r>
    </w:p>
    <w:p>
      <w:pPr>
        <w:numPr>
          <w:ilvl w:val="0"/>
          <w:numId w:val="1080"/>
        </w:numPr>
      </w:pPr>
      <w:r>
        <w:t xml:space="preserve">Si entra, la producción total pasa a ser</w:t>
      </w:r>
      <w:r>
        <w:t xml:space="preserve"> </w:t>
      </w:r>
      <m:oMath>
        <m:sSub>
          <m:e>
            <m:r>
              <m:t>q</m:t>
            </m:r>
          </m:e>
          <m:sub>
            <m:r>
              <m:rPr>
                <m:sty m:val="p"/>
              </m:rPr>
              <m:t>I</m:t>
            </m:r>
          </m:sub>
        </m:sSub>
        <m:r>
          <m:rPr>
            <m:sty m:val="p"/>
          </m:rPr>
          <m:t>+</m:t>
        </m:r>
        <m:bar>
          <m:barPr>
            <m:pos m:val="top"/>
          </m:barPr>
          <m:e>
            <m:r>
              <m:t>q</m:t>
            </m:r>
          </m:e>
        </m:bar>
      </m:oMath>
      <w:r>
        <w:t xml:space="preserve"> </w:t>
      </w:r>
      <w:r>
        <w:t xml:space="preserve">y el precio,</w:t>
      </w:r>
      <w:r>
        <w:t xml:space="preserve"> </w:t>
      </w:r>
      <m:oMath>
        <m:r>
          <m:t>p</m:t>
        </m:r>
        <m:d>
          <m:dPr>
            <m:begChr m:val="("/>
            <m:sepChr m:val=""/>
            <m:endChr m:val=")"/>
            <m:grow/>
          </m:dPr>
          <m:e>
            <m:sSub>
              <m:e>
                <m:r>
                  <m:t>q</m:t>
                </m:r>
              </m:e>
              <m:sub>
                <m:r>
                  <m:rPr>
                    <m:sty m:val="p"/>
                  </m:rPr>
                  <m:t>I</m:t>
                </m:r>
              </m:sub>
            </m:sSub>
            <m:r>
              <m:rPr>
                <m:sty m:val="p"/>
              </m:rPr>
              <m:t>+</m:t>
            </m:r>
            <m:bar>
              <m:barPr>
                <m:pos m:val="top"/>
              </m:barPr>
              <m:e>
                <m:r>
                  <m:t>q</m:t>
                </m:r>
              </m:e>
            </m:bar>
          </m:e>
        </m:d>
      </m:oMath>
      <w:r>
        <w:t xml:space="preserve">. La entrada no compensa si ese precio no cubre</w:t>
      </w:r>
      <w:r>
        <w:t xml:space="preserve"> </w:t>
      </w:r>
      <m:oMath>
        <m:bar>
          <m:barPr>
            <m:pos m:val="top"/>
          </m:barPr>
          <m:e>
            <m:r>
              <m:t>c</m:t>
            </m:r>
          </m:e>
        </m:bar>
      </m:oMath>
      <w:r>
        <w:t xml:space="preserve">, es decir, si</w:t>
      </w:r>
      <w:r>
        <w:t xml:space="preserve"> </w:t>
      </w:r>
      <m:oMath>
        <m:sSub>
          <m:e>
            <m:r>
              <m:t>q</m:t>
            </m:r>
          </m:e>
          <m:sub>
            <m:r>
              <m:rPr>
                <m:sty m:val="p"/>
              </m:rPr>
              <m:t>I</m:t>
            </m:r>
          </m:sub>
        </m:sSub>
        <m:r>
          <m:rPr>
            <m:sty m:val="p"/>
          </m:rPr>
          <m:t>+</m:t>
        </m:r>
        <m:bar>
          <m:barPr>
            <m:pos m:val="top"/>
          </m:barPr>
          <m:e>
            <m:r>
              <m:t>q</m:t>
            </m:r>
          </m:e>
        </m:bar>
        <m:r>
          <m:rPr>
            <m:sty m:val="p"/>
          </m:rPr>
          <m:t>≥</m:t>
        </m:r>
        <m:r>
          <m:t>x</m:t>
        </m:r>
        <m:d>
          <m:dPr>
            <m:begChr m:val="("/>
            <m:sepChr m:val=""/>
            <m:endChr m:val=")"/>
            <m:grow/>
          </m:dPr>
          <m:e>
            <m:bar>
              <m:barPr>
                <m:pos m:val="top"/>
              </m:barPr>
              <m:e>
                <m:r>
                  <m:t>c</m:t>
                </m:r>
              </m:e>
            </m:bar>
          </m:e>
        </m:d>
      </m:oMath>
      <w:r>
        <w:t xml:space="preserve">: la demanda residual del entrante queda por debajo de su coste medio. El</w:t>
      </w:r>
      <w:r>
        <w:t xml:space="preserve"> </w:t>
      </w:r>
      <w:r>
        <w:rPr>
          <w:b/>
          <w:bCs/>
        </w:rPr>
        <w:t xml:space="preserve">precio límite</w:t>
      </w:r>
      <w:r>
        <w:t xml:space="preserve"> </w:t>
      </w:r>
      <w:r>
        <w:t xml:space="preserve">es el más alto que impide la entrada (gráfico </w:t>
      </w:r>
      <w:hyperlink w:anchor="fig_precio_limite">
        <w:r>
          <w:rPr>
            <w:rStyle w:val="Hyperlink"/>
          </w:rPr>
          <w:t xml:space="preserve">9</w:t>
        </w:r>
      </w:hyperlink>
      <w:r>
        <w:t xml:space="preserve">):</w:t>
      </w:r>
      <w:r>
        <w:rPr>
          <w:rStyle w:val="FootnoteReference"/>
        </w:rPr>
        <w:footnoteReference w:id="157"/>
      </w:r>
    </w:p>
    <w:bookmarkStart w:id="158" w:name="eq_precio_limite"/>
    <w:bookmarkEnd w:id="158"/>
    <w:p>
      <w:pPr>
        <w:pStyle w:val="Funcionclave"/>
      </w:pPr>
      <m:oMathPara>
        <m:oMathParaPr>
          <m:jc m:val="center"/>
        </m:oMathParaPr>
        <m:oMath>
          <m:sSup>
            <m:e>
              <m:r>
                <m:t>q</m:t>
              </m:r>
            </m:e>
            <m:sup>
              <m:r>
                <m:t>L</m:t>
              </m:r>
            </m:sup>
          </m:sSup>
          <m:r>
            <m:rPr>
              <m:sty m:val="p"/>
            </m:rPr>
            <m:t>=</m:t>
          </m:r>
          <m:r>
            <m:t>x</m:t>
          </m:r>
          <m:d>
            <m:dPr>
              <m:begChr m:val="("/>
              <m:sepChr m:val=""/>
              <m:endChr m:val=")"/>
              <m:grow/>
            </m:dPr>
            <m:e>
              <m:bar>
                <m:barPr>
                  <m:pos m:val="top"/>
                </m:barPr>
                <m:e>
                  <m:r>
                    <m:t>c</m:t>
                  </m:r>
                </m:e>
              </m:bar>
            </m:e>
          </m:d>
          <m:r>
            <m:rPr>
              <m:sty m:val="p"/>
            </m:rPr>
            <m:t>−</m:t>
          </m:r>
          <m:bar>
            <m:barPr>
              <m:pos m:val="top"/>
            </m:barPr>
            <m:e>
              <m:r>
                <m:t>q</m:t>
              </m:r>
            </m:e>
          </m:bar>
          <m:r>
            <m:rPr>
              <m:sty m:val="p"/>
            </m:rPr>
            <m:t>,</m:t>
          </m:r>
          <m:r>
            <m:t>  </m:t>
          </m:r>
          <m:sSup>
            <m:e>
              <m:r>
                <m:t>p</m:t>
              </m:r>
            </m:e>
            <m:sup>
              <m:r>
                <m:t>L</m:t>
              </m:r>
            </m:sup>
          </m:sSup>
          <m:r>
            <m:rPr>
              <m:sty m:val="p"/>
            </m:rPr>
            <m:t>=</m:t>
          </m:r>
          <m:r>
            <m:t>p</m:t>
          </m:r>
          <m:d>
            <m:dPr>
              <m:begChr m:val="("/>
              <m:sepChr m:val=""/>
              <m:endChr m:val=")"/>
              <m:grow/>
            </m:dPr>
            <m:e>
              <m:sSup>
                <m:e>
                  <m:r>
                    <m:t>q</m:t>
                  </m:r>
                </m:e>
                <m:sup>
                  <m:r>
                    <m:t>L</m:t>
                  </m:r>
                </m:sup>
              </m:sSup>
            </m:e>
          </m:d>
          <m:r>
            <m:rPr>
              <m:sty m:val="p"/>
            </m:rPr>
            <m:t>&gt;</m:t>
          </m:r>
          <m:bar>
            <m:barPr>
              <m:pos m:val="top"/>
            </m:barPr>
            <m:e>
              <m:r>
                <m:t>c</m:t>
              </m:r>
            </m:e>
          </m:bar>
        </m:oMath>
      </m:oMathPara>
    </w:p>
    <w:p>
      <w:pPr>
        <w:numPr>
          <w:ilvl w:val="0"/>
          <w:numId w:val="1080"/>
        </w:numPr>
      </w:pPr>
      <w:r>
        <w:t xml:space="preserve">Si el precio de monopolio ya cumple</w:t>
      </w:r>
      <w:r>
        <w:t xml:space="preserve"> </w:t>
      </w:r>
      <m:oMath>
        <m:sSup>
          <m:e>
            <m:r>
              <m:t>p</m:t>
            </m:r>
          </m:e>
          <m:sup>
            <m:r>
              <m:t>M</m:t>
            </m:r>
          </m:sup>
        </m:sSup>
        <m:r>
          <m:rPr>
            <m:sty m:val="p"/>
          </m:rPr>
          <m:t>≤</m:t>
        </m:r>
        <m:sSup>
          <m:e>
            <m:r>
              <m:t>p</m:t>
            </m:r>
          </m:e>
          <m:sup>
            <m:r>
              <m:t>L</m:t>
            </m:r>
          </m:sup>
        </m:sSup>
      </m:oMath>
      <w:r>
        <w:t xml:space="preserve">, la entrada está</w:t>
      </w:r>
      <w:r>
        <w:t xml:space="preserve"> </w:t>
      </w:r>
      <w:r>
        <w:rPr>
          <w:i/>
          <w:iCs/>
        </w:rPr>
        <w:t xml:space="preserve">bloqueada</w:t>
      </w:r>
      <w:r>
        <w:t xml:space="preserve">; si no, la instalada compara el beneficio de fijar</w:t>
      </w:r>
      <w:r>
        <w:t xml:space="preserve"> </w:t>
      </w:r>
      <m:oMath>
        <m:sSup>
          <m:e>
            <m:r>
              <m:t>p</m:t>
            </m:r>
          </m:e>
          <m:sup>
            <m:r>
              <m:t>L</m:t>
            </m:r>
          </m:sup>
        </m:sSup>
      </m:oMath>
      <w:r>
        <w:t xml:space="preserve"> </w:t>
      </w:r>
      <w:r>
        <w:t xml:space="preserve">(entrada</w:t>
      </w:r>
      <w:r>
        <w:t xml:space="preserve"> </w:t>
      </w:r>
      <w:r>
        <w:rPr>
          <w:i/>
          <w:iCs/>
        </w:rPr>
        <w:t xml:space="preserve">disuadida</w:t>
      </w:r>
      <w:r>
        <w:t xml:space="preserve">) con el de dejar entrar (entrada</w:t>
      </w:r>
      <w:r>
        <w:t xml:space="preserve"> </w:t>
      </w:r>
      <w:r>
        <w:rPr>
          <w:i/>
          <w:iCs/>
        </w:rPr>
        <w:t xml:space="preserve">acomodada</w:t>
      </w:r>
      <w:r>
        <w:t xml:space="preserve">).</w:t>
      </w:r>
    </w:p>
    <w:bookmarkStart w:id="162" w:name="fig_precio_limite"/>
    <w:p>
      <w:pPr>
        <w:pStyle w:val="ImageCaption"/>
      </w:pPr>
      <w:r>
        <w:t xml:space="preserve">Gráfico 9.–</w:t>
      </w:r>
      <w:r>
        <w:t xml:space="preserve"> </w:t>
      </w:r>
      <w:r>
        <w:t xml:space="preserve">El precio límite: con la producción</w:t>
      </w:r>
      <w:r>
        <w:t xml:space="preserve"> </w:t>
      </w:r>
      <m:oMath>
        <m:sSup>
          <m:e>
            <m:r>
              <m:t>q</m:t>
            </m:r>
          </m:e>
          <m:sup>
            <m:r>
              <m:t>L</m:t>
            </m:r>
          </m:sup>
        </m:sSup>
      </m:oMath>
      <w:r>
        <w:t xml:space="preserve">, a un entrante de escala</w:t>
      </w:r>
      <w:r>
        <w:t xml:space="preserve"> </w:t>
      </w:r>
      <m:oMath>
        <m:bar>
          <m:barPr>
            <m:pos m:val="top"/>
          </m:barPr>
          <m:e>
            <m:r>
              <m:t>q</m:t>
            </m:r>
          </m:e>
        </m:bar>
      </m:oMath>
      <w:r>
        <w:t xml:space="preserve"> </w:t>
      </w:r>
      <w:r>
        <w:t xml:space="preserve">el precio no le cubre</w:t>
      </w:r>
      <w:r>
        <w:t xml:space="preserve"> </w:t>
      </w:r>
      <m:oMath>
        <m:bar>
          <m:barPr>
            <m:pos m:val="top"/>
          </m:barPr>
          <m:e>
            <m:r>
              <m:t>c</m:t>
            </m:r>
          </m:e>
        </m:bar>
      </m:oMath>
    </w:p>
    <w:p>
      <w:pPr>
        <w:pStyle w:val="CaptionedFigure"/>
      </w:pPr>
      <w:r>
        <w:drawing>
          <wp:inline>
            <wp:extent cx="3581400" cy="2487249"/>
            <wp:effectExtent b="0" l="0" r="0" t="0"/>
            <wp:docPr descr="Gráfico 9.– El precio límite: con la producción q^{L}, a un entrante de escala \overline{q} el precio no le cubre \overline{c}" title="" id="160" name="Picture"/>
            <a:graphic>
              <a:graphicData uri="http://schemas.openxmlformats.org/drawingml/2006/picture">
                <pic:pic>
                  <pic:nvPicPr>
                    <pic:cNvPr descr="C:\Users\vgutierrez\Documents\src\victorgutierrezmarcos.github.io-revision\oposicion\temario\fuentes\3A15\graficos/precio-limite.png" id="161" name="Picture"/>
                    <pic:cNvPicPr>
                      <a:picLocks noChangeArrowheads="1" noChangeAspect="1"/>
                    </pic:cNvPicPr>
                  </pic:nvPicPr>
                  <pic:blipFill>
                    <a:blip r:embed="rId159"/>
                    <a:stretch>
                      <a:fillRect/>
                    </a:stretch>
                  </pic:blipFill>
                  <pic:spPr bwMode="auto">
                    <a:xfrm>
                      <a:off x="0" y="0"/>
                      <a:ext cx="3581400" cy="2487249"/>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w:t>
      </w:r>
    </w:p>
    <w:bookmarkEnd w:id="163"/>
    <w:bookmarkStart w:id="164" w:name="iii_implicaciones_6"/>
    <w:p>
      <w:pPr>
        <w:pStyle w:val="Heading5"/>
      </w:pPr>
      <w:r>
        <w:t xml:space="preserve">iii) Implicaciones</w:t>
      </w:r>
    </w:p>
    <w:p>
      <w:pPr>
        <w:numPr>
          <w:ilvl w:val="0"/>
          <w:numId w:val="1081"/>
        </w:numPr>
      </w:pPr>
      <w:r>
        <w:t xml:space="preserve">El margen</w:t>
      </w:r>
      <w:r>
        <w:t xml:space="preserve"> </w:t>
      </w:r>
      <m:oMath>
        <m:sSup>
          <m:e>
            <m:r>
              <m:t>p</m:t>
            </m:r>
          </m:e>
          <m:sup>
            <m:r>
              <m:t>L</m:t>
            </m:r>
          </m:sup>
        </m:sSup>
        <m:r>
          <m:rPr>
            <m:sty m:val="p"/>
          </m:rPr>
          <m:t>−</m:t>
        </m:r>
        <m:bar>
          <m:barPr>
            <m:pos m:val="top"/>
          </m:barPr>
          <m:e>
            <m:r>
              <m:t>c</m:t>
            </m:r>
          </m:e>
        </m:bar>
      </m:oMath>
      <w:r>
        <w:t xml:space="preserve"> </w:t>
      </w:r>
      <w:r>
        <w:t xml:space="preserve">es mayor cuanto mayor es la escala mínima eficiente frente al mercado (</w:t>
      </w:r>
      <m:oMath>
        <m:bar>
          <m:barPr>
            <m:pos m:val="top"/>
          </m:barPr>
          <m:e>
            <m:r>
              <m:t>q</m:t>
            </m:r>
          </m:e>
        </m:bar>
        <m:r>
          <m:rPr>
            <m:sty m:val="p"/>
          </m:rPr>
          <m:t>/</m:t>
        </m:r>
        <m:r>
          <m:t>x</m:t>
        </m:r>
        <m:d>
          <m:dPr>
            <m:begChr m:val="("/>
            <m:sepChr m:val=""/>
            <m:endChr m:val=")"/>
            <m:grow/>
          </m:dPr>
          <m:e>
            <m:bar>
              <m:barPr>
                <m:pos m:val="top"/>
              </m:barPr>
              <m:e>
                <m:r>
                  <m:t>c</m:t>
                </m:r>
              </m:e>
            </m:bar>
          </m:e>
        </m:d>
      </m:oMath>
      <w:r>
        <w:t xml:space="preserve">) y cuanto menos elástica es la demanda: las economías de escala son la barrera.</w:t>
      </w:r>
    </w:p>
    <w:p>
      <w:pPr>
        <w:numPr>
          <w:ilvl w:val="0"/>
          <w:numId w:val="1081"/>
        </w:numPr>
      </w:pPr>
      <w:r>
        <w:t xml:space="preserve">La amenaza de entrada limita el precio aunque nadie entre: el precio observado queda entre el competitivo y el de monopolio, y el coste de la barrera para la instalada es el beneficio al que renuncia por no fijar</w:t>
      </w:r>
      <w:r>
        <w:t xml:space="preserve"> </w:t>
      </w:r>
      <m:oMath>
        <m:sSup>
          <m:e>
            <m:r>
              <m:t>p</m:t>
            </m:r>
          </m:e>
          <m:sup>
            <m:r>
              <m:t>M</m:t>
            </m:r>
          </m:sup>
        </m:sSup>
      </m:oMath>
      <w:r>
        <w:t xml:space="preserve">.</w:t>
      </w:r>
    </w:p>
    <w:bookmarkEnd w:id="164"/>
    <w:bookmarkEnd w:id="165"/>
    <w:bookmarkStart w:id="166" w:name="c_valoraci__n"/>
    <w:p>
      <w:pPr>
        <w:pStyle w:val="Heading4"/>
      </w:pPr>
      <w:r>
        <w:t xml:space="preserve">c) Valoración</w:t>
      </w:r>
    </w:p>
    <w:p>
      <w:pPr>
        <w:numPr>
          <w:ilvl w:val="0"/>
          <w:numId w:val="1082"/>
        </w:numPr>
      </w:pPr>
      <w:r>
        <w:t xml:space="preserve">La amenaza no es</w:t>
      </w:r>
      <w:r>
        <w:t xml:space="preserve"> </w:t>
      </w:r>
      <w:r>
        <w:rPr>
          <w:i/>
          <w:iCs/>
        </w:rPr>
        <w:t xml:space="preserve">creíble</w:t>
      </w:r>
      <w:r>
        <w:t xml:space="preserve">. Una vez que el entrante ha entrado, a la instalada no le conviene mantener su producción, sino reducirla y repartirse el mercado: el postulado de</w:t>
      </w:r>
      <w:r>
        <w:t xml:space="preserve"> </w:t>
      </w:r>
      <w:r>
        <w:rPr>
          <w:smallCaps/>
        </w:rPr>
        <w:t xml:space="preserve">Sylos-Labini</w:t>
      </w:r>
      <w:r>
        <w:t xml:space="preserve"> </w:t>
      </w:r>
      <w:r>
        <w:t xml:space="preserve">no forma parte de un equilibrio de</w:t>
      </w:r>
      <w:r>
        <w:t xml:space="preserve"> </w:t>
      </w:r>
      <w:r>
        <w:rPr>
          <w:smallCaps/>
        </w:rPr>
        <w:t xml:space="preserve">Nash</w:t>
      </w:r>
      <w:r>
        <w:t xml:space="preserve"> </w:t>
      </w:r>
      <w:r>
        <w:t xml:space="preserve">perfecto en subjuegos (ENPS), igual que la amenaza de luchar en el juego de entrada</w:t>
      </w:r>
      <w:r>
        <w:t xml:space="preserve"> </w:t>
      </w:r>
      <w:hyperlink r:id="rId36">
        <w:r>
          <w:rPr>
            <w:rStyle w:val="Referenciaatema"/>
          </w:rPr>
          <w:t xml:space="preserve">[ver tema 3.A.14]</w:t>
        </w:r>
      </w:hyperlink>
      <w:r>
        <w:t xml:space="preserve">, y el entrante racional no se lo cree. Para que la disuasión funcione hace falta un</w:t>
      </w:r>
      <w:r>
        <w:t xml:space="preserve"> </w:t>
      </w:r>
      <w:r>
        <w:rPr>
          <w:i/>
          <w:iCs/>
        </w:rPr>
        <w:t xml:space="preserve">compromiso</w:t>
      </w:r>
      <w:r>
        <w:t xml:space="preserve"> </w:t>
      </w:r>
      <w:r>
        <w:t xml:space="preserve">que cambie lo que a la instalada le conviene hacer tras la entrada (</w:t>
      </w:r>
      <w:hyperlink w:anchor="sec_compromiso_capacidad">
        <w:r>
          <w:rPr>
            <w:rStyle w:val="Hyperlink"/>
          </w:rPr>
          <w:t xml:space="preserve">III.2.3</w:t>
        </w:r>
      </w:hyperlink>
      <w:r>
        <w:t xml:space="preserve">) o información asimétrica (</w:t>
      </w:r>
      <w:hyperlink w:anchor="sec_otras_conductas">
        <w:r>
          <w:rPr>
            <w:rStyle w:val="Hyperlink"/>
          </w:rPr>
          <w:t xml:space="preserve">III.2.4</w:t>
        </w:r>
      </w:hyperlink>
      <w:r>
        <w:t xml:space="preserve">).</w:t>
      </w:r>
    </w:p>
    <w:bookmarkEnd w:id="166"/>
    <w:bookmarkEnd w:id="167"/>
    <w:bookmarkStart w:id="179" w:name="sec_compromiso_capacidad"/>
    <w:p>
      <w:pPr>
        <w:pStyle w:val="Heading3"/>
      </w:pPr>
      <w:r>
        <w:t xml:space="preserve">III.2.3.</w:t>
      </w:r>
      <w:r>
        <w:t xml:space="preserve"> </w:t>
      </w:r>
      <w:r>
        <w:t xml:space="preserve">El compromiso de capacidad</w:t>
      </w:r>
    </w:p>
    <w:bookmarkStart w:id="168" w:name="a_idea_7"/>
    <w:p>
      <w:pPr>
        <w:pStyle w:val="Heading4"/>
      </w:pPr>
      <w:r>
        <w:t xml:space="preserve">a) Idea</w:t>
      </w:r>
    </w:p>
    <w:p>
      <w:pPr>
        <w:numPr>
          <w:ilvl w:val="0"/>
          <w:numId w:val="1083"/>
        </w:numPr>
      </w:pPr>
      <w:r>
        <w:t xml:space="preserve">La instalada puede hacer creíble la lucha comprometiéndose</w:t>
      </w:r>
      <w:r>
        <w:t xml:space="preserve"> </w:t>
      </w:r>
      <w:r>
        <w:rPr>
          <w:i/>
          <w:iCs/>
        </w:rPr>
        <w:t xml:space="preserve">antes</w:t>
      </w:r>
      <w:r>
        <w:t xml:space="preserve"> </w:t>
      </w:r>
      <w:r>
        <w:t xml:space="preserve">de la entrada con una inversión irreversible que cambie sus incentivos</w:t>
      </w:r>
      <w:r>
        <w:t xml:space="preserve"> </w:t>
      </w:r>
      <w:r>
        <w:rPr>
          <w:i/>
          <w:iCs/>
        </w:rPr>
        <w:t xml:space="preserve">después</w:t>
      </w:r>
      <w:r>
        <w:t xml:space="preserve">: es la lógica de «quemar las naves»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 </w:t>
      </w:r>
      <w:hyperlink r:id="rId36">
        <w:r>
          <w:rPr>
            <w:rStyle w:val="Referenciaatema"/>
          </w:rPr>
          <w:t xml:space="preserve">[ver tema 3.A.14]</w:t>
        </w:r>
      </w:hyperlink>
      <w:r>
        <w:t xml:space="preserve">, aplicada por</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w:t>
      </w:r>
      <w:r>
        <w:t xml:space="preserve">y</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w:t>
      </w:r>
    </w:p>
    <w:bookmarkEnd w:id="168"/>
    <w:bookmarkStart w:id="176" w:name="b_modelo_7"/>
    <w:p>
      <w:pPr>
        <w:pStyle w:val="Heading4"/>
      </w:pPr>
      <w:r>
        <w:t xml:space="preserve">b) Modelo</w:t>
      </w:r>
    </w:p>
    <w:bookmarkStart w:id="169" w:name="i_supuestos_6"/>
    <w:p>
      <w:pPr>
        <w:pStyle w:val="Heading5"/>
      </w:pPr>
      <w:r>
        <w:t xml:space="preserve">i) Supuestos</w:t>
      </w:r>
    </w:p>
    <w:p>
      <w:pPr>
        <w:numPr>
          <w:ilvl w:val="0"/>
          <w:numId w:val="1084"/>
        </w:numPr>
      </w:pPr>
      <w:r>
        <w:t xml:space="preserve">El juego de entrada con información completa, con los pagos (entrante, instalada) de siempre: si el entrante no entra, (0,</w:t>
      </w:r>
      <w:r>
        <w:t xml:space="preserve"> </w:t>
      </w:r>
      <m:oMath>
        <m:sSup>
          <m:e>
            <m:r>
              <m:t>B</m:t>
            </m:r>
          </m:e>
          <m:sup>
            <m:r>
              <m:t>M</m:t>
            </m:r>
          </m:sup>
        </m:sSup>
      </m:oMath>
      <w:r>
        <w:t xml:space="preserve">); si entra y la instalada acomoda, (1,</w:t>
      </w:r>
      <w:r>
        <w:t xml:space="preserve"> </w:t>
      </w:r>
      <m:oMath>
        <m:sSup>
          <m:e>
            <m:r>
              <m:t>B</m:t>
            </m:r>
          </m:e>
          <m:sup>
            <m:r>
              <m:t>D</m:t>
            </m:r>
          </m:sup>
        </m:sSup>
      </m:oMath>
      <w:r>
        <w:t xml:space="preserve">); si entra y la instalada lucha con una guerra de precios, (</w:t>
      </w:r>
      <m:oMath>
        <m:r>
          <m:rPr>
            <m:sty m:val="p"/>
          </m:rPr>
          <m:t>−</m:t>
        </m:r>
        <m:r>
          <m:t>1</m:t>
        </m:r>
      </m:oMath>
      <w:r>
        <w:t xml:space="preserve">,</w:t>
      </w:r>
      <w:r>
        <w:t xml:space="preserve"> </w:t>
      </w:r>
      <m:oMath>
        <m:sSup>
          <m:e>
            <m:r>
              <m:t>B</m:t>
            </m:r>
          </m:e>
          <m:sup>
            <m:r>
              <m:t>G</m:t>
            </m:r>
          </m:sup>
        </m:sSup>
      </m:oMath>
      <w:r>
        <w:t xml:space="preserve">), con</w:t>
      </w:r>
      <w:r>
        <w:t xml:space="preserve"> </w:t>
      </w:r>
      <m:oMath>
        <m:sSup>
          <m:e>
            <m:r>
              <m:t>B</m:t>
            </m:r>
          </m:e>
          <m:sup>
            <m:r>
              <m:t>G</m:t>
            </m:r>
          </m:sup>
        </m:sSup>
        <m:r>
          <m:rPr>
            <m:sty m:val="p"/>
          </m:rPr>
          <m:t>&lt;</m:t>
        </m:r>
        <m:sSup>
          <m:e>
            <m:r>
              <m:t>B</m:t>
            </m:r>
          </m:e>
          <m:sup>
            <m:r>
              <m:t>D</m:t>
            </m:r>
          </m:sup>
        </m:sSup>
        <m:r>
          <m:rPr>
            <m:sty m:val="p"/>
          </m:rPr>
          <m:t>&lt;</m:t>
        </m:r>
        <m:sSup>
          <m:e>
            <m:r>
              <m:t>B</m:t>
            </m:r>
          </m:e>
          <m:sup>
            <m:r>
              <m:t>M</m:t>
            </m:r>
          </m:sup>
        </m:sSup>
      </m:oMath>
      <w:r>
        <w:t xml:space="preserve"> </w:t>
      </w:r>
      <w:r>
        <w:t xml:space="preserve">(en el ejemplo,</w:t>
      </w:r>
      <w:r>
        <w:t xml:space="preserve"> </w:t>
      </w:r>
      <m:oMath>
        <m:sSup>
          <m:e>
            <m:r>
              <m:t>B</m:t>
            </m:r>
          </m:e>
          <m:sup>
            <m:r>
              <m:t>M</m:t>
            </m:r>
          </m:sup>
        </m:sSup>
        <m:r>
          <m:rPr>
            <m:sty m:val="p"/>
          </m:rPr>
          <m:t>=</m:t>
        </m:r>
        <m:r>
          <m:t>4</m:t>
        </m:r>
      </m:oMath>
      <w:r>
        <w:t xml:space="preserve">,</w:t>
      </w:r>
      <w:r>
        <w:t xml:space="preserve"> </w:t>
      </w:r>
      <m:oMath>
        <m:sSup>
          <m:e>
            <m:r>
              <m:t>B</m:t>
            </m:r>
          </m:e>
          <m:sup>
            <m:r>
              <m:t>D</m:t>
            </m:r>
          </m:sup>
        </m:sSup>
        <m:r>
          <m:rPr>
            <m:sty m:val="p"/>
          </m:rPr>
          <m:t>=</m:t>
        </m:r>
        <m:r>
          <m:t>1</m:t>
        </m:r>
      </m:oMath>
      <w:r>
        <w:t xml:space="preserve"> </w:t>
      </w:r>
      <w:r>
        <w:t xml:space="preserve">y</w:t>
      </w:r>
      <w:r>
        <w:t xml:space="preserve"> </w:t>
      </w:r>
      <m:oMath>
        <m:sSup>
          <m:e>
            <m:r>
              <m:t>B</m:t>
            </m:r>
          </m:e>
          <m:sup>
            <m:r>
              <m:t>G</m:t>
            </m:r>
          </m:sup>
        </m:sSup>
        <m:r>
          <m:rPr>
            <m:sty m:val="p"/>
          </m:rPr>
          <m:t>=</m:t>
        </m:r>
        <m:r>
          <m:rPr>
            <m:sty m:val="p"/>
          </m:rPr>
          <m:t>−</m:t>
        </m:r>
        <m:r>
          <m:t>1</m:t>
        </m:r>
      </m:oMath>
      <w:r>
        <w:t xml:space="preserve">).</w:t>
      </w:r>
    </w:p>
    <w:p>
      <w:pPr>
        <w:numPr>
          <w:ilvl w:val="0"/>
          <w:numId w:val="1084"/>
        </w:numPr>
      </w:pPr>
      <w:r>
        <w:t xml:space="preserve">Luchar exige una capacidad grande. La instalada puede comprarla</w:t>
      </w:r>
      <w:r>
        <w:t xml:space="preserve"> </w:t>
      </w:r>
      <w:r>
        <w:rPr>
          <w:i/>
          <w:iCs/>
        </w:rPr>
        <w:t xml:space="preserve">antes</w:t>
      </w:r>
      <w:r>
        <w:t xml:space="preserve">, con un coste hundido</w:t>
      </w:r>
      <w:r>
        <w:t xml:space="preserve"> </w:t>
      </w:r>
      <m:oMath>
        <m:r>
          <m:rPr>
            <m:sty m:val="p"/>
          </m:rPr>
          <m:t>C</m:t>
        </m:r>
        <m:r>
          <m:rPr>
            <m:sty m:val="p"/>
          </m:rPr>
          <m:t>H</m:t>
        </m:r>
      </m:oMath>
      <w:r>
        <w:t xml:space="preserve">, o, si no lo hace, comprarla cuando luche;</w:t>
      </w:r>
      <w:r>
        <w:t xml:space="preserve"> </w:t>
      </w:r>
      <m:oMath>
        <m:sSup>
          <m:e>
            <m:r>
              <m:t>B</m:t>
            </m:r>
          </m:e>
          <m:sup>
            <m:r>
              <m:t>G</m:t>
            </m:r>
          </m:sup>
        </m:sSup>
      </m:oMath>
      <w:r>
        <w:t xml:space="preserve"> </w:t>
      </w:r>
      <w:r>
        <w:t xml:space="preserve">ya descuenta ese coste. Si no hay entrada o si acomoda, la capacidad comprada antes queda ociosa y su coste es una pérdida.</w:t>
      </w:r>
    </w:p>
    <w:p>
      <w:pPr>
        <w:numPr>
          <w:ilvl w:val="0"/>
          <w:numId w:val="1084"/>
        </w:numPr>
      </w:pPr>
      <w:r>
        <w:t xml:space="preserve">3 etapas: (1) la instalada decide si invierte; (2) el entrante, que lo observa, decide si entra; (3) si ha entrado, la instalada decide si lucha o acomoda.</w:t>
      </w:r>
    </w:p>
    <w:bookmarkEnd w:id="169"/>
    <w:bookmarkStart w:id="174" w:name="ii_desarrollo_7"/>
    <w:p>
      <w:pPr>
        <w:pStyle w:val="Heading5"/>
      </w:pPr>
      <w:r>
        <w:t xml:space="preserve">ii) Desarrollo</w:t>
      </w:r>
    </w:p>
    <w:p>
      <w:pPr>
        <w:keepNext/>
        <w:numPr>
          <w:ilvl w:val="0"/>
          <w:numId w:val="1085"/>
        </w:numPr>
      </w:pPr>
      <w:r>
        <w:t xml:space="preserve">Por inducción hacia atrás (gráfico </w:t>
      </w:r>
      <w:hyperlink w:anchor="fig_disuasion_arbol">
        <w:r>
          <w:rPr>
            <w:rStyle w:val="Hyperlink"/>
          </w:rPr>
          <w:t xml:space="preserve">10</w:t>
        </w:r>
      </w:hyperlink>
      <w:r>
        <w:t xml:space="preserve">):</w:t>
      </w:r>
    </w:p>
    <w:p>
      <w:pPr>
        <w:numPr>
          <w:ilvl w:val="1"/>
          <w:numId w:val="1086"/>
        </w:numPr>
      </w:pPr>
      <w:r>
        <w:t xml:space="preserve">sin invertir, el juego es el de entrada de siempre: luchar es una amenaza no creíble (</w:t>
      </w:r>
      <m:oMath>
        <m:sSup>
          <m:e>
            <m:r>
              <m:t>B</m:t>
            </m:r>
          </m:e>
          <m:sup>
            <m:r>
              <m:t>G</m:t>
            </m:r>
          </m:sup>
        </m:sSup>
        <m:r>
          <m:rPr>
            <m:sty m:val="p"/>
          </m:rPr>
          <m:t>&lt;</m:t>
        </m:r>
        <m:sSup>
          <m:e>
            <m:r>
              <m:t>B</m:t>
            </m:r>
          </m:e>
          <m:sup>
            <m:r>
              <m:t>D</m:t>
            </m:r>
          </m:sup>
        </m:sSup>
      </m:oMath>
      <w:r>
        <w:t xml:space="preserve">), el entrante entra y la instalada acomoda;</w:t>
      </w:r>
    </w:p>
    <w:p>
      <w:pPr>
        <w:numPr>
          <w:ilvl w:val="1"/>
          <w:numId w:val="1086"/>
        </w:numPr>
      </w:pPr>
      <w:r>
        <w:t xml:space="preserve">tras invertir, la instalada lucha si</w:t>
      </w:r>
      <w:r>
        <w:t xml:space="preserve"> </w:t>
      </w:r>
      <m:oMath>
        <m:sSup>
          <m:e>
            <m:r>
              <m:t>B</m:t>
            </m:r>
          </m:e>
          <m:sup>
            <m:r>
              <m:t>G</m:t>
            </m:r>
          </m:sup>
        </m:sSup>
        <m:r>
          <m:rPr>
            <m:sty m:val="p"/>
          </m:rPr>
          <m:t>&gt;</m:t>
        </m:r>
        <m:sSup>
          <m:e>
            <m:r>
              <m:t>B</m:t>
            </m:r>
          </m:e>
          <m:sup>
            <m:r>
              <m:t>D</m:t>
            </m:r>
          </m:sup>
        </m:sSup>
        <m:r>
          <m:rPr>
            <m:sty m:val="p"/>
          </m:rPr>
          <m:t>−</m:t>
        </m:r>
        <m:r>
          <m:rPr>
            <m:sty m:val="p"/>
          </m:rPr>
          <m:t>C</m:t>
        </m:r>
        <m:r>
          <m:rPr>
            <m:sty m:val="p"/>
          </m:rPr>
          <m:t>H</m:t>
        </m:r>
      </m:oMath>
      <w:r>
        <w:t xml:space="preserve">, es decir, si</w:t>
      </w:r>
      <w:r>
        <w:t xml:space="preserve"> </w:t>
      </w:r>
      <m:oMath>
        <m:r>
          <m:rPr>
            <m:sty m:val="p"/>
          </m:rPr>
          <m:t>C</m:t>
        </m:r>
        <m:r>
          <m:rPr>
            <m:sty m:val="p"/>
          </m:rPr>
          <m:t>H</m:t>
        </m:r>
        <m:r>
          <m:rPr>
            <m:sty m:val="p"/>
          </m:rPr>
          <m:t>&gt;</m:t>
        </m:r>
        <m:sSup>
          <m:e>
            <m:r>
              <m:t>B</m:t>
            </m:r>
          </m:e>
          <m:sup>
            <m:r>
              <m:t>D</m:t>
            </m:r>
          </m:sup>
        </m:sSup>
        <m:r>
          <m:rPr>
            <m:sty m:val="p"/>
          </m:rPr>
          <m:t>−</m:t>
        </m:r>
        <m:sSup>
          <m:e>
            <m:r>
              <m:t>B</m:t>
            </m:r>
          </m:e>
          <m:sup>
            <m:r>
              <m:t>G</m:t>
            </m:r>
          </m:sup>
        </m:sSup>
      </m:oMath>
      <w:r>
        <w:t xml:space="preserve">: luchar le cuesta menos que dejar la capacidad ociosa;</w:t>
      </w:r>
    </w:p>
    <w:p>
      <w:pPr>
        <w:numPr>
          <w:ilvl w:val="1"/>
          <w:numId w:val="1086"/>
        </w:numPr>
      </w:pPr>
      <w:r>
        <w:t xml:space="preserve">el entrante, que lo anticipa, no entra, y la instalada gana</w:t>
      </w:r>
      <w:r>
        <w:t xml:space="preserve"> </w:t>
      </w:r>
      <m:oMath>
        <m:sSup>
          <m:e>
            <m:r>
              <m:t>B</m:t>
            </m:r>
          </m:e>
          <m:sup>
            <m:r>
              <m:t>M</m:t>
            </m:r>
          </m:sup>
        </m:sSup>
        <m:r>
          <m:rPr>
            <m:sty m:val="p"/>
          </m:rPr>
          <m:t>−</m:t>
        </m:r>
        <m:r>
          <m:rPr>
            <m:sty m:val="p"/>
          </m:rPr>
          <m:t>C</m:t>
        </m:r>
        <m:r>
          <m:rPr>
            <m:sty m:val="p"/>
          </m:rPr>
          <m:t>H</m:t>
        </m:r>
      </m:oMath>
      <w:r>
        <w:t xml:space="preserve">, más que acomodando sin invertir si</w:t>
      </w:r>
      <w:r>
        <w:t xml:space="preserve"> </w:t>
      </w:r>
      <m:oMath>
        <m:r>
          <m:rPr>
            <m:sty m:val="p"/>
          </m:rPr>
          <m:t>C</m:t>
        </m:r>
        <m:r>
          <m:rPr>
            <m:sty m:val="p"/>
          </m:rPr>
          <m:t>H</m:t>
        </m:r>
        <m:r>
          <m:rPr>
            <m:sty m:val="p"/>
          </m:rPr>
          <m:t>&lt;</m:t>
        </m:r>
        <m:sSup>
          <m:e>
            <m:r>
              <m:t>B</m:t>
            </m:r>
          </m:e>
          <m:sup>
            <m:r>
              <m:t>M</m:t>
            </m:r>
          </m:sup>
        </m:sSup>
        <m:r>
          <m:rPr>
            <m:sty m:val="p"/>
          </m:rPr>
          <m:t>−</m:t>
        </m:r>
        <m:sSup>
          <m:e>
            <m:r>
              <m:t>B</m:t>
            </m:r>
          </m:e>
          <m:sup>
            <m:r>
              <m:t>D</m:t>
            </m:r>
          </m:sup>
        </m:sSup>
      </m:oMath>
      <w:r>
        <w:t xml:space="preserve">.</w:t>
      </w:r>
    </w:p>
    <w:p>
      <w:pPr>
        <w:numPr>
          <w:ilvl w:val="0"/>
          <w:numId w:val="1085"/>
        </w:numPr>
      </w:pPr>
      <w:r>
        <w:t xml:space="preserve">La disuasión es un ENPS si</w:t>
      </w:r>
    </w:p>
    <w:p>
      <w:pPr>
        <w:pStyle w:val="BodyText"/>
        <w:keepNext/>
      </w:pPr>
      <m:oMathPara>
        <m:oMathParaPr>
          <m:jc m:val="center"/>
        </m:oMathParaPr>
        <m:oMath>
          <m:sSup>
            <m:e>
              <m:r>
                <m:t>B</m:t>
              </m:r>
            </m:e>
            <m:sup>
              <m:r>
                <m:t>D</m:t>
              </m:r>
            </m:sup>
          </m:sSup>
          <m:r>
            <m:rPr>
              <m:sty m:val="p"/>
            </m:rPr>
            <m:t>−</m:t>
          </m:r>
          <m:sSup>
            <m:e>
              <m:r>
                <m:t>B</m:t>
              </m:r>
            </m:e>
            <m:sup>
              <m:r>
                <m:t>G</m:t>
              </m:r>
            </m:sup>
          </m:sSup>
          <m:r>
            <m:rPr>
              <m:sty m:val="p"/>
            </m:rPr>
            <m:t>&lt;</m:t>
          </m:r>
          <m:r>
            <m:rPr>
              <m:sty m:val="p"/>
            </m:rPr>
            <m:t>C</m:t>
          </m:r>
          <m:r>
            <m:rPr>
              <m:sty m:val="p"/>
            </m:rPr>
            <m:t>H</m:t>
          </m:r>
          <m:r>
            <m:rPr>
              <m:sty m:val="p"/>
            </m:rPr>
            <m:t>&lt;</m:t>
          </m:r>
          <m:sSup>
            <m:e>
              <m:r>
                <m:t>B</m:t>
              </m:r>
            </m:e>
            <m:sup>
              <m:r>
                <m:t>M</m:t>
              </m:r>
            </m:sup>
          </m:sSup>
          <m:r>
            <m:rPr>
              <m:sty m:val="p"/>
            </m:rPr>
            <m:t>−</m:t>
          </m:r>
          <m:sSup>
            <m:e>
              <m:r>
                <m:t>B</m:t>
              </m:r>
            </m:e>
            <m:sup>
              <m:r>
                <m:t>D</m:t>
              </m:r>
            </m:sup>
          </m:sSup>
          <m:r>
            <m:rPr>
              <m:sty m:val="p"/>
            </m:rPr>
            <m:t>,</m:t>
          </m:r>
        </m:oMath>
      </m:oMathPara>
    </w:p>
    <w:p>
      <w:pPr>
        <w:numPr>
          <w:ilvl w:val="0"/>
          <w:numId w:val="1000"/>
        </w:numPr>
      </w:pPr>
      <w:r>
        <w:t xml:space="preserve">lo que exige</w:t>
      </w:r>
      <w:r>
        <w:t xml:space="preserve"> </w:t>
      </w:r>
      <m:oMath>
        <m:r>
          <m:t>2</m:t>
        </m:r>
        <m:sSup>
          <m:e>
            <m:r>
              <m:t>B</m:t>
            </m:r>
          </m:e>
          <m:sup>
            <m:r>
              <m:t>D</m:t>
            </m:r>
          </m:sup>
        </m:sSup>
        <m:r>
          <m:rPr>
            <m:sty m:val="p"/>
          </m:rPr>
          <m:t>&lt;</m:t>
        </m:r>
        <m:sSup>
          <m:e>
            <m:r>
              <m:t>B</m:t>
            </m:r>
          </m:e>
          <m:sup>
            <m:r>
              <m:t>M</m:t>
            </m:r>
          </m:sup>
        </m:sSup>
        <m:r>
          <m:rPr>
            <m:sty m:val="p"/>
          </m:rPr>
          <m:t>+</m:t>
        </m:r>
        <m:sSup>
          <m:e>
            <m:r>
              <m:t>B</m:t>
            </m:r>
          </m:e>
          <m:sup>
            <m:r>
              <m:t>G</m:t>
            </m:r>
          </m:sup>
        </m:sSup>
      </m:oMath>
      <w:r>
        <w:t xml:space="preserve">. En el ejemplo,</w:t>
      </w:r>
      <w:r>
        <w:t xml:space="preserve"> </w:t>
      </w:r>
      <m:oMath>
        <m:r>
          <m:t>2</m:t>
        </m:r>
        <m:r>
          <m:rPr>
            <m:sty m:val="p"/>
          </m:rPr>
          <m:t>&lt;</m:t>
        </m:r>
        <m:r>
          <m:rPr>
            <m:sty m:val="p"/>
          </m:rPr>
          <m:t>C</m:t>
        </m:r>
        <m:r>
          <m:rPr>
            <m:sty m:val="p"/>
          </m:rPr>
          <m:t>H</m:t>
        </m:r>
        <m:r>
          <m:rPr>
            <m:sty m:val="p"/>
          </m:rPr>
          <m:t>&lt;</m:t>
        </m:r>
        <m:r>
          <m:t>3</m:t>
        </m:r>
      </m:oMath>
      <w:r>
        <w:t xml:space="preserve">; con</w:t>
      </w:r>
      <w:r>
        <w:t xml:space="preserve"> </w:t>
      </w:r>
      <m:oMath>
        <m:r>
          <m:rPr>
            <m:sty m:val="p"/>
          </m:rPr>
          <m:t>C</m:t>
        </m:r>
        <m:r>
          <m:rPr>
            <m:sty m:val="p"/>
          </m:rPr>
          <m:t>H</m:t>
        </m:r>
        <m:r>
          <m:rPr>
            <m:sty m:val="p"/>
          </m:rPr>
          <m:t>=</m:t>
        </m:r>
        <m:r>
          <m:t>2</m:t>
        </m:r>
        <m:r>
          <m:rPr>
            <m:sty m:val="p"/>
          </m:rPr>
          <m:t>,</m:t>
        </m:r>
        <m:r>
          <m:t>5</m:t>
        </m:r>
      </m:oMath>
      <w:r>
        <w:t xml:space="preserve">, la instalada invierte (gana</w:t>
      </w:r>
      <w:r>
        <w:t xml:space="preserve"> </w:t>
      </w:r>
      <m:oMath>
        <m:r>
          <m:t>1</m:t>
        </m:r>
        <m:r>
          <m:rPr>
            <m:sty m:val="p"/>
          </m:rPr>
          <m:t>,</m:t>
        </m:r>
        <m:r>
          <m:t>5</m:t>
        </m:r>
        <m:r>
          <m:rPr>
            <m:sty m:val="p"/>
          </m:rPr>
          <m:t>&gt;</m:t>
        </m:r>
        <m:r>
          <m:t>1</m:t>
        </m:r>
      </m:oMath>
      <w:r>
        <w:t xml:space="preserve">), lucharía si hubiera entrada (</w:t>
      </w:r>
      <m:oMath>
        <m:r>
          <m:rPr>
            <m:sty m:val="p"/>
          </m:rPr>
          <m:t>−</m:t>
        </m:r>
        <m:r>
          <m:t>1</m:t>
        </m:r>
        <m:r>
          <m:rPr>
            <m:sty m:val="p"/>
          </m:rPr>
          <m:t>&gt;</m:t>
        </m:r>
        <m:r>
          <m:rPr>
            <m:sty m:val="p"/>
          </m:rPr>
          <m:t>−</m:t>
        </m:r>
        <m:r>
          <m:t>1</m:t>
        </m:r>
        <m:r>
          <m:rPr>
            <m:sty m:val="p"/>
          </m:rPr>
          <m:t>,</m:t>
        </m:r>
        <m:r>
          <m:t>5</m:t>
        </m:r>
      </m:oMath>
      <w:r>
        <w:t xml:space="preserve">) y el entrante no entra.</w:t>
      </w:r>
    </w:p>
    <w:bookmarkStart w:id="173" w:name="fig_disuasion_arbol"/>
    <w:p>
      <w:pPr>
        <w:pStyle w:val="ImageCaption"/>
      </w:pPr>
      <w:r>
        <w:t xml:space="preserve">Gráfico 10.–</w:t>
      </w:r>
      <w:r>
        <w:t xml:space="preserve"> </w:t>
      </w:r>
      <w:r>
        <w:t xml:space="preserve">Disuasión de la entrada con un compromiso de capacidad: el juego de entrada con una etapa previa</w:t>
      </w:r>
    </w:p>
    <w:p>
      <w:pPr>
        <w:pStyle w:val="CaptionedFigure"/>
      </w:pPr>
      <w:r>
        <w:drawing>
          <wp:inline>
            <wp:extent cx="4775200" cy="2456078"/>
            <wp:effectExtent b="0" l="0" r="0" t="0"/>
            <wp:docPr descr="Gráfico 10.– Disuasión de la entrada con un compromiso de capacidad: el juego de entrada con una etapa previa" title="" id="171" name="Picture"/>
            <a:graphic>
              <a:graphicData uri="http://schemas.openxmlformats.org/drawingml/2006/picture">
                <pic:pic>
                  <pic:nvPicPr>
                    <pic:cNvPr descr="C:\Users\vgutierrez\Documents\src\victorgutierrezmarcos.github.io-revision\oposicion\temario\fuentes\3A15\graficos/disuasion-arbol.png" id="172" name="Picture"/>
                    <pic:cNvPicPr>
                      <a:picLocks noChangeArrowheads="1" noChangeAspect="1"/>
                    </pic:cNvPicPr>
                  </pic:nvPicPr>
                  <pic:blipFill>
                    <a:blip r:embed="rId170"/>
                    <a:stretch>
                      <a:fillRect/>
                    </a:stretch>
                  </pic:blipFill>
                  <pic:spPr bwMode="auto">
                    <a:xfrm>
                      <a:off x="0" y="0"/>
                      <a:ext cx="4775200" cy="2456078"/>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(entrante, instalada), con</w:t>
      </w:r>
      <w:r>
        <w:t xml:space="preserve"> </w:t>
      </w:r>
      <m:oMath>
        <m:r>
          <m:rPr>
            <m:sty m:val="p"/>
          </m:rPr>
          <m:t>C</m:t>
        </m:r>
        <m:r>
          <m:rPr>
            <m:sty m:val="p"/>
          </m:rPr>
          <m:t>H</m:t>
        </m:r>
        <m:r>
          <m:rPr>
            <m:sty m:val="p"/>
          </m:rPr>
          <m:t>=</m:t>
        </m:r>
        <m:r>
          <m:t>2</m:t>
        </m:r>
        <m:r>
          <m:rPr>
            <m:sty m:val="p"/>
          </m:rPr>
          <m:t>,</m:t>
        </m:r>
        <m:r>
          <m:t>5</m:t>
        </m:r>
      </m:oMath>
      <w:r>
        <w:t xml:space="preserve">; en rojo, el ENPS.</w:t>
      </w:r>
    </w:p>
    <w:bookmarkEnd w:id="174"/>
    <w:bookmarkStart w:id="175" w:name="iii_implicaciones_7"/>
    <w:p>
      <w:pPr>
        <w:pStyle w:val="Heading5"/>
      </w:pPr>
      <w:r>
        <w:t xml:space="preserve">iii) Implicaciones</w:t>
      </w:r>
    </w:p>
    <w:p>
      <w:pPr>
        <w:numPr>
          <w:ilvl w:val="0"/>
          <w:numId w:val="1087"/>
        </w:numPr>
      </w:pPr>
      <w:r>
        <w:t xml:space="preserve">Es el carácter</w:t>
      </w:r>
      <w:r>
        <w:t xml:space="preserve"> </w:t>
      </w:r>
      <w:r>
        <w:rPr>
          <w:i/>
          <w:iCs/>
        </w:rPr>
        <w:t xml:space="preserve">hundido</w:t>
      </w:r>
      <w:r>
        <w:t xml:space="preserve"> </w:t>
      </w:r>
      <w:r>
        <w:t xml:space="preserve">de la inversión lo que da credibilidad: si la capacidad pudiera revenderse sin pérdida, no comprometería a nada. La instalada sacrifica beneficio (</w:t>
      </w:r>
      <m:oMath>
        <m:r>
          <m:rPr>
            <m:sty m:val="p"/>
          </m:rPr>
          <m:t>C</m:t>
        </m:r>
        <m:r>
          <m:rPr>
            <m:sty m:val="p"/>
          </m:rPr>
          <m:t>H</m:t>
        </m:r>
      </m:oMath>
      <w:r>
        <w:t xml:space="preserve">) para conservar el monopolio.</w:t>
      </w:r>
    </w:p>
    <w:p>
      <w:pPr>
        <w:numPr>
          <w:ilvl w:val="0"/>
          <w:numId w:val="1087"/>
        </w:numPr>
      </w:pPr>
      <w:r>
        <w:t xml:space="preserve">Si</w:t>
      </w:r>
      <w:r>
        <w:t xml:space="preserve"> </w:t>
      </w:r>
      <m:oMath>
        <m:r>
          <m:rPr>
            <m:sty m:val="p"/>
          </m:rPr>
          <m:t>C</m:t>
        </m:r>
        <m:r>
          <m:rPr>
            <m:sty m:val="p"/>
          </m:rPr>
          <m:t>H</m:t>
        </m:r>
        <m:r>
          <m:rPr>
            <m:sty m:val="p"/>
          </m:rPr>
          <m:t>&gt;</m:t>
        </m:r>
        <m:sSup>
          <m:e>
            <m:r>
              <m:t>B</m:t>
            </m:r>
          </m:e>
          <m:sup>
            <m:r>
              <m:t>M</m:t>
            </m:r>
          </m:sup>
        </m:sSup>
        <m:r>
          <m:rPr>
            <m:sty m:val="p"/>
          </m:rPr>
          <m:t>−</m:t>
        </m:r>
        <m:sSup>
          <m:e>
            <m:r>
              <m:t>B</m:t>
            </m:r>
          </m:e>
          <m:sup>
            <m:r>
              <m:t>D</m:t>
            </m:r>
          </m:sup>
        </m:sSup>
      </m:oMath>
      <w:r>
        <w:t xml:space="preserve">, disuadir no compensa y la entrada es</w:t>
      </w:r>
      <w:r>
        <w:t xml:space="preserve"> </w:t>
      </w:r>
      <w:r>
        <w:rPr>
          <w:i/>
          <w:iCs/>
        </w:rPr>
        <w:t xml:space="preserve">acomodada</w:t>
      </w:r>
      <w:r>
        <w:t xml:space="preserve">; si el entrante no entraría ni sin inversión, la entrada está</w:t>
      </w:r>
      <w:r>
        <w:t xml:space="preserve"> </w:t>
      </w:r>
      <w:r>
        <w:rPr>
          <w:i/>
          <w:iCs/>
        </w:rPr>
        <w:t xml:space="preserve">bloqueada</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w:t>
      </w:r>
    </w:p>
    <w:bookmarkEnd w:id="175"/>
    <w:bookmarkEnd w:id="176"/>
    <w:bookmarkStart w:id="177" w:name="c_extensiones_2"/>
    <w:p>
      <w:pPr>
        <w:pStyle w:val="Heading4"/>
      </w:pPr>
      <w:r>
        <w:t xml:space="preserve">c) Extensiones</w:t>
      </w:r>
    </w:p>
    <w:p>
      <w:pPr>
        <w:numPr>
          <w:ilvl w:val="0"/>
          <w:numId w:val="1088"/>
        </w:numPr>
      </w:pPr>
      <w:r>
        <w:t xml:space="preserve">En</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la instalada mantiene capacidad ociosa como amenaza.</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con competencia en cantidades tras la entrada, muestra que la capacidad instalada abarata la producción de la instalada hasta ese nivel y desplaza su función de reacción: en equilibrio</w:t>
      </w:r>
      <w:r>
        <w:t xml:space="preserve"> </w:t>
      </w:r>
      <w:r>
        <w:rPr>
          <w:i/>
          <w:iCs/>
        </w:rPr>
        <w:t xml:space="preserve">no</w:t>
      </w:r>
      <w:r>
        <w:t xml:space="preserve"> </w:t>
      </w:r>
      <w:r>
        <w:t xml:space="preserve">mantiene capacidad ociosa, sino que produce más que un monopolista, y la disuasión solo compensa si el coste fijo del entrante es grande. La taxonomía de</w:t>
      </w:r>
      <w:r>
        <w:t xml:space="preserve"> </w:t>
      </w:r>
      <w:r>
        <w:rPr>
          <w:smallCaps/>
        </w:rPr>
        <w:t xml:space="preserve">Fudenberg</w:t>
      </w:r>
      <w:r>
        <w:t xml:space="preserve"> </w:t>
      </w:r>
      <w:r>
        <w:t xml:space="preserve">y</w:t>
      </w:r>
      <w:r>
        <w:t xml:space="preserve"> </w:t>
      </w:r>
      <w:r>
        <w:rPr>
          <w:smallCaps/>
        </w:rPr>
        <w:t xml:space="preserve">Tirole</w:t>
      </w:r>
      <w:r>
        <w:t xml:space="preserve"> </w:t>
      </w:r>
      <w:r>
        <w:t xml:space="preserve">(</w:t>
      </w:r>
      <w:hyperlink w:anchor="ref_FudenbergTirole1984Fat">
        <w:r>
          <w:rPr>
            <w:rStyle w:val="Hyperlink"/>
          </w:rPr>
          <w:t xml:space="preserve">1984</w:t>
        </w:r>
      </w:hyperlink>
      <w:r>
        <w:t xml:space="preserve">)</w:t>
      </w:r>
      <w:r>
        <w:t xml:space="preserve"> </w:t>
      </w:r>
      <w:r>
        <w:t xml:space="preserve">generaliza cuándo conviene invertir de más o de menos (anexo </w:t>
      </w:r>
      <w:hyperlink w:anchor="anexo_taxonomia">
        <w:r>
          <w:rPr>
            <w:rStyle w:val="Hyperlink"/>
          </w:rPr>
          <w:t xml:space="preserve">C</w:t>
        </w:r>
      </w:hyperlink>
      <w:r>
        <w:t xml:space="preserve">).</w:t>
      </w:r>
    </w:p>
    <w:bookmarkEnd w:id="177"/>
    <w:bookmarkStart w:id="178" w:name="d_valoraci__n_3"/>
    <w:p>
      <w:pPr>
        <w:pStyle w:val="Heading4"/>
      </w:pPr>
      <w:r>
        <w:t xml:space="preserve">d) Valoración</w:t>
      </w:r>
    </w:p>
    <w:p>
      <w:pPr>
        <w:numPr>
          <w:ilvl w:val="0"/>
          <w:numId w:val="1089"/>
        </w:numPr>
      </w:pPr>
      <w:r>
        <w:t xml:space="preserve">Da a la intuición de</w:t>
      </w:r>
      <w:r>
        <w:t xml:space="preserve"> </w:t>
      </w:r>
      <w:r>
        <w:rPr>
          <w:smallCaps/>
        </w:rPr>
        <w:t xml:space="preserve">Bain</w:t>
      </w:r>
      <w:r>
        <w:t xml:space="preserve"> </w:t>
      </w:r>
      <w:r>
        <w:t xml:space="preserve">un fundamento creíble, pero exige que la inversión sea hundida y observable, y que preceda a la entrada. Cuando la instalada no puede comprometerse así, le quedan otras conductas.</w:t>
      </w:r>
    </w:p>
    <w:bookmarkEnd w:id="178"/>
    <w:bookmarkEnd w:id="179"/>
    <w:bookmarkStart w:id="180" w:name="sec_otras_conductas"/>
    <w:p>
      <w:pPr>
        <w:pStyle w:val="Heading3"/>
      </w:pPr>
      <w:r>
        <w:t xml:space="preserve">III.2.4.</w:t>
      </w:r>
      <w:r>
        <w:t xml:space="preserve"> </w:t>
      </w:r>
      <w:r>
        <w:t xml:space="preserve">Otras conductas para disuadir la entrada</w:t>
      </w:r>
    </w:p>
    <w:p>
      <w:pPr>
        <w:numPr>
          <w:ilvl w:val="0"/>
          <w:numId w:val="1090"/>
        </w:numPr>
      </w:pPr>
      <w:r>
        <w:rPr>
          <w:i/>
          <w:iCs/>
        </w:rPr>
        <w:t xml:space="preserve">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si el entrante no conoce los costes de la instalada, un precio bajo puede</w:t>
      </w:r>
      <w:r>
        <w:t xml:space="preserve"> </w:t>
      </w:r>
      <w:r>
        <w:rPr>
          <w:i/>
          <w:iCs/>
        </w:rPr>
        <w:t xml:space="preserve">señalizar</w:t>
      </w:r>
      <w:r>
        <w:t xml:space="preserve"> </w:t>
      </w:r>
      <w:r>
        <w:t xml:space="preserve">que son bajos y que la competencia tras la entrada sería dura</w:t>
      </w:r>
      <w:r>
        <w:t xml:space="preserve"> </w:t>
      </w:r>
      <w:hyperlink r:id="rId35">
        <w:r>
          <w:rPr>
            <w:rStyle w:val="Referenciaatema"/>
          </w:rPr>
          <w:t xml:space="preserve">[ver tema 3.A.13]</w:t>
        </w:r>
      </w:hyperlink>
      <w:r>
        <w:t xml:space="preserve">. En el equilibrio separador, la instalada de costes bajos fija un precio más bajo que el de monopolio para distinguirse, pero entra el mismo entrante que entraría con información completa: el precio límite existe, aunque no disuada más; solo en un equilibrio agrupador se disuade a entrantes que habrían entrado. El precio límite reaparece así como señal, resuelta como equilibrio bayesiano perfecto (EBP), y no como amenaza</w:t>
      </w:r>
      <w:r>
        <w:t xml:space="preserve"> </w:t>
      </w:r>
      <w:hyperlink r:id="rId36">
        <w:r>
          <w:rPr>
            <w:rStyle w:val="Referenciaatema"/>
          </w:rPr>
          <w:t xml:space="preserve">[ver tema 3.A.14]</w:t>
        </w:r>
      </w:hyperlink>
      <w:r>
        <w:t xml:space="preserve">.</w:t>
      </w:r>
    </w:p>
    <w:p>
      <w:pPr>
        <w:numPr>
          <w:ilvl w:val="0"/>
          <w:numId w:val="1090"/>
        </w:numPr>
      </w:pPr>
      <w:r>
        <w:rPr>
          <w:i/>
          <w:iCs/>
        </w:rPr>
        <w:t xml:space="preserve">La depredación</w:t>
      </w:r>
      <w:r>
        <w:t xml:space="preserve">: fijar precios por debajo del coste para expulsar a un rival y recuperar después las pérdidas.</w:t>
      </w:r>
      <w:r>
        <w:t xml:space="preserve"> </w:t>
      </w:r>
      <w:r>
        <w:rPr>
          <w:smallCaps/>
        </w:rPr>
        <w:t xml:space="preserve">Chicago</w:t>
      </w:r>
      <w:r>
        <w:t xml:space="preserve"> </w:t>
      </w:r>
      <w:r>
        <w:t xml:space="preserve">la juzgaba irracional</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 y con información completa y horizonte finito lo es (paradoja de la cadena de tiendas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con algo de incertidumbre sobre el tipo de la instalada, luchar al principio crea</w:t>
      </w:r>
      <w:r>
        <w:t xml:space="preserve"> </w:t>
      </w:r>
      <w:r>
        <w:rPr>
          <w:i/>
          <w:iCs/>
        </w:rPr>
        <w:t xml:space="preserve">reputación</w:t>
      </w:r>
      <w:r>
        <w:t xml:space="preserve"> </w:t>
      </w:r>
      <w:r>
        <w:t xml:space="preserve">de agresiva y puede ser racional</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w:t>
      </w:r>
      <w:hyperlink r:id="rId36">
        <w:r>
          <w:rPr>
            <w:rStyle w:val="Referenciaatema"/>
          </w:rPr>
          <w:t xml:space="preserve">[ver tema 3.A.14]</w:t>
        </w:r>
      </w:hyperlink>
      <w:r>
        <w:t xml:space="preserve">. En la práctica se juzga con pruebas de costes: un precio por debajo del coste variable medio se presume depredador</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0"/>
          <w:numId w:val="1090"/>
        </w:numPr>
      </w:pPr>
      <w:r>
        <w:rPr>
          <w:i/>
          <w:iCs/>
        </w:rPr>
        <w:t xml:space="preserve">La proliferación de marcas</w:t>
      </w:r>
      <w:r>
        <w:t xml:space="preserve">: una empresa instalada puede lanzar muchas variedades para ocupar todos los nichos rentables, de modo que a un entrante no le queda hueco en el que cubrir su coste fijo</w:t>
      </w:r>
      <w:r>
        <w:t xml:space="preserve"> </w:t>
      </w:r>
      <w:r>
        <w:t xml:space="preserve">(</w:t>
      </w:r>
      <w:hyperlink w:anchor="ref_Schmalensee1978Entry">
        <w:r>
          <w:rPr>
            <w:rStyle w:val="Hyperlink"/>
            <w:smallCaps/>
          </w:rPr>
          <w:t xml:space="preserve">Schmalensee</w:t>
        </w:r>
        <w:r>
          <w:rPr>
            <w:rStyle w:val="Hyperlink"/>
          </w:rPr>
          <w:t xml:space="preserve">, 1978</w:t>
        </w:r>
      </w:hyperlink>
      <w:r>
        <w:t xml:space="preserve">)</w:t>
      </w:r>
      <w:r>
        <w:t xml:space="preserve">; solo disuade si retirar una variedad tras la entrada es caro</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 </w:t>
      </w:r>
      <w:hyperlink r:id="rId27">
        <w:r>
          <w:rPr>
            <w:rStyle w:val="Referenciaatema"/>
          </w:rPr>
          <w:t xml:space="preserve">[ver tema 3.A.18]</w:t>
        </w:r>
      </w:hyperlink>
      <w:r>
        <w:t xml:space="preserve">.</w:t>
      </w:r>
    </w:p>
    <w:p>
      <w:pPr>
        <w:numPr>
          <w:ilvl w:val="0"/>
          <w:numId w:val="1090"/>
        </w:numPr>
      </w:pPr>
      <w:r>
        <w:rPr>
          <w:i/>
          <w:iCs/>
        </w:rPr>
        <w:t xml:space="preserve">Elevar los costes de los rivales</w:t>
      </w:r>
      <w:r>
        <w:t xml:space="preserve">: contratos de exclusiva con distribuidores o con los proveedores de un factor escaso, que encarecen la entrada más de lo que cuestan a la instalada</w:t>
      </w:r>
      <w:r>
        <w:t xml:space="preserve"> </w:t>
      </w:r>
      <w:r>
        <w:t xml:space="preserve">(</w:t>
      </w:r>
      <w:hyperlink w:anchor="ref_SalopScheffman1983Raising">
        <w:r>
          <w:rPr>
            <w:rStyle w:val="Hyperlink"/>
            <w:smallCaps/>
          </w:rPr>
          <w:t xml:space="preserve">Salop</w:t>
        </w:r>
        <w:r>
          <w:rPr>
            <w:rStyle w:val="Hyperlink"/>
          </w:rPr>
          <w:t xml:space="preserve"> </w:t>
        </w:r>
        <w:r>
          <w:rPr>
            <w:rStyle w:val="Hyperlink"/>
          </w:rPr>
          <w:t xml:space="preserve">y</w:t>
        </w:r>
        <w:r>
          <w:rPr>
            <w:rStyle w:val="Hyperlink"/>
          </w:rPr>
          <w:t xml:space="preserve"> </w:t>
        </w:r>
        <w:r>
          <w:rPr>
            <w:rStyle w:val="Hyperlink"/>
            <w:smallCaps/>
          </w:rPr>
          <w:t xml:space="preserve">Scheffman</w:t>
        </w:r>
        <w:r>
          <w:rPr>
            <w:rStyle w:val="Hyperlink"/>
          </w:rPr>
          <w:t xml:space="preserve">, 1983</w:t>
        </w:r>
      </w:hyperlink>
      <w:r>
        <w:t xml:space="preserve">)</w:t>
      </w:r>
      <w:r>
        <w:t xml:space="preserve">.</w:t>
      </w:r>
    </w:p>
    <w:p>
      <w:pPr>
        <w:numPr>
          <w:ilvl w:val="0"/>
          <w:numId w:val="1090"/>
        </w:numPr>
      </w:pPr>
      <w:r>
        <w:rPr>
          <w:i/>
          <w:iCs/>
        </w:rPr>
        <w:t xml:space="preserve">Efectos de red y costes de cambio</w:t>
      </w:r>
      <w:r>
        <w:t xml:space="preserve">: si el valor de un producto crece con el número de usuarios, el que ya tiene la base de clientes parte con ventaja; es la barrera típica de las plataformas digitales (anexo </w:t>
      </w:r>
      <w:hyperlink w:anchor="anexo_plataformas">
        <w:r>
          <w:rPr>
            <w:rStyle w:val="Hyperlink"/>
          </w:rPr>
          <w:t xml:space="preserve">E</w:t>
        </w:r>
      </w:hyperlink>
      <w:r>
        <w:t xml:space="preserve">).</w:t>
      </w:r>
    </w:p>
    <w:p>
      <w:pPr>
        <w:numPr>
          <w:ilvl w:val="0"/>
          <w:numId w:val="1090"/>
        </w:numPr>
      </w:pPr>
      <w:r>
        <w:t xml:space="preserve">En manos de una empresa dominante, estas conductas pueden ser un</w:t>
      </w:r>
      <w:r>
        <w:t xml:space="preserve"> </w:t>
      </w:r>
      <w:r>
        <w:rPr>
          <w:i/>
          <w:iCs/>
        </w:rPr>
        <w:t xml:space="preserve">abuso de posición dominante</w:t>
      </w:r>
      <w:r>
        <w:t xml:space="preserve"> </w:t>
      </w:r>
      <w:r>
        <w:t xml:space="preserve">(artículo 102 del TFUE)</w:t>
      </w:r>
      <w:r>
        <w:t xml:space="preserve"> </w:t>
      </w:r>
      <w:hyperlink r:id="rId32">
        <w:r>
          <w:rPr>
            <w:rStyle w:val="Referenciaatema"/>
          </w:rPr>
          <w:t xml:space="preserve">[ver tema 3.B.39]</w:t>
        </w:r>
      </w:hyperlink>
      <w:r>
        <w:t xml:space="preserve">. En suma, las barreras estratégicas existen, pero tienen que ser creíbles, y la credibilidad casi siempre exige costes hundidos o información asimétrica. ¿Qué pasa, entonces, si no hay costes hundidos?</w:t>
      </w:r>
    </w:p>
    <w:bookmarkEnd w:id="180"/>
    <w:bookmarkEnd w:id="181"/>
    <w:bookmarkStart w:id="197" w:name="sec_impugnables"/>
    <w:p>
      <w:pPr>
        <w:pStyle w:val="Heading2"/>
      </w:pPr>
      <w:r>
        <w:t xml:space="preserve">III.3.</w:t>
      </w:r>
      <w:r>
        <w:t xml:space="preserve"> </w:t>
      </w:r>
      <w:r>
        <w:t xml:space="preserve">Los mercados impugnables</w:t>
      </w:r>
    </w:p>
    <w:bookmarkStart w:id="182" w:name="a_idea_8"/>
    <w:p>
      <w:pPr>
        <w:pStyle w:val="Heading4"/>
      </w:pPr>
      <w:r>
        <w:t xml:space="preserve">a) Idea</w:t>
      </w:r>
    </w:p>
    <w:p>
      <w:pPr>
        <w:numPr>
          <w:ilvl w:val="0"/>
          <w:numId w:val="1091"/>
        </w:numPr>
      </w:pPr>
      <w:r>
        <w:rPr>
          <w:smallCaps/>
        </w:rPr>
        <w:t xml:space="preserve">Baumol</w:t>
      </w:r>
      <w:r>
        <w:t xml:space="preserve"> </w:t>
      </w:r>
      <w:r>
        <w:t xml:space="preserve">(</w:t>
      </w:r>
      <w:hyperlink w:anchor="ref_Baumol1982Contestable">
        <w:r>
          <w:rPr>
            <w:rStyle w:val="Hyperlink"/>
          </w:rPr>
          <w:t xml:space="preserve">1982</w:t>
        </w:r>
      </w:hyperlink>
      <w:r>
        <w:t xml:space="preserve">)</w:t>
      </w:r>
      <w:r>
        <w:t xml:space="preserve">, en un artículo cuyo título la presenta como «un levantamiento en la teoría de la estructura de la industria», y</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 </w:t>
      </w:r>
      <w:r>
        <w:t xml:space="preserve">dan la vuelta al debate entre</w:t>
      </w:r>
      <w:r>
        <w:t xml:space="preserve"> </w:t>
      </w:r>
      <w:r>
        <w:rPr>
          <w:smallCaps/>
        </w:rPr>
        <w:t xml:space="preserve">Harvard</w:t>
      </w:r>
      <w:r>
        <w:t xml:space="preserve"> </w:t>
      </w:r>
      <w:r>
        <w:t xml:space="preserve">y</w:t>
      </w:r>
      <w:r>
        <w:t xml:space="preserve"> </w:t>
      </w:r>
      <w:r>
        <w:rPr>
          <w:smallCaps/>
        </w:rPr>
        <w:t xml:space="preserve">Chicago</w:t>
      </w:r>
      <w:r>
        <w:t xml:space="preserve">: lo que disciplina a las empresas no es su número, sino la</w:t>
      </w:r>
      <w:r>
        <w:t xml:space="preserve"> </w:t>
      </w:r>
      <w:r>
        <w:rPr>
          <w:i/>
          <w:iCs/>
        </w:rPr>
        <w:t xml:space="preserve">amenaza de entrada</w:t>
      </w:r>
      <w:r>
        <w:t xml:space="preserve">. Si entrar y salir no cuesta nada, cualquier beneficio extraordinario atrae a entrantes que</w:t>
      </w:r>
      <w:r>
        <w:t xml:space="preserve"> </w:t>
      </w:r>
      <w:r>
        <w:rPr>
          <w:i/>
          <w:iCs/>
        </w:rPr>
        <w:t xml:space="preserve">entran y salen</w:t>
      </w:r>
      <w:r>
        <w:t xml:space="preserve"> </w:t>
      </w:r>
      <w:r>
        <w:t xml:space="preserve">(</w:t>
      </w:r>
      <w:r>
        <w:rPr>
          <w:i/>
          <w:iCs/>
        </w:rPr>
        <w:t xml:space="preserve">hit and run</w:t>
      </w:r>
      <w:r>
        <w:t xml:space="preserve">): venden algo más barato mientras la instalada no reacciona y se van sin pérdidas cuando lo hace. Es la versión más extrema del argumento de la entrada.</w:t>
      </w:r>
    </w:p>
    <w:bookmarkEnd w:id="182"/>
    <w:bookmarkStart w:id="194" w:name="b_modelo_8"/>
    <w:p>
      <w:pPr>
        <w:pStyle w:val="Heading4"/>
      </w:pPr>
      <w:r>
        <w:t xml:space="preserve">b) Modelo</w:t>
      </w:r>
    </w:p>
    <w:bookmarkStart w:id="184" w:name="i_supuestos_7"/>
    <w:p>
      <w:pPr>
        <w:pStyle w:val="Heading5"/>
      </w:pPr>
      <w:r>
        <w:t xml:space="preserve">i) Supuestos</w:t>
      </w:r>
    </w:p>
    <w:p>
      <w:pPr>
        <w:keepNext/>
        <w:numPr>
          <w:ilvl w:val="0"/>
          <w:numId w:val="1092"/>
        </w:numPr>
      </w:pPr>
      <w:r>
        <w:t xml:space="preserve">Un mercado es</w:t>
      </w:r>
      <w:r>
        <w:t xml:space="preserve"> </w:t>
      </w:r>
      <w:r>
        <w:rPr>
          <w:b/>
          <w:bCs/>
        </w:rPr>
        <w:t xml:space="preserve">perfectamente impugnable</w:t>
      </w:r>
      <w:r>
        <w:t xml:space="preserve"> </w:t>
      </w:r>
      <w:r>
        <w:t xml:space="preserve">(contestable) si:</w:t>
      </w:r>
    </w:p>
    <w:p>
      <w:pPr>
        <w:numPr>
          <w:ilvl w:val="1"/>
          <w:numId w:val="1093"/>
        </w:numPr>
      </w:pPr>
      <w:r>
        <w:t xml:space="preserve">los entrantes potenciales tienen acceso a la</w:t>
      </w:r>
      <w:r>
        <w:t xml:space="preserve"> </w:t>
      </w:r>
      <w:r>
        <w:rPr>
          <w:i/>
          <w:iCs/>
        </w:rPr>
        <w:t xml:space="preserve">misma tecnología</w:t>
      </w:r>
      <w:r>
        <w:t xml:space="preserve"> </w:t>
      </w:r>
      <w:r>
        <w:t xml:space="preserve">y a la misma demanda que las empresas instaladas (no hay ventajas absolutas en costes ni clientela cautiva);</w:t>
      </w:r>
    </w:p>
    <w:p>
      <w:pPr>
        <w:numPr>
          <w:ilvl w:val="1"/>
          <w:numId w:val="1093"/>
        </w:numPr>
      </w:pPr>
      <w:r>
        <w:t xml:space="preserve">la entrada y la salida son</w:t>
      </w:r>
      <w:r>
        <w:t xml:space="preserve"> </w:t>
      </w:r>
      <w:r>
        <w:rPr>
          <w:i/>
          <w:iCs/>
        </w:rPr>
        <w:t xml:space="preserve">libres</w:t>
      </w:r>
      <w:r>
        <w:t xml:space="preserve"> </w:t>
      </w:r>
      <w:r>
        <w:t xml:space="preserve">y</w:t>
      </w:r>
      <w:r>
        <w:t xml:space="preserve"> </w:t>
      </w:r>
      <w:r>
        <w:rPr>
          <w:i/>
          <w:iCs/>
        </w:rPr>
        <w:t xml:space="preserve">sin costes hundidos</w:t>
      </w:r>
      <w:r>
        <w:t xml:space="preserve">: puede haber costes fijos, pero lo invertido se recupera al salir;</w:t>
      </w:r>
    </w:p>
    <w:p>
      <w:pPr>
        <w:numPr>
          <w:ilvl w:val="1"/>
          <w:numId w:val="1093"/>
        </w:numPr>
      </w:pPr>
      <w:r>
        <w:t xml:space="preserve">las instaladas</w:t>
      </w:r>
      <w:r>
        <w:t xml:space="preserve"> </w:t>
      </w:r>
      <w:r>
        <w:rPr>
          <w:i/>
          <w:iCs/>
        </w:rPr>
        <w:t xml:space="preserve">tardan en reaccionar</w:t>
      </w:r>
      <w:r>
        <w:t xml:space="preserve"> </w:t>
      </w:r>
      <w:r>
        <w:t xml:space="preserve">más que los consumidores: si un entrante cobra algo menos, le compran a él antes de que la instalada cambie su precio (los entrantes toman los precios de las instaladas como dados).</w:t>
      </w:r>
    </w:p>
    <w:p>
      <w:pPr>
        <w:numPr>
          <w:ilvl w:val="0"/>
          <w:numId w:val="1092"/>
        </w:numPr>
      </w:pPr>
      <w:r>
        <w:t xml:space="preserve">No hace falta que haya muchas empresas, ni rendimientos constantes, ni producto único: la teoría admite economías de escala y de alcance, y su caso estrella es el monopolio natural (tabla </w:t>
      </w:r>
      <w:hyperlink w:anchor="tab_supuestos_impugnables">
        <w:r>
          <w:rPr>
            <w:rStyle w:val="Hyperlink"/>
          </w:rPr>
          <w:t xml:space="preserve">1</w:t>
        </w:r>
      </w:hyperlink>
      <w:r>
        <w:t xml:space="preserve">).</w:t>
      </w:r>
    </w:p>
    <w:bookmarkStart w:id="183" w:name="tab_supuestos_impugnables"/>
    <w:p>
      <w:pPr>
        <w:pStyle w:val="TableCaption"/>
      </w:pPr>
      <w:r>
        <w:t xml:space="preserve">Tabla 1.–</w:t>
      </w:r>
      <w:r>
        <w:t xml:space="preserve"> </w:t>
      </w:r>
      <w:r>
        <w:t xml:space="preserve">Supuestos de las estructuras de mercado: las barreras levantan el 5 y los mercados impugnables lo refuerzan</w:t>
      </w:r>
    </w:p>
    <w:tbl>
      <w:tblPr>
        <w:tblStyle w:val="Table"/>
        <w:tblW w:type="auto" w:w="0"/>
        <w:tblLook w:firstRow="1" w:lastRow="0" w:firstColumn="0" w:lastColumn="0" w:noHBand="0" w:noVBand="0" w:val="0020"/>
        <w:tblCaption w:val="Tabla 1.– Supuestos de las estructuras de mercado: las barreras levantan el 5 y los mercados impugnables lo refuerzan"/>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Barreras a la entrada y mercado perfectamente impugnable</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r>
              <w:br/>
            </w:r>
            <w:r>
              <w:rPr>
                <w:rStyle w:val="Textoverde"/>
                <w:b/>
                <w:bCs/>
              </w:rPr>
              <w:t xml:space="preserve">Se mantiene</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r>
              <w:br/>
            </w:r>
            <w:r>
              <w:rPr>
                <w:rStyle w:val="Textoverde"/>
                <w:b/>
                <w:bCs/>
              </w:rPr>
              <w:t xml:space="preserve">Se mantiene</w:t>
            </w:r>
            <w:r>
              <w:t xml:space="preserve"> </w:t>
            </w:r>
            <w:r>
              <w:t xml:space="preserve">(salvo en el precio límite como señal)</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r>
              <w:br/>
            </w:r>
            <w:r>
              <w:rPr>
                <w:rStyle w:val="Textoverde"/>
                <w:b/>
                <w:bCs/>
              </w:rPr>
              <w:t xml:space="preserve">Se mantiene</w:t>
            </w:r>
            <w:r>
              <w:t xml:space="preserve"> </w:t>
            </w:r>
            <w:r>
              <w:t xml:space="preserve">(salvo en la proliferación de marcas)</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w:t>
            </w:r>
            <w:r>
              <w:br/>
            </w:r>
            <w:r>
              <w:rPr>
                <w:rStyle w:val="Textorojo"/>
                <w:b/>
                <w:bCs/>
              </w:rPr>
              <w:t xml:space="preserve">Se levanta</w:t>
            </w:r>
            <w:r>
              <w:t xml:space="preserve">: pocas empresas, o una sola, que no son precio-aceptantes; se admiten economías de escala</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w:t>
            </w:r>
            <w:r>
              <w:t xml:space="preserve">con las</w:t>
            </w:r>
            <w:r>
              <w:t xml:space="preserve"> </w:t>
            </w:r>
            <w:r>
              <w:rPr>
                <w:b/>
                <w:bCs/>
              </w:rPr>
              <w:t xml:space="preserve">barreras a la entrada</w:t>
            </w:r>
            <w:r>
              <w:t xml:space="preserve"> </w:t>
            </w:r>
            <w:r>
              <w:t xml:space="preserve">(</w:t>
            </w:r>
            <w:hyperlink w:anchor="sec_barreras">
              <w:r>
                <w:rPr>
                  <w:rStyle w:val="Hyperlink"/>
                </w:rPr>
                <w:t xml:space="preserve">III.2</w:t>
              </w:r>
            </w:hyperlink>
            <w:r>
              <w:t xml:space="preserve">)</w:t>
            </w:r>
            <w:r>
              <w:br/>
            </w:r>
            <w:r>
              <w:rPr>
                <w:rStyle w:val="Textoverde"/>
                <w:b/>
                <w:bCs/>
              </w:rPr>
              <w:t xml:space="preserve">Se refuerza</w:t>
            </w:r>
            <w:r>
              <w:t xml:space="preserve"> </w:t>
            </w:r>
            <w:r>
              <w:t xml:space="preserve">en los</w:t>
            </w:r>
            <w:r>
              <w:t xml:space="preserve"> </w:t>
            </w:r>
            <w:r>
              <w:rPr>
                <w:b/>
                <w:bCs/>
              </w:rPr>
              <w:t xml:space="preserve">mercados impugnables</w:t>
            </w:r>
            <w:r>
              <w:t xml:space="preserve">: entrada y salida libres también a corto plazo, con la misma tecnología y</w:t>
            </w:r>
            <w:r>
              <w:t xml:space="preserve"> </w:t>
            </w:r>
            <w:r>
              <w:rPr>
                <w:i/>
                <w:iCs/>
              </w:rPr>
              <w:t xml:space="preserve">sin costes hundidos</w:t>
            </w:r>
          </w:p>
        </w:tc>
      </w:tr>
      <w:tr>
        <w:tc>
          <w:tcPr>
            <w:vAlign w:val="center"/>
          </w:tcPr>
          <w:p>
            <w:pPr>
              <w:pStyle w:val="Compact"/>
              <w:jc w:val="center"/>
            </w:pPr>
            <w:r>
              <w:rPr>
                <w:rStyle w:val="Textodorado"/>
                <w:b/>
                <w:bCs/>
              </w:rPr>
              <w:t xml:space="preserve">+</w:t>
            </w:r>
          </w:p>
        </w:tc>
        <w:tc>
          <w:tcPr>
            <w:vAlign w:val="center"/>
          </w:tcPr>
          <w:p>
            <w:pPr>
              <w:pStyle w:val="Compact"/>
              <w:jc w:val="left"/>
            </w:pPr>
            <w:r>
              <w:rPr>
                <w:b/>
                <w:bCs/>
              </w:rPr>
              <w:t xml:space="preserve">Supuesto propio de los impugnables</w:t>
            </w:r>
          </w:p>
        </w:tc>
        <w:tc>
          <w:tcPr>
            <w:vAlign w:val="center"/>
          </w:tcPr>
          <w:p>
            <w:pPr>
              <w:pStyle w:val="Compact"/>
              <w:jc w:val="left"/>
            </w:pPr>
            <w:r>
              <w:t xml:space="preserve">el entrante entra y sale antes de que las instaladas cambien sus precios: los toma como dados</w:t>
            </w:r>
          </w:p>
        </w:tc>
      </w:tr>
    </w:tbl>
    <w:bookmarkEnd w:id="183"/>
    <w:p>
      <w:pPr>
        <w:pStyle w:val="BodyText"/>
      </w:pPr>
      <w:r>
        <w:rPr>
          <w:i/>
          <w:iCs/>
        </w:rPr>
        <w:t xml:space="preserve">Fuente: elaboración propia a partir de</w:t>
      </w:r>
      <w:r>
        <w:rPr>
          <w:i/>
          <w:iCs/>
        </w:rPr>
        <w:t xml:space="preserve"> </w:t>
      </w:r>
      <w:r>
        <w:rPr>
          <w:i/>
          <w:iCs/>
          <w:smallCaps/>
        </w:rPr>
        <w:t xml:space="preserve">Baumol</w:t>
      </w:r>
      <w:r>
        <w:rPr>
          <w:i/>
          <w:iCs/>
        </w:rPr>
        <w:t xml:space="preserve">,</w:t>
      </w:r>
      <w:r>
        <w:rPr>
          <w:i/>
          <w:iCs/>
        </w:rPr>
        <w:t xml:space="preserve"> </w:t>
      </w:r>
      <w:r>
        <w:rPr>
          <w:i/>
          <w:iCs/>
          <w:smallCaps/>
        </w:rPr>
        <w:t xml:space="preserve">Panzar</w:t>
      </w:r>
      <w:r>
        <w:rPr>
          <w:i/>
          <w:iCs/>
        </w:rPr>
        <w:t xml:space="preserve"> </w:t>
      </w:r>
      <w:r>
        <w:rPr>
          <w:i/>
          <w:iCs/>
        </w:rPr>
        <w:t xml:space="preserve">y</w:t>
      </w:r>
      <w:r>
        <w:rPr>
          <w:i/>
          <w:iCs/>
        </w:rPr>
        <w:t xml:space="preserve"> </w:t>
      </w:r>
      <w:r>
        <w:rPr>
          <w:i/>
          <w:iCs/>
          <w:smallCaps/>
        </w:rPr>
        <w:t xml:space="preserve">Willig</w:t>
      </w:r>
      <w:r>
        <w:rPr>
          <w:i/>
          <w:iCs/>
        </w:rPr>
        <w:t xml:space="preserve"> </w:t>
      </w:r>
      <w:r>
        <w:rPr>
          <w:i/>
          <w:iCs/>
        </w:rPr>
        <w:t xml:space="preserve">(</w:t>
      </w:r>
      <w:hyperlink w:anchor="ref_BaumolPanzarWillig1982Contestable">
        <w:r>
          <w:rPr>
            <w:rStyle w:val="Hyperlink"/>
            <w:i/>
            <w:iCs/>
          </w:rPr>
          <w:t xml:space="preserve">1982</w:t>
        </w:r>
      </w:hyperlink>
      <w:r>
        <w:rPr>
          <w:i/>
          <w:iCs/>
        </w:rPr>
        <w:t xml:space="preserve">)</w:t>
      </w:r>
      <w:r>
        <w:rPr>
          <w:i/>
          <w:iCs/>
        </w:rPr>
        <w:t xml:space="preserve"> </w:t>
      </w:r>
      <w:r>
        <w:rPr>
          <w:i/>
          <w:iCs/>
        </w:rPr>
        <w:t xml:space="preserve">y de la lista común de supuestos</w:t>
      </w:r>
      <w:r>
        <w:rPr>
          <w:i/>
          <w:iCs/>
        </w:rPr>
        <w:t xml:space="preserve"> </w:t>
      </w:r>
      <w:hyperlink r:id="rId25">
        <w:r>
          <w:rPr>
            <w:rStyle w:val="Referenciaatema"/>
            <w:i/>
            <w:iCs/>
          </w:rPr>
          <w:t xml:space="preserve">[ver tema 3.A.16]</w:t>
        </w:r>
      </w:hyperlink>
      <w:r>
        <w:rPr>
          <w:i/>
          <w:iCs/>
        </w:rPr>
        <w:t xml:space="preserve">.</w:t>
      </w:r>
    </w:p>
    <w:bookmarkEnd w:id="184"/>
    <w:bookmarkStart w:id="191" w:name="ii_desarrollo_8"/>
    <w:p>
      <w:pPr>
        <w:pStyle w:val="Heading5"/>
      </w:pPr>
      <w:r>
        <w:t xml:space="preserve">ii) Desarrollo</w:t>
      </w:r>
    </w:p>
    <w:p>
      <w:pPr>
        <w:numPr>
          <w:ilvl w:val="0"/>
          <w:numId w:val="1094"/>
        </w:numPr>
      </w:pPr>
      <w:r>
        <w:t xml:space="preserve">Una</w:t>
      </w:r>
      <w:r>
        <w:t xml:space="preserve"> </w:t>
      </w:r>
      <w:r>
        <w:rPr>
          <w:b/>
          <w:bCs/>
        </w:rPr>
        <w:t xml:space="preserve">configuración de la industria</w:t>
      </w:r>
      <w:r>
        <w:t xml:space="preserve"> </w:t>
      </w:r>
      <w:r>
        <w:t xml:space="preserve">(número de empresas, producciones y precio</w:t>
      </w:r>
      <w:r>
        <w:t xml:space="preserve"> </w:t>
      </w:r>
      <m:oMath>
        <m:r>
          <m:t>p</m:t>
        </m:r>
      </m:oMath>
      <w:r>
        <w:t xml:space="preserve">) es</w:t>
      </w:r>
      <w:r>
        <w:t xml:space="preserve"> </w:t>
      </w:r>
      <w:r>
        <w:rPr>
          <w:i/>
          <w:iCs/>
        </w:rPr>
        <w:t xml:space="preserve">factible</w:t>
      </w:r>
      <w:r>
        <w:t xml:space="preserve"> </w:t>
      </w:r>
      <w:r>
        <w:t xml:space="preserve">si las producciones suman la demanda y ninguna empresa pierde dinero, y</w:t>
      </w:r>
      <w:r>
        <w:t xml:space="preserve"> </w:t>
      </w:r>
      <w:r>
        <w:rPr>
          <w:b/>
          <w:bCs/>
        </w:rPr>
        <w:t xml:space="preserve">sostenible</w:t>
      </w:r>
      <w:r>
        <w:t xml:space="preserve"> </w:t>
      </w:r>
      <w:r>
        <w:t xml:space="preserve">si, además, ningún entrante con la misma tecnología gana dinero vendiendo a un precio igual o menor una cantidad que el mercado le compre:</w:t>
      </w:r>
    </w:p>
    <w:p>
      <w:pPr>
        <w:pStyle w:val="BodyText"/>
        <w:keepNext/>
      </w:pPr>
      <m:oMathPara>
        <m:oMathParaPr>
          <m:jc m:val="center"/>
        </m:oMathParaPr>
        <m:oMath>
          <m:sSub>
            <m:e>
              <m:r>
                <m:t>p</m:t>
              </m:r>
            </m:e>
            <m:sub>
              <m:r>
                <m:rPr>
                  <m:sty m:val="p"/>
                </m:rPr>
                <m:t>E</m:t>
              </m:r>
            </m:sub>
          </m:sSub>
          <m:r>
            <m:t> </m:t>
          </m:r>
          <m:sSub>
            <m:e>
              <m:r>
                <m:t>q</m:t>
              </m:r>
            </m:e>
            <m:sub>
              <m:r>
                <m:rPr>
                  <m:sty m:val="p"/>
                </m:rPr>
                <m:t>E</m:t>
              </m:r>
            </m:sub>
          </m:sSub>
          <m:r>
            <m:rPr>
              <m:sty m:val="p"/>
            </m:rPr>
            <m:t>−</m:t>
          </m:r>
          <m:r>
            <m:t>C</m:t>
          </m:r>
          <m:d>
            <m:dPr>
              <m:begChr m:val="("/>
              <m:sepChr m:val=""/>
              <m:endChr m:val=")"/>
              <m:grow/>
            </m:dPr>
            <m:e>
              <m:sSub>
                <m:e>
                  <m:r>
                    <m:t>q</m:t>
                  </m:r>
                </m:e>
                <m:sub>
                  <m:r>
                    <m:rPr>
                      <m:sty m:val="p"/>
                    </m:rPr>
                    <m:t>E</m:t>
                  </m:r>
                </m:sub>
              </m:sSub>
            </m:e>
          </m:d>
          <m:r>
            <m:rPr>
              <m:sty m:val="p"/>
            </m:rPr>
            <m:t>≤</m:t>
          </m:r>
          <m:r>
            <m:t>0</m:t>
          </m:r>
          <m:r>
            <m:t>  </m:t>
          </m:r>
          <m:r>
            <m:rPr>
              <m:nor/>
              <m:sty m:val="p"/>
            </m:rPr>
            <m:t>para todo </m:t>
          </m:r>
          <m:sSub>
            <m:e>
              <m:r>
                <m:t>p</m:t>
              </m:r>
            </m:e>
            <m:sub>
              <m:r>
                <m:rPr>
                  <m:sty m:val="p"/>
                </m:rPr>
                <m:t>E</m:t>
              </m:r>
            </m:sub>
          </m:sSub>
          <m:r>
            <m:rPr>
              <m:sty m:val="p"/>
            </m:rPr>
            <m:t>≤</m:t>
          </m:r>
          <m:r>
            <m:t>p</m:t>
          </m:r>
          <m:r>
            <m:t> </m:t>
          </m:r>
          <m:r>
            <m:rPr>
              <m:nor/>
              <m:sty m:val="p"/>
            </m:rPr>
            <m:t>y</m:t>
          </m:r>
          <m:r>
            <m:t> </m:t>
          </m:r>
          <m:sSub>
            <m:e>
              <m:r>
                <m:t>q</m:t>
              </m:r>
            </m:e>
            <m:sub>
              <m:r>
                <m:rPr>
                  <m:sty m:val="p"/>
                </m:rPr>
                <m:t>E</m:t>
              </m:r>
            </m:sub>
          </m:sSub>
          <m:r>
            <m:rPr>
              <m:sty m:val="p"/>
            </m:rPr>
            <m:t>≤</m:t>
          </m:r>
          <m:r>
            <m:t>x</m:t>
          </m:r>
          <m:d>
            <m:dPr>
              <m:begChr m:val="("/>
              <m:sepChr m:val=""/>
              <m:endChr m:val=")"/>
              <m:grow/>
            </m:dPr>
            <m:e>
              <m:sSub>
                <m:e>
                  <m:r>
                    <m:t>p</m:t>
                  </m:r>
                </m:e>
                <m:sub>
                  <m:r>
                    <m:rPr>
                      <m:sty m:val="p"/>
                    </m:rPr>
                    <m:t>E</m:t>
                  </m:r>
                </m:sub>
              </m:sSub>
            </m:e>
          </m:d>
          <m:r>
            <m:rPr>
              <m:sty m:val="p"/>
            </m:rPr>
            <m:t>.</m:t>
          </m:r>
        </m:oMath>
      </m:oMathPara>
    </w:p>
    <w:p>
      <w:pPr>
        <w:numPr>
          <w:ilvl w:val="0"/>
          <w:numId w:val="1000"/>
        </w:numPr>
      </w:pPr>
      <w:r>
        <w:t xml:space="preserve">En un mercado perfectamente impugnable, el equilibrio tiene que ser una configuración sostenible, y solo lo son las que cumplen</w:t>
      </w:r>
    </w:p>
    <w:bookmarkStart w:id="185" w:name="eq_sostenible"/>
    <w:bookmarkEnd w:id="185"/>
    <w:p>
      <w:pPr>
        <w:pStyle w:val="Funcionclave"/>
      </w:pPr>
      <m:oMathPara>
        <m:oMathParaPr>
          <m:jc m:val="center"/>
        </m:oMathParaPr>
        <m:oMath>
          <m:r>
            <m:t>p</m:t>
          </m:r>
          <m:r>
            <m:rPr>
              <m:sty m:val="p"/>
            </m:rPr>
            <m:t>=</m:t>
          </m:r>
          <m:r>
            <m:rPr>
              <m:sty m:val="p"/>
            </m:rPr>
            <m:t>C</m:t>
          </m:r>
          <m:r>
            <m:rPr>
              <m:sty m:val="p"/>
            </m:rPr>
            <m:t>M</m:t>
          </m:r>
          <m:r>
            <m:rPr>
              <m:sty m:val="p"/>
            </m:rPr>
            <m:t>e</m:t>
          </m:r>
          <m:d>
            <m:dPr>
              <m:begChr m:val="("/>
              <m:sepChr m:val=""/>
              <m:endChr m:val=")"/>
              <m:grow/>
            </m:dPr>
            <m:e>
              <m:r>
                <m:t>q</m:t>
              </m:r>
            </m:e>
          </m:d>
          <m:r>
            <m:rPr>
              <m:sty m:val="p"/>
            </m:rPr>
            <m:t>,</m:t>
          </m:r>
          <m:r>
            <m:t> </m:t>
          </m:r>
          <m:r>
            <m:t> </m:t>
          </m:r>
          <m:r>
            <m:t>q</m:t>
          </m:r>
          <m:r>
            <m:rPr>
              <m:sty m:val="p"/>
            </m:rPr>
            <m:t>=</m:t>
          </m:r>
          <m:r>
            <m:t>x</m:t>
          </m:r>
          <m:d>
            <m:dPr>
              <m:begChr m:val="("/>
              <m:sepChr m:val=""/>
              <m:endChr m:val=")"/>
              <m:grow/>
            </m:dPr>
            <m:e>
              <m:r>
                <m:t>p</m:t>
              </m:r>
            </m:e>
          </m:d>
          <m:r>
            <m:t> </m:t>
          </m:r>
          <m:r>
            <m:rPr>
              <m:nor/>
              <m:sty m:val="p"/>
            </m:rPr>
            <m:t>(una empresa)</m:t>
          </m:r>
          <m:r>
            <m:rPr>
              <m:sty m:val="p"/>
            </m:rPr>
            <m:t>;</m:t>
          </m:r>
          <m:r>
            <m:t>  </m:t>
          </m:r>
          <m:r>
            <m:t>p</m:t>
          </m:r>
          <m:r>
            <m:rPr>
              <m:sty m:val="p"/>
            </m:rPr>
            <m:t>=</m:t>
          </m:r>
          <m:r>
            <m:rPr>
              <m:sty m:val="p"/>
            </m:rPr>
            <m:t>C</m:t>
          </m:r>
          <m:r>
            <m:rPr>
              <m:sty m:val="p"/>
            </m:rPr>
            <m:t>M</m:t>
          </m:r>
          <m:r>
            <m:rPr>
              <m:sty m:val="p"/>
            </m:rPr>
            <m:t>g</m:t>
          </m:r>
          <m:r>
            <m:rPr>
              <m:sty m:val="p"/>
            </m:rPr>
            <m:t>=</m:t>
          </m:r>
          <m:r>
            <m:rPr>
              <m:sty m:val="p"/>
            </m:rPr>
            <m:t>C</m:t>
          </m:r>
          <m:r>
            <m:rPr>
              <m:sty m:val="p"/>
            </m:rPr>
            <m:t>M</m:t>
          </m:r>
          <m:r>
            <m:rPr>
              <m:sty m:val="p"/>
            </m:rPr>
            <m:t>e</m:t>
          </m:r>
          <m:r>
            <m:t> </m:t>
          </m:r>
          <m:r>
            <m:rPr>
              <m:nor/>
              <m:sty m:val="p"/>
            </m:rPr>
            <m:t>(2 o más empresas)</m:t>
          </m:r>
        </m:oMath>
      </m:oMathPara>
    </w:p>
    <w:p>
      <w:pPr>
        <w:keepNext/>
        <w:numPr>
          <w:ilvl w:val="0"/>
          <w:numId w:val="1000"/>
        </w:numPr>
      </w:pP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Sus propiedades (anexo </w:t>
      </w:r>
      <w:hyperlink w:anchor="anexo_impugnable">
        <w:r>
          <w:rPr>
            <w:rStyle w:val="Hyperlink"/>
          </w:rPr>
          <w:t xml:space="preserve">B.5</w:t>
        </w:r>
      </w:hyperlink>
      <w:r>
        <w:t xml:space="preserve">):</w:t>
      </w:r>
    </w:p>
    <w:p>
      <w:pPr>
        <w:numPr>
          <w:ilvl w:val="1"/>
          <w:numId w:val="1095"/>
        </w:numPr>
      </w:pPr>
      <w:r>
        <w:rPr>
          <w:i/>
          <w:iCs/>
        </w:rPr>
        <w:t xml:space="preserve">beneficio nulo</w:t>
      </w:r>
      <w:r>
        <w:t xml:space="preserve">,</w:t>
      </w:r>
      <w:r>
        <w:t xml:space="preserve"> </w:t>
      </w:r>
      <m:oMath>
        <m:r>
          <m:t>p</m:t>
        </m:r>
        <m:r>
          <m:rPr>
            <m:sty m:val="p"/>
          </m:rPr>
          <m:t>=</m:t>
        </m:r>
        <m:r>
          <m:rPr>
            <m:sty m:val="p"/>
          </m:rPr>
          <m:t>C</m:t>
        </m:r>
        <m:r>
          <m:rPr>
            <m:sty m:val="p"/>
          </m:rPr>
          <m:t>M</m:t>
        </m:r>
        <m:r>
          <m:rPr>
            <m:sty m:val="p"/>
          </m:rPr>
          <m:t>e</m:t>
        </m:r>
      </m:oMath>
      <w:r>
        <w:t xml:space="preserve">: si</w:t>
      </w:r>
      <w:r>
        <w:t xml:space="preserve"> </w:t>
      </w:r>
      <m:oMath>
        <m:r>
          <m:t>p</m:t>
        </m:r>
        <m:r>
          <m:rPr>
            <m:sty m:val="p"/>
          </m:rPr>
          <m:t>&gt;</m:t>
        </m:r>
        <m:r>
          <m:rPr>
            <m:sty m:val="p"/>
          </m:rPr>
          <m:t>C</m:t>
        </m:r>
        <m:r>
          <m:rPr>
            <m:sty m:val="p"/>
          </m:rPr>
          <m:t>M</m:t>
        </m:r>
        <m:r>
          <m:rPr>
            <m:sty m:val="p"/>
          </m:rPr>
          <m:t>e</m:t>
        </m:r>
      </m:oMath>
      <w:r>
        <w:t xml:space="preserve">, un entrante cobra algo menos, se lleva el mercado y sale antes de que la instalada reaccione;</w:t>
      </w:r>
    </w:p>
    <w:p>
      <w:pPr>
        <w:numPr>
          <w:ilvl w:val="1"/>
          <w:numId w:val="1095"/>
        </w:numPr>
      </w:pPr>
      <w:r>
        <w:rPr>
          <w:i/>
          <w:iCs/>
        </w:rPr>
        <w:t xml:space="preserve">eficiencia productiva</w:t>
      </w:r>
      <w:r>
        <w:t xml:space="preserve">: la industria produce al menor coste posible y no cabe la ineficiencia X;</w:t>
      </w:r>
    </w:p>
    <w:p>
      <w:pPr>
        <w:numPr>
          <w:ilvl w:val="1"/>
          <w:numId w:val="1095"/>
        </w:numPr>
      </w:pPr>
      <w:r>
        <w:rPr>
          <w:i/>
          <w:iCs/>
        </w:rPr>
        <w:t xml:space="preserve">ningún precio por debajo del coste marginal</w:t>
      </w:r>
      <w:r>
        <w:t xml:space="preserve">: si</w:t>
      </w:r>
      <w:r>
        <w:t xml:space="preserve"> </w:t>
      </w:r>
      <m:oMath>
        <m:r>
          <m:t>p</m:t>
        </m:r>
        <m:r>
          <m:rPr>
            <m:sty m:val="p"/>
          </m:rPr>
          <m:t>&lt;</m:t>
        </m:r>
        <m:r>
          <m:rPr>
            <m:sty m:val="p"/>
          </m:rPr>
          <m:t>C</m:t>
        </m:r>
        <m:r>
          <m:rPr>
            <m:sty m:val="p"/>
          </m:rPr>
          <m:t>M</m:t>
        </m:r>
        <m:r>
          <m:rPr>
            <m:sty m:val="p"/>
          </m:rPr>
          <m:t>g</m:t>
        </m:r>
      </m:oMath>
      <w:r>
        <w:t xml:space="preserve">, un entrante produciría algo menos y ganaría dinero;</w:t>
      </w:r>
    </w:p>
    <w:p>
      <w:pPr>
        <w:numPr>
          <w:ilvl w:val="1"/>
          <w:numId w:val="1095"/>
        </w:numPr>
      </w:pPr>
      <w:r>
        <w:t xml:space="preserve">con</w:t>
      </w:r>
      <w:r>
        <w:t xml:space="preserve"> </w:t>
      </w:r>
      <w:r>
        <w:rPr>
          <w:i/>
          <w:iCs/>
        </w:rPr>
        <w:t xml:space="preserve">2 o más empresas</w:t>
      </w:r>
      <w:r>
        <w:t xml:space="preserve">,</w:t>
      </w:r>
      <w:r>
        <w:t xml:space="preserve"> </w:t>
      </w:r>
      <m:oMath>
        <m:r>
          <m:t>p</m:t>
        </m:r>
        <m:r>
          <m:rPr>
            <m:sty m:val="p"/>
          </m:rPr>
          <m:t>=</m:t>
        </m:r>
        <m:r>
          <m:rPr>
            <m:sty m:val="p"/>
          </m:rPr>
          <m:t>C</m:t>
        </m:r>
        <m:r>
          <m:rPr>
            <m:sty m:val="p"/>
          </m:rPr>
          <m:t>M</m:t>
        </m:r>
        <m:r>
          <m:rPr>
            <m:sty m:val="p"/>
          </m:rPr>
          <m:t>g</m:t>
        </m:r>
      </m:oMath>
      <w:r>
        <w:t xml:space="preserve">: si</w:t>
      </w:r>
      <w:r>
        <w:t xml:space="preserve"> </w:t>
      </w:r>
      <m:oMath>
        <m:r>
          <m:t>p</m:t>
        </m:r>
        <m:r>
          <m:rPr>
            <m:sty m:val="p"/>
          </m:rPr>
          <m:t>&gt;</m:t>
        </m:r>
        <m:r>
          <m:rPr>
            <m:sty m:val="p"/>
          </m:rPr>
          <m:t>C</m:t>
        </m:r>
        <m:r>
          <m:rPr>
            <m:sty m:val="p"/>
          </m:rPr>
          <m:t>M</m:t>
        </m:r>
        <m:r>
          <m:rPr>
            <m:sty m:val="p"/>
          </m:rPr>
          <m:t>g</m:t>
        </m:r>
      </m:oMath>
      <w:r>
        <w:t xml:space="preserve">, un entrante vendería un poco más a un precio un poco menor; con</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cada empresa produce en su escala mínima eficiente, como en el largo plazo competitivo;</w:t>
      </w:r>
    </w:p>
    <w:p>
      <w:pPr>
        <w:numPr>
          <w:ilvl w:val="1"/>
          <w:numId w:val="1095"/>
        </w:numPr>
      </w:pPr>
      <w:r>
        <w:t xml:space="preserve">con</w:t>
      </w:r>
      <w:r>
        <w:t xml:space="preserve"> </w:t>
      </w:r>
      <w:r>
        <w:rPr>
          <w:i/>
          <w:iCs/>
        </w:rPr>
        <w:t xml:space="preserve">una sola empresa</w:t>
      </w:r>
      <w:r>
        <w:t xml:space="preserve"> </w:t>
      </w:r>
      <w:r>
        <w:t xml:space="preserve">(monopolio natural), el precio iguala el coste medio en el corte con la demanda,</w:t>
      </w:r>
      <w:r>
        <w:t xml:space="preserve"> </w:t>
      </w:r>
      <m:oMath>
        <m:r>
          <m:t>p</m:t>
        </m:r>
        <m:r>
          <m:rPr>
            <m:sty m:val="p"/>
          </m:rPr>
          <m:t>=</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(gráfico </w:t>
      </w:r>
      <w:hyperlink w:anchor="fig_impugnables">
        <w:r>
          <w:rPr>
            <w:rStyle w:val="Hyperlink"/>
          </w:rPr>
          <w:t xml:space="preserve">11</w:t>
        </w:r>
      </w:hyperlink>
      <w:r>
        <w:t xml:space="preserve">): es el segundo óptimo (</w:t>
      </w:r>
      <w:r>
        <w:rPr>
          <w:i/>
          <w:iCs/>
        </w:rPr>
        <w:t xml:space="preserve">second best</w:t>
      </w:r>
      <w:r>
        <w:t xml:space="preserve">) con presupuesto equilibrado, el mismo que impondría un regulador, sin regulación de precios</w:t>
      </w:r>
      <w:r>
        <w:t xml:space="preserve"> </w:t>
      </w:r>
      <w:hyperlink r:id="rId26">
        <w:r>
          <w:rPr>
            <w:rStyle w:val="Referenciaatema"/>
          </w:rPr>
          <w:t xml:space="preserve">[ver tema 3.A.17]</w:t>
        </w:r>
      </w:hyperlink>
      <w:r>
        <w:t xml:space="preserve"> </w:t>
      </w:r>
      <w:hyperlink r:id="rId186">
        <w:r>
          <w:rPr>
            <w:rStyle w:val="Referenciaatema"/>
          </w:rPr>
          <w:t xml:space="preserve">[ver tema 3.A.22]</w:t>
        </w:r>
      </w:hyperlink>
      <w:r>
        <w:t xml:space="preserve">; con varios productos, precios sin subvenciones cruzadas</w:t>
      </w:r>
      <w:r>
        <w:t xml:space="preserve"> </w:t>
      </w:r>
      <w:r>
        <w:t xml:space="preserve">(</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bookmarkStart w:id="190" w:name="fig_impugnables"/>
    <w:p>
      <w:pPr>
        <w:pStyle w:val="ImageCaption"/>
      </w:pPr>
      <w:r>
        <w:t xml:space="preserve">Gráfico 11.–</w:t>
      </w:r>
      <w:r>
        <w:t xml:space="preserve"> </w:t>
      </w:r>
      <w:r>
        <w:t xml:space="preserve">Monopolio natural en un mercado impugnable: la amenaza de entrada lleva el precio al coste medio</w:t>
      </w:r>
    </w:p>
    <w:p>
      <w:pPr>
        <w:pStyle w:val="CaptionedFigure"/>
      </w:pPr>
      <w:r>
        <w:drawing>
          <wp:inline>
            <wp:extent cx="3581400" cy="2208577"/>
            <wp:effectExtent b="0" l="0" r="0" t="0"/>
            <wp:docPr descr="Gráfico 11.– Monopolio natural en un mercado impugnable: la amenaza de entrada lleva el precio al coste medio" title="" id="188" name="Picture"/>
            <a:graphic>
              <a:graphicData uri="http://schemas.openxmlformats.org/drawingml/2006/picture">
                <pic:pic>
                  <pic:nvPicPr>
                    <pic:cNvPr descr="C:\Users\vgutierrez\Documents\src\victorgutierrezmarcos.github.io-revision\oposicion\temario\fuentes\3A15\graficos/impugnables.png" id="189" name="Picture"/>
                    <pic:cNvPicPr>
                      <a:picLocks noChangeArrowheads="1" noChangeAspect="1"/>
                    </pic:cNvPicPr>
                  </pic:nvPicPr>
                  <pic:blipFill>
                    <a:blip r:embed="rId187"/>
                    <a:stretch>
                      <a:fillRect/>
                    </a:stretch>
                  </pic:blipFill>
                  <pic:spPr bwMode="auto">
                    <a:xfrm>
                      <a:off x="0" y="0"/>
                      <a:ext cx="3581400" cy="2208577"/>
                    </a:xfrm>
                    <a:prstGeom prst="rect">
                      <a:avLst/>
                    </a:prstGeom>
                    <a:noFill/>
                    <a:ln w="9525">
                      <a:noFill/>
                      <a:headEnd/>
                      <a:tailEnd/>
                    </a:ln>
                  </pic:spPr>
                </pic:pic>
              </a:graphicData>
            </a:graphic>
          </wp:inline>
        </w:drawing>
      </w:r>
    </w:p>
    <w:bookmarkEnd w:id="190"/>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91"/>
    <w:bookmarkStart w:id="193" w:name="iii_implicaciones_8"/>
    <w:p>
      <w:pPr>
        <w:pStyle w:val="Heading5"/>
      </w:pPr>
      <w:r>
        <w:t xml:space="preserve">iii) Implicaciones</w:t>
      </w:r>
    </w:p>
    <w:p>
      <w:pPr>
        <w:numPr>
          <w:ilvl w:val="0"/>
          <w:numId w:val="1096"/>
        </w:numPr>
      </w:pPr>
      <w:r>
        <w:t xml:space="preserve">El número de empresas no es un buen indicador del poder de mercado: hay que mirar las barreras a la entrada y a la salida, y sobre todo los costes hundidos. Es más fácil y más útil eliminarlas que multiplicar el número de competidores.</w:t>
      </w:r>
    </w:p>
    <w:p>
      <w:pPr>
        <w:numPr>
          <w:ilvl w:val="0"/>
          <w:numId w:val="1096"/>
        </w:numPr>
      </w:pPr>
      <w:r>
        <w:t xml:space="preserve">Es el enfoque de la</w:t>
      </w:r>
      <w:r>
        <w:t xml:space="preserve"> </w:t>
      </w:r>
      <w:r>
        <w:rPr>
          <w:b/>
          <w:bCs/>
        </w:rPr>
        <w:t xml:space="preserve">competencia efectiva</w:t>
      </w:r>
      <w:r>
        <w:t xml:space="preserve">: la Ley 15/2007, de Defensa de la Competencia, pone como objetivo proteger «la competencia efectiva en los mercados» y valora las concentraciones según obstaculicen o no su mantenimiento</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importa la conducta del mercado más que el número de empresas</w:t>
      </w:r>
      <w:r>
        <w:t xml:space="preserve"> </w:t>
      </w:r>
      <w:hyperlink r:id="rId33">
        <w:r>
          <w:rPr>
            <w:rStyle w:val="Referenciaatema"/>
          </w:rPr>
          <w:t xml:space="preserve">[ver tema 4.A.15]</w:t>
        </w:r>
      </w:hyperlink>
      <w:r>
        <w:t xml:space="preserve">.</w:t>
      </w:r>
    </w:p>
    <w:p>
      <w:pPr>
        <w:numPr>
          <w:ilvl w:val="0"/>
          <w:numId w:val="1096"/>
        </w:numPr>
      </w:pPr>
      <w:r>
        <w:t xml:space="preserve">En las</w:t>
      </w:r>
      <w:r>
        <w:t xml:space="preserve"> </w:t>
      </w:r>
      <w:r>
        <w:rPr>
          <w:i/>
          <w:iCs/>
        </w:rPr>
        <w:t xml:space="preserve">industrias de red</w:t>
      </w:r>
      <w:r>
        <w:t xml:space="preserve">, el coste hundido está en la red (vías, cables, conducciones). Separar la red de los servicios y garantizar el acceso de terceros en condiciones no discriminatorias hace impugnables los segmentos que no son monopolio natural (los servicios ferroviarios, la comercialización de electricidad, la telefonía sobre la red de otro)</w:t>
      </w:r>
      <w:r>
        <w:t xml:space="preserve"> </w:t>
      </w:r>
      <w:hyperlink r:id="rId31">
        <w:r>
          <w:rPr>
            <w:rStyle w:val="Referenciaatema"/>
          </w:rPr>
          <w:t xml:space="preserve">[ver tema 3.A.20]</w:t>
        </w:r>
      </w:hyperlink>
      <w:r>
        <w:t xml:space="preserve">; para ampliar,</w:t>
      </w:r>
      <w:r>
        <w:t xml:space="preserve"> </w:t>
      </w:r>
      <w:hyperlink r:id="rId192">
        <w:r>
          <w:rPr>
            <w:rStyle w:val="Referenciaatema"/>
          </w:rPr>
          <w:t xml:space="preserve">[ver tema 4.A.12]</w:t>
        </w:r>
      </w:hyperlink>
      <w:r>
        <w:t xml:space="preserve">.</w:t>
      </w:r>
    </w:p>
    <w:bookmarkEnd w:id="193"/>
    <w:bookmarkEnd w:id="194"/>
    <w:bookmarkStart w:id="195" w:name="c_evidencia_emp__rica_2"/>
    <w:p>
      <w:pPr>
        <w:pStyle w:val="Heading4"/>
      </w:pPr>
      <w:r>
        <w:t xml:space="preserve">c) Evidencia empírica</w:t>
      </w:r>
    </w:p>
    <w:p>
      <w:pPr>
        <w:numPr>
          <w:ilvl w:val="0"/>
          <w:numId w:val="1097"/>
        </w:numPr>
      </w:pPr>
      <w:r>
        <w:t xml:space="preserve">La aviación comercial era el candidato natural: los aviones son capital que puede cambiar de ruta, y la teoría se usó para defender la desregulación del transporte aéreo de Estados Unidos de 1978</w:t>
      </w:r>
      <w:r>
        <w:t xml:space="preserve"> </w:t>
      </w:r>
      <w:r>
        <w:t xml:space="preserve">(</w:t>
      </w:r>
      <w:hyperlink w:anchor="ref_BaileyPanzar1981Contestability">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Panzar</w:t>
        </w:r>
        <w:r>
          <w:rPr>
            <w:rStyle w:val="Hyperlink"/>
          </w:rPr>
          <w:t xml:space="preserve">, 1981</w:t>
        </w:r>
      </w:hyperlink>
      <w:r>
        <w:t xml:space="preserve">;</w:t>
      </w:r>
      <w:r>
        <w:t xml:space="preserve"> </w:t>
      </w:r>
      <w:hyperlink w:anchor="ref_BaileyBaumol1984Deregulation">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1984</w:t>
        </w:r>
      </w:hyperlink>
      <w:r>
        <w:t xml:space="preserve">)</w:t>
      </w:r>
      <w:r>
        <w:t xml:space="preserve">. Los estudios posteriores encontraron que las tarifas de una ruta dependen del número de competidores que de verdad la sirven, no solo de los potenciales: el mercado es impugnable, pero de forma imperfecta, porque los aeropuertos, los derechos de aterrizaje y la reputación son costes hundidos</w:t>
      </w:r>
      <w:r>
        <w:t xml:space="preserve"> </w:t>
      </w:r>
      <w:r>
        <w:t xml:space="preserve">(</w:t>
      </w:r>
      <w:hyperlink w:anchor="ref_MorrisonWinston1987Empirical">
        <w:r>
          <w:rPr>
            <w:rStyle w:val="Hyperlink"/>
            <w:smallCaps/>
          </w:rPr>
          <w:t xml:space="preserve">Morrison</w:t>
        </w:r>
        <w:r>
          <w:rPr>
            <w:rStyle w:val="Hyperlink"/>
          </w:rPr>
          <w:t xml:space="preserve"> </w:t>
        </w:r>
        <w:r>
          <w:rPr>
            <w:rStyle w:val="Hyperlink"/>
          </w:rPr>
          <w:t xml:space="preserve">y</w:t>
        </w:r>
        <w:r>
          <w:rPr>
            <w:rStyle w:val="Hyperlink"/>
          </w:rPr>
          <w:t xml:space="preserve"> </w:t>
        </w:r>
        <w:r>
          <w:rPr>
            <w:rStyle w:val="Hyperlink"/>
            <w:smallCaps/>
          </w:rPr>
          <w:t xml:space="preserve">Winston</w:t>
        </w:r>
        <w:r>
          <w:rPr>
            <w:rStyle w:val="Hyperlink"/>
          </w:rPr>
          <w:t xml:space="preserve">, 1987</w:t>
        </w:r>
      </w:hyperlink>
      <w:r>
        <w:t xml:space="preserve">)</w:t>
      </w:r>
      <w:r>
        <w:t xml:space="preserve">.</w:t>
      </w:r>
    </w:p>
    <w:bookmarkEnd w:id="195"/>
    <w:bookmarkStart w:id="196" w:name="d_valoraci__n_4"/>
    <w:p>
      <w:pPr>
        <w:pStyle w:val="Heading4"/>
      </w:pPr>
      <w:r>
        <w:t xml:space="preserve">d) Valoración</w:t>
      </w:r>
    </w:p>
    <w:p>
      <w:pPr>
        <w:numPr>
          <w:ilvl w:val="0"/>
          <w:numId w:val="1098"/>
        </w:numPr>
      </w:pPr>
      <w:r>
        <w:t xml:space="preserve">El resultado es</w:t>
      </w:r>
      <w:r>
        <w:t xml:space="preserve"> </w:t>
      </w:r>
      <w:r>
        <w:rPr>
          <w:i/>
          <w:iCs/>
        </w:rPr>
        <w:t xml:space="preserve">frágil</w:t>
      </w:r>
      <w:r>
        <w:t xml:space="preserve">. Si la instalada puede bajar el precio antes de que el entrante recupere un coste hundido, aunque sea pequeño, el entrante anticipa que perderá dinero y no entra, y la instalada puede fijar el precio de monopolio</w:t>
      </w:r>
      <w:r>
        <w:t xml:space="preserve"> </w:t>
      </w:r>
      <w:r>
        <w:t xml:space="preserve">(</w:t>
      </w:r>
      <w:hyperlink w:anchor="ref_SchwartzReynolds1983Contestable">
        <w:r>
          <w:rPr>
            <w:rStyle w:val="Hyperlink"/>
            <w:smallCaps/>
          </w:rPr>
          <w:t xml:space="preserve">Schwartz</w:t>
        </w:r>
        <w:r>
          <w:rPr>
            <w:rStyle w:val="Hyperlink"/>
          </w:rPr>
          <w:t xml:space="preserve"> </w:t>
        </w:r>
        <w:r>
          <w:rPr>
            <w:rStyle w:val="Hyperlink"/>
          </w:rPr>
          <w:t xml:space="preserve">y</w:t>
        </w:r>
        <w:r>
          <w:rPr>
            <w:rStyle w:val="Hyperlink"/>
          </w:rPr>
          <w:t xml:space="preserve"> </w:t>
        </w:r>
        <w:r>
          <w:rPr>
            <w:rStyle w:val="Hyperlink"/>
            <w:smallCaps/>
          </w:rPr>
          <w:t xml:space="preserve">Reynolds</w:t>
        </w:r>
        <w:r>
          <w:rPr>
            <w:rStyle w:val="Hyperlink"/>
          </w:rPr>
          <w:t xml:space="preserve">, 1983</w:t>
        </w:r>
      </w:hyperlink>
      <w:r>
        <w:t xml:space="preserve">;</w:t>
      </w:r>
      <w:r>
        <w:t xml:space="preserve"> </w:t>
      </w:r>
      <w:hyperlink w:anchor="ref_Stiglitz1987Technological">
        <w:r>
          <w:rPr>
            <w:rStyle w:val="Hyperlink"/>
            <w:smallCaps/>
          </w:rPr>
          <w:t xml:space="preserve">Stiglitz</w:t>
        </w:r>
        <w:r>
          <w:rPr>
            <w:rStyle w:val="Hyperlink"/>
          </w:rPr>
          <w:t xml:space="preserve">, 1987</w:t>
        </w:r>
      </w:hyperlink>
      <w:r>
        <w:t xml:space="preserve">)</w:t>
      </w:r>
      <w:r>
        <w:t xml:space="preserve">: el paso de «sin costes hundidos» a «con algunos» no es continuo, como mostraba el compromiso de capacidad (</w:t>
      </w:r>
      <w:hyperlink w:anchor="sec_compromiso_capacidad">
        <w:r>
          <w:rPr>
            <w:rStyle w:val="Hyperlink"/>
          </w:rPr>
          <w:t xml:space="preserve">III.2.3</w:t>
        </w:r>
      </w:hyperlink>
      <w:r>
        <w:t xml:space="preserve">).</w:t>
      </w:r>
    </w:p>
    <w:p>
      <w:pPr>
        <w:numPr>
          <w:ilvl w:val="0"/>
          <w:numId w:val="1098"/>
        </w:numPr>
      </w:pPr>
      <w:r>
        <w:rPr>
          <w:smallCaps/>
        </w:rPr>
        <w:t xml:space="preserve">Weitzman</w:t>
      </w:r>
      <w:r>
        <w:t xml:space="preserve"> </w:t>
      </w:r>
      <w:r>
        <w:t xml:space="preserve">(</w:t>
      </w:r>
      <w:hyperlink w:anchor="ref_Weitzman1983Contestable">
        <w:r>
          <w:rPr>
            <w:rStyle w:val="Hyperlink"/>
          </w:rPr>
          <w:t xml:space="preserve">1983</w:t>
        </w:r>
      </w:hyperlink>
      <w:r>
        <w:t xml:space="preserve">)</w:t>
      </w:r>
      <w:r>
        <w:t xml:space="preserve"> </w:t>
      </w:r>
      <w:r>
        <w:t xml:space="preserve">añade que, sin costes hundidos, es difícil que haya economías de escala, lo que pone en duda el monopolio natural impugnable, y</w:t>
      </w:r>
      <w:r>
        <w:t xml:space="preserve"> </w:t>
      </w:r>
      <w:r>
        <w:rPr>
          <w:smallCaps/>
        </w:rPr>
        <w:t xml:space="preserve">Shepherd</w:t>
      </w:r>
      <w:r>
        <w:t xml:space="preserve"> </w:t>
      </w:r>
      <w:r>
        <w:t xml:space="preserve">(</w:t>
      </w:r>
      <w:hyperlink w:anchor="ref_Shepherd1984Contestability">
        <w:r>
          <w:rPr>
            <w:rStyle w:val="Hyperlink"/>
          </w:rPr>
          <w:t xml:space="preserve">1984</w:t>
        </w:r>
      </w:hyperlink>
      <w:r>
        <w:t xml:space="preserve">)</w:t>
      </w:r>
      <w:r>
        <w:t xml:space="preserve"> </w:t>
      </w:r>
      <w:r>
        <w:t xml:space="preserve">critica que unos supuestos de entrada tan libres se usaran para justificar concentraciones; sus autores la defendieron como referencia normativa</w:t>
      </w:r>
      <w:r>
        <w:t xml:space="preserve"> </w:t>
      </w:r>
      <w:r>
        <w:t xml:space="preserve">(</w:t>
      </w:r>
      <w:hyperlink w:anchor="ref_BaumolPanzarWillig1983Reply">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1983</w:t>
        </w:r>
      </w:hyperlink>
      <w:r>
        <w:t xml:space="preserve">)</w:t>
      </w:r>
      <w:r>
        <w:t xml:space="preserve">.</w:t>
      </w:r>
    </w:p>
    <w:p>
      <w:pPr>
        <w:numPr>
          <w:ilvl w:val="0"/>
          <w:numId w:val="1098"/>
        </w:numPr>
      </w:pPr>
      <w:r>
        <w:t xml:space="preserve">Su valor no está en describir mercados reales, pocos de los cuales son perfectamente impugnables</w:t>
      </w:r>
      <w:r>
        <w:t xml:space="preserve"> </w:t>
      </w:r>
      <w:r>
        <w:t xml:space="preserve">(</w:t>
      </w:r>
      <w:hyperlink w:anchor="ref_Spence1983Contestable">
        <w:r>
          <w:rPr>
            <w:rStyle w:val="Hyperlink"/>
          </w:rPr>
          <w:t xml:space="preserve">M.</w:t>
        </w:r>
        <w:r>
          <w:rPr>
            <w:rStyle w:val="Hyperlink"/>
          </w:rPr>
          <w:t xml:space="preserve"> </w:t>
        </w:r>
        <w:r>
          <w:rPr>
            <w:rStyle w:val="Hyperlink"/>
            <w:smallCaps/>
          </w:rPr>
          <w:t xml:space="preserve">Spence</w:t>
        </w:r>
        <w:r>
          <w:rPr>
            <w:rStyle w:val="Hyperlink"/>
          </w:rPr>
          <w:t xml:space="preserve">, 1983</w:t>
        </w:r>
      </w:hyperlink>
      <w:r>
        <w:t xml:space="preserve">)</w:t>
      </w:r>
      <w:r>
        <w:t xml:space="preserve">, sino en servir de punto de referencia: dice qué hay que mirar (los costes hundidos y la velocidad de reacción de las instaladas) y qué política funciona (reducirlos). Para analizar lo que pasa cuando no se cumplen sus supuestos hacen falta la teoría de juegos y los datos: la Nueva TOI.</w:t>
      </w:r>
    </w:p>
    <w:bookmarkEnd w:id="196"/>
    <w:bookmarkEnd w:id="197"/>
    <w:bookmarkStart w:id="199" w:name="sec_nueva_toi"/>
    <w:p>
      <w:pPr>
        <w:pStyle w:val="Heading2"/>
      </w:pPr>
      <w:r>
        <w:t xml:space="preserve">III.4.</w:t>
      </w:r>
      <w:r>
        <w:t xml:space="preserve"> </w:t>
      </w:r>
      <w:r>
        <w:t xml:space="preserve">La Nueva Teoría de la Organización Industrial</w:t>
      </w:r>
    </w:p>
    <w:p>
      <w:pPr>
        <w:numPr>
          <w:ilvl w:val="0"/>
          <w:numId w:val="1099"/>
        </w:numPr>
      </w:pPr>
      <w:r>
        <w:rPr>
          <w:i/>
          <w:iCs/>
        </w:rPr>
        <w:t xml:space="preserve">La teoría de juegos</w:t>
      </w:r>
      <w:r>
        <w:t xml:space="preserve">: desde los años 70, la teoría de juegos da a la TOI una teoría de la conducta</w:t>
      </w:r>
      <w:r>
        <w:t xml:space="preserve"> </w:t>
      </w:r>
      <w:r>
        <w:t xml:space="preserve">(</w:t>
      </w:r>
      <w:hyperlink w:anchor="ref_Tirole1988Theory">
        <w:r>
          <w:rPr>
            <w:rStyle w:val="Hyperlink"/>
            <w:smallCaps/>
          </w:rPr>
          <w:t xml:space="preserve">Tirole</w:t>
        </w:r>
        <w:r>
          <w:rPr>
            <w:rStyle w:val="Hyperlink"/>
          </w:rPr>
          <w:t xml:space="preserve">, 1988</w:t>
        </w:r>
      </w:hyperlink>
      <w:r>
        <w:t xml:space="preserve">)</w:t>
      </w:r>
      <w:r>
        <w:t xml:space="preserve"> </w:t>
      </w:r>
      <w:hyperlink r:id="rId36">
        <w:r>
          <w:rPr>
            <w:rStyle w:val="Referenciaatema"/>
          </w:rPr>
          <w:t xml:space="preserve">[ver tema 3.A.14]</w:t>
        </w:r>
      </w:hyperlink>
      <w:r>
        <w:t xml:space="preserve">. La Nueva TOI conserva la pregunta de</w:t>
      </w:r>
      <w:r>
        <w:t xml:space="preserve"> </w:t>
      </w:r>
      <w:r>
        <w:rPr>
          <w:smallCaps/>
        </w:rPr>
        <w:t xml:space="preserve">Harvard</w:t>
      </w:r>
      <w:r>
        <w:t xml:space="preserve"> </w:t>
      </w:r>
      <w:r>
        <w:t xml:space="preserve">(la estructura y la conducta importan) y toma de</w:t>
      </w:r>
      <w:r>
        <w:t xml:space="preserve"> </w:t>
      </w:r>
      <w:r>
        <w:rPr>
          <w:smallCaps/>
        </w:rPr>
        <w:t xml:space="preserve">Chicago</w:t>
      </w:r>
      <w:r>
        <w:t xml:space="preserve"> </w:t>
      </w:r>
      <w:r>
        <w:t xml:space="preserve">el rigor teórico y la importancia de la entrada; la causalidad va en los 2 sentidos: la conducta (inversión, precios, publicidad) también cambia la estructura, como en el compromiso de capacidad (</w:t>
      </w:r>
      <w:hyperlink w:anchor="sec_compromiso_capacidad">
        <w:r>
          <w:rPr>
            <w:rStyle w:val="Hyperlink"/>
          </w:rPr>
          <w:t xml:space="preserve">III.2.3</w:t>
        </w:r>
      </w:hyperlink>
      <w:r>
        <w:t xml:space="preserve">). Los mercados impugnables (</w:t>
      </w:r>
      <w:hyperlink w:anchor="sec_impugnables">
        <w:r>
          <w:rPr>
            <w:rStyle w:val="Hyperlink"/>
          </w:rPr>
          <w:t xml:space="preserve">III.3</w:t>
        </w:r>
      </w:hyperlink>
      <w:r>
        <w:t xml:space="preserve">) son la versión más extrema del argumento de la entrada.</w:t>
      </w:r>
    </w:p>
    <w:p>
      <w:pPr>
        <w:keepNext/>
        <w:numPr>
          <w:ilvl w:val="0"/>
          <w:numId w:val="1099"/>
        </w:numPr>
      </w:pPr>
      <w:r>
        <w:rPr>
          <w:i/>
          <w:iCs/>
        </w:rPr>
        <w:t xml:space="preserve">La Nueva Organización Industrial Empírica</w:t>
      </w:r>
      <w:r>
        <w:t xml:space="preserve"> </w:t>
      </w:r>
      <w:r>
        <w:t xml:space="preserve">(NOIE) estudia los mercados uno a uno y estima la conducta en lugar de suponerla, porque los costes marginales no se observan</w:t>
      </w:r>
      <w:r>
        <w:t xml:space="preserve"> </w:t>
      </w:r>
      <w:r>
        <w:t xml:space="preserve">(</w:t>
      </w:r>
      <w:hyperlink w:anchor="ref_Bresnahan1989Empirical">
        <w:r>
          <w:rPr>
            <w:rStyle w:val="Hyperlink"/>
            <w:smallCaps/>
          </w:rPr>
          <w:t xml:space="preserve">Bresnahan</w:t>
        </w:r>
        <w:r>
          <w:rPr>
            <w:rStyle w:val="Hyperlink"/>
          </w:rPr>
          <w:t xml:space="preserve">, 1989</w:t>
        </w:r>
      </w:hyperlink>
      <w:r>
        <w:t xml:space="preserve">)</w:t>
      </w:r>
      <w:r>
        <w:t xml:space="preserve">, frente a los estudios entre industrias del ECR</w:t>
      </w:r>
      <w:r>
        <w:t xml:space="preserve"> </w:t>
      </w:r>
      <w:r>
        <w:t xml:space="preserve">(</w:t>
      </w:r>
      <w:hyperlink w:anchor="ref_Schmalensee1989Inter">
        <w:r>
          <w:rPr>
            <w:rStyle w:val="Hyperlink"/>
            <w:smallCaps/>
          </w:rPr>
          <w:t xml:space="preserve">Schmalensee</w:t>
        </w:r>
        <w:r>
          <w:rPr>
            <w:rStyle w:val="Hyperlink"/>
          </w:rPr>
          <w:t xml:space="preserve">, 1989</w:t>
        </w:r>
      </w:hyperlink>
      <w:r>
        <w:t xml:space="preserve">)</w:t>
      </w:r>
      <w:r>
        <w:t xml:space="preserve">:</w:t>
      </w:r>
    </w:p>
    <w:p>
      <w:pPr>
        <w:numPr>
          <w:ilvl w:val="1"/>
          <w:numId w:val="1100"/>
        </w:numPr>
      </w:pPr>
      <w:r>
        <w:t xml:space="preserve">con datos de precios y cantidades se estima un</w:t>
      </w:r>
      <w:r>
        <w:t xml:space="preserve"> </w:t>
      </w:r>
      <w:r>
        <w:rPr>
          <w:i/>
          <w:iCs/>
        </w:rPr>
        <w:t xml:space="preserve">parámetro de conducta</w:t>
      </w:r>
      <w:r>
        <w:t xml:space="preserve"> </w:t>
      </w:r>
      <m:oMath>
        <m:r>
          <m:t>θ</m:t>
        </m:r>
      </m:oMath>
      <w:r>
        <w:t xml:space="preserve"> </w:t>
      </w:r>
      <w:r>
        <w:t xml:space="preserve">en la condición de la industria</w:t>
      </w:r>
      <w:r>
        <w:t xml:space="preserve"> </w:t>
      </w:r>
      <m:oMath>
        <m:r>
          <m:t>p</m:t>
        </m:r>
        <m:r>
          <m:rPr>
            <m:sty m:val="p"/>
          </m:rPr>
          <m:t>+</m:t>
        </m:r>
        <m:r>
          <m:t>θ</m:t>
        </m:r>
        <m:r>
          <m:t> </m:t>
        </m:r>
        <m:r>
          <m:t>Q</m:t>
        </m:r>
        <m:r>
          <m:t> </m:t>
        </m:r>
        <m:r>
          <m:t>p</m:t>
        </m:r>
        <m:r>
          <m:rPr>
            <m:sty m:val="p"/>
          </m:rPr>
          <m:t>′</m:t>
        </m:r>
        <m:d>
          <m:dPr>
            <m:begChr m:val="("/>
            <m:sepChr m:val=""/>
            <m:endChr m:val=")"/>
            <m:grow/>
          </m:dPr>
          <m:e>
            <m:r>
              <m:t>Q</m:t>
            </m:r>
          </m:e>
        </m:d>
        <m:r>
          <m:rPr>
            <m:sty m:val="p"/>
          </m:rPr>
          <m:t>=</m:t>
        </m:r>
        <m:r>
          <m:rPr>
            <m:sty m:val="p"/>
          </m:rPr>
          <m:t>C</m:t>
        </m:r>
        <m:r>
          <m:rPr>
            <m:sty m:val="p"/>
          </m:rPr>
          <m:t>M</m:t>
        </m:r>
        <m:r>
          <m:rPr>
            <m:sty m:val="p"/>
          </m:rPr>
          <m:t>g</m:t>
        </m:r>
      </m:oMath>
      <w:r>
        <w:t xml:space="preserve">, equivalente a</w:t>
      </w:r>
      <w:r>
        <w:t xml:space="preserve"> </w:t>
      </w:r>
      <m:oMath>
        <m:r>
          <m:rPr>
            <m:sty m:val="p"/>
            <m:scr m:val="script"/>
          </m:rPr>
          <m:t>L</m:t>
        </m:r>
        <m:r>
          <m:rPr>
            <m:sty m:val="p"/>
          </m:rPr>
          <m:t>=</m:t>
        </m:r>
        <m:r>
          <m:t>θ</m:t>
        </m:r>
        <m:r>
          <m:rPr>
            <m:sty m:val="p"/>
          </m:rPr>
          <m:t>/</m:t>
        </m:r>
        <m:d>
          <m:dPr>
            <m:begChr m:val="|"/>
            <m:sepChr m:val=""/>
            <m:endChr m:val="|"/>
            <m:grow/>
          </m:dPr>
          <m:e>
            <m:sSub>
              <m:e>
                <m:r>
                  <m:t>ε</m:t>
                </m:r>
              </m:e>
              <m:sub>
                <m:r>
                  <m:t>Q</m:t>
                </m:r>
                <m:r>
                  <m:rPr>
                    <m:sty m:val="p"/>
                  </m:rPr>
                  <m:t>,</m:t>
                </m:r>
                <m:r>
                  <m:t>p</m:t>
                </m:r>
              </m:sub>
            </m:sSub>
          </m:e>
        </m:d>
      </m:oMath>
      <w:r>
        <w:t xml:space="preserve">:</w:t>
      </w:r>
      <w:r>
        <w:t xml:space="preserve"> </w:t>
      </w:r>
      <m:oMath>
        <m:r>
          <m:t>θ</m:t>
        </m:r>
        <m:r>
          <m:rPr>
            <m:sty m:val="p"/>
          </m:rPr>
          <m:t>=</m:t>
        </m:r>
        <m:r>
          <m:t>0</m:t>
        </m:r>
      </m:oMath>
      <w:r>
        <w:t xml:space="preserve"> </w:t>
      </w:r>
      <w:r>
        <w:t xml:space="preserve">es competencia (o</w:t>
      </w:r>
      <w:r>
        <w:t xml:space="preserve"> </w:t>
      </w:r>
      <w:r>
        <w:rPr>
          <w:smallCaps/>
        </w:rPr>
        <w:t xml:space="preserve">Bertrand</w:t>
      </w:r>
      <w:r>
        <w:t xml:space="preserve">),</w:t>
      </w:r>
      <w:r>
        <w:t xml:space="preserve"> </w:t>
      </w:r>
      <m:oMath>
        <m:r>
          <m:t>θ</m:t>
        </m:r>
        <m:r>
          <m:rPr>
            <m:sty m:val="p"/>
          </m:rPr>
          <m:t>=</m:t>
        </m:r>
        <m:r>
          <m:t>1</m:t>
        </m:r>
        <m:r>
          <m:rPr>
            <m:sty m:val="p"/>
          </m:rPr>
          <m:t>/</m:t>
        </m:r>
        <m:r>
          <m:t>J</m:t>
        </m:r>
      </m:oMath>
      <w:r>
        <w:t xml:space="preserve"> </w:t>
      </w:r>
      <w:r>
        <w:t xml:space="preserve">el oligopolio simétrico de</w:t>
      </w:r>
      <w:r>
        <w:t xml:space="preserve"> </w:t>
      </w:r>
      <w:r>
        <w:rPr>
          <w:smallCaps/>
        </w:rPr>
        <w:t xml:space="preserve">Cournot</w:t>
      </w:r>
      <w:r>
        <w:t xml:space="preserve"> </w:t>
      </w:r>
      <w:r>
        <w:t xml:space="preserve">y</w:t>
      </w:r>
      <w:r>
        <w:t xml:space="preserve"> </w:t>
      </w:r>
      <m:oMath>
        <m:r>
          <m:t>θ</m:t>
        </m:r>
        <m:r>
          <m:rPr>
            <m:sty m:val="p"/>
          </m:rPr>
          <m:t>=</m:t>
        </m:r>
        <m:r>
          <m:t>1</m:t>
        </m:r>
      </m:oMath>
      <w:r>
        <w:t xml:space="preserve"> </w:t>
      </w:r>
      <w:r>
        <w:t xml:space="preserve">el monopolio o el cártel; los giros de la demanda, y no solo sus desplazamientos, permiten identificarlo</w:t>
      </w:r>
      <w:r>
        <w:t xml:space="preserve"> </w:t>
      </w:r>
      <w:r>
        <w:t xml:space="preserve">(</w:t>
      </w:r>
      <w:hyperlink w:anchor="ref_Bresnahan1982Oligopoly">
        <w:r>
          <w:rPr>
            <w:rStyle w:val="Hyperlink"/>
            <w:smallCaps/>
          </w:rPr>
          <w:t xml:space="preserve">Bresnahan</w:t>
        </w:r>
        <w:r>
          <w:rPr>
            <w:rStyle w:val="Hyperlink"/>
          </w:rPr>
          <w:t xml:space="preserve">, 1982</w:t>
        </w:r>
      </w:hyperlink>
      <w:r>
        <w:t xml:space="preserve">)</w:t>
      </w:r>
      <w:r>
        <w:t xml:space="preserve">;</w:t>
      </w:r>
      <w:r>
        <w:rPr>
          <w:rStyle w:val="FootnoteReference"/>
        </w:rPr>
        <w:footnoteReference w:id="198"/>
      </w:r>
    </w:p>
    <w:p>
      <w:pPr>
        <w:numPr>
          <w:ilvl w:val="1"/>
          <w:numId w:val="1100"/>
        </w:numPr>
      </w:pPr>
      <w:r>
        <w:t xml:space="preserve">o se comparan modelos alternativos no anidados (</w:t>
      </w:r>
      <w:r>
        <w:rPr>
          <w:smallCaps/>
        </w:rPr>
        <w:t xml:space="preserve">Cournot</w:t>
      </w:r>
      <w:r>
        <w:t xml:space="preserve">,</w:t>
      </w:r>
      <w:r>
        <w:t xml:space="preserve"> </w:t>
      </w:r>
      <w:r>
        <w:rPr>
          <w:smallCaps/>
        </w:rPr>
        <w:t xml:space="preserve">Bertrand</w:t>
      </w:r>
      <w:r>
        <w:t xml:space="preserve">, colusión) para ver cuál explica mejor los datos, como en el mercado de refrescos de cola</w:t>
      </w:r>
      <w:r>
        <w:t xml:space="preserve"> </w:t>
      </w:r>
      <w:r>
        <w:t xml:space="preserve">(</w:t>
      </w:r>
      <w:hyperlink w:anchor="ref_GasmiLaffontVuong1992Econometric">
        <w:r>
          <w:rPr>
            <w:rStyle w:val="Hyperlink"/>
            <w:smallCaps/>
          </w:rPr>
          <w:t xml:space="preserve">Gasmi</w:t>
        </w:r>
        <w:r>
          <w:rPr>
            <w:rStyle w:val="Hyperlink"/>
          </w:rPr>
          <w:t xml:space="preserve">,</w:t>
        </w:r>
        <w:r>
          <w:rPr>
            <w:rStyle w:val="Hyperlink"/>
          </w:rPr>
          <w:t xml:space="preserve"> </w:t>
        </w:r>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Vuong</w:t>
        </w:r>
        <w:r>
          <w:rPr>
            <w:rStyle w:val="Hyperlink"/>
          </w:rPr>
          <w:t xml:space="preserve">, 1992</w:t>
        </w:r>
      </w:hyperlink>
      <w:r>
        <w:t xml:space="preserve">)</w:t>
      </w:r>
      <w:r>
        <w:t xml:space="preserve">.</w:t>
      </w:r>
    </w:p>
    <w:p>
      <w:pPr>
        <w:numPr>
          <w:ilvl w:val="0"/>
          <w:numId w:val="1000"/>
        </w:numPr>
      </w:pPr>
      <w:r>
        <w:t xml:space="preserve">La evidencia reciente apunta a márgenes crecientes: desde 2000 han subido de media un 8 % en las economías avanzadas</w:t>
      </w:r>
      <w:r>
        <w:t xml:space="preserve"> </w:t>
      </w:r>
      <w:r>
        <w:t xml:space="preserve">(</w:t>
      </w:r>
      <w:hyperlink w:anchor="ref_FMI2019WEO">
        <w:r>
          <w:rPr>
            <w:rStyle w:val="Hyperlink"/>
            <w:smallCaps/>
          </w:rPr>
          <w:t xml:space="preserve">Fondo Monetario Internacional</w:t>
        </w:r>
        <w:r>
          <w:rPr>
            <w:rStyle w:val="Hyperlink"/>
          </w:rPr>
          <w:t xml:space="preserve">, 2019</w:t>
        </w:r>
      </w:hyperlink>
      <w:r>
        <w:t xml:space="preserve">)</w:t>
      </w:r>
      <w:r>
        <w:t xml:space="preserve">, y en Estados Unidos mucho más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con un debate abierto entre la explicación tecnológica (empresas superestrella, como sostienen</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y la de las barreras y la menor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w:t>
      </w:r>
    </w:p>
    <w:p>
      <w:pPr>
        <w:keepNext/>
        <w:numPr>
          <w:ilvl w:val="0"/>
          <w:numId w:val="1099"/>
        </w:numPr>
      </w:pPr>
      <w:r>
        <w:rPr>
          <w:i/>
          <w:iCs/>
        </w:rPr>
        <w:t xml:space="preserve">Jean</w:t>
      </w:r>
      <w:r>
        <w:rPr>
          <w:i/>
          <w:iCs/>
        </w:rPr>
        <w:t xml:space="preserve"> </w:t>
      </w:r>
      <w:r>
        <w:rPr>
          <w:i/>
          <w:iCs/>
          <w:smallCaps/>
        </w:rPr>
        <w:t xml:space="preserve">Tirole</w:t>
      </w:r>
      <w:r>
        <w:t xml:space="preserve"> </w:t>
      </w:r>
      <w:r>
        <w:t xml:space="preserve">(Nobel 2014) es la figura central de esta etapa. Su idea guía: no hay recetas universales; la intervención adecuada depende de los costes, de la información y del origen del poder de mercado de cada industria</w:t>
      </w:r>
      <w:r>
        <w:t xml:space="preserve"> </w:t>
      </w:r>
      <w:r>
        <w:t xml:space="preserve">(</w:t>
      </w:r>
      <w:hyperlink w:anchor="ref_Tirole2014Nobel">
        <w:r>
          <w:rPr>
            <w:rStyle w:val="Hyperlink"/>
            <w:smallCaps/>
          </w:rPr>
          <w:t xml:space="preserve">Tirole</w:t>
        </w:r>
        <w:r>
          <w:rPr>
            <w:rStyle w:val="Hyperlink"/>
          </w:rPr>
          <w:t xml:space="preserve">, 2014</w:t>
        </w:r>
      </w:hyperlink>
      <w:r>
        <w:t xml:space="preserve">)</w:t>
      </w:r>
      <w:r>
        <w:t xml:space="preserve">. Entre las aportaciones que cita el Nobel</w:t>
      </w:r>
      <w:r>
        <w:t xml:space="preserve"> </w:t>
      </w:r>
      <w:r>
        <w:t xml:space="preserve">(</w:t>
      </w:r>
      <w:hyperlink w:anchor="ref_Nobel2014TiroleBackground">
        <w:r>
          <w:rPr>
            <w:rStyle w:val="Hyperlink"/>
            <w:smallCaps/>
          </w:rPr>
          <w:t xml:space="preserve">Economic Sciences Prize Committee of the Royal Swedish Academy of Sciences</w:t>
        </w:r>
        <w:r>
          <w:rPr>
            <w:rStyle w:val="Hyperlink"/>
          </w:rPr>
          <w:t xml:space="preserve">, 2014</w:t>
        </w:r>
      </w:hyperlink>
      <w:r>
        <w:t xml:space="preserve">)</w:t>
      </w:r>
      <w:r>
        <w:t xml:space="preserve">:</w:t>
      </w:r>
    </w:p>
    <w:p>
      <w:pPr>
        <w:numPr>
          <w:ilvl w:val="1"/>
          <w:numId w:val="1101"/>
        </w:numPr>
      </w:pPr>
      <w:r>
        <w:t xml:space="preserve">la</w:t>
      </w:r>
      <w:r>
        <w:t xml:space="preserve"> </w:t>
      </w:r>
      <w:r>
        <w:rPr>
          <w:i/>
          <w:iCs/>
        </w:rPr>
        <w:t xml:space="preserve">inversión estratégica</w:t>
      </w:r>
      <w:r>
        <w:t xml:space="preserve">: cuándo conviene invertir de más o de menos (capacidad, publicidad, investigación) para disuadir o acomodar la entrada</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w:t>
      </w:r>
      <w:r>
        <w:t xml:space="preserve">(anexo </w:t>
      </w:r>
      <w:hyperlink w:anchor="anexo_taxonomia">
        <w:r>
          <w:rPr>
            <w:rStyle w:val="Hyperlink"/>
          </w:rPr>
          <w:t xml:space="preserve">C</w:t>
        </w:r>
      </w:hyperlink>
      <w:r>
        <w:t xml:space="preserve">);</w:t>
      </w:r>
    </w:p>
    <w:p>
      <w:pPr>
        <w:numPr>
          <w:ilvl w:val="1"/>
          <w:numId w:val="1101"/>
        </w:numPr>
      </w:pPr>
      <w:r>
        <w:t xml:space="preserve">el</w:t>
      </w:r>
      <w:r>
        <w:t xml:space="preserve"> </w:t>
      </w:r>
      <w:r>
        <w:rPr>
          <w:i/>
          <w:iCs/>
        </w:rPr>
        <w:t xml:space="preserve">cierre de mercados</w:t>
      </w:r>
      <w:r>
        <w:t xml:space="preserve"> </w:t>
      </w:r>
      <w:r>
        <w:t xml:space="preserve">(</w:t>
      </w:r>
      <w:r>
        <w:rPr>
          <w:i/>
          <w:iCs/>
        </w:rPr>
        <w:t xml:space="preserve">foreclosure</w:t>
      </w:r>
      <w:r>
        <w:t xml:space="preserve">): el dueño de un cuello de botella integrado verticalmente puede negar el acceso o discriminar a los rivales para recuperar el poder de mercado que la competencia aguas abajo le quitaría</w:t>
      </w:r>
      <w:r>
        <w:t xml:space="preserve"> </w:t>
      </w:r>
      <w:r>
        <w:t xml:space="preserve">(</w:t>
      </w:r>
      <w:hyperlink w:anchor="ref_HartTirole1990Vertical">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1990</w:t>
        </w:r>
      </w:hyperlink>
      <w:r>
        <w:t xml:space="preserve">)</w:t>
      </w:r>
      <w:r>
        <w:t xml:space="preserve">; es el contrapeso de la tolerancia con la integración vertical (</w:t>
      </w:r>
      <w:hyperlink w:anchor="sec_otros_enfoques">
        <w:r>
          <w:rPr>
            <w:rStyle w:val="Hyperlink"/>
          </w:rPr>
          <w:t xml:space="preserve">II.4</w:t>
        </w:r>
      </w:hyperlink>
      <w:r>
        <w:t xml:space="preserve">);</w:t>
      </w:r>
    </w:p>
    <w:p>
      <w:pPr>
        <w:numPr>
          <w:ilvl w:val="1"/>
          <w:numId w:val="1101"/>
        </w:numPr>
      </w:pPr>
      <w:r>
        <w:t xml:space="preserve">la</w:t>
      </w:r>
      <w:r>
        <w:t xml:space="preserve"> </w:t>
      </w:r>
      <w:r>
        <w:rPr>
          <w:i/>
          <w:iCs/>
        </w:rPr>
        <w:t xml:space="preserve">regulación con información asimétrica</w:t>
      </w:r>
      <w:r>
        <w:t xml:space="preserve">: menús de contratos con los que el regulador hace que la empresa revele su eficiencia a cambio de una renta, y el efecto trinquete en la relación repetida</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y el precio de acceso y de interconexión de las redes</w:t>
      </w:r>
      <w:r>
        <w:t xml:space="preserve"> </w:t>
      </w:r>
      <w:r>
        <w:t xml:space="preserve">(</w:t>
      </w:r>
      <w:hyperlink w:anchor="ref_LaffontReyTirole1998NetworkI">
        <w:r>
          <w:rPr>
            <w:rStyle w:val="Hyperlink"/>
            <w:smallCaps/>
          </w:rPr>
          <w:t xml:space="preserve">Laffont</w:t>
        </w:r>
        <w:r>
          <w:rPr>
            <w:rStyle w:val="Hyperlink"/>
          </w:rPr>
          <w:t xml:space="preserve">,</w:t>
        </w:r>
        <w:r>
          <w:rPr>
            <w:rStyle w:val="Hyperlink"/>
          </w:rPr>
          <w:t xml:space="preserve"> </w:t>
        </w:r>
        <w:r>
          <w:rPr>
            <w:rStyle w:val="Hyperlink"/>
            <w:smallCaps/>
          </w:rPr>
          <w:t xml:space="preserve">Rey</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1998</w:t>
        </w:r>
      </w:hyperlink>
      <w:r>
        <w:t xml:space="preserve">;</w:t>
      </w:r>
      <w:r>
        <w:t xml:space="preserve"> </w:t>
      </w:r>
      <w:hyperlink w:anchor="ref_LaffontTirole2000Competition">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2000</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1"/>
          <w:numId w:val="1101"/>
        </w:numPr>
      </w:pPr>
      <w:r>
        <w:t xml:space="preserve">los</w:t>
      </w:r>
      <w:r>
        <w:t xml:space="preserve"> </w:t>
      </w:r>
      <w:r>
        <w:rPr>
          <w:i/>
          <w:iCs/>
        </w:rPr>
        <w:t xml:space="preserve">mercados de 2 lados</w:t>
      </w:r>
      <w:r>
        <w:t xml:space="preserve">: plataformas que fijan precios a 2 grupos de usuarios que se necesitan, y para las que un precio muy bajo o nulo en un lado no es depredación</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w:t>
      </w:r>
    </w:p>
    <w:p>
      <w:pPr>
        <w:numPr>
          <w:ilvl w:val="0"/>
          <w:numId w:val="1102"/>
        </w:numPr>
      </w:pPr>
      <w:r>
        <w:rPr>
          <w:i/>
          <w:iCs/>
        </w:rPr>
        <w:t xml:space="preserve">Recapitulación del bloque </w:t>
      </w:r>
      <w:hyperlink w:anchor="sec_toi">
        <w:r>
          <w:rPr>
            <w:rStyle w:val="Hyperlink"/>
            <w:i/>
            <w:iCs/>
          </w:rPr>
          <w:t xml:space="preserve">III</w:t>
        </w:r>
      </w:hyperlink>
      <w:r>
        <w:t xml:space="preserve">: el paradigma ECR veía el poder de mercado en la concentración;</w:t>
      </w:r>
      <w:r>
        <w:t xml:space="preserve"> </w:t>
      </w:r>
      <w:r>
        <w:rPr>
          <w:smallCaps/>
        </w:rPr>
        <w:t xml:space="preserve">Chicago</w:t>
      </w:r>
      <w:r>
        <w:t xml:space="preserve">, en la regulación. Las barreras a la entrada resuelven el debate: el poder de mercado dura si entrar exige costes hundidos o si las instaladas pueden comprometerse de forma creíble; sin costes hundidos, la amenaza de entrada basta, aunque haya una sola empresa.</w:t>
      </w:r>
    </w:p>
    <w:bookmarkEnd w:id="199"/>
    <w:bookmarkEnd w:id="200"/>
    <w:bookmarkStart w:id="202" w:name="conclusi__n"/>
    <w:p>
      <w:pPr>
        <w:pStyle w:val="Heading1"/>
      </w:pPr>
      <w:r>
        <w:t xml:space="preserve">Conclusión</w:t>
      </w:r>
      <w:r>
        <w:t xml:space="preserve"> </w:t>
      </w:r>
      <w:r>
        <w:rPr>
          <w:rStyle w:val="Minutos"/>
        </w:rPr>
        <w:t xml:space="preserve">1′</w:t>
      </w:r>
    </w:p>
    <w:p>
      <w:pPr>
        <w:keepNext/>
        <w:numPr>
          <w:ilvl w:val="0"/>
          <w:numId w:val="1103"/>
        </w:numPr>
      </w:pPr>
      <w:r>
        <w:rPr>
          <w:b/>
          <w:bCs/>
          <w:i/>
          <w:iCs/>
        </w:rPr>
        <w:t xml:space="preserve">Recapitulación</w:t>
      </w:r>
      <w:r>
        <w:t xml:space="preserve">: en conclusión, la empresa deja de ser una caja negra:</w:t>
      </w:r>
    </w:p>
    <w:p>
      <w:pPr>
        <w:numPr>
          <w:ilvl w:val="1"/>
          <w:numId w:val="1104"/>
        </w:numPr>
      </w:pPr>
      <w:r>
        <w:t xml:space="preserve">la tecnología fija un tamaño eficiente mínimo; la dirección, los objetivos de los directivos y los problemas de agencia le ponen límites internos (</w:t>
      </w:r>
      <w:hyperlink w:anchor="sec_tamano_limites">
        <w:r>
          <w:rPr>
            <w:rStyle w:val="Hyperlink"/>
          </w:rPr>
          <w:t xml:space="preserve">I</w:t>
        </w:r>
      </w:hyperlink>
      <w:r>
        <w:t xml:space="preserve">);</w:t>
      </w:r>
    </w:p>
    <w:p>
      <w:pPr>
        <w:numPr>
          <w:ilvl w:val="1"/>
          <w:numId w:val="1104"/>
        </w:numPr>
      </w:pPr>
      <w:r>
        <w:t xml:space="preserve">la empresa existe porque usar el mercado cuesta, y su frontera depende de la especificidad de los activos y de quién tiene los derechos residuales de control cuando el contrato calla (</w:t>
      </w:r>
      <w:hyperlink w:anchor="sec_costes_transaccion">
        <w:r>
          <w:rPr>
            <w:rStyle w:val="Hyperlink"/>
          </w:rPr>
          <w:t xml:space="preserve">II</w:t>
        </w:r>
      </w:hyperlink>
      <w:r>
        <w:t xml:space="preserve">);</w:t>
      </w:r>
    </w:p>
    <w:p>
      <w:pPr>
        <w:numPr>
          <w:ilvl w:val="1"/>
          <w:numId w:val="1104"/>
        </w:numPr>
      </w:pPr>
      <w:r>
        <w:t xml:space="preserve">en el mercado, el número de empresas importa menos que las condiciones de entrada: las barreras sostienen el poder de mercado si son creíbles, y sin costes hundidos basta la amenaza de entrada (</w:t>
      </w:r>
      <w:hyperlink w:anchor="sec_toi">
        <w:r>
          <w:rPr>
            <w:rStyle w:val="Hyperlink"/>
          </w:rPr>
          <w:t xml:space="preserve">III</w:t>
        </w:r>
      </w:hyperlink>
      <w:r>
        <w:t xml:space="preserve">).</w:t>
      </w:r>
    </w:p>
    <w:p>
      <w:pPr>
        <w:numPr>
          <w:ilvl w:val="0"/>
          <w:numId w:val="1103"/>
        </w:numPr>
      </w:pPr>
      <w:r>
        <w:rPr>
          <w:b/>
          <w:bCs/>
          <w:i/>
          <w:iCs/>
        </w:rPr>
        <w:t xml:space="preserve">Relevancia</w:t>
      </w:r>
      <w:r>
        <w:t xml:space="preserve">: la defensa de la competencia mira la competencia efectiva y las barreras, no solo el número de empresas, y no condena de antemano integraciones, franquicias y exclusivas, que pueden ahorrar costes de transacción</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 la regulación de las industrias de red separa la red de los servicios para que estos sean impugnables</w:t>
      </w:r>
      <w:r>
        <w:t xml:space="preserve"> </w:t>
      </w:r>
      <w:hyperlink r:id="rId31">
        <w:r>
          <w:rPr>
            <w:rStyle w:val="Referenciaatema"/>
          </w:rPr>
          <w:t xml:space="preserve">[ver tema 3.A.20]</w:t>
        </w:r>
      </w:hyperlink>
      <w:r>
        <w:t xml:space="preserve">.</w:t>
      </w:r>
    </w:p>
    <w:p>
      <w:pPr>
        <w:numPr>
          <w:ilvl w:val="0"/>
          <w:numId w:val="1103"/>
        </w:numPr>
      </w:pPr>
      <w:r>
        <w:rPr>
          <w:b/>
          <w:bCs/>
          <w:i/>
          <w:iCs/>
        </w:rPr>
        <w:t xml:space="preserve">Extensiones y relación con otras partes del temario</w:t>
      </w:r>
      <w:r>
        <w:t xml:space="preserve">: la información asimétrica y la agencia</w:t>
      </w:r>
      <w:r>
        <w:t xml:space="preserve"> </w:t>
      </w:r>
      <w:hyperlink r:id="rId35">
        <w:r>
          <w:rPr>
            <w:rStyle w:val="Referenciaatema"/>
          </w:rPr>
          <w:t xml:space="preserve">[ver tema 3.A.13]</w:t>
        </w:r>
      </w:hyperlink>
      <w:r>
        <w:t xml:space="preserve">; las herramientas de la teoría de juegos</w:t>
      </w:r>
      <w:r>
        <w:t xml:space="preserve"> </w:t>
      </w:r>
      <w:hyperlink r:id="rId36">
        <w:r>
          <w:rPr>
            <w:rStyle w:val="Referenciaatema"/>
          </w:rPr>
          <w:t xml:space="preserve">[ver tema 3.A.14]</w:t>
        </w:r>
      </w:hyperlink>
      <w:r>
        <w:t xml:space="preserve">; las estructuras de mercado</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el crecimiento de la empresa, las fusiones y las alianzas</w:t>
      </w:r>
      <w:r>
        <w:t xml:space="preserve"> </w:t>
      </w:r>
      <w:hyperlink r:id="rId63">
        <w:r>
          <w:rPr>
            <w:rStyle w:val="Referenciaatema"/>
          </w:rPr>
          <w:t xml:space="preserve">[ver tema 3.B.4]</w:t>
        </w:r>
      </w:hyperlink>
      <w:r>
        <w:t xml:space="preserve">; las cadenas globales de valor como decisión de hacer o comprar entre países</w:t>
      </w:r>
      <w:r>
        <w:t xml:space="preserve"> </w:t>
      </w:r>
      <w:hyperlink r:id="rId201">
        <w:r>
          <w:rPr>
            <w:rStyle w:val="Referenciaatema"/>
          </w:rPr>
          <w:t xml:space="preserve">[ver tema 3.B.18]</w:t>
        </w:r>
      </w:hyperlink>
      <w:r>
        <w:t xml:space="preserve">, y las plataformas digitales, en las que los efectos de red y los datos son las nuevas barreras y que la Unión Europea regula desde 2022 con un reglamento «sobre mercados disputables y equitativos en el sector digital»</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(anexo </w:t>
      </w:r>
      <w:hyperlink w:anchor="anexo_plataformas">
        <w:r>
          <w:rPr>
            <w:rStyle w:val="Hyperlink"/>
          </w:rPr>
          <w:t xml:space="preserve">E</w:t>
        </w:r>
      </w:hyperlink>
      <w:r>
        <w:t xml:space="preserve">).</w:t>
      </w:r>
    </w:p>
    <w:p>
      <w:pPr>
        <w:numPr>
          <w:ilvl w:val="0"/>
          <w:numId w:val="1103"/>
        </w:numPr>
      </w:pPr>
      <w:r>
        <w:rPr>
          <w:b/>
          <w:bCs/>
          <w:i/>
          <w:iCs/>
        </w:rPr>
        <w:t xml:space="preserve">Opinión</w:t>
      </w:r>
      <w:r>
        <w:t xml:space="preserve">: la economía de los costes de transacción enseña humildad al regulador, porque muchas prácticas que parecen restrictivas son soluciones a problemas de contratación. Pero los márgenes crecientes recuerdan que la amenaza de entrada solo disciplina si entrar es posible: vigilar las barreras, sobre todo en los mercados digitales, es hoy la tarea central de la política de competencia.</w:t>
      </w:r>
    </w:p>
    <w:p>
      <w:pPr>
        <w:numPr>
          <w:ilvl w:val="0"/>
          <w:numId w:val="1103"/>
        </w:numPr>
      </w:pPr>
      <w:r>
        <w:rPr>
          <w:b/>
          <w:bCs/>
          <w:i/>
          <w:iCs/>
        </w:rPr>
        <w:t xml:space="preserve">Idea final</w:t>
      </w:r>
      <w:r>
        <w:t xml:space="preserve">:</w:t>
      </w:r>
      <w:r>
        <w:t xml:space="preserve"> </w:t>
      </w:r>
      <w:r>
        <w:rPr>
          <w:smallCaps/>
        </w:rPr>
        <w:t xml:space="preserve">Lenin</w:t>
      </w:r>
      <w:r>
        <w:t xml:space="preserve"> </w:t>
      </w:r>
      <w:r>
        <w:t xml:space="preserve">quería organizar la economía como una sola fábrica; los profesores de</w:t>
      </w:r>
      <w:r>
        <w:t xml:space="preserve"> </w:t>
      </w:r>
      <w:r>
        <w:rPr>
          <w:smallCaps/>
        </w:rPr>
        <w:t xml:space="preserve">Coase</w:t>
      </w:r>
      <w:r>
        <w:t xml:space="preserve">, como un solo mercado. La respuesta de</w:t>
      </w:r>
      <w:r>
        <w:t xml:space="preserve"> </w:t>
      </w:r>
      <w:r>
        <w:rPr>
          <w:smallCaps/>
        </w:rPr>
        <w:t xml:space="preserve">Coase</w:t>
      </w:r>
      <w:r>
        <w:t xml:space="preserve"> </w:t>
      </w:r>
      <w:r>
        <w:t xml:space="preserve">es que los 2 cuestan, y por eso ninguno de los 2 refranes vale siempre: hay empresas porque los contratos no lo pueden prever todo, y no hay una sola porque la jerarquía también tiene costes. La economía real son islas de organización en un mar de mercado, y su tamaño lo fija el margen en que organizar y comprar cuestan lo mismo.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2"/>
    <w:bookmarkStart w:id="203" w:name="anexo_austriaca"/>
    <w:p>
      <w:pPr>
        <w:pStyle w:val="Heading1"/>
      </w:pPr>
      <w:r>
        <w:t xml:space="preserve">A. Anexo: la escuela austriaca y</w:t>
      </w:r>
      <w:r>
        <w:t xml:space="preserve"> </w:t>
      </w:r>
      <w:r>
        <w:rPr>
          <w:smallCaps/>
        </w:rPr>
        <w:t xml:space="preserve">Schumpeter</w:t>
      </w:r>
    </w:p>
    <w:p>
      <w:pPr>
        <w:keepNext/>
        <w:numPr>
          <w:ilvl w:val="0"/>
          <w:numId w:val="1105"/>
        </w:numPr>
      </w:pPr>
      <w:r>
        <w:rPr>
          <w:i/>
          <w:iCs/>
        </w:rPr>
        <w:t xml:space="preserve">Mercado y empresario</w:t>
      </w:r>
      <w:r>
        <w:t xml:space="preserve"> </w:t>
      </w:r>
      <w:r>
        <w:t xml:space="preserve">(los neoaustriacos:</w:t>
      </w:r>
      <w:r>
        <w:t xml:space="preserve"> </w:t>
      </w:r>
      <w:r>
        <w:rPr>
          <w:smallCaps/>
        </w:rPr>
        <w:t xml:space="preserve">Hayek</w:t>
      </w:r>
      <w:r>
        <w:t xml:space="preserve"> </w:t>
      </w:r>
      <w:r>
        <w:t xml:space="preserve">y</w:t>
      </w:r>
      <w:r>
        <w:t xml:space="preserve"> </w:t>
      </w:r>
      <w:r>
        <w:rPr>
          <w:smallCaps/>
        </w:rPr>
        <w:t xml:space="preserve">Kirzner</w:t>
      </w:r>
      <w:r>
        <w:t xml:space="preserve">, seguidores de</w:t>
      </w:r>
      <w:r>
        <w:t xml:space="preserve"> </w:t>
      </w:r>
      <w:r>
        <w:rPr>
          <w:smallCaps/>
        </w:rPr>
        <w:t xml:space="preserve">Mises</w:t>
      </w:r>
      <w:r>
        <w:t xml:space="preserve">). La competencia es un</w:t>
      </w:r>
      <w:r>
        <w:t xml:space="preserve"> </w:t>
      </w:r>
      <w:r>
        <w:rPr>
          <w:i/>
          <w:iCs/>
        </w:rPr>
        <w:t xml:space="preserve">proceso de descubrimiento</w:t>
      </w:r>
      <w:r>
        <w:t xml:space="preserve">: con incertidumbre y conocimiento disperso, los precios transmiten información, y el empresario es quien está alerta a las oportunidades de beneficio que otros no han visto</w:t>
      </w:r>
      <w:r>
        <w:t xml:space="preserve"> </w:t>
      </w:r>
      <w:r>
        <w:t xml:space="preserve">(</w:t>
      </w:r>
      <w:hyperlink w:anchor="ref_Kirzner1973Competition">
        <w:r>
          <w:rPr>
            <w:rStyle w:val="Hyperlink"/>
            <w:smallCaps/>
          </w:rPr>
          <w:t xml:space="preserve">Kirzner</w:t>
        </w:r>
        <w:r>
          <w:rPr>
            <w:rStyle w:val="Hyperlink"/>
          </w:rPr>
          <w:t xml:space="preserve">, 1973</w:t>
        </w:r>
      </w:hyperlink>
      <w:r>
        <w:t xml:space="preserve">)</w:t>
      </w:r>
      <w:r>
        <w:t xml:space="preserve">. El mercado no está nunca en equilibrio, sino en un orden que tiende a él</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w:t>
      </w:r>
    </w:p>
    <w:p>
      <w:pPr>
        <w:numPr>
          <w:ilvl w:val="1"/>
          <w:numId w:val="1106"/>
        </w:numPr>
      </w:pPr>
      <w:r>
        <w:t xml:space="preserve">Los beneficios extraordinarios no prueban un monopolio dañino, sino oportunidades por explotar; el poder de mercado duradero lo crea la regulación.</w:t>
      </w:r>
    </w:p>
    <w:p>
      <w:pPr>
        <w:numPr>
          <w:ilvl w:val="1"/>
          <w:numId w:val="1106"/>
        </w:numPr>
      </w:pPr>
      <w:r>
        <w:rPr>
          <w:i/>
          <w:iCs/>
        </w:rPr>
        <w:t xml:space="preserve">Implicaciones de política económica</w:t>
      </w:r>
      <w:r>
        <w:t xml:space="preserve">: libertad de entrada y reglas marco que no maten el incentivo a innovar. Controlar los precios o los beneficios de las industrias reguladas reduce el atractivo de entrar en ellas y, paradójicamente, protege a las instaladas; y las empresas que podrían innovar se desaniman si la regulación amenaza los beneficios de hacerlo. El</w:t>
      </w:r>
      <w:r>
        <w:t xml:space="preserve"> </w:t>
      </w:r>
      <w:r>
        <w:rPr>
          <w:i/>
          <w:iCs/>
        </w:rPr>
        <w:t xml:space="preserve">price cap</w:t>
      </w:r>
      <w:r>
        <w:t xml:space="preserve"> </w:t>
      </w:r>
      <w:r>
        <w:t xml:space="preserve">que propone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British Telecom privatizada responde a esa idea</w:t>
      </w:r>
      <w:r>
        <w:t xml:space="preserve"> </w:t>
      </w:r>
      <w:hyperlink r:id="rId26">
        <w:r>
          <w:rPr>
            <w:rStyle w:val="Referenciaatema"/>
          </w:rPr>
          <w:t xml:space="preserve">[ver tema 3.A.17]</w:t>
        </w:r>
      </w:hyperlink>
      <w:r>
        <w:t xml:space="preserve">.</w:t>
      </w:r>
    </w:p>
    <w:p>
      <w:pPr>
        <w:keepNext/>
        <w:numPr>
          <w:ilvl w:val="0"/>
          <w:numId w:val="1105"/>
        </w:numPr>
      </w:pPr>
      <w:r>
        <w:rPr>
          <w:i/>
          <w:iCs/>
        </w:rPr>
        <w:t xml:space="preserve">La línea schumpeteriana</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lo relevante no es la competencia en precios, sino la que traen los productos y las técnicas nuevas, la</w:t>
      </w:r>
      <w:r>
        <w:t xml:space="preserve"> </w:t>
      </w:r>
      <w:r>
        <w:rPr>
          <w:b/>
          <w:bCs/>
        </w:rPr>
        <w:t xml:space="preserve">destrucción creativa</w:t>
      </w:r>
      <w:r>
        <w:t xml:space="preserve">. El poder de mercado da los incentivos</w:t>
      </w:r>
      <w:r>
        <w:t xml:space="preserve"> </w:t>
      </w:r>
      <w:r>
        <w:rPr>
          <w:i/>
          <w:iCs/>
        </w:rPr>
        <w:t xml:space="preserve">ex ante</w:t>
      </w:r>
      <w:r>
        <w:t xml:space="preserve"> </w:t>
      </w:r>
      <w:r>
        <w:t xml:space="preserve">(la perspectiva de beneficios extraordinarios) y los recursos</w:t>
      </w:r>
      <w:r>
        <w:t xml:space="preserve"> </w:t>
      </w:r>
      <w:r>
        <w:rPr>
          <w:i/>
          <w:iCs/>
        </w:rPr>
        <w:t xml:space="preserve">ex post</w:t>
      </w:r>
      <w:r>
        <w:t xml:space="preserve"> </w:t>
      </w:r>
      <w:r>
        <w:t xml:space="preserve">(beneficios con los que financiar la innovación).</w:t>
      </w:r>
    </w:p>
    <w:p>
      <w:pPr>
        <w:numPr>
          <w:ilvl w:val="1"/>
          <w:numId w:val="1107"/>
        </w:numPr>
      </w:pPr>
      <w:r>
        <w:rPr>
          <w:i/>
          <w:iCs/>
        </w:rPr>
        <w:t xml:space="preserve">Implicaciones de política económica</w:t>
      </w:r>
      <w:r>
        <w:t xml:space="preserve">: fomento de la I+D y patentes, monopolios temporales que sacrifican eficiencia estática por innovación</w:t>
      </w:r>
      <w:r>
        <w:t xml:space="preserve"> </w:t>
      </w:r>
      <w:hyperlink r:id="rId150">
        <w:r>
          <w:rPr>
            <w:rStyle w:val="Referenciaatema"/>
          </w:rPr>
          <w:t xml:space="preserve">[ver tema 3.A.44]</w:t>
        </w:r>
      </w:hyperlink>
      <w:r>
        <w:t xml:space="preserve">.</w:t>
      </w:r>
    </w:p>
    <w:p>
      <w:pPr>
        <w:numPr>
          <w:ilvl w:val="1"/>
          <w:numId w:val="1107"/>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sostiene lo contrario: el monopolista innova menos, porque al innovar se reemplaza a sí mismo y gana menos que un entrante que no tenía nada (</w:t>
      </w:r>
      <w:r>
        <w:rPr>
          <w:i/>
          <w:iCs/>
        </w:rPr>
        <w:t xml:space="preserve">efecto reemplazo</w:t>
      </w:r>
      <w:r>
        <w:t xml:space="preserve">).</w:t>
      </w:r>
    </w:p>
    <w:bookmarkEnd w:id="203"/>
    <w:bookmarkStart w:id="209" w:name="anexo_derivaciones"/>
    <w:p>
      <w:pPr>
        <w:pStyle w:val="Heading1"/>
      </w:pPr>
      <w:r>
        <w:t xml:space="preserve">B. Anexo: derivaciones</w:t>
      </w:r>
    </w:p>
    <w:bookmarkStart w:id="204" w:name="anexo_baumol"/>
    <w:p>
      <w:pPr>
        <w:pStyle w:val="Heading2"/>
      </w:pPr>
      <w:r>
        <w:t xml:space="preserve">B.1. Maximización de las ventas con beneficio mínimo</w:t>
      </w:r>
    </w:p>
    <w:p>
      <w:pPr>
        <w:numPr>
          <w:ilvl w:val="0"/>
          <w:numId w:val="1108"/>
        </w:numPr>
      </w:pPr>
      <w:r>
        <w:rPr>
          <w:i/>
          <w:iCs/>
        </w:rPr>
        <w:t xml:space="preserve">Problema</w:t>
      </w:r>
      <w:r>
        <w:t xml:space="preserve">: maximizar</w:t>
      </w:r>
      <w:r>
        <w:t xml:space="preserve"> </w:t>
      </w:r>
      <m:oMath>
        <m:r>
          <m:t>I</m:t>
        </m:r>
        <m:d>
          <m:dPr>
            <m:begChr m:val="("/>
            <m:sepChr m:val=""/>
            <m:endChr m:val=")"/>
            <m:grow/>
          </m:dPr>
          <m:e>
            <m:r>
              <m:t>q</m:t>
            </m:r>
          </m:e>
        </m:d>
      </m:oMath>
      <w:r>
        <w:t xml:space="preserve"> </w:t>
      </w:r>
      <w:r>
        <w:t xml:space="preserve">sujeto a</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oMath>
      <w:r>
        <w:t xml:space="preserve">. Con el multiplicador</w:t>
      </w:r>
      <w:r>
        <w:t xml:space="preserve"> </w:t>
      </w:r>
      <m:oMath>
        <m:r>
          <m:t>λ</m:t>
        </m:r>
        <m:r>
          <m:rPr>
            <m:sty m:val="p"/>
          </m:rPr>
          <m:t>≥</m:t>
        </m:r>
        <m:r>
          <m:t>0</m:t>
        </m:r>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r>
            <m:rPr>
              <m:sty m:val="p"/>
            </m:rPr>
            <m:t>I</m:t>
          </m:r>
          <m:r>
            <m:rPr>
              <m:sty m:val="p"/>
            </m:rPr>
            <m:t>M</m:t>
          </m:r>
          <m:r>
            <m:rPr>
              <m:sty m:val="p"/>
            </m:rPr>
            <m:t>g</m:t>
          </m:r>
          <m:d>
            <m:dPr>
              <m:begChr m:val="("/>
              <m:sepChr m:val=""/>
              <m:endChr m:val=")"/>
              <m:grow/>
            </m:dPr>
            <m:e>
              <m:r>
                <m:t>q</m:t>
              </m:r>
            </m:e>
          </m:d>
          <m:r>
            <m:rPr>
              <m:sty m:val="p"/>
            </m:rPr>
            <m:t>+</m:t>
          </m:r>
          <m:r>
            <m:t>λ</m:t>
          </m:r>
          <m:r>
            <m:t> </m:t>
          </m:r>
          <m:d>
            <m:dPr>
              <m:begChr m:val="["/>
              <m:sepChr m:val=""/>
              <m:endChr m:val="]"/>
              <m:grow/>
            </m:dPr>
            <m:e>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e>
          </m:d>
          <m:r>
            <m:rPr>
              <m:sty m:val="p"/>
            </m:rPr>
            <m:t>=</m:t>
          </m:r>
          <m:r>
            <m:t>0</m:t>
          </m:r>
          <m:r>
            <m:rPr>
              <m:sty m:val="p"/>
            </m:rPr>
            <m:t>,</m:t>
          </m:r>
          <m:r>
            <m:t>  </m:t>
          </m:r>
          <m:r>
            <m:t>λ</m:t>
          </m:r>
          <m:r>
            <m:t> </m:t>
          </m:r>
          <m:d>
            <m:dPr>
              <m:begChr m:val="["/>
              <m:sepChr m:val=""/>
              <m:endChr m:val="]"/>
              <m:grow/>
            </m:dPr>
            <m:e>
              <m:r>
                <m:t>B</m:t>
              </m:r>
              <m:d>
                <m:dPr>
                  <m:begChr m:val="("/>
                  <m:sepChr m:val=""/>
                  <m:endChr m:val=")"/>
                  <m:grow/>
                </m:dPr>
                <m:e>
                  <m:r>
                    <m:t>q</m:t>
                  </m:r>
                </m:e>
              </m:d>
              <m:r>
                <m:rPr>
                  <m:sty m:val="p"/>
                </m:rPr>
                <m:t>−</m:t>
              </m:r>
              <m:bar>
                <m:barPr>
                  <m:pos m:val="bot"/>
                </m:barPr>
                <m:e>
                  <m:r>
                    <m:t>B</m:t>
                  </m:r>
                </m:e>
              </m:bar>
            </m:e>
          </m:d>
          <m:r>
            <m:rPr>
              <m:sty m:val="p"/>
            </m:rPr>
            <m:t>=</m:t>
          </m:r>
          <m:r>
            <m:t>0</m:t>
          </m:r>
          <m:r>
            <m:rPr>
              <m:sty m:val="p"/>
            </m:rPr>
            <m:t>,</m:t>
          </m:r>
        </m:oMath>
      </m:oMathPara>
    </w:p>
    <w:p>
      <w:pPr>
        <w:numPr>
          <w:ilvl w:val="0"/>
          <w:numId w:val="1000"/>
        </w:numPr>
      </w:pPr>
      <w:r>
        <w:t xml:space="preserve">y de la primera,</w:t>
      </w:r>
      <w:r>
        <w:t xml:space="preserve"> </w:t>
      </w:r>
      <m:oMath>
        <m:r>
          <m:rPr>
            <m:sty m:val="p"/>
          </m:rPr>
          <m:t>I</m:t>
        </m:r>
        <m:r>
          <m:rPr>
            <m:sty m:val="p"/>
          </m:rPr>
          <m:t>M</m:t>
        </m:r>
        <m:r>
          <m:rPr>
            <m:sty m:val="p"/>
          </m:rPr>
          <m:t>g</m:t>
        </m:r>
        <m:r>
          <m:rPr>
            <m:sty m:val="p"/>
          </m:rPr>
          <m:t>=</m:t>
        </m:r>
        <m:f>
          <m:fPr>
            <m:type m:val="bar"/>
          </m:fPr>
          <m:num>
            <m:r>
              <m:t>λ</m:t>
            </m:r>
          </m:num>
          <m:den>
            <m:r>
              <m:t>1</m:t>
            </m:r>
            <m:r>
              <m:rPr>
                <m:sty m:val="p"/>
              </m:rPr>
              <m:t>+</m:t>
            </m:r>
            <m:r>
              <m:t>λ</m:t>
            </m:r>
          </m:den>
        </m:f>
        <m:r>
          <m:t> </m:t>
        </m:r>
        <m:r>
          <m:rPr>
            <m:sty m:val="p"/>
          </m:rPr>
          <m:t>C</m:t>
        </m:r>
        <m:r>
          <m:rPr>
            <m:sty m:val="p"/>
          </m:rPr>
          <m:t>M</m:t>
        </m:r>
        <m:r>
          <m:rPr>
            <m:sty m:val="p"/>
          </m:rPr>
          <m:t>g</m:t>
        </m:r>
      </m:oMath>
      <w:r>
        <w:t xml:space="preserve">.</w:t>
      </w:r>
    </w:p>
    <w:p>
      <w:pPr>
        <w:numPr>
          <w:ilvl w:val="0"/>
          <w:numId w:val="1108"/>
        </w:numPr>
      </w:pPr>
      <w:r>
        <w:t xml:space="preserve">Si</w:t>
      </w:r>
      <w:r>
        <w:t xml:space="preserve"> </w:t>
      </w:r>
      <m:oMath>
        <m:r>
          <m:t>λ</m:t>
        </m:r>
        <m:r>
          <m:rPr>
            <m:sty m:val="p"/>
          </m:rPr>
          <m:t>=</m:t>
        </m:r>
        <m:r>
          <m:t>0</m:t>
        </m:r>
      </m:oMath>
      <w:r>
        <w:t xml:space="preserve"> </w:t>
      </w:r>
      <w:r>
        <w:t xml:space="preserve">(restricción no activa),</w:t>
      </w:r>
      <w:r>
        <w:t xml:space="preserve"> </w:t>
      </w:r>
      <m:oMath>
        <m:r>
          <m:rPr>
            <m:sty m:val="p"/>
          </m:rPr>
          <m:t>I</m:t>
        </m:r>
        <m:r>
          <m:rPr>
            <m:sty m:val="p"/>
          </m:rPr>
          <m:t>M</m:t>
        </m:r>
        <m:r>
          <m:rPr>
            <m:sty m:val="p"/>
          </m:rPr>
          <m:t>g</m:t>
        </m:r>
        <m:r>
          <m:rPr>
            <m:sty m:val="p"/>
          </m:rPr>
          <m:t>=</m:t>
        </m:r>
        <m:r>
          <m:t>0</m:t>
        </m:r>
      </m:oMath>
      <w:r>
        <w:t xml:space="preserve">: la empresa produce en el máximo del ingreso. Si</w:t>
      </w:r>
      <w:r>
        <w:t xml:space="preserve"> </w:t>
      </w:r>
      <m:oMath>
        <m:r>
          <m:t>λ</m:t>
        </m:r>
        <m:r>
          <m:rPr>
            <m:sty m:val="p"/>
          </m:rPr>
          <m:t>&gt;</m:t>
        </m:r>
        <m:r>
          <m:t>0</m:t>
        </m:r>
      </m:oMath>
      <w:r>
        <w:t xml:space="preserve">,</w:t>
      </w:r>
      <w:r>
        <w:t xml:space="preserve"> </w:t>
      </w:r>
      <m:oMath>
        <m:r>
          <m:t>0</m:t>
        </m:r>
        <m:r>
          <m:rPr>
            <m:sty m:val="p"/>
          </m:rPr>
          <m:t>&lt;</m:t>
        </m:r>
        <m:r>
          <m:rPr>
            <m:sty m:val="p"/>
          </m:rPr>
          <m:t>I</m:t>
        </m:r>
        <m:r>
          <m:rPr>
            <m:sty m:val="p"/>
          </m:rPr>
          <m:t>M</m:t>
        </m:r>
        <m:r>
          <m:rPr>
            <m:sty m:val="p"/>
          </m:rPr>
          <m:t>g</m:t>
        </m:r>
        <m:r>
          <m:rPr>
            <m:sty m:val="p"/>
          </m:rPr>
          <m:t>&lt;</m:t>
        </m:r>
        <m:r>
          <m:rPr>
            <m:sty m:val="p"/>
          </m:rPr>
          <m:t>C</m:t>
        </m:r>
        <m:r>
          <m:rPr>
            <m:sty m:val="p"/>
          </m:rPr>
          <m:t>M</m:t>
        </m:r>
        <m:r>
          <m:rPr>
            <m:sty m:val="p"/>
          </m:rPr>
          <m:t>g</m:t>
        </m:r>
      </m:oMath>
      <w:r>
        <w:t xml:space="preserve">: como el monopolista que maximiza el beneficio produce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el ingreso marginal es decreciente,</w:t>
      </w:r>
      <w:r>
        <w:t xml:space="preserve"> </w:t>
      </w:r>
      <m:oMath>
        <m:sSup>
          <m:e>
            <m:r>
              <m:t>q</m:t>
            </m:r>
          </m:e>
          <m:sup>
            <m:r>
              <m:t>B</m:t>
            </m:r>
          </m:sup>
        </m:sSup>
        <m:r>
          <m:rPr>
            <m:sty m:val="p"/>
          </m:rPr>
          <m:t>&gt;</m:t>
        </m:r>
        <m:sSup>
          <m:e>
            <m:r>
              <m:t>q</m:t>
            </m:r>
          </m:e>
          <m:sup>
            <m:r>
              <m:t>M</m:t>
            </m:r>
          </m:sup>
        </m:sSup>
      </m:oMath>
      <w:r>
        <w:t xml:space="preserve">;</w:t>
      </w:r>
      <w:r>
        <w:t xml:space="preserve"> </w:t>
      </w:r>
      <m:oMath>
        <m:sSup>
          <m:e>
            <m:r>
              <m:t>q</m:t>
            </m:r>
          </m:e>
          <m:sup>
            <m:r>
              <m:t>B</m:t>
            </m:r>
          </m:sup>
        </m:sSup>
      </m:oMath>
      <w:r>
        <w:t xml:space="preserve"> </w:t>
      </w:r>
      <w:r>
        <w:t xml:space="preserve">está en el tramo decreciente de</w:t>
      </w:r>
      <w:r>
        <w:t xml:space="preserve"> </w:t>
      </w:r>
      <m:oMath>
        <m:r>
          <m:t>B</m:t>
        </m:r>
        <m:d>
          <m:dPr>
            <m:begChr m:val="("/>
            <m:sepChr m:val=""/>
            <m:endChr m:val=")"/>
            <m:grow/>
          </m:dPr>
          <m:e>
            <m:r>
              <m:t>q</m:t>
            </m:r>
          </m:e>
        </m:d>
      </m:oMath>
      <w:r>
        <w:t xml:space="preserve">, con</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w:t>
      </w:r>
    </w:p>
    <w:p>
      <w:pPr>
        <w:numPr>
          <w:ilvl w:val="0"/>
          <w:numId w:val="1108"/>
        </w:numPr>
      </w:pPr>
      <w:r>
        <w:rPr>
          <w:i/>
          <w:iCs/>
        </w:rPr>
        <w:t xml:space="preserve">Estática comparativa</w:t>
      </w:r>
      <w:r>
        <w:t xml:space="preserve">: si el coste fijo sube en</w:t>
      </w:r>
      <w:r>
        <w:t xml:space="preserve"> </w:t>
      </w:r>
      <m:oMath>
        <m:r>
          <m:t>Δ</m:t>
        </m:r>
      </m:oMath>
      <w:r>
        <w:t xml:space="preserve">, la restricción activa pasa a ser</w:t>
      </w:r>
      <w:r>
        <w:t xml:space="preserve"> </w:t>
      </w:r>
      <m:oMath>
        <m:r>
          <m:t>B</m:t>
        </m:r>
        <m:d>
          <m:dPr>
            <m:begChr m:val="("/>
            <m:sepChr m:val=""/>
            <m:endChr m:val=")"/>
            <m:grow/>
          </m:dPr>
          <m:e>
            <m:r>
              <m:t>q</m:t>
            </m:r>
          </m:e>
        </m:d>
        <m:r>
          <m:rPr>
            <m:sty m:val="p"/>
          </m:rPr>
          <m:t>−</m:t>
        </m:r>
        <m:r>
          <m:t>Δ</m:t>
        </m:r>
        <m:r>
          <m:rPr>
            <m:sty m:val="p"/>
          </m:rPr>
          <m:t>=</m:t>
        </m:r>
        <m:bar>
          <m:barPr>
            <m:pos m:val="bot"/>
          </m:barPr>
          <m:e>
            <m:r>
              <m:t>B</m:t>
            </m:r>
          </m:e>
        </m:bar>
      </m:oMath>
      <w:r>
        <w:t xml:space="preserve">; como</w:t>
      </w:r>
      <w:r>
        <w:t xml:space="preserve"> </w:t>
      </w:r>
      <m:oMath>
        <m:r>
          <m:t>B</m:t>
        </m:r>
      </m:oMath>
      <w:r>
        <w:t xml:space="preserve"> </w:t>
      </w:r>
      <w:r>
        <w:t xml:space="preserve">es decreciente en</w:t>
      </w:r>
      <w:r>
        <w:t xml:space="preserve"> </w:t>
      </w:r>
      <m:oMath>
        <m:sSup>
          <m:e>
            <m:r>
              <m:t>q</m:t>
            </m:r>
          </m:e>
          <m:sup>
            <m:r>
              <m:t>B</m:t>
            </m:r>
          </m:sup>
        </m:sSup>
      </m:oMath>
      <w:r>
        <w:t xml:space="preserve">,</w:t>
      </w:r>
      <w:r>
        <w:t xml:space="preserve"> </w:t>
      </w:r>
      <m:oMath>
        <m:sSup>
          <m:e>
            <m:r>
              <m:t>q</m:t>
            </m:r>
          </m:e>
          <m:sup>
            <m:r>
              <m:t>B</m:t>
            </m:r>
          </m:sup>
        </m:sSup>
      </m:oMath>
      <w:r>
        <w:t xml:space="preserve"> </w:t>
      </w:r>
      <w:r>
        <w:t xml:space="preserve">baja. El maximizador del beneficio no cambia</w:t>
      </w:r>
      <w:r>
        <w:t xml:space="preserve"> </w:t>
      </w:r>
      <m:oMath>
        <m:sSup>
          <m:e>
            <m:r>
              <m:t>q</m:t>
            </m:r>
          </m:e>
          <m:sup>
            <m:r>
              <m:t>M</m:t>
            </m:r>
          </m:sup>
        </m:sSup>
      </m:oMath>
      <w:r>
        <w:t xml:space="preserve">, porque el coste fijo no altera el coste marginal. ∎</w:t>
      </w:r>
    </w:p>
    <w:bookmarkEnd w:id="204"/>
    <w:bookmarkStart w:id="205" w:name="anexo_riordan_williamson"/>
    <w:p>
      <w:pPr>
        <w:pStyle w:val="Heading2"/>
      </w:pPr>
      <w:r>
        <w:t xml:space="preserve">B.2. Producción y gobierno:</w:t>
      </w:r>
      <w:r>
        <w:t xml:space="preserve"> </w:t>
      </w:r>
      <w:r>
        <w:rPr>
          <w:smallCaps/>
        </w:rPr>
        <w:t xml:space="preserve">Riordan</w:t>
      </w:r>
      <w:r>
        <w:t xml:space="preserve"> </w:t>
      </w:r>
      <w:r>
        <w:t xml:space="preserve">y</w:t>
      </w:r>
      <w:r>
        <w:t xml:space="preserve"> </w:t>
      </w:r>
      <w:r>
        <w:rPr>
          <w:smallCaps/>
        </w:rPr>
        <w:t xml:space="preserve">Williamson</w:t>
      </w:r>
    </w:p>
    <w:p>
      <w:pPr>
        <w:numPr>
          <w:ilvl w:val="0"/>
          <w:numId w:val="1109"/>
        </w:numPr>
      </w:pPr>
      <w:r>
        <w:t xml:space="preserve">Sea</w:t>
      </w:r>
      <w:r>
        <w:t xml:space="preserve"> </w:t>
      </w:r>
      <m:oMath>
        <m:r>
          <m:t>Δ</m:t>
        </m:r>
        <m:r>
          <m:t>C</m:t>
        </m:r>
        <m:d>
          <m:dPr>
            <m:begChr m:val="("/>
            <m:sepChr m:val=""/>
            <m:endChr m:val=")"/>
            <m:grow/>
          </m:dPr>
          <m:e>
            <m:r>
              <m:t>a</m:t>
            </m:r>
          </m:e>
        </m:d>
      </m:oMath>
      <w:r>
        <w:t xml:space="preserve"> </w:t>
      </w:r>
      <w:r>
        <w:t xml:space="preserve">el sobrecoste de</w:t>
      </w:r>
      <w:r>
        <w:t xml:space="preserve"> </w:t>
      </w:r>
      <w:r>
        <w:rPr>
          <w:i/>
          <w:iCs/>
        </w:rPr>
        <w:t xml:space="preserve">producción</w:t>
      </w:r>
      <w:r>
        <w:t xml:space="preserve"> </w:t>
      </w:r>
      <w:r>
        <w:t xml:space="preserve">de hacer uno mismo frente a comprar: positivo, porque el proveedor agrega demandas y aprovecha economías de escala, y decreciente en</w:t>
      </w:r>
      <w:r>
        <w:t xml:space="preserve"> </w:t>
      </w:r>
      <m:oMath>
        <m:r>
          <m:t>a</m:t>
        </m:r>
      </m:oMath>
      <w:r>
        <w:t xml:space="preserve">, porque cuanto más específico es el bien, menos clientes comparten esa ventaja.</w:t>
      </w:r>
    </w:p>
    <w:p>
      <w:pPr>
        <w:numPr>
          <w:ilvl w:val="0"/>
          <w:numId w:val="1109"/>
        </w:numPr>
      </w:pPr>
      <w:r>
        <w:t xml:space="preserve">Sea</w:t>
      </w:r>
      <w:r>
        <w:t xml:space="preserve"> </w:t>
      </w:r>
      <m:oMath>
        <m:r>
          <m:t>Δ</m:t>
        </m:r>
        <m:r>
          <m:t>G</m:t>
        </m:r>
        <m:d>
          <m:dPr>
            <m:begChr m:val="("/>
            <m:sepChr m:val=""/>
            <m:endChr m:val=")"/>
            <m:grow/>
          </m:dPr>
          <m:e>
            <m:r>
              <m:t>a</m:t>
            </m:r>
          </m:e>
        </m:d>
        <m:r>
          <m:rPr>
            <m:sty m:val="p"/>
          </m:rPr>
          <m:t>=</m:t>
        </m:r>
        <m:sSub>
          <m:e>
            <m:r>
              <m:t>C</m:t>
            </m:r>
          </m:e>
          <m:sub>
            <m:r>
              <m:rPr>
                <m:nor/>
                <m:sty m:val="p"/>
              </m:rPr>
              <m:t>jerarquía</m:t>
            </m:r>
          </m:sub>
        </m:sSub>
        <m:d>
          <m:dPr>
            <m:begChr m:val="("/>
            <m:sepChr m:val=""/>
            <m:endChr m:val=")"/>
            <m:grow/>
          </m:dPr>
          <m:e>
            <m:r>
              <m:t>a</m:t>
            </m:r>
          </m:e>
        </m:d>
        <m:r>
          <m:rPr>
            <m:sty m:val="p"/>
          </m:rPr>
          <m:t>−</m:t>
        </m:r>
        <m:sSub>
          <m:e>
            <m:r>
              <m:t>C</m:t>
            </m:r>
          </m:e>
          <m:sub>
            <m:r>
              <m:rPr>
                <m:nor/>
                <m:sty m:val="p"/>
              </m:rPr>
              <m:t>mercado</m:t>
            </m:r>
          </m:sub>
        </m:sSub>
        <m:d>
          <m:dPr>
            <m:begChr m:val="("/>
            <m:sepChr m:val=""/>
            <m:endChr m:val=")"/>
            <m:grow/>
          </m:dPr>
          <m:e>
            <m:r>
              <m:t>a</m:t>
            </m:r>
          </m:e>
        </m:d>
      </m:oMath>
      <w:r>
        <w:t xml:space="preserve"> </w:t>
      </w:r>
      <w:r>
        <w:t xml:space="preserve">la diferencia de costes de</w:t>
      </w:r>
      <w:r>
        <w:t xml:space="preserve"> </w:t>
      </w:r>
      <w:r>
        <w:rPr>
          <w:i/>
          <w:iCs/>
        </w:rPr>
        <w:t xml:space="preserve">gobierno</w:t>
      </w:r>
      <w:r>
        <w:t xml:space="preserve">: positiva para</w:t>
      </w:r>
      <w:r>
        <w:t xml:space="preserve"> </w:t>
      </w:r>
      <m:oMath>
        <m:r>
          <m:t>a</m:t>
        </m:r>
      </m:oMath>
      <w:r>
        <w:t xml:space="preserve"> </w:t>
      </w:r>
      <w:r>
        <w:t xml:space="preserve">pequeña, por los costes burocráticos, y decreciente, porque la jerarquía protege mejor la inversión específica; se anula en</w:t>
      </w:r>
      <w:r>
        <w:t xml:space="preserve"> </w:t>
      </w:r>
      <m:oMath>
        <m:bar>
          <m:barPr>
            <m:pos m:val="top"/>
          </m:barPr>
          <m:e>
            <m:r>
              <m:t>a</m:t>
            </m:r>
          </m:e>
        </m:bar>
      </m:oMath>
      <w:r>
        <w:t xml:space="preserve">.</w:t>
      </w:r>
    </w:p>
    <w:p>
      <w:pPr>
        <w:numPr>
          <w:ilvl w:val="0"/>
          <w:numId w:val="1109"/>
        </w:numPr>
      </w:pPr>
      <w:r>
        <w:t xml:space="preserve">La empresa</w:t>
      </w:r>
      <w:r>
        <w:t xml:space="preserve"> </w:t>
      </w:r>
      <w:r>
        <w:rPr>
          <w:i/>
          <w:iCs/>
        </w:rPr>
        <w:t xml:space="preserve">hace</w:t>
      </w:r>
      <w:r>
        <w:t xml:space="preserve"> </w:t>
      </w:r>
      <w:r>
        <w:t xml:space="preserve">en lugar de</w:t>
      </w:r>
      <w:r>
        <w:t xml:space="preserve"> </w:t>
      </w:r>
      <w:r>
        <w:rPr>
          <w:i/>
          <w:iCs/>
        </w:rPr>
        <w:t xml:space="preserve">comprar</w:t>
      </w:r>
      <w:r>
        <w:t xml:space="preserve"> </w:t>
      </w:r>
      <w:r>
        <w:t xml:space="preserve">si</w:t>
      </w:r>
      <w:r>
        <w:t xml:space="preserve"> </w:t>
      </w:r>
      <m:oMath>
        <m:r>
          <m:t>Δ</m:t>
        </m:r>
        <m:r>
          <m:t>C</m:t>
        </m:r>
        <m:d>
          <m:dPr>
            <m:begChr m:val="("/>
            <m:sepChr m:val=""/>
            <m:endChr m:val=")"/>
            <m:grow/>
          </m:dPr>
          <m:e>
            <m:r>
              <m:t>a</m:t>
            </m:r>
          </m:e>
        </m:d>
        <m:r>
          <m:rPr>
            <m:sty m:val="p"/>
          </m:rPr>
          <m:t>+</m:t>
        </m:r>
        <m:r>
          <m:t>Δ</m:t>
        </m:r>
        <m:r>
          <m:t>G</m:t>
        </m:r>
        <m:d>
          <m:dPr>
            <m:begChr m:val="("/>
            <m:sepChr m:val=""/>
            <m:endChr m:val=")"/>
            <m:grow/>
          </m:dPr>
          <m:e>
            <m:r>
              <m:t>a</m:t>
            </m:r>
          </m:e>
        </m:d>
        <m:r>
          <m:rPr>
            <m:sty m:val="p"/>
          </m:rPr>
          <m:t>&lt;</m:t>
        </m:r>
        <m:r>
          <m:t>0</m:t>
        </m:r>
      </m:oMath>
      <w:r>
        <w:t xml:space="preserve">, es decir, si</w:t>
      </w:r>
      <w:r>
        <w:t xml:space="preserve"> </w:t>
      </w:r>
      <m:oMath>
        <m:r>
          <m:t>a</m:t>
        </m:r>
        <m:r>
          <m:rPr>
            <m:sty m:val="p"/>
          </m:rPr>
          <m:t>&gt;</m:t>
        </m:r>
        <m:acc>
          <m:accPr>
            <m:chr m:val="̂"/>
          </m:accPr>
          <m:e>
            <m:r>
              <m:t>a</m:t>
            </m:r>
          </m:e>
        </m:acc>
      </m:oMath>
      <w:r>
        <w:t xml:space="preserve">. Como</w:t>
      </w:r>
      <w:r>
        <w:t xml:space="preserve"> </w:t>
      </w:r>
      <m:oMath>
        <m:r>
          <m:t>Δ</m:t>
        </m:r>
        <m:r>
          <m:t>C</m:t>
        </m:r>
        <m:d>
          <m:dPr>
            <m:begChr m:val="("/>
            <m:sepChr m:val=""/>
            <m:endChr m:val=")"/>
            <m:grow/>
          </m:dPr>
          <m:e>
            <m:bar>
              <m:barPr>
                <m:pos m:val="top"/>
              </m:barPr>
              <m:e>
                <m:r>
                  <m:t>a</m:t>
                </m:r>
              </m:e>
            </m:bar>
          </m:e>
        </m:d>
        <m:r>
          <m:rPr>
            <m:sty m:val="p"/>
          </m:rPr>
          <m:t>&gt;</m:t>
        </m:r>
        <m:r>
          <m:t>0</m:t>
        </m:r>
      </m:oMath>
      <w:r>
        <w:t xml:space="preserve">, en</w:t>
      </w:r>
      <w:r>
        <w:t xml:space="preserve"> </w:t>
      </w:r>
      <m:oMath>
        <m:bar>
          <m:barPr>
            <m:pos m:val="top"/>
          </m:barPr>
          <m:e>
            <m:r>
              <m:t>a</m:t>
            </m:r>
          </m:e>
        </m:bar>
      </m:oMath>
      <w:r>
        <w:t xml:space="preserve"> </w:t>
      </w:r>
      <w:r>
        <w:t xml:space="preserve">la suma aún es positiva, y</w:t>
      </w:r>
      <w:r>
        <w:t xml:space="preserve"> </w:t>
      </w:r>
      <m:oMath>
        <m:acc>
          <m:accPr>
            <m:chr m:val="̂"/>
          </m:accPr>
          <m:e>
            <m:r>
              <m:t>a</m:t>
            </m:r>
          </m:e>
        </m:acc>
        <m:r>
          <m:rPr>
            <m:sty m:val="p"/>
          </m:rPr>
          <m:t>&gt;</m:t>
        </m:r>
        <m:bar>
          <m:barPr>
            <m:pos m:val="top"/>
          </m:barPr>
          <m:e>
            <m:r>
              <m:t>a</m:t>
            </m:r>
          </m:e>
        </m:bar>
      </m:oMath>
      <w:r>
        <w:t xml:space="preserve">: la ventaja de escala del mercado retrasa la integración</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hyperlink w:anchor="ref_Williamson1985Economic">
        <w:r>
          <w:rPr>
            <w:rStyle w:val="Hyperlink"/>
            <w:smallCaps/>
          </w:rPr>
          <w:t xml:space="preserve">Williamson</w:t>
        </w:r>
        <w:r>
          <w:rPr>
            <w:rStyle w:val="Hyperlink"/>
          </w:rPr>
          <w:t xml:space="preserve">, 1985, cap. 4</w:t>
        </w:r>
      </w:hyperlink>
      <w:r>
        <w:t xml:space="preserve">)</w:t>
      </w:r>
      <w:r>
        <w:t xml:space="preserve">. ∎</w:t>
      </w:r>
    </w:p>
    <w:bookmarkEnd w:id="205"/>
    <w:bookmarkStart w:id="206" w:name="anexo_ghm"/>
    <w:p>
      <w:pPr>
        <w:pStyle w:val="Heading2"/>
      </w:pPr>
      <w:r>
        <w:t xml:space="preserve">B.3. Infrainversión con contratos incompletos</w:t>
      </w:r>
    </w:p>
    <w:p>
      <w:pPr>
        <w:numPr>
          <w:ilvl w:val="0"/>
          <w:numId w:val="1110"/>
        </w:numPr>
      </w:pPr>
      <w:r>
        <w:rPr>
          <w:i/>
          <w:iCs/>
        </w:rPr>
        <w:t xml:space="preserve">Pago del comprador</w:t>
      </w:r>
      <w:r>
        <w:t xml:space="preserve">:</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r>
          <m:rPr>
            <m:sty m:val="p"/>
          </m:rPr>
          <m:t>=</m:t>
        </m:r>
        <m:f>
          <m:fPr>
            <m:type m:val="lin"/>
          </m:fPr>
          <m:num>
            <m:r>
              <m:t>1</m:t>
            </m:r>
          </m:num>
          <m:den>
            <m:r>
              <m:t>2</m:t>
            </m:r>
          </m:den>
        </m:f>
        <m:r>
          <m:t> </m:t>
        </m:r>
        <m:r>
          <m:t>y</m:t>
        </m:r>
        <m:d>
          <m:dPr>
            <m:begChr m:val="("/>
            <m:sepChr m:val=""/>
            <m:endChr m:val=")"/>
            <m:grow/>
          </m:dPr>
          <m:e>
            <m:r>
              <m:t>e</m:t>
            </m:r>
          </m:e>
        </m:d>
        <m:r>
          <m:rPr>
            <m:sty m:val="p"/>
          </m:rPr>
          <m:t>+</m:t>
        </m:r>
        <m:f>
          <m:fPr>
            <m:type m:val="lin"/>
          </m:fPr>
          <m:num>
            <m:r>
              <m:t>1</m:t>
            </m:r>
          </m:num>
          <m:den>
            <m:r>
              <m:t>2</m:t>
            </m:r>
          </m:den>
        </m:f>
        <m:r>
          <m:t> </m:t>
        </m:r>
        <m:sSub>
          <m:e>
            <m:r>
              <m:t>y</m:t>
            </m:r>
          </m:e>
          <m:sub>
            <m:r>
              <m:t>0</m:t>
            </m:r>
          </m:sub>
        </m:sSub>
        <m:d>
          <m:dPr>
            <m:begChr m:val="("/>
            <m:sepChr m:val=""/>
            <m:endChr m:val=")"/>
            <m:grow/>
          </m:dPr>
          <m:e>
            <m:r>
              <m:t>e</m:t>
            </m:r>
          </m:e>
        </m:d>
        <m:r>
          <m:rPr>
            <m:sty m:val="p"/>
          </m:rPr>
          <m:t>−</m:t>
        </m:r>
        <m:r>
          <m:t>e</m:t>
        </m:r>
      </m:oMath>
      <w:r>
        <w:t xml:space="preserve">. Condición de primer orden:</w:t>
      </w:r>
      <w:r>
        <w:t xml:space="preserve"> </w:t>
      </w: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oMath>
      <w:r>
        <w:t xml:space="preserve">; de segundo orden,</w:t>
      </w:r>
      <w:r>
        <w:t xml:space="preserve"> </w:t>
      </w:r>
      <m:oMath>
        <m:f>
          <m:fPr>
            <m:type m:val="lin"/>
          </m:fPr>
          <m:num>
            <m:r>
              <m:t>1</m:t>
            </m:r>
          </m:num>
          <m:den>
            <m:r>
              <m:t>2</m:t>
            </m:r>
          </m:den>
        </m:f>
        <m:r>
          <m:t> </m:t>
        </m:r>
        <m:r>
          <m:t>y</m:t>
        </m:r>
        <m:r>
          <m:rPr>
            <m:sty m:val="p"/>
          </m:rPr>
          <m:t>″</m:t>
        </m:r>
        <m:r>
          <m:rPr>
            <m:sty m:val="p"/>
          </m:rPr>
          <m:t>+</m:t>
        </m:r>
        <m:f>
          <m:fPr>
            <m:type m:val="lin"/>
          </m:fPr>
          <m:num>
            <m:r>
              <m:t>1</m:t>
            </m:r>
          </m:num>
          <m:den>
            <m:r>
              <m:t>2</m:t>
            </m:r>
          </m:den>
        </m:f>
        <m:r>
          <m:t> </m:t>
        </m:r>
        <m:sSub>
          <m:e>
            <m:r>
              <m:t>y</m:t>
            </m:r>
          </m:e>
          <m:sub>
            <m:r>
              <m:t>0</m:t>
            </m:r>
          </m:sub>
        </m:sSub>
        <m:r>
          <m:rPr>
            <m:sty m:val="p"/>
          </m:rPr>
          <m:t>″</m:t>
        </m:r>
        <m:r>
          <m:rPr>
            <m:sty m:val="p"/>
          </m:rPr>
          <m:t>&lt;</m:t>
        </m:r>
        <m:r>
          <m:t>0</m:t>
        </m:r>
      </m:oMath>
      <w:r>
        <w:t xml:space="preserve"> </w:t>
      </w:r>
      <w:r>
        <w:t xml:space="preserve">si</w:t>
      </w:r>
      <w:r>
        <w:t xml:space="preserve"> </w:t>
      </w:r>
      <m:oMath>
        <m:r>
          <m:t>y</m:t>
        </m:r>
      </m:oMath>
      <w:r>
        <w:t xml:space="preserve"> </w:t>
      </w:r>
      <w:r>
        <w:t xml:space="preserve">e</w:t>
      </w:r>
      <w:r>
        <w:t xml:space="preserve"> </w:t>
      </w:r>
      <m:oMath>
        <m:sSub>
          <m:e>
            <m:r>
              <m:t>y</m:t>
            </m:r>
          </m:e>
          <m:sub>
            <m:r>
              <m:t>0</m:t>
            </m:r>
          </m:sub>
        </m:sSub>
      </m:oMath>
      <w:r>
        <w:t xml:space="preserve"> </w:t>
      </w:r>
      <w:r>
        <w:t xml:space="preserve">son cóncavas.</w:t>
      </w:r>
    </w:p>
    <w:p>
      <w:pPr>
        <w:numPr>
          <w:ilvl w:val="0"/>
          <w:numId w:val="1110"/>
        </w:numPr>
      </w:pPr>
      <w:r>
        <w:t xml:space="preserve">Como</w:t>
      </w:r>
      <w:r>
        <w:t xml:space="preserve"> </w:t>
      </w:r>
      <m:oMath>
        <m:sSub>
          <m:e>
            <m:r>
              <m:t>y</m:t>
            </m:r>
          </m:e>
          <m:sub>
            <m:r>
              <m:t>0</m:t>
            </m:r>
          </m:sub>
        </m:sSub>
        <m:r>
          <m:rPr>
            <m:sty m:val="p"/>
          </m:rPr>
          <m:t>′</m:t>
        </m:r>
        <m:d>
          <m:dPr>
            <m:begChr m:val="("/>
            <m:sepChr m:val=""/>
            <m:endChr m:val=")"/>
            <m:grow/>
          </m:dPr>
          <m:e>
            <m:sSup>
              <m:e>
                <m:r>
                  <m:t>e</m:t>
                </m:r>
              </m:e>
              <m:sup>
                <m:r>
                  <m:rPr>
                    <m:sty m:val="p"/>
                  </m:rPr>
                  <m:t>*</m:t>
                </m:r>
              </m:sup>
            </m:sSup>
          </m:e>
        </m:d>
        <m:r>
          <m:rPr>
            <m:sty m:val="p"/>
          </m:rPr>
          <m:t>&lt;</m:t>
        </m:r>
        <m:r>
          <m:t>y</m:t>
        </m:r>
        <m:r>
          <m:rPr>
            <m:sty m:val="p"/>
          </m:rPr>
          <m:t>′</m:t>
        </m:r>
        <m:d>
          <m:dPr>
            <m:begChr m:val="("/>
            <m:sepChr m:val=""/>
            <m:endChr m:val=")"/>
            <m:grow/>
          </m:dPr>
          <m:e>
            <m:sSup>
              <m:e>
                <m:r>
                  <m:t>e</m:t>
                </m:r>
              </m:e>
              <m:sup>
                <m:r>
                  <m:rPr>
                    <m:sty m:val="p"/>
                  </m:rPr>
                  <m:t>*</m:t>
                </m:r>
              </m:sup>
            </m:sSup>
          </m:e>
        </m:d>
      </m:oMath>
      <w:r>
        <w:t xml:space="preserve">,</w:t>
      </w:r>
      <w:r>
        <w:t xml:space="preserve"> </w:t>
      </w:r>
      <m:oMath>
        <m:r>
          <m:t>1</m:t>
        </m:r>
        <m:r>
          <m:rPr>
            <m:sty m:val="p"/>
          </m:rPr>
          <m:t>=</m:t>
        </m:r>
        <m:f>
          <m:fPr>
            <m:type m:val="lin"/>
          </m:fPr>
          <m:num>
            <m:r>
              <m:t>1</m:t>
            </m:r>
          </m:num>
          <m:den>
            <m:r>
              <m:t>2</m:t>
            </m:r>
          </m:den>
        </m:f>
        <m:r>
          <m:t> </m:t>
        </m:r>
        <m:d>
          <m:dPr>
            <m:begChr m:val="["/>
            <m:sepChr m:val=""/>
            <m:endChr m:val="]"/>
            <m:grow/>
          </m:dPr>
          <m:e>
            <m:r>
              <m:t>y</m:t>
            </m:r>
            <m:r>
              <m:rPr>
                <m:sty m:val="p"/>
              </m:rPr>
              <m:t>′</m:t>
            </m:r>
            <m:d>
              <m:dPr>
                <m:begChr m:val="("/>
                <m:sepChr m:val=""/>
                <m:endChr m:val=")"/>
                <m:grow/>
              </m:dPr>
              <m:e>
                <m:sSup>
                  <m:e>
                    <m:r>
                      <m:t>e</m:t>
                    </m:r>
                  </m:e>
                  <m:sup>
                    <m:r>
                      <m:rPr>
                        <m:sty m:val="p"/>
                      </m:rPr>
                      <m:t>*</m:t>
                    </m:r>
                  </m:sup>
                </m:sSup>
              </m:e>
            </m:d>
            <m:r>
              <m:rPr>
                <m:sty m:val="p"/>
              </m:rPr>
              <m:t>+</m:t>
            </m:r>
            <m:sSub>
              <m:e>
                <m:r>
                  <m:t>y</m:t>
                </m:r>
              </m:e>
              <m:sub>
                <m:r>
                  <m:t>0</m:t>
                </m:r>
              </m:sub>
            </m:sSub>
            <m:r>
              <m:rPr>
                <m:sty m:val="p"/>
              </m:rPr>
              <m:t>′</m:t>
            </m:r>
            <m:d>
              <m:dPr>
                <m:begChr m:val="("/>
                <m:sepChr m:val=""/>
                <m:endChr m:val=")"/>
                <m:grow/>
              </m:dPr>
              <m:e>
                <m:sSup>
                  <m:e>
                    <m:r>
                      <m:t>e</m:t>
                    </m:r>
                  </m:e>
                  <m:sup>
                    <m:r>
                      <m:rPr>
                        <m:sty m:val="p"/>
                      </m:rPr>
                      <m:t>*</m:t>
                    </m:r>
                  </m:sup>
                </m:sSup>
              </m:e>
            </m:d>
          </m:e>
        </m:d>
        <m:r>
          <m:rPr>
            <m:sty m:val="p"/>
          </m:rPr>
          <m:t>&lt;</m:t>
        </m:r>
        <m:r>
          <m:t>y</m:t>
        </m:r>
        <m:r>
          <m:rPr>
            <m:sty m:val="p"/>
          </m:rPr>
          <m:t>′</m:t>
        </m:r>
        <m:d>
          <m:dPr>
            <m:begChr m:val="("/>
            <m:sepChr m:val=""/>
            <m:endChr m:val=")"/>
            <m:grow/>
          </m:dPr>
          <m:e>
            <m:sSup>
              <m:e>
                <m:r>
                  <m:t>e</m:t>
                </m:r>
              </m:e>
              <m:sup>
                <m:r>
                  <m:rPr>
                    <m:sty m:val="p"/>
                  </m:rPr>
                  <m:t>*</m:t>
                </m:r>
              </m:sup>
            </m:sSup>
          </m:e>
        </m:d>
      </m:oMath>
      <w:r>
        <w:t xml:space="preserve">; y como</w:t>
      </w:r>
      <w:r>
        <w:t xml:space="preserve"> </w:t>
      </w:r>
      <m:oMath>
        <m:r>
          <m:t>y</m:t>
        </m:r>
        <m:r>
          <m:rPr>
            <m:sty m:val="p"/>
          </m:rPr>
          <m:t>′</m:t>
        </m:r>
        <m:d>
          <m:dPr>
            <m:begChr m:val="("/>
            <m:sepChr m:val=""/>
            <m:endChr m:val=")"/>
            <m:grow/>
          </m:dPr>
          <m:e>
            <m:sSup>
              <m:e>
                <m:r>
                  <m:t>e</m:t>
                </m:r>
              </m:e>
              <m:sup>
                <m:r>
                  <m:t>o</m:t>
                </m:r>
              </m:sup>
            </m:sSup>
          </m:e>
        </m:d>
        <m:r>
          <m:rPr>
            <m:sty m:val="p"/>
          </m:rPr>
          <m:t>=</m:t>
        </m:r>
        <m:r>
          <m:t>1</m:t>
        </m:r>
      </m:oMath>
      <w:r>
        <w:t xml:space="preserve"> </w:t>
      </w:r>
      <w:r>
        <w:t xml:space="preserve">e</w:t>
      </w:r>
      <w:r>
        <w:t xml:space="preserve"> </w:t>
      </w:r>
      <m:oMath>
        <m:r>
          <m:t>y</m:t>
        </m:r>
        <m:r>
          <m:rPr>
            <m:sty m:val="p"/>
          </m:rPr>
          <m:t>′</m:t>
        </m:r>
      </m:oMath>
      <w:r>
        <w:t xml:space="preserve"> </w:t>
      </w:r>
      <w:r>
        <w:t xml:space="preserve">es decreciente,</w:t>
      </w:r>
      <w:r>
        <w:t xml:space="preserve"> </w:t>
      </w:r>
      <m:oMath>
        <m:sSup>
          <m:e>
            <m:r>
              <m:t>e</m:t>
            </m:r>
          </m:e>
          <m:sup>
            <m:r>
              <m:rPr>
                <m:sty m:val="p"/>
              </m:rPr>
              <m:t>*</m:t>
            </m:r>
          </m:sup>
        </m:sSup>
        <m:r>
          <m:rPr>
            <m:sty m:val="p"/>
          </m:rPr>
          <m:t>&lt;</m:t>
        </m:r>
        <m:sSup>
          <m:e>
            <m:r>
              <m:t>e</m:t>
            </m:r>
          </m:e>
          <m:sup>
            <m:r>
              <m:t>o</m:t>
            </m:r>
          </m:sup>
        </m:sSup>
      </m:oMath>
      <w:r>
        <w:t xml:space="preserve">.</w:t>
      </w:r>
    </w:p>
    <w:p>
      <w:pPr>
        <w:numPr>
          <w:ilvl w:val="0"/>
          <w:numId w:val="1110"/>
        </w:numPr>
      </w:pPr>
      <w:r>
        <w:t xml:space="preserve">Si la propiedad del activo del vendedor pasa al comprador, su opción exterior pasa a ser</w:t>
      </w:r>
      <w:r>
        <w:t xml:space="preserve"> </w:t>
      </w:r>
      <m:oMath>
        <m:sSubSup>
          <m:e>
            <m:r>
              <m:t>y</m:t>
            </m:r>
          </m:e>
          <m:sub>
            <m:r>
              <m:t>0</m:t>
            </m:r>
          </m:sub>
          <m:sup>
            <m:r>
              <m:rPr>
                <m:sty m:val="p"/>
              </m:rPr>
              <m:t>I</m:t>
            </m:r>
          </m:sup>
        </m:sSubSup>
        <m:d>
          <m:dPr>
            <m:begChr m:val="("/>
            <m:sepChr m:val=""/>
            <m:endChr m:val=")"/>
            <m:grow/>
          </m:dPr>
          <m:e>
            <m:r>
              <m:t>e</m:t>
            </m:r>
          </m:e>
        </m:d>
      </m:oMath>
      <w:r>
        <w:t xml:space="preserve">, con</w:t>
      </w:r>
      <w:r>
        <w:t xml:space="preserve"> </w:t>
      </w:r>
      <m:oMath>
        <m:sSubSup>
          <m:e>
            <m:r>
              <m:t>y</m:t>
            </m:r>
          </m:e>
          <m:sub>
            <m:r>
              <m:t>0</m:t>
            </m:r>
          </m:sub>
          <m:sup>
            <m:r>
              <m:rPr>
                <m:sty m:val="p"/>
              </m:rPr>
              <m:t>I</m:t>
            </m:r>
            <m:r>
              <m:rPr>
                <m:sty m:val="p"/>
              </m:rPr>
              <m:t>′</m:t>
            </m:r>
          </m:sup>
        </m:sSubSup>
        <m:d>
          <m:dPr>
            <m:begChr m:val="("/>
            <m:sepChr m:val=""/>
            <m:endChr m:val=")"/>
            <m:grow/>
          </m:dPr>
          <m:e>
            <m:r>
              <m:t>e</m:t>
            </m:r>
          </m:e>
        </m:d>
        <m:r>
          <m:rPr>
            <m:sty m:val="p"/>
          </m:rPr>
          <m:t>≥</m:t>
        </m:r>
        <m:sSub>
          <m:e>
            <m:r>
              <m:t>y</m:t>
            </m:r>
          </m:e>
          <m:sub>
            <m:r>
              <m:t>0</m:t>
            </m:r>
          </m:sub>
        </m:sSub>
        <m:r>
          <m:rPr>
            <m:sty m:val="p"/>
          </m:rPr>
          <m:t>′</m:t>
        </m:r>
        <m:d>
          <m:dPr>
            <m:begChr m:val="("/>
            <m:sepChr m:val=""/>
            <m:endChr m:val=")"/>
            <m:grow/>
          </m:dPr>
          <m:e>
            <m:r>
              <m:t>e</m:t>
            </m:r>
          </m:e>
        </m:d>
      </m:oMath>
      <w:r>
        <w:t xml:space="preserve"> </w:t>
      </w:r>
      <w:r>
        <w:t xml:space="preserve">para todo</w:t>
      </w:r>
      <w:r>
        <w:t xml:space="preserve"> </w:t>
      </w:r>
      <m:oMath>
        <m:r>
          <m:t>e</m:t>
        </m:r>
      </m:oMath>
      <w:r>
        <w:t xml:space="preserve">: la condición de primer orden se cumple con un</w:t>
      </w:r>
      <w:r>
        <w:t xml:space="preserve"> </w:t>
      </w:r>
      <m:oMath>
        <m:sSup>
          <m:e>
            <m:r>
              <m:t>e</m:t>
            </m:r>
          </m:e>
          <m:sup>
            <m:r>
              <m:rPr>
                <m:sty m:val="p"/>
              </m:rPr>
              <m:t>*</m:t>
            </m:r>
          </m:sup>
        </m:sSup>
      </m:oMath>
      <w:r>
        <w:t xml:space="preserve"> </w:t>
      </w:r>
      <w:r>
        <w:t xml:space="preserve">mayor, más cerca de</w:t>
      </w:r>
      <w:r>
        <w:t xml:space="preserve"> </w:t>
      </w:r>
      <m:oMath>
        <m:sSup>
          <m:e>
            <m:r>
              <m:t>e</m:t>
            </m:r>
          </m:e>
          <m:sup>
            <m:r>
              <m:t>o</m:t>
            </m:r>
          </m:sup>
        </m:sSup>
      </m:oMath>
      <w:r>
        <w:t xml:space="preserve">. Si el vendedor también invirtiera, su opción exterior sin el activo sería menor y menos sensible a su inversión, y su incentivo caería: de ahí los resultados sobre a quién dar la propiedad</w:t>
      </w:r>
      <w:r>
        <w:t xml:space="preserve"> </w:t>
      </w:r>
      <w:r>
        <w:t xml:space="preserve">(</w:t>
      </w:r>
      <w:hyperlink w:anchor="ref_Hart1995Firms">
        <w:r>
          <w:rPr>
            <w:rStyle w:val="Hyperlink"/>
            <w:smallCaps/>
          </w:rPr>
          <w:t xml:space="preserve">Hart</w:t>
        </w:r>
        <w:r>
          <w:rPr>
            <w:rStyle w:val="Hyperlink"/>
          </w:rPr>
          <w:t xml:space="preserve">, 1995, cap. 2</w:t>
        </w:r>
      </w:hyperlink>
      <w:r>
        <w:t xml:space="preserve">)</w:t>
      </w:r>
      <w:r>
        <w:t xml:space="preserve">. ∎</w:t>
      </w:r>
    </w:p>
    <w:bookmarkEnd w:id="206"/>
    <w:bookmarkStart w:id="207" w:name="anexo_cowling_waterson"/>
    <w:p>
      <w:pPr>
        <w:pStyle w:val="Heading2"/>
      </w:pPr>
      <w:r>
        <w:t xml:space="preserve">B.4.</w:t>
      </w:r>
      <w:r>
        <w:t xml:space="preserve"> </w:t>
      </w:r>
      <w:r>
        <w:rPr>
          <w:smallCaps/>
        </w:rPr>
        <w:t xml:space="preserve">Cowling</w:t>
      </w:r>
      <w:r>
        <w:t xml:space="preserve"> </w:t>
      </w:r>
      <w:r>
        <w:t xml:space="preserve">y</w:t>
      </w:r>
      <w:r>
        <w:t xml:space="preserve"> </w:t>
      </w:r>
      <w:r>
        <w:rPr>
          <w:smallCaps/>
        </w:rPr>
        <w:t xml:space="preserve">Waterson</w:t>
      </w:r>
      <w:r>
        <w:t xml:space="preserve">: concentración y margen en</w:t>
      </w:r>
      <w:r>
        <w:t xml:space="preserve"> </w:t>
      </w:r>
      <w:r>
        <w:rPr>
          <w:smallCaps/>
        </w:rPr>
        <w:t xml:space="preserve">Cournot</w:t>
      </w:r>
    </w:p>
    <w:p>
      <w:pPr>
        <w:numPr>
          <w:ilvl w:val="0"/>
          <w:numId w:val="1111"/>
        </w:numPr>
      </w:pPr>
      <w:r>
        <w:t xml:space="preserve">La condición de primer orden de la empresa</w:t>
      </w:r>
      <w:r>
        <w:t xml:space="preserve"> </w:t>
      </w:r>
      <m:oMath>
        <m:r>
          <m:t>i</m:t>
        </m:r>
      </m:oMath>
      <w:r>
        <w:t xml:space="preserve"> </w:t>
      </w:r>
      <w:r>
        <w:t xml:space="preserve">en el oligopolio de</w:t>
      </w:r>
      <w:r>
        <w:t xml:space="preserve"> </w:t>
      </w:r>
      <w:r>
        <w:rPr>
          <w:smallCaps/>
        </w:rPr>
        <w:t xml:space="preserve">Cournot</w:t>
      </w:r>
      <w:r>
        <w:t xml:space="preserve"> </w:t>
      </w:r>
      <w:r>
        <w:t xml:space="preserve">con costes distintos es</w:t>
      </w:r>
      <w:r>
        <w:t xml:space="preserve"> </w:t>
      </w:r>
      <m:oMath>
        <m:r>
          <m:t>p</m:t>
        </m:r>
        <m:r>
          <m:rPr>
            <m:sty m:val="p"/>
          </m:rPr>
          <m:t>+</m:t>
        </m:r>
        <m:sSub>
          <m:e>
            <m:r>
              <m:t>q</m:t>
            </m:r>
          </m:e>
          <m:sub>
            <m:r>
              <m:t>i</m:t>
            </m:r>
          </m:sub>
        </m:sSub>
        <m:r>
          <m:t> </m:t>
        </m:r>
        <m:r>
          <m:t>p</m:t>
        </m:r>
        <m:r>
          <m:rPr>
            <m:sty m:val="p"/>
          </m:rPr>
          <m:t>′</m:t>
        </m:r>
        <m:d>
          <m:dPr>
            <m:begChr m:val="("/>
            <m:sepChr m:val=""/>
            <m:endChr m:val=")"/>
            <m:grow/>
          </m:dPr>
          <m:e>
            <m:r>
              <m:t>Q</m:t>
            </m:r>
          </m:e>
        </m:d>
        <m:r>
          <m:rPr>
            <m:sty m:val="p"/>
          </m:rPr>
          <m:t>=</m:t>
        </m:r>
        <m:sSub>
          <m:e>
            <m:r>
              <m:rPr>
                <m:sty m:val="p"/>
              </m:rPr>
              <m:t>C</m:t>
            </m:r>
            <m:r>
              <m:rPr>
                <m:sty m:val="p"/>
              </m:rPr>
              <m:t>M</m:t>
            </m:r>
            <m:r>
              <m:rPr>
                <m:sty m:val="p"/>
              </m:rPr>
              <m:t>g</m:t>
            </m:r>
          </m:e>
          <m:sub>
            <m:r>
              <m:t>i</m:t>
            </m:r>
          </m:sub>
        </m:sSub>
      </m:oMath>
      <w:r>
        <w:t xml:space="preserve">. Dividiendo por</w:t>
      </w:r>
      <w:r>
        <w:t xml:space="preserve"> </w:t>
      </w:r>
      <m:oMath>
        <m:r>
          <m:t>p</m:t>
        </m:r>
      </m:oMath>
      <w:r>
        <w:t xml:space="preserve"> </w:t>
      </w:r>
      <w:r>
        <w:t xml:space="preserve">y llamando</w:t>
      </w:r>
      <w:r>
        <w:t xml:space="preserve"> </w:t>
      </w:r>
      <m:oMath>
        <m:sSub>
          <m:e>
            <m:r>
              <m:t>s</m:t>
            </m:r>
          </m:e>
          <m:sub>
            <m:r>
              <m:t>i</m:t>
            </m:r>
          </m:sub>
        </m:sSub>
        <m:r>
          <m:rPr>
            <m:sty m:val="p"/>
          </m:rPr>
          <m:t>=</m:t>
        </m:r>
        <m:sSub>
          <m:e>
            <m:r>
              <m:t>q</m:t>
            </m:r>
          </m:e>
          <m:sub>
            <m:r>
              <m:t>i</m:t>
            </m:r>
          </m:sub>
        </m:sSub>
        <m:r>
          <m:rPr>
            <m:sty m:val="p"/>
          </m:rPr>
          <m:t>/</m:t>
        </m:r>
        <m:r>
          <m:t>Q</m:t>
        </m:r>
      </m:oMath>
      <w:r>
        <w:t xml:space="preserve">:</w:t>
      </w:r>
    </w:p>
    <w:p>
      <w:pPr>
        <w:pStyle w:val="BodyText"/>
        <w:keepNext/>
      </w:pPr>
      <m:oMathPara>
        <m:oMathParaPr>
          <m:jc m:val="center"/>
        </m:oMathParaPr>
        <m:oMath>
          <m:sSub>
            <m:e>
              <m:r>
                <m:rPr>
                  <m:sty m:val="p"/>
                  <m:scr m:val="script"/>
                </m:rPr>
                <m:t>L</m:t>
              </m:r>
            </m:e>
            <m:sub>
              <m:r>
                <m:t>i</m:t>
              </m:r>
            </m:sub>
          </m:sSub>
          <m:r>
            <m:rPr>
              <m:sty m:val="p"/>
            </m:rPr>
            <m:t>=</m:t>
          </m:r>
          <m:f>
            <m:fPr>
              <m:type m:val="bar"/>
            </m:fPr>
            <m:num>
              <m:r>
                <m:t>p</m:t>
              </m:r>
              <m:r>
                <m:rPr>
                  <m:sty m:val="p"/>
                </m:rPr>
                <m:t>−</m:t>
              </m:r>
              <m:sSub>
                <m:e>
                  <m:r>
                    <m:rPr>
                      <m:sty m:val="p"/>
                    </m:rPr>
                    <m:t>C</m:t>
                  </m:r>
                  <m:r>
                    <m:rPr>
                      <m:sty m:val="p"/>
                    </m:rPr>
                    <m:t>M</m:t>
                  </m:r>
                  <m:r>
                    <m:rPr>
                      <m:sty m:val="p"/>
                    </m:rPr>
                    <m:t>g</m:t>
                  </m:r>
                </m:e>
                <m:sub>
                  <m:r>
                    <m:t>i</m:t>
                  </m:r>
                </m:sub>
              </m:sSub>
            </m:num>
            <m:den>
              <m:r>
                <m:t>p</m:t>
              </m:r>
            </m:den>
          </m:f>
          <m:r>
            <m:rPr>
              <m:sty m:val="p"/>
            </m:rPr>
            <m:t>=</m:t>
          </m:r>
          <m:r>
            <m:rPr>
              <m:sty m:val="p"/>
            </m:rPr>
            <m:t>−</m:t>
          </m:r>
          <m:f>
            <m:fPr>
              <m:type m:val="bar"/>
            </m:fPr>
            <m:num>
              <m:sSub>
                <m:e>
                  <m:r>
                    <m:t>q</m:t>
                  </m:r>
                </m:e>
                <m:sub>
                  <m:r>
                    <m:t>i</m:t>
                  </m:r>
                </m:sub>
              </m:sSub>
              <m:r>
                <m:t> </m:t>
              </m:r>
              <m:r>
                <m:t>p</m:t>
              </m:r>
              <m:r>
                <m:rPr>
                  <m:sty m:val="p"/>
                </m:rPr>
                <m:t>′</m:t>
              </m:r>
              <m:d>
                <m:dPr>
                  <m:begChr m:val="("/>
                  <m:sepChr m:val=""/>
                  <m:endChr m:val=")"/>
                  <m:grow/>
                </m:dPr>
                <m:e>
                  <m:r>
                    <m:t>Q</m:t>
                  </m:r>
                </m:e>
              </m:d>
            </m:num>
            <m:den>
              <m:r>
                <m:t>p</m:t>
              </m:r>
            </m:den>
          </m:f>
          <m:r>
            <m:rPr>
              <m:sty m:val="p"/>
            </m:rPr>
            <m:t>=</m:t>
          </m:r>
          <m:f>
            <m:fPr>
              <m:type m:val="bar"/>
            </m:fPr>
            <m:num>
              <m:sSub>
                <m:e>
                  <m:r>
                    <m:t>s</m:t>
                  </m:r>
                </m:e>
                <m:sub>
                  <m:r>
                    <m:t>i</m:t>
                  </m:r>
                </m:sub>
              </m:sSub>
            </m:num>
            <m:den>
              <m:d>
                <m:dPr>
                  <m:begChr m:val="|"/>
                  <m:sepChr m:val=""/>
                  <m:endChr m:val="|"/>
                  <m:grow/>
                </m:dPr>
                <m:e>
                  <m:sSub>
                    <m:e>
                      <m:r>
                        <m:t>ε</m:t>
                      </m:r>
                    </m:e>
                    <m:sub>
                      <m:r>
                        <m:t>Q</m:t>
                      </m:r>
                      <m:r>
                        <m:rPr>
                          <m:sty m:val="p"/>
                        </m:rPr>
                        <m:t>,</m:t>
                      </m:r>
                      <m:r>
                        <m:t>p</m:t>
                      </m:r>
                    </m:sub>
                  </m:sSub>
                </m:e>
              </m:d>
            </m:den>
          </m:f>
          <m:r>
            <m:rPr>
              <m:sty m:val="p"/>
            </m:rPr>
            <m:t>.</m:t>
          </m:r>
        </m:oMath>
      </m:oMathPara>
    </w:p>
    <w:p>
      <w:pPr>
        <w:numPr>
          <w:ilvl w:val="0"/>
          <w:numId w:val="1111"/>
        </w:numPr>
      </w:pPr>
      <w:r>
        <w:t xml:space="preserve">Multiplicando por</w:t>
      </w:r>
      <w:r>
        <w:t xml:space="preserve"> </w:t>
      </w:r>
      <m:oMath>
        <m:sSub>
          <m:e>
            <m:r>
              <m:t>s</m:t>
            </m:r>
          </m:e>
          <m:sub>
            <m:r>
              <m:t>i</m:t>
            </m:r>
          </m:sub>
        </m:sSub>
      </m:oMath>
      <w:r>
        <w:t xml:space="preserve"> </w:t>
      </w:r>
      <w:r>
        <w:t xml:space="preserve">y sumando:</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nary>
          <m:naryPr>
            <m:chr m:val="∑"/>
            <m:limLoc m:val="undOvr"/>
            <m:subHide m:val="off"/>
            <m:supHide m:val="on"/>
          </m:naryPr>
          <m:sub>
            <m:r>
              <m:t>i</m:t>
            </m:r>
          </m:sub>
          <m:sup>
            <m:r>
              <m:t>​</m:t>
            </m:r>
          </m:sup>
          <m:e>
            <m:sSubSup>
              <m:e>
                <m:r>
                  <m:t>s</m:t>
                </m:r>
              </m:e>
              <m:sub>
                <m:r>
                  <m:t>i</m:t>
                </m:r>
              </m:sub>
              <m:sup>
                <m:r>
                  <m:t>2</m:t>
                </m:r>
              </m:sup>
            </m:sSubSup>
          </m:e>
        </m:nary>
        <m:r>
          <m:rPr>
            <m:sty m:val="p"/>
          </m:rPr>
          <m:t>/</m:t>
        </m:r>
        <m:d>
          <m:dPr>
            <m:begChr m:val="|"/>
            <m:sepChr m:val=""/>
            <m:endChr m:val="|"/>
            <m:grow/>
          </m:dPr>
          <m:e>
            <m:sSub>
              <m:e>
                <m:r>
                  <m:t>ε</m:t>
                </m:r>
              </m:e>
              <m:sub>
                <m:r>
                  <m:t>Q</m:t>
                </m:r>
                <m:r>
                  <m:rPr>
                    <m:sty m:val="p"/>
                  </m:rPr>
                  <m:t>,</m:t>
                </m:r>
                <m:r>
                  <m:t>p</m:t>
                </m:r>
              </m:sub>
            </m:sSub>
          </m:e>
        </m:d>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La concentración y el margen van juntos, pero porque las empresas más eficientes tienen más cuota, no necesariamente porque pacten: es la lectura de</w:t>
      </w:r>
      <w:r>
        <w:t xml:space="preserve"> </w:t>
      </w:r>
      <w:r>
        <w:rPr>
          <w:smallCaps/>
        </w:rPr>
        <w:t xml:space="preserve">Demsetz</w:t>
      </w:r>
      <w:r>
        <w:t xml:space="preserve"> </w:t>
      </w:r>
      <w:r>
        <w:t xml:space="preserve">(</w:t>
      </w:r>
      <w:hyperlink w:anchor="ref_Demsetz1973Industry">
        <w:r>
          <w:rPr>
            <w:rStyle w:val="Hyperlink"/>
          </w:rPr>
          <w:t xml:space="preserve">1973</w:t>
        </w:r>
      </w:hyperlink>
      <w:r>
        <w:t xml:space="preserve">)</w:t>
      </w:r>
      <w:r>
        <w:t xml:space="preserve">. ∎</w:t>
      </w:r>
    </w:p>
    <w:bookmarkEnd w:id="207"/>
    <w:bookmarkStart w:id="208" w:name="anexo_impugnable"/>
    <w:p>
      <w:pPr>
        <w:pStyle w:val="Heading2"/>
      </w:pPr>
      <w:r>
        <w:t xml:space="preserve">B.5. Propiedades del equilibrio impugnable</w:t>
      </w:r>
    </w:p>
    <w:p>
      <w:pPr>
        <w:numPr>
          <w:ilvl w:val="0"/>
          <w:numId w:val="1112"/>
        </w:numPr>
      </w:pPr>
      <w:r>
        <w:rPr>
          <w:i/>
          <w:iCs/>
        </w:rPr>
        <w:t xml:space="preserve">Beneficio nulo</w:t>
      </w:r>
      <w:r>
        <w:t xml:space="preserve">: si una empresa ganara</w:t>
      </w:r>
      <w:r>
        <w:t xml:space="preserve"> </w:t>
      </w:r>
      <m:oMath>
        <m:r>
          <m:t>p</m:t>
        </m:r>
        <m:r>
          <m:t>q</m:t>
        </m:r>
        <m:r>
          <m:rPr>
            <m:sty m:val="p"/>
          </m:rPr>
          <m:t>−</m:t>
        </m:r>
        <m:r>
          <m:t>C</m:t>
        </m:r>
        <m:d>
          <m:dPr>
            <m:begChr m:val="("/>
            <m:sepChr m:val=""/>
            <m:endChr m:val=")"/>
            <m:grow/>
          </m:dPr>
          <m:e>
            <m:r>
              <m:t>q</m:t>
            </m:r>
          </m:e>
        </m:d>
        <m:r>
          <m:rPr>
            <m:sty m:val="p"/>
          </m:rPr>
          <m:t>&gt;</m:t>
        </m:r>
        <m:r>
          <m:t>0</m:t>
        </m:r>
      </m:oMath>
      <w:r>
        <w:t xml:space="preserve">, un entrante podría producir</w:t>
      </w:r>
      <w:r>
        <w:t xml:space="preserve"> </w:t>
      </w:r>
      <m:oMath>
        <m:r>
          <m:t>q</m:t>
        </m:r>
      </m:oMath>
      <w:r>
        <w:t xml:space="preserve"> </w:t>
      </w:r>
      <w:r>
        <w:t xml:space="preserve">a un precio algo menor que</w:t>
      </w:r>
      <w:r>
        <w:t xml:space="preserve"> </w:t>
      </w:r>
      <m:oMath>
        <m:r>
          <m:t>p</m:t>
        </m:r>
      </m:oMath>
      <w:r>
        <w:t xml:space="preserve"> </w:t>
      </w:r>
      <w:r>
        <w:t xml:space="preserve">y ganar dinero, lo que contradice la sostenibilidad.</w:t>
      </w:r>
    </w:p>
    <w:p>
      <w:pPr>
        <w:numPr>
          <w:ilvl w:val="0"/>
          <w:numId w:val="1112"/>
        </w:numPr>
      </w:pPr>
      <m:oMath>
        <m:r>
          <m:t>p</m:t>
        </m:r>
        <m:r>
          <m:rPr>
            <m:sty m:val="p"/>
          </m:rPr>
          <m:t>≥</m:t>
        </m:r>
        <m:r>
          <m:rPr>
            <m:sty m:val="p"/>
          </m:rPr>
          <m:t>C</m:t>
        </m:r>
        <m:r>
          <m:rPr>
            <m:sty m:val="p"/>
          </m:rPr>
          <m:t>M</m:t>
        </m:r>
        <m:r>
          <m:rPr>
            <m:sty m:val="p"/>
          </m:rPr>
          <m:t>g</m:t>
        </m:r>
      </m:oMath>
      <w:r>
        <w:t xml:space="preserve">: si</w:t>
      </w:r>
      <w:r>
        <w:t xml:space="preserve"> </w:t>
      </w:r>
      <m:oMath>
        <m:r>
          <m:t>p</m:t>
        </m:r>
        <m:r>
          <m:rPr>
            <m:sty m:val="p"/>
          </m:rPr>
          <m:t>&lt;</m:t>
        </m:r>
        <m:r>
          <m:rPr>
            <m:sty m:val="p"/>
          </m:rPr>
          <m:t>C</m:t>
        </m:r>
        <m:r>
          <m:rPr>
            <m:sty m:val="p"/>
          </m:rPr>
          <m:t>M</m:t>
        </m:r>
        <m:r>
          <m:rPr>
            <m:sty m:val="p"/>
          </m:rPr>
          <m:t>g</m:t>
        </m:r>
        <m:d>
          <m:dPr>
            <m:begChr m:val="("/>
            <m:sepChr m:val=""/>
            <m:endChr m:val=")"/>
            <m:grow/>
          </m:dPr>
          <m:e>
            <m:sSub>
              <m:e>
                <m:r>
                  <m:t>q</m:t>
                </m:r>
              </m:e>
              <m:sub>
                <m:r>
                  <m:t>j</m:t>
                </m:r>
              </m:sub>
            </m:sSub>
          </m:e>
        </m:d>
      </m:oMath>
      <w:r>
        <w:t xml:space="preserve"> </w:t>
      </w:r>
      <w:r>
        <w:t xml:space="preserve">en la producción</w:t>
      </w:r>
      <w:r>
        <w:t xml:space="preserve"> </w:t>
      </w:r>
      <m:oMath>
        <m:sSub>
          <m:e>
            <m:r>
              <m:t>q</m:t>
            </m:r>
          </m:e>
          <m:sub>
            <m:r>
              <m:t>j</m:t>
            </m:r>
          </m:sub>
        </m:sSub>
      </m:oMath>
      <w:r>
        <w:t xml:space="preserve"> </w:t>
      </w:r>
      <w:r>
        <w:t xml:space="preserve">de una instalada, un entrante que produjera</w:t>
      </w:r>
      <w:r>
        <w:t xml:space="preserve"> </w:t>
      </w:r>
      <m:oMath>
        <m:sSub>
          <m:e>
            <m:r>
              <m:t>q</m:t>
            </m:r>
          </m:e>
          <m:sub>
            <m:r>
              <m:t>j</m:t>
            </m:r>
          </m:sub>
        </m:sSub>
        <m:r>
          <m:rPr>
            <m:sty m:val="p"/>
          </m:rPr>
          <m:t>−</m:t>
        </m:r>
        <m:r>
          <m:t>δ</m:t>
        </m:r>
      </m:oMath>
      <w:r>
        <w:t xml:space="preserve"> </w:t>
      </w:r>
      <w:r>
        <w:t xml:space="preserve">al precio</w:t>
      </w:r>
      <w:r>
        <w:t xml:space="preserve"> </w:t>
      </w:r>
      <m:oMath>
        <m:r>
          <m:t>p</m:t>
        </m:r>
      </m:oMath>
      <w:r>
        <w:t xml:space="preserve"> </w:t>
      </w:r>
      <w:r>
        <w:t xml:space="preserve">ahorraría unos</w:t>
      </w:r>
      <w:r>
        <w:t xml:space="preserve"> </w:t>
      </w:r>
      <m:oMath>
        <m:r>
          <m:rPr>
            <m:sty m:val="p"/>
          </m:rPr>
          <m:t>C</m:t>
        </m:r>
        <m:r>
          <m:rPr>
            <m:sty m:val="p"/>
          </m:rPr>
          <m:t>M</m:t>
        </m:r>
        <m:r>
          <m:rPr>
            <m:sty m:val="p"/>
          </m:rPr>
          <m:t>g</m:t>
        </m:r>
        <m:r>
          <m:rPr>
            <m:sty m:val="p"/>
          </m:rPr>
          <m:t>⋅</m:t>
        </m:r>
        <m:r>
          <m:t>δ</m:t>
        </m:r>
        <m:r>
          <m:rPr>
            <m:sty m:val="p"/>
          </m:rPr>
          <m:t>&gt;</m:t>
        </m:r>
        <m:r>
          <m:t>p</m:t>
        </m:r>
        <m:r>
          <m:t> </m:t>
        </m:r>
        <m:r>
          <m:t>δ</m:t>
        </m:r>
      </m:oMath>
      <w:r>
        <w:t xml:space="preserve"> </w:t>
      </w:r>
      <w:r>
        <w:t xml:space="preserve">e ingresaría</w:t>
      </w:r>
      <w:r>
        <w:t xml:space="preserve"> </w:t>
      </w:r>
      <m:oMath>
        <m:r>
          <m:t>p</m:t>
        </m:r>
        <m:r>
          <m:t> </m:t>
        </m:r>
        <m:d>
          <m:dPr>
            <m:begChr m:val="("/>
            <m:sepChr m:val=""/>
            <m:endChr m:val=")"/>
            <m:grow/>
          </m:dPr>
          <m:e>
            <m:sSub>
              <m:e>
                <m:r>
                  <m:t>q</m:t>
                </m:r>
              </m:e>
              <m:sub>
                <m:r>
                  <m:t>j</m:t>
                </m:r>
              </m:sub>
            </m:sSub>
            <m:r>
              <m:rPr>
                <m:sty m:val="p"/>
              </m:rPr>
              <m:t>−</m:t>
            </m:r>
            <m:r>
              <m:t>δ</m:t>
            </m:r>
          </m:e>
        </m:d>
      </m:oMath>
      <w:r>
        <w:t xml:space="preserve">: ganaría más que la instalada, que gana 0.</w:t>
      </w:r>
    </w:p>
    <w:p>
      <w:pPr>
        <w:numPr>
          <w:ilvl w:val="0"/>
          <w:numId w:val="1112"/>
        </w:numPr>
      </w:pPr>
      <m:oMath>
        <m:r>
          <m:t>p</m:t>
        </m:r>
        <m:r>
          <m:rPr>
            <m:sty m:val="p"/>
          </m:rPr>
          <m:t>≤</m:t>
        </m:r>
        <m:r>
          <m:rPr>
            <m:sty m:val="p"/>
          </m:rPr>
          <m:t>C</m:t>
        </m:r>
        <m:r>
          <m:rPr>
            <m:sty m:val="p"/>
          </m:rPr>
          <m:t>M</m:t>
        </m:r>
        <m:r>
          <m:rPr>
            <m:sty m:val="p"/>
          </m:rPr>
          <m:t>g</m:t>
        </m:r>
      </m:oMath>
      <w:r>
        <w:rPr>
          <w:i/>
          <w:iCs/>
        </w:rPr>
        <w:t xml:space="preserve"> </w:t>
      </w:r>
      <w:r>
        <w:rPr>
          <w:i/>
          <w:iCs/>
        </w:rPr>
        <w:t xml:space="preserve">con 2 o más empresas</w:t>
      </w:r>
      <w:r>
        <w:t xml:space="preserve">: si</w:t>
      </w:r>
      <w:r>
        <w:t xml:space="preserve"> </w:t>
      </w:r>
      <m:oMath>
        <m:r>
          <m:t>p</m:t>
        </m:r>
        <m:r>
          <m:rPr>
            <m:sty m:val="p"/>
          </m:rPr>
          <m:t>&gt;</m:t>
        </m:r>
        <m:r>
          <m:rPr>
            <m:sty m:val="p"/>
          </m:rPr>
          <m:t>C</m:t>
        </m:r>
        <m:r>
          <m:rPr>
            <m:sty m:val="p"/>
          </m:rPr>
          <m:t>M</m:t>
        </m:r>
        <m:r>
          <m:rPr>
            <m:sty m:val="p"/>
          </m:rPr>
          <m:t>g</m:t>
        </m:r>
        <m:d>
          <m:dPr>
            <m:begChr m:val="("/>
            <m:sepChr m:val=""/>
            <m:endChr m:val=")"/>
            <m:grow/>
          </m:dPr>
          <m:e>
            <m:sSub>
              <m:e>
                <m:r>
                  <m:t>q</m:t>
                </m:r>
              </m:e>
              <m:sub>
                <m:r>
                  <m:t>j</m:t>
                </m:r>
              </m:sub>
            </m:sSub>
          </m:e>
        </m:d>
      </m:oMath>
      <w:r>
        <w:t xml:space="preserve">, un entrante podría vender</w:t>
      </w:r>
      <w:r>
        <w:t xml:space="preserve"> </w:t>
      </w:r>
      <m:oMath>
        <m:sSub>
          <m:e>
            <m:r>
              <m:t>q</m:t>
            </m:r>
          </m:e>
          <m:sub>
            <m:r>
              <m:t>j</m:t>
            </m:r>
          </m:sub>
        </m:sSub>
        <m:r>
          <m:rPr>
            <m:sty m:val="p"/>
          </m:rPr>
          <m:t>+</m:t>
        </m:r>
        <m:r>
          <m:t>δ</m:t>
        </m:r>
      </m:oMath>
      <w:r>
        <w:t xml:space="preserve"> </w:t>
      </w:r>
      <w:r>
        <w:t xml:space="preserve">a un precio un poco menor que</w:t>
      </w:r>
      <w:r>
        <w:t xml:space="preserve"> </w:t>
      </w:r>
      <m:oMath>
        <m:r>
          <m:t>p</m:t>
        </m:r>
      </m:oMath>
      <w:r>
        <w:t xml:space="preserve">, porque con otras empresas en el mercado hay demanda que quitarles, y ganaría unos</w:t>
      </w:r>
      <w:r>
        <w:t xml:space="preserve"> </w:t>
      </w:r>
      <m:oMath>
        <m:d>
          <m:dPr>
            <m:begChr m:val="("/>
            <m:sepChr m:val=""/>
            <m:endChr m:val=")"/>
            <m:grow/>
          </m:dPr>
          <m:e>
            <m:r>
              <m:t>p</m:t>
            </m:r>
            <m:r>
              <m:rPr>
                <m:sty m:val="p"/>
              </m:rPr>
              <m:t>−</m:t>
            </m:r>
            <m:r>
              <m:rPr>
                <m:sty m:val="p"/>
              </m:rPr>
              <m:t>C</m:t>
            </m:r>
            <m:r>
              <m:rPr>
                <m:sty m:val="p"/>
              </m:rPr>
              <m:t>M</m:t>
            </m:r>
            <m:r>
              <m:rPr>
                <m:sty m:val="p"/>
              </m:rPr>
              <m:t>g</m:t>
            </m:r>
          </m:e>
        </m:d>
        <m:r>
          <m:t> </m:t>
        </m:r>
        <m:r>
          <m:t>δ</m:t>
        </m:r>
        <m:r>
          <m:rPr>
            <m:sty m:val="p"/>
          </m:rPr>
          <m:t>&gt;</m:t>
        </m:r>
        <m:r>
          <m:t>0</m:t>
        </m:r>
      </m:oMath>
      <w:r>
        <w:t xml:space="preserve"> </w:t>
      </w:r>
      <w:r>
        <w:t xml:space="preserve">sobre el beneficio nulo de</w:t>
      </w:r>
      <w:r>
        <w:t xml:space="preserve"> </w:t>
      </w:r>
      <m:oMath>
        <m:sSub>
          <m:e>
            <m:r>
              <m:t>q</m:t>
            </m:r>
          </m:e>
          <m:sub>
            <m:r>
              <m:t>j</m:t>
            </m:r>
          </m:sub>
        </m:sSub>
      </m:oMath>
      <w:r>
        <w:t xml:space="preserve">. Por tanto,</w:t>
      </w:r>
      <w:r>
        <w:t xml:space="preserve"> </w:t>
      </w:r>
      <m:oMath>
        <m:r>
          <m:t>p</m:t>
        </m:r>
        <m:r>
          <m:rPr>
            <m:sty m:val="p"/>
          </m:rPr>
          <m:t>=</m:t>
        </m:r>
        <m:r>
          <m:rPr>
            <m:sty m:val="p"/>
          </m:rPr>
          <m:t>C</m:t>
        </m:r>
        <m:r>
          <m:rPr>
            <m:sty m:val="p"/>
          </m:rPr>
          <m:t>M</m:t>
        </m:r>
        <m:r>
          <m:rPr>
            <m:sty m:val="p"/>
          </m:rPr>
          <m:t>g</m:t>
        </m:r>
      </m:oMath>
      <w:r>
        <w:t xml:space="preserve"> </w:t>
      </w:r>
      <w:r>
        <w:t xml:space="preserve">y, con beneficio nulo,</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 cap. 2</w:t>
        </w:r>
      </w:hyperlink>
      <w:r>
        <w:t xml:space="preserve">)</w:t>
      </w:r>
      <w:r>
        <w:t xml:space="preserve">. ∎</w:t>
      </w:r>
    </w:p>
    <w:bookmarkEnd w:id="208"/>
    <w:bookmarkEnd w:id="209"/>
    <w:bookmarkStart w:id="211" w:name="anexo_taxonomia"/>
    <w:p>
      <w:pPr>
        <w:pStyle w:val="Heading1"/>
      </w:pPr>
      <w:r>
        <w:t xml:space="preserve">C. Anexo: inversión estratégica, la taxonomía de</w:t>
      </w:r>
      <w:r>
        <w:t xml:space="preserve"> </w:t>
      </w:r>
      <w:r>
        <w:rPr>
          <w:smallCaps/>
        </w:rPr>
        <w:t xml:space="preserve">Fudenberg</w:t>
      </w:r>
      <w:r>
        <w:t xml:space="preserve"> </w:t>
      </w:r>
      <w:r>
        <w:t xml:space="preserve">y</w:t>
      </w:r>
      <w:r>
        <w:t xml:space="preserve"> </w:t>
      </w:r>
      <w:r>
        <w:rPr>
          <w:smallCaps/>
        </w:rPr>
        <w:t xml:space="preserve">Tirole</w:t>
      </w:r>
    </w:p>
    <w:p>
      <w:pPr>
        <w:numPr>
          <w:ilvl w:val="0"/>
          <w:numId w:val="1113"/>
        </w:numPr>
      </w:pPr>
      <w:r>
        <w:t xml:space="preserve">Una inversión hecha antes de competir puede hacer a la empresa</w:t>
      </w:r>
      <w:r>
        <w:t xml:space="preserve"> </w:t>
      </w:r>
      <w:r>
        <w:rPr>
          <w:i/>
          <w:iCs/>
        </w:rPr>
        <w:t xml:space="preserve">dura</w:t>
      </w:r>
      <w:r>
        <w:t xml:space="preserve"> </w:t>
      </w:r>
      <w:r>
        <w:t xml:space="preserve">(más agresiva después: más capacidad, menor coste marginal) o</w:t>
      </w:r>
      <w:r>
        <w:t xml:space="preserve"> </w:t>
      </w:r>
      <w:r>
        <w:rPr>
          <w:i/>
          <w:iCs/>
        </w:rPr>
        <w:t xml:space="preserve">blanda</w:t>
      </w:r>
      <w:r>
        <w:t xml:space="preserve"> </w:t>
      </w:r>
      <w:r>
        <w:t xml:space="preserve">(menos agresiva: una base de clientes cautivos le hace preferir precios altos). Lo que conviene depende del objetivo (disuadir o acomodar) y de si las variables de la competencia son</w:t>
      </w:r>
      <w:r>
        <w:t xml:space="preserve"> </w:t>
      </w:r>
      <w:r>
        <w:rPr>
          <w:i/>
          <w:iCs/>
        </w:rPr>
        <w:t xml:space="preserve">sustitutivos estratégicos</w:t>
      </w:r>
      <w:r>
        <w:t xml:space="preserve"> </w:t>
      </w:r>
      <w:r>
        <w:t xml:space="preserve">(cantidades: funciones de reacción decrecientes) o</w:t>
      </w:r>
      <w:r>
        <w:t xml:space="preserve"> </w:t>
      </w:r>
      <w:r>
        <w:rPr>
          <w:i/>
          <w:iCs/>
        </w:rPr>
        <w:t xml:space="preserve">complementos estratégicos</w:t>
      </w:r>
      <w:r>
        <w:t xml:space="preserve"> </w:t>
      </w:r>
      <w:r>
        <w:t xml:space="preserve">(precios: funciones de reacción crecientes)</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Para disuadir hay que ser duro; para acomodar con sustitutivos estratégicos también, porque el rival responde produciendo menos; con complementos estratégicos conviene ser blando, porque el rival responde subiendo su precio (tabla </w:t>
      </w:r>
      <w:hyperlink w:anchor="tab_taxonomia">
        <w:r>
          <w:rPr>
            <w:rStyle w:val="Hyperlink"/>
          </w:rPr>
          <w:t xml:space="preserve">2</w:t>
        </w:r>
      </w:hyperlink>
      <w:r>
        <w:t xml:space="preserve">).</w:t>
      </w:r>
    </w:p>
    <w:bookmarkStart w:id="210" w:name="tab_taxonomia"/>
    <w:p>
      <w:pPr>
        <w:pStyle w:val="TableCaption"/>
      </w:pPr>
      <w:r>
        <w:t xml:space="preserve">Tabla 2.–</w:t>
      </w:r>
      <w:r>
        <w:t xml:space="preserve"> </w:t>
      </w:r>
      <w:r>
        <w:t xml:space="preserve">Inversión estratégica: cuándo invertir de más o de menos</w:t>
      </w:r>
    </w:p>
    <w:tbl>
      <w:tblPr>
        <w:tblStyle w:val="Table"/>
        <w:tblW w:type="auto" w:w="0"/>
        <w:tblLook w:firstRow="1" w:lastRow="0" w:firstColumn="0" w:lastColumn="0" w:noHBand="0" w:noVBand="0" w:val="0020"/>
        <w:tblCaption w:val="Tabla 2.– Inversión estratégica: cuándo invertir de más o de menos"/>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La inversión hace dura a la empresa</w:t>
            </w:r>
          </w:p>
        </w:tc>
        <w:tc>
          <w:tcPr>
            <w:vAlign w:val="center"/>
          </w:tcPr>
          <w:p>
            <w:pPr>
              <w:pStyle w:val="Celdatceeazulpalido"/>
              <w:jc w:val="center"/>
            </w:pPr>
            <w:r>
              <w:rPr>
                <w:b/>
                <w:bCs/>
              </w:rPr>
              <w:t xml:space="preserve">La inversión hace blanda a la empresa</w:t>
            </w:r>
          </w:p>
        </w:tc>
      </w:tr>
      <w:tr>
        <w:tc>
          <w:tcPr>
            <w:vAlign w:val="center"/>
          </w:tcPr>
          <w:p>
            <w:pPr>
              <w:pStyle w:val="Compact"/>
              <w:jc w:val="left"/>
            </w:pPr>
            <w:r>
              <w:rPr>
                <w:b/>
                <w:bCs/>
              </w:rPr>
              <w:t xml:space="preserve">Disuadir la entrada</w:t>
            </w:r>
          </w:p>
        </w:tc>
        <w:tc>
          <w:tcPr>
            <w:vAlign w:val="center"/>
          </w:tcPr>
          <w:p>
            <w:pPr>
              <w:pStyle w:val="Compact"/>
              <w:jc w:val="center"/>
            </w:pPr>
            <w:r>
              <w:t xml:space="preserve">invertir de más:</w:t>
            </w:r>
            <w:r>
              <w:t xml:space="preserve"> </w:t>
            </w:r>
            <w:r>
              <w:rPr>
                <w:i/>
                <w:iCs/>
              </w:rPr>
              <w:t xml:space="preserve">perro grande</w:t>
            </w:r>
            <w:r>
              <w:t xml:space="preserve"> </w:t>
            </w:r>
            <w:r>
              <w:t xml:space="preserve">(</w:t>
            </w:r>
            <w:r>
              <w:rPr>
                <w:i/>
                <w:iCs/>
              </w:rPr>
              <w:t xml:space="preserve">top dog</w:t>
            </w:r>
            <w:r>
              <w:t xml:space="preserve">)</w:t>
            </w:r>
          </w:p>
        </w:tc>
        <w:tc>
          <w:tcPr>
            <w:vAlign w:val="center"/>
          </w:tcPr>
          <w:p>
            <w:pPr>
              <w:pStyle w:val="Compact"/>
              <w:jc w:val="center"/>
            </w:pPr>
            <w:r>
              <w:t xml:space="preserve">invertir de menos:</w:t>
            </w:r>
            <w:r>
              <w:t xml:space="preserve"> </w:t>
            </w:r>
            <w:r>
              <w:rPr>
                <w:i/>
                <w:iCs/>
              </w:rPr>
              <w:t xml:space="preserve">flaco y hambriento</w:t>
            </w:r>
            <w:r>
              <w:t xml:space="preserve"> </w:t>
            </w:r>
            <w:r>
              <w:t xml:space="preserve">(</w:t>
            </w:r>
            <w:r>
              <w:rPr>
                <w:i/>
                <w:iCs/>
              </w:rPr>
              <w:t xml:space="preserve">lean and hungry</w:t>
            </w:r>
            <w:r>
              <w:t xml:space="preserve">)</w:t>
            </w:r>
          </w:p>
        </w:tc>
      </w:tr>
      <w:tr>
        <w:tc>
          <w:tcPr>
            <w:vAlign w:val="center"/>
          </w:tcPr>
          <w:p>
            <w:pPr>
              <w:pStyle w:val="Compact"/>
              <w:jc w:val="left"/>
            </w:pPr>
            <w:r>
              <w:rPr>
                <w:b/>
                <w:bCs/>
              </w:rPr>
              <w:t xml:space="preserve">Acomodar, sustitutivos estratégicos</w:t>
            </w:r>
          </w:p>
        </w:tc>
        <w:tc>
          <w:tcPr>
            <w:vAlign w:val="center"/>
          </w:tcPr>
          <w:p>
            <w:pPr>
              <w:pStyle w:val="Compact"/>
              <w:jc w:val="center"/>
            </w:pPr>
            <w:r>
              <w:t xml:space="preserve">invertir de más:</w:t>
            </w:r>
            <w:r>
              <w:t xml:space="preserve"> </w:t>
            </w:r>
            <w:r>
              <w:rPr>
                <w:i/>
                <w:iCs/>
              </w:rPr>
              <w:t xml:space="preserve">perro grande</w:t>
            </w:r>
          </w:p>
        </w:tc>
        <w:tc>
          <w:tcPr>
            <w:vAlign w:val="center"/>
          </w:tcPr>
          <w:p>
            <w:pPr>
              <w:pStyle w:val="Compact"/>
              <w:jc w:val="center"/>
            </w:pPr>
            <w:r>
              <w:t xml:space="preserve">invertir de menos:</w:t>
            </w:r>
            <w:r>
              <w:t xml:space="preserve"> </w:t>
            </w:r>
            <w:r>
              <w:rPr>
                <w:i/>
                <w:iCs/>
              </w:rPr>
              <w:t xml:space="preserve">flaco y hambriento</w:t>
            </w:r>
          </w:p>
        </w:tc>
      </w:tr>
      <w:tr>
        <w:tc>
          <w:tcPr>
            <w:vAlign w:val="center"/>
          </w:tcPr>
          <w:p>
            <w:pPr>
              <w:pStyle w:val="Compact"/>
              <w:jc w:val="left"/>
            </w:pPr>
            <w:r>
              <w:rPr>
                <w:b/>
                <w:bCs/>
              </w:rPr>
              <w:t xml:space="preserve">Acomodar, complementos estratégicos</w:t>
            </w:r>
          </w:p>
        </w:tc>
        <w:tc>
          <w:tcPr>
            <w:vAlign w:val="center"/>
          </w:tcPr>
          <w:p>
            <w:pPr>
              <w:pStyle w:val="Compact"/>
              <w:jc w:val="center"/>
            </w:pPr>
            <w:r>
              <w:t xml:space="preserve">invertir de menos:</w:t>
            </w:r>
            <w:r>
              <w:t xml:space="preserve"> </w:t>
            </w:r>
            <w:r>
              <w:rPr>
                <w:i/>
                <w:iCs/>
              </w:rPr>
              <w:t xml:space="preserve">cachorro</w:t>
            </w:r>
            <w:r>
              <w:t xml:space="preserve"> </w:t>
            </w:r>
            <w:r>
              <w:t xml:space="preserve">(</w:t>
            </w:r>
            <w:r>
              <w:rPr>
                <w:i/>
                <w:iCs/>
              </w:rPr>
              <w:t xml:space="preserve">puppy dog</w:t>
            </w:r>
            <w:r>
              <w:t xml:space="preserve">)</w:t>
            </w:r>
          </w:p>
        </w:tc>
        <w:tc>
          <w:tcPr>
            <w:vAlign w:val="center"/>
          </w:tcPr>
          <w:p>
            <w:pPr>
              <w:pStyle w:val="Compact"/>
              <w:jc w:val="center"/>
            </w:pPr>
            <w:r>
              <w:t xml:space="preserve">invertir de más:</w:t>
            </w:r>
            <w:r>
              <w:t xml:space="preserve"> </w:t>
            </w:r>
            <w:r>
              <w:rPr>
                <w:i/>
                <w:iCs/>
              </w:rPr>
              <w:t xml:space="preserve">gato gordo</w:t>
            </w:r>
            <w:r>
              <w:t xml:space="preserve"> </w:t>
            </w:r>
            <w:r>
              <w:t xml:space="preserve">(</w:t>
            </w:r>
            <w:r>
              <w:rPr>
                <w:i/>
                <w:iCs/>
              </w:rPr>
              <w:t xml:space="preserve">fat cat</w:t>
            </w:r>
            <w:r>
              <w:t xml:space="preserve">)</w:t>
            </w:r>
          </w:p>
        </w:tc>
      </w:tr>
    </w:tbl>
    <w:bookmarkEnd w:id="210"/>
    <w:p>
      <w:pPr>
        <w:pStyle w:val="BodyText"/>
      </w:pPr>
      <w:r>
        <w:rPr>
          <w:i/>
          <w:iCs/>
        </w:rPr>
        <w:t xml:space="preserve">Fuente: elaboración propia a partir de</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84Fat">
        <w:r>
          <w:rPr>
            <w:rStyle w:val="Hyperlink"/>
            <w:i/>
            <w:iCs/>
          </w:rPr>
          <w:t xml:space="preserve">1984</w:t>
        </w:r>
      </w:hyperlink>
      <w:r>
        <w:rPr>
          <w:i/>
          <w:iCs/>
        </w:rPr>
        <w:t xml:space="preserve">)</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8</w:t>
        </w:r>
      </w:hyperlink>
      <w:r>
        <w:rPr>
          <w:i/>
          <w:iCs/>
        </w:rPr>
        <w:t xml:space="preserve">)</w:t>
      </w:r>
      <w:r>
        <w:rPr>
          <w:i/>
          <w:iCs/>
        </w:rPr>
        <w:t xml:space="preserve">.</w:t>
      </w:r>
    </w:p>
    <w:bookmarkEnd w:id="211"/>
    <w:bookmarkStart w:id="212" w:name="anexo_gobierno_corporativo"/>
    <w:p>
      <w:pPr>
        <w:pStyle w:val="Heading1"/>
      </w:pPr>
      <w:r>
        <w:t xml:space="preserve">D. Anexo: gobierno corporativo en España</w:t>
      </w:r>
    </w:p>
    <w:p>
      <w:pPr>
        <w:numPr>
          <w:ilvl w:val="0"/>
          <w:numId w:val="1114"/>
        </w:numPr>
      </w:pPr>
      <w:r>
        <w:t xml:space="preserve">El</w:t>
      </w:r>
      <w:r>
        <w:t xml:space="preserve"> </w:t>
      </w:r>
      <w:r>
        <w:rPr>
          <w:b/>
          <w:bCs/>
        </w:rPr>
        <w:t xml:space="preserve">gobierno corporativo</w:t>
      </w:r>
      <w:r>
        <w:t xml:space="preserve"> </w:t>
      </w:r>
      <w:r>
        <w:t xml:space="preserve">es el conjunto de reglas con las que los accionistas y otros interesados controlan a quienes dirigen la empresa: es la respuesta práctica al problema de agencia (</w:t>
      </w:r>
      <w:hyperlink w:anchor="sec_agencia">
        <w:r>
          <w:rPr>
            <w:rStyle w:val="Hyperlink"/>
          </w:rPr>
          <w:t xml:space="preserve">I.2.3</w:t>
        </w:r>
      </w:hyperlink>
      <w:r>
        <w:t xml:space="preserve">). Los poderes públicos no han podido resolver por ley (</w:t>
      </w:r>
      <w:r>
        <w:rPr>
          <w:i/>
          <w:iCs/>
        </w:rPr>
        <w:t xml:space="preserve">hard law</w:t>
      </w:r>
      <w:r>
        <w:t xml:space="preserve">) la desalineación de objetivos dentro de la empresa, y han recurrido a códigos de buenas prácticas (</w:t>
      </w:r>
      <w:r>
        <w:rPr>
          <w:i/>
          <w:iCs/>
        </w:rPr>
        <w:t xml:space="preserve">soft law</w:t>
      </w:r>
      <w:r>
        <w:t xml:space="preserve">).</w:t>
      </w:r>
    </w:p>
    <w:p>
      <w:pPr>
        <w:keepNext/>
        <w:numPr>
          <w:ilvl w:val="0"/>
          <w:numId w:val="1114"/>
        </w:numPr>
      </w:pPr>
      <w:r>
        <w:t xml:space="preserve">En España, los códigos de buen gobierno son de asunción voluntaria, con el principio de</w:t>
      </w:r>
      <w:r>
        <w:t xml:space="preserve"> </w:t>
      </w:r>
      <w:r>
        <w:rPr>
          <w:i/>
          <w:iCs/>
        </w:rPr>
        <w:t xml:space="preserve">cumplir o explicar</w:t>
      </w:r>
      <w:r>
        <w:t xml:space="preserve">: las sociedades cotizadas informan cada año de qué recomendaciones siguen y explican por qué no siguen las demás.</w:t>
      </w:r>
    </w:p>
    <w:p>
      <w:pPr>
        <w:numPr>
          <w:ilvl w:val="1"/>
          <w:numId w:val="1115"/>
        </w:numPr>
      </w:pPr>
      <w:r>
        <w:t xml:space="preserve">El</w:t>
      </w:r>
      <w:r>
        <w:t xml:space="preserve"> </w:t>
      </w:r>
      <w:r>
        <w:rPr>
          <w:i/>
          <w:iCs/>
        </w:rPr>
        <w:t xml:space="preserve">Informe Olivencia</w:t>
      </w:r>
      <w:r>
        <w:t xml:space="preserve"> </w:t>
      </w:r>
      <w:r>
        <w:t xml:space="preserve">(1998) y el</w:t>
      </w:r>
      <w:r>
        <w:t xml:space="preserve"> </w:t>
      </w:r>
      <w:r>
        <w:rPr>
          <w:i/>
          <w:iCs/>
        </w:rPr>
        <w:t xml:space="preserve">Informe Aldama</w:t>
      </w:r>
      <w:r>
        <w:t xml:space="preserve"> </w:t>
      </w:r>
      <w:r>
        <w:t xml:space="preserve">(2003) recomiendan reforzar el peso de los consejeros independientes, los que no forman parte del equipo directivo, y la información a los inversores</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03Aldama">
        <w:r>
          <w:rPr>
            <w:rStyle w:val="Hyperlink"/>
            <w:smallCaps/>
          </w:rPr>
          <w:t xml:space="preserve">Comisión Especial para el Fomento de la Transparencia y Seguridad en los Mercados y Sociedades Cotizadas</w:t>
        </w:r>
        <w:r>
          <w:rPr>
            <w:rStyle w:val="Hyperlink"/>
          </w:rPr>
          <w:t xml:space="preserve">, 2003</w:t>
        </w:r>
      </w:hyperlink>
      <w:r>
        <w:t xml:space="preserve">)</w:t>
      </w:r>
      <w:r>
        <w:t xml:space="preserve">.</w:t>
      </w:r>
    </w:p>
    <w:p>
      <w:pPr>
        <w:numPr>
          <w:ilvl w:val="1"/>
          <w:numId w:val="1115"/>
        </w:numPr>
      </w:pPr>
      <w:r>
        <w:t xml:space="preserve">El</w:t>
      </w:r>
      <w:r>
        <w:t xml:space="preserve"> </w:t>
      </w:r>
      <w:r>
        <w:rPr>
          <w:i/>
          <w:iCs/>
        </w:rPr>
        <w:t xml:space="preserve">Código unificado de buen gobierno</w:t>
      </w:r>
      <w:r>
        <w:t xml:space="preserve"> </w:t>
      </w:r>
      <w:r>
        <w:t xml:space="preserve">o</w:t>
      </w:r>
      <w:r>
        <w:t xml:space="preserve"> </w:t>
      </w:r>
      <w:r>
        <w:rPr>
          <w:i/>
          <w:iCs/>
        </w:rPr>
        <w:t xml:space="preserve">Código Conthe</w:t>
      </w:r>
      <w:r>
        <w:t xml:space="preserve"> </w:t>
      </w:r>
      <w:r>
        <w:t xml:space="preserve">(CNMV, 2006) los refunde</w:t>
      </w:r>
      <w:r>
        <w:t xml:space="preserve"> </w:t>
      </w:r>
      <w:r>
        <w:t xml:space="preserve">(</w:t>
      </w:r>
      <w:hyperlink w:anchor="ref_CNMV2006Unificado">
        <w:r>
          <w:rPr>
            <w:rStyle w:val="Hyperlink"/>
            <w:smallCaps/>
          </w:rPr>
          <w:t xml:space="preserve">Comisión Nacional del Mercado de Valores</w:t>
        </w:r>
        <w:r>
          <w:rPr>
            <w:rStyle w:val="Hyperlink"/>
          </w:rPr>
          <w:t xml:space="preserve">, 2006</w:t>
        </w:r>
      </w:hyperlink>
      <w:r>
        <w:t xml:space="preserve">)</w:t>
      </w:r>
      <w:r>
        <w:t xml:space="preserve">.</w:t>
      </w:r>
    </w:p>
    <w:p>
      <w:pPr>
        <w:numPr>
          <w:ilvl w:val="1"/>
          <w:numId w:val="1115"/>
        </w:numPr>
      </w:pPr>
      <w:r>
        <w:t xml:space="preserve">El</w:t>
      </w:r>
      <w:r>
        <w:t xml:space="preserve"> </w:t>
      </w:r>
      <w:r>
        <w:rPr>
          <w:i/>
          <w:iCs/>
        </w:rPr>
        <w:t xml:space="preserve">Código de buen gobierno de las sociedades cotizadas</w:t>
      </w:r>
      <w:r>
        <w:t xml:space="preserve"> </w:t>
      </w:r>
      <w:r>
        <w:t xml:space="preserve">de la CNMV (2015, revisado en 2020) lo sustituye</w:t>
      </w:r>
      <w:r>
        <w:t xml:space="preserve"> </w:t>
      </w:r>
      <w:r>
        <w:t xml:space="preserve">(</w:t>
      </w:r>
      <w:hyperlink w:anchor="ref_CNMV2015CBG">
        <w:r>
          <w:rPr>
            <w:rStyle w:val="Hyperlink"/>
            <w:smallCaps/>
          </w:rPr>
          <w:t xml:space="preserve">Comisión Nacional del Mercado de Valores</w:t>
        </w:r>
        <w:r>
          <w:rPr>
            <w:rStyle w:val="Hyperlink"/>
          </w:rPr>
          <w:t xml:space="preserve">, 2015</w:t>
        </w:r>
      </w:hyperlink>
      <w:r>
        <w:t xml:space="preserve">,</w:t>
      </w:r>
      <w:r>
        <w:t xml:space="preserve"> </w:t>
      </w:r>
      <w:hyperlink w:anchor="ref_CNMV2020CBG">
        <w:r>
          <w:rPr>
            <w:rStyle w:val="Hyperlink"/>
          </w:rPr>
          <w:t xml:space="preserve">2020</w:t>
        </w:r>
      </w:hyperlink>
      <w:r>
        <w:t xml:space="preserve">)</w:t>
      </w:r>
      <w:r>
        <w:t xml:space="preserve">; la CNMV prepara una nueva revisión para 2027</w:t>
      </w:r>
      <w:r>
        <w:t xml:space="preserve"> </w:t>
      </w:r>
      <w:r>
        <w:t xml:space="preserve">(</w:t>
      </w:r>
      <w:hyperlink w:anchor="ref_CNMV2025RevisionCBG">
        <w:r>
          <w:rPr>
            <w:rStyle w:val="Hyperlink"/>
            <w:smallCaps/>
          </w:rPr>
          <w:t xml:space="preserve">Comisión Nacional del Mercado de Valores</w:t>
        </w:r>
        <w:r>
          <w:rPr>
            <w:rStyle w:val="Hyperlink"/>
          </w:rPr>
          <w:t xml:space="preserve">, 2025</w:t>
        </w:r>
      </w:hyperlink>
      <w:r>
        <w:t xml:space="preserve">)</w:t>
      </w:r>
      <w:r>
        <w:t xml:space="preserve">.</w:t>
      </w:r>
    </w:p>
    <w:p>
      <w:pPr>
        <w:numPr>
          <w:ilvl w:val="0"/>
          <w:numId w:val="1114"/>
        </w:numPr>
      </w:pPr>
      <w:r>
        <w:t xml:space="preserve">La ley ha incorporado parte de esas recomendaciones: la Ley 31/2014 modificó la Ley de Sociedades de Capital para mejorar el gobierno corporativo</w:t>
      </w:r>
      <w:r>
        <w:t xml:space="preserve"> </w:t>
      </w:r>
      <w:r>
        <w:t xml:space="preserve">(</w:t>
      </w:r>
      <w:hyperlink w:anchor="ref_Ley2014GobiernoCorporativo">
        <w:r>
          <w:rPr>
            <w:rStyle w:val="Hyperlink"/>
            <w:smallCaps/>
          </w:rPr>
          <w:t xml:space="preserve">Jefatura del Estado</w:t>
        </w:r>
        <w:r>
          <w:rPr>
            <w:rStyle w:val="Hyperlink"/>
          </w:rPr>
          <w:t xml:space="preserve">, 2014</w:t>
        </w:r>
      </w:hyperlink>
      <w:r>
        <w:t xml:space="preserve">)</w:t>
      </w:r>
      <w:r>
        <w:t xml:space="preserve">, y la Ley Orgánica 1/2015 reformó el Código Penal para castigar en su artículo 252 la administración desleal de cualquier patrimonio ajeno</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w:t>
      </w:r>
    </w:p>
    <w:bookmarkEnd w:id="212"/>
    <w:bookmarkStart w:id="213" w:name="anexo_plataformas"/>
    <w:p>
      <w:pPr>
        <w:pStyle w:val="Heading1"/>
      </w:pPr>
      <w:r>
        <w:t xml:space="preserve">E. Anexo: plataformas digitales y barreras a la entrada</w:t>
      </w:r>
    </w:p>
    <w:p>
      <w:pPr>
        <w:numPr>
          <w:ilvl w:val="0"/>
          <w:numId w:val="1116"/>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Es la lógica de</w:t>
      </w:r>
      <w:r>
        <w:t xml:space="preserve"> </w:t>
      </w:r>
      <w:r>
        <w:rPr>
          <w:smallCaps/>
        </w:rPr>
        <w:t xml:space="preserve">Coase</w:t>
      </w:r>
      <w:r>
        <w:t xml:space="preserve"> </w:t>
      </w:r>
      <w:r>
        <w:t xml:space="preserve">llevada al mercado: la plataforma existe porque reduce los costes de transacción de encontrar contraparte.</w:t>
      </w:r>
    </w:p>
    <w:p>
      <w:pPr>
        <w:numPr>
          <w:ilvl w:val="0"/>
          <w:numId w:val="1116"/>
        </w:numPr>
      </w:pPr>
      <w:r>
        <w:t xml:space="preserve">Las plataformas reúnen casi todas las barreras de</w:t>
      </w:r>
      <w:r>
        <w:t xml:space="preserve"> </w:t>
      </w:r>
      <w:hyperlink w:anchor="sec_barreras">
        <w:r>
          <w:rPr>
            <w:rStyle w:val="Hyperlink"/>
          </w:rPr>
          <w:t xml:space="preserve">III.2</w:t>
        </w:r>
      </w:hyperlink>
      <w:r>
        <w:t xml:space="preserve">: costes fijos altos y coste marginal casi nulo, efectos de red, costes de cambio y datos acumulados que mejoran el servicio. La competencia es</w:t>
      </w:r>
      <w:r>
        <w:t xml:space="preserve"> </w:t>
      </w:r>
      <w:r>
        <w:rPr>
          <w:i/>
          <w:iCs/>
        </w:rPr>
        <w:t xml:space="preserve">por</w:t>
      </w:r>
      <w:r>
        <w:t xml:space="preserve"> </w:t>
      </w:r>
      <w:r>
        <w:t xml:space="preserve">el mercado más que</w:t>
      </w:r>
      <w:r>
        <w:t xml:space="preserve"> </w:t>
      </w:r>
      <w:r>
        <w:rPr>
          <w:i/>
          <w:iCs/>
        </w:rPr>
        <w:t xml:space="preserve">en</w:t>
      </w:r>
      <w:r>
        <w:t xml:space="preserve"> </w:t>
      </w:r>
      <w:r>
        <w:t xml:space="preserve">el mercado, y el ganador se lleva la mayor parte: son lo contrario de un mercado impugnable.</w:t>
      </w:r>
    </w:p>
    <w:p>
      <w:pPr>
        <w:numPr>
          <w:ilvl w:val="0"/>
          <w:numId w:val="1116"/>
        </w:numPr>
      </w:pPr>
      <w:r>
        <w:rPr>
          <w:i/>
          <w:iCs/>
        </w:rPr>
        <w:t xml:space="preserve">Política</w:t>
      </w:r>
      <w:r>
        <w:t xml:space="preserve">: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 La Unión Europea ha añadido la regulación</w:t>
      </w:r>
      <w:r>
        <w:t xml:space="preserve"> </w:t>
      </w:r>
      <w:r>
        <w:rPr>
          <w:i/>
          <w:iCs/>
        </w:rPr>
        <w:t xml:space="preserve">ex ante</w:t>
      </w:r>
      <w:r>
        <w:t xml:space="preserve"> </w:t>
      </w:r>
      <w:r>
        <w:t xml:space="preserve">del Reglamento de Mercados Digitales, «sobre mercados disputables y equitativos en el sector digital» (la impugnabilidad como objetivo), que desde 2023 obliga a los guardianes de acceso designados, hoy 7 (Alphabet, Amazon, Apple, Booking, ByteDance, Meta y Microsoft), a abrir 23 servicios básicos de plataforma: interoperabilidad, portabilidad de los datos y prohibición de favorecer los servicios propios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hyperlink w:anchor="ref_CE2026GuardianesDMA">
        <w:r>
          <w:rPr>
            <w:rStyle w:val="Hyperlink"/>
            <w:smallCaps/>
          </w:rPr>
          <w:t xml:space="preserve">Comisión Europea</w:t>
        </w:r>
        <w:r>
          <w:rPr>
            <w:rStyle w:val="Hyperlink"/>
          </w:rPr>
          <w:t xml:space="preserve">, 2026a</w:t>
        </w:r>
      </w:hyperlink>
      <w:r>
        <w:t xml:space="preserve">)</w:t>
      </w:r>
      <w:r>
        <w:t xml:space="preserve"> </w:t>
      </w:r>
      <w:hyperlink r:id="rId32">
        <w:r>
          <w:rPr>
            <w:rStyle w:val="Referenciaatema"/>
          </w:rPr>
          <w:t xml:space="preserve">[ver tema 3.B.39]</w:t>
        </w:r>
      </w:hyperlink>
      <w:r>
        <w:t xml:space="preserve">.</w:t>
      </w:r>
    </w:p>
    <w:bookmarkEnd w:id="213"/>
    <w:bookmarkStart w:id="215" w:name="anexo_test"/>
    <w:p>
      <w:pPr>
        <w:pStyle w:val="Heading1"/>
      </w:pPr>
      <w:r>
        <w:t xml:space="preserve">F. Anexo: para el test y el tribunal</w:t>
      </w:r>
    </w:p>
    <w:p>
      <w:pPr>
        <w:keepNext/>
        <w:numPr>
          <w:ilvl w:val="0"/>
          <w:numId w:val="1117"/>
        </w:numPr>
      </w:pPr>
      <w:r>
        <w:rPr>
          <w:i/>
          <w:iCs/>
        </w:rPr>
        <w:t xml:space="preserve">Preguntas de otros exámenes</w:t>
      </w:r>
      <w:r>
        <w:t xml:space="preserve">:</w:t>
      </w:r>
    </w:p>
    <w:p>
      <w:pPr>
        <w:numPr>
          <w:ilvl w:val="1"/>
          <w:numId w:val="1118"/>
        </w:numPr>
      </w:pPr>
      <w:r>
        <w:t xml:space="preserve">¿Cuál es la diferencia entre la teoría de</w:t>
      </w:r>
      <w:r>
        <w:t xml:space="preserve"> </w:t>
      </w:r>
      <w:r>
        <w:rPr>
          <w:smallCaps/>
        </w:rPr>
        <w:t xml:space="preserve">Coase</w:t>
      </w:r>
      <w:r>
        <w:t xml:space="preserve"> </w:t>
      </w:r>
      <w:r>
        <w:t xml:space="preserve">y la de los derechos de propiedad?</w:t>
      </w:r>
      <w:r>
        <w:t xml:space="preserve"> </w:t>
      </w:r>
      <w:r>
        <w:rPr>
          <w:smallCaps/>
        </w:rPr>
        <w:t xml:space="preserve">Coase</w:t>
      </w:r>
      <w:r>
        <w:t xml:space="preserve"> </w:t>
      </w:r>
      <w:r>
        <w:t xml:space="preserve">explica por qué existe la empresa (los costes de usar el mercado);</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explican qué cambia al integrar: la propiedad de los activos y, con ella, los incentivos a invertir (</w:t>
      </w:r>
      <w:hyperlink w:anchor="sec_contratos_incompletos">
        <w:r>
          <w:rPr>
            <w:rStyle w:val="Hyperlink"/>
          </w:rPr>
          <w:t xml:space="preserve">II.3</w:t>
        </w:r>
      </w:hyperlink>
      <w:r>
        <w:t xml:space="preserve">).</w:t>
      </w:r>
    </w:p>
    <w:p>
      <w:pPr>
        <w:numPr>
          <w:ilvl w:val="1"/>
          <w:numId w:val="1118"/>
        </w:numPr>
      </w:pPr>
      <w:r>
        <w:t xml:space="preserve">¿Por qué recibió</w:t>
      </w:r>
      <w:r>
        <w:t xml:space="preserve"> </w:t>
      </w:r>
      <w:r>
        <w:rPr>
          <w:smallCaps/>
        </w:rPr>
        <w:t xml:space="preserve">Hart</w:t>
      </w:r>
      <w:r>
        <w:t xml:space="preserve"> </w:t>
      </w:r>
      <w:r>
        <w:t xml:space="preserve">el Nobel? ¿Le suena el concepto de contratos incompletos? Por los contratos incompletos: los derechos residuales de control y la frontera de la empresa (</w:t>
      </w:r>
      <w:hyperlink w:anchor="sec_contratos_incompletos">
        <w:r>
          <w:rPr>
            <w:rStyle w:val="Hyperlink"/>
          </w:rPr>
          <w:t xml:space="preserve">II.3</w:t>
        </w:r>
      </w:hyperlink>
      <w:r>
        <w:t xml:space="preserve">).</w:t>
      </w:r>
    </w:p>
    <w:p>
      <w:pPr>
        <w:numPr>
          <w:ilvl w:val="1"/>
          <w:numId w:val="1118"/>
        </w:numPr>
      </w:pPr>
      <w:r>
        <w:t xml:space="preserve">Defina riesgo moral y selección adversa: acción oculta después del contrato e información oculta antes del contrato</w:t>
      </w:r>
      <w:r>
        <w:t xml:space="preserve"> </w:t>
      </w:r>
      <w:hyperlink r:id="rId35">
        <w:r>
          <w:rPr>
            <w:rStyle w:val="Referenciaatema"/>
          </w:rPr>
          <w:t xml:space="preserve">[ver tema 3.A.13]</w:t>
        </w:r>
      </w:hyperlink>
      <w:r>
        <w:t xml:space="preserve">.</w:t>
      </w:r>
    </w:p>
    <w:p>
      <w:pPr>
        <w:numPr>
          <w:ilvl w:val="1"/>
          <w:numId w:val="1118"/>
        </w:numPr>
      </w:pPr>
      <w:r>
        <w:t xml:space="preserve">¿La saturación de un mercado implica siempre un aumento de la competencia? No: si entrar exige costes hundidos, la proliferación de marcas o de capacidad puede ser una barrera estratégica (</w:t>
      </w:r>
      <w:hyperlink w:anchor="sec_barreras">
        <w:r>
          <w:rPr>
            <w:rStyle w:val="Hyperlink"/>
          </w:rPr>
          <w:t xml:space="preserve">III.2</w:t>
        </w:r>
      </w:hyperlink>
      <w:r>
        <w:t xml:space="preserve">).</w:t>
      </w:r>
    </w:p>
    <w:p>
      <w:pPr>
        <w:numPr>
          <w:ilvl w:val="0"/>
          <w:numId w:val="1117"/>
        </w:numPr>
      </w:pPr>
      <w:r>
        <w:rPr>
          <w:i/>
          <w:iCs/>
        </w:rPr>
        <w:t xml:space="preserve">Trampas del test</w:t>
      </w:r>
      <w:r>
        <w:t xml:space="preserve">: los rendimientos constantes no son un supuesto de los mercados impugnables; en el monopolio impugnable,</w:t>
      </w:r>
      <w:r>
        <w:t xml:space="preserve"> </w:t>
      </w:r>
      <m:oMath>
        <m:r>
          <m:t>p</m:t>
        </m:r>
        <m:r>
          <m:rPr>
            <m:sty m:val="p"/>
          </m:rPr>
          <m:t>=</m:t>
        </m:r>
        <m:r>
          <m:rPr>
            <m:sty m:val="p"/>
          </m:rPr>
          <m:t>C</m:t>
        </m:r>
        <m:r>
          <m:rPr>
            <m:sty m:val="p"/>
          </m:rPr>
          <m:t>M</m:t>
        </m:r>
        <m:r>
          <m:rPr>
            <m:sty m:val="p"/>
          </m:rPr>
          <m:t>e</m:t>
        </m:r>
      </m:oMath>
      <w:r>
        <w:t xml:space="preserve">, no</w:t>
      </w:r>
      <w:r>
        <w:t xml:space="preserve"> </w:t>
      </w:r>
      <m:oMath>
        <m:r>
          <m:t>p</m:t>
        </m:r>
        <m:r>
          <m:rPr>
            <m:sty m:val="p"/>
          </m:rPr>
          <m:t>=</m:t>
        </m:r>
        <m:r>
          <m:rPr>
            <m:sty m:val="p"/>
          </m:rPr>
          <m:t>C</m:t>
        </m:r>
        <m:r>
          <m:rPr>
            <m:sty m:val="p"/>
          </m:rPr>
          <m:t>M</m:t>
        </m:r>
        <m:r>
          <m:rPr>
            <m:sty m:val="p"/>
          </m:rPr>
          <m:t>g</m:t>
        </m:r>
      </m:oMath>
      <w:r>
        <w:t xml:space="preserve">;</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es de 1986;</w:t>
      </w:r>
      <w:r>
        <w:t xml:space="preserve"> </w:t>
      </w:r>
      <w:r>
        <w:rPr>
          <w:smallCaps/>
        </w:rPr>
        <w:t xml:space="preserve">Williamson</w:t>
      </w:r>
      <w:r>
        <w:t xml:space="preserve"> </w:t>
      </w:r>
      <w:r>
        <w:t xml:space="preserve">no fue alumno de</w:t>
      </w:r>
      <w:r>
        <w:t xml:space="preserve"> </w:t>
      </w:r>
      <w:r>
        <w:rPr>
          <w:smallCaps/>
        </w:rPr>
        <w:t xml:space="preserve">Coase</w:t>
      </w:r>
      <w:r>
        <w:t xml:space="preserve">; General Motors compró el 60 % de Fisher Body en 1919 y el resto en 1926; el modelo de</w:t>
      </w:r>
      <w:r>
        <w:t xml:space="preserve"> </w:t>
      </w:r>
      <w:r>
        <w:rPr>
          <w:smallCaps/>
        </w:rPr>
        <w:t xml:space="preserve">Baumol</w:t>
      </w:r>
      <w:r>
        <w:t xml:space="preserve"> </w:t>
      </w:r>
      <w:r>
        <w:t xml:space="preserve">(1959) maximiza las ventas</w:t>
      </w:r>
      <w:r>
        <w:t xml:space="preserve"> </w:t>
      </w:r>
      <w:r>
        <w:rPr>
          <w:i/>
          <w:iCs/>
        </w:rPr>
        <w:t xml:space="preserve">sujeto a un beneficio mínimo</w:t>
      </w:r>
      <w:r>
        <w:t xml:space="preserve">; la frecuencia, en</w:t>
      </w:r>
      <w:r>
        <w:t xml:space="preserve"> </w:t>
      </w:r>
      <w:r>
        <w:rPr>
          <w:smallCaps/>
        </w:rPr>
        <w:t xml:space="preserve">Williamson</w:t>
      </w:r>
      <w:r>
        <w:t xml:space="preserve">, no encarece la transacción, sino que justifica una estructura de gobierno especializada.</w:t>
      </w:r>
    </w:p>
    <w:p>
      <w:pPr>
        <w:numPr>
          <w:ilvl w:val="0"/>
          <w:numId w:val="1117"/>
        </w:numPr>
      </w:pPr>
      <w:r>
        <w:t xml:space="preserve">Preguntas para practicar:</w:t>
      </w:r>
      <w:r>
        <w:t xml:space="preserve"> </w:t>
      </w:r>
      <w:hyperlink r:id="rId214">
        <w:r>
          <w:rPr>
            <w:rStyle w:val="Hyperlink"/>
          </w:rPr>
          <w:t xml:space="preserve">simulador de test</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5"/>
    <w:bookmarkStart w:id="482" w:name="bibliografia"/>
    <w:p>
      <w:pPr>
        <w:pStyle w:val="Heading1"/>
      </w:pPr>
      <w:r>
        <w:t xml:space="preserve">Bibliografía</w:t>
      </w:r>
    </w:p>
    <w:bookmarkStart w:id="481" w:name="refs"/>
    <w:bookmarkStart w:id="217" w:name="ref_AghionTirole1997Formal"/>
    <w:p>
      <w:pPr>
        <w:pStyle w:val="Bibliography"/>
      </w:pPr>
      <w:r>
        <w:t xml:space="preserve">Aghion, Philippe y Jean Tirole (1997).</w:t>
      </w:r>
      <w:r>
        <w:t xml:space="preserve"> </w:t>
      </w:r>
      <w:r>
        <w:t xml:space="preserve">«Formal and Real Authority in Organizations»</w:t>
      </w:r>
      <w:r>
        <w:t xml:space="preserve">.</w:t>
      </w:r>
      <w:r>
        <w:t xml:space="preserve"> </w:t>
      </w:r>
      <w:r>
        <w:rPr>
          <w:i/>
          <w:iCs/>
        </w:rPr>
        <w:t xml:space="preserve">Journal of Political Economy</w:t>
      </w:r>
      <w:r>
        <w:t xml:space="preserve"> </w:t>
      </w:r>
      <w:r>
        <w:t xml:space="preserve">105 (1): 1-29.</w:t>
      </w:r>
      <w:r>
        <w:t xml:space="preserve"> </w:t>
      </w:r>
      <w:hyperlink r:id="rId216">
        <w:r>
          <w:rPr>
            <w:rStyle w:val="Hyperlink"/>
          </w:rPr>
          <w:t xml:space="preserve">https://doi.org/10.1086/262063</w:t>
        </w:r>
      </w:hyperlink>
      <w:r>
        <w:t xml:space="preserve">.</w:t>
      </w:r>
    </w:p>
    <w:bookmarkEnd w:id="217"/>
    <w:bookmarkStart w:id="219" w:name="ref_AlchianDemsetz1972Production"/>
    <w:p>
      <w:pPr>
        <w:pStyle w:val="Bibliography"/>
      </w:pPr>
      <w:r>
        <w:t xml:space="preserve">Alchian, Armen A. y Harold Demsetz (1972).</w:t>
      </w:r>
      <w:r>
        <w:t xml:space="preserve"> </w:t>
      </w:r>
      <w:r>
        <w:t xml:space="preserve">«Production, Information Costs, and Economic Organization»</w:t>
      </w:r>
      <w:r>
        <w:t xml:space="preserve">.</w:t>
      </w:r>
      <w:r>
        <w:t xml:space="preserve"> </w:t>
      </w:r>
      <w:r>
        <w:rPr>
          <w:i/>
          <w:iCs/>
        </w:rPr>
        <w:t xml:space="preserve">American Economic Review</w:t>
      </w:r>
      <w:r>
        <w:t xml:space="preserve"> </w:t>
      </w:r>
      <w:r>
        <w:t xml:space="preserve">62 (5): 777-95.</w:t>
      </w:r>
      <w:r>
        <w:t xml:space="preserve"> </w:t>
      </w:r>
      <w:hyperlink r:id="rId218">
        <w:r>
          <w:rPr>
            <w:rStyle w:val="Hyperlink"/>
          </w:rPr>
          <w:t xml:space="preserve">https://ideas.repec.org/a/aea/aecrev/v62y1972i5p777-95.html</w:t>
        </w:r>
      </w:hyperlink>
      <w:r>
        <w:t xml:space="preserve">.</w:t>
      </w:r>
    </w:p>
    <w:bookmarkEnd w:id="219"/>
    <w:bookmarkStart w:id="221"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r>
        <w:t xml:space="preserve"> </w:t>
      </w:r>
      <w:hyperlink r:id="rId220">
        <w:r>
          <w:rPr>
            <w:rStyle w:val="Hyperlink"/>
          </w:rPr>
          <w:t xml:space="preserve">https://doi.org/10.2307/1340237</w:t>
        </w:r>
      </w:hyperlink>
      <w:r>
        <w:t xml:space="preserve">.</w:t>
      </w:r>
    </w:p>
    <w:bookmarkEnd w:id="221"/>
    <w:bookmarkStart w:id="223"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22">
        <w:r>
          <w:rPr>
            <w:rStyle w:val="Hyperlink"/>
          </w:rPr>
          <w:t xml:space="preserve">https://doi.org/10.1111/j.1756-2171.2006.tb00037.x</w:t>
        </w:r>
      </w:hyperlink>
      <w:r>
        <w:t xml:space="preserve">.</w:t>
      </w:r>
    </w:p>
    <w:bookmarkEnd w:id="223"/>
    <w:bookmarkStart w:id="224"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24"/>
    <w:bookmarkStart w:id="226"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25">
        <w:r>
          <w:rPr>
            <w:rStyle w:val="Hyperlink"/>
          </w:rPr>
          <w:t xml:space="preserve">https://doi.org/10.1093/qje/qjaa004</w:t>
        </w:r>
      </w:hyperlink>
      <w:r>
        <w:t xml:space="preserve">.</w:t>
      </w:r>
    </w:p>
    <w:bookmarkEnd w:id="226"/>
    <w:bookmarkStart w:id="228" w:name="ref_Axtell2001Zipf"/>
    <w:p>
      <w:pPr>
        <w:pStyle w:val="Bibliography"/>
      </w:pPr>
      <w:r>
        <w:t xml:space="preserve">Axtell, Robert L. (2001).</w:t>
      </w:r>
      <w:r>
        <w:t xml:space="preserve"> </w:t>
      </w:r>
      <w:r>
        <w:t xml:space="preserve">«Zipf Distribution of U.S. Firm Sizes»</w:t>
      </w:r>
      <w:r>
        <w:t xml:space="preserve">.</w:t>
      </w:r>
      <w:r>
        <w:t xml:space="preserve"> </w:t>
      </w:r>
      <w:r>
        <w:rPr>
          <w:i/>
          <w:iCs/>
        </w:rPr>
        <w:t xml:space="preserve">Science</w:t>
      </w:r>
      <w:r>
        <w:t xml:space="preserve"> </w:t>
      </w:r>
      <w:r>
        <w:t xml:space="preserve">293 (5536): 1818-20.</w:t>
      </w:r>
      <w:r>
        <w:t xml:space="preserve"> </w:t>
      </w:r>
      <w:hyperlink r:id="rId227">
        <w:r>
          <w:rPr>
            <w:rStyle w:val="Hyperlink"/>
          </w:rPr>
          <w:t xml:space="preserve">https://doi.org/10.1126/science.1062081</w:t>
        </w:r>
      </w:hyperlink>
      <w:r>
        <w:t xml:space="preserve">.</w:t>
      </w:r>
    </w:p>
    <w:bookmarkEnd w:id="228"/>
    <w:bookmarkStart w:id="230" w:name="ref_BaileyBaumol1984Deregulation"/>
    <w:p>
      <w:pPr>
        <w:pStyle w:val="Bibliography"/>
      </w:pPr>
      <w:r>
        <w:t xml:space="preserve">Bailey, Elizabeth E. y William J. Baumol (1984).</w:t>
      </w:r>
      <w:r>
        <w:t xml:space="preserve"> </w:t>
      </w:r>
      <w:r>
        <w:t xml:space="preserve">«Deregulation and the Theory of Contestable Markets»</w:t>
      </w:r>
      <w:r>
        <w:t xml:space="preserve">.</w:t>
      </w:r>
      <w:r>
        <w:t xml:space="preserve"> </w:t>
      </w:r>
      <w:r>
        <w:rPr>
          <w:i/>
          <w:iCs/>
        </w:rPr>
        <w:t xml:space="preserve">Yale Journal on Regulation</w:t>
      </w:r>
      <w:r>
        <w:t xml:space="preserve"> </w:t>
      </w:r>
      <w:r>
        <w:t xml:space="preserve">1 (2): 111-37.</w:t>
      </w:r>
      <w:r>
        <w:t xml:space="preserve"> </w:t>
      </w:r>
      <w:hyperlink r:id="rId229">
        <w:r>
          <w:rPr>
            <w:rStyle w:val="Hyperlink"/>
          </w:rPr>
          <w:t xml:space="preserve">https://openyls.law.yale.edu/entities/publication/394c17da-e37b-4118-a8df-0cb60aebecba</w:t>
        </w:r>
      </w:hyperlink>
      <w:r>
        <w:t xml:space="preserve">.</w:t>
      </w:r>
    </w:p>
    <w:bookmarkEnd w:id="230"/>
    <w:bookmarkStart w:id="232" w:name="ref_BaileyPanzar1981Contestability"/>
    <w:p>
      <w:pPr>
        <w:pStyle w:val="Bibliography"/>
      </w:pPr>
      <w:r>
        <w:t xml:space="preserve">Bailey, Elizabeth E. y John C. Panzar (1981).</w:t>
      </w:r>
      <w:r>
        <w:t xml:space="preserve"> </w:t>
      </w:r>
      <w:r>
        <w:t xml:space="preserve">«The Contestability of Airline Markets during the Transition to Deregulation»</w:t>
      </w:r>
      <w:r>
        <w:t xml:space="preserve">.</w:t>
      </w:r>
      <w:r>
        <w:t xml:space="preserve"> </w:t>
      </w:r>
      <w:r>
        <w:rPr>
          <w:i/>
          <w:iCs/>
        </w:rPr>
        <w:t xml:space="preserve">Law and Contemporary Problems</w:t>
      </w:r>
      <w:r>
        <w:t xml:space="preserve"> </w:t>
      </w:r>
      <w:r>
        <w:t xml:space="preserve">44 (1): 125-45.</w:t>
      </w:r>
      <w:r>
        <w:t xml:space="preserve"> </w:t>
      </w:r>
      <w:hyperlink r:id="rId231">
        <w:r>
          <w:rPr>
            <w:rStyle w:val="Hyperlink"/>
          </w:rPr>
          <w:t xml:space="preserve">https://doi.org/10.2307/1191388</w:t>
        </w:r>
      </w:hyperlink>
      <w:r>
        <w:t xml:space="preserve">.</w:t>
      </w:r>
    </w:p>
    <w:bookmarkEnd w:id="232"/>
    <w:bookmarkStart w:id="233" w:name="ref_Bain1949Note"/>
    <w:p>
      <w:pPr>
        <w:pStyle w:val="Bibliography"/>
      </w:pPr>
      <w:r>
        <w:t xml:space="preserve">Bain, Joe S. (1949).</w:t>
      </w:r>
      <w:r>
        <w:t xml:space="preserve"> </w:t>
      </w:r>
      <w:r>
        <w:t xml:space="preserve">«A Note on Pricing in Monopoly and Oligopoly»</w:t>
      </w:r>
      <w:r>
        <w:t xml:space="preserve">.</w:t>
      </w:r>
      <w:r>
        <w:t xml:space="preserve"> </w:t>
      </w:r>
      <w:r>
        <w:rPr>
          <w:i/>
          <w:iCs/>
        </w:rPr>
        <w:t xml:space="preserve">American Economic Review</w:t>
      </w:r>
      <w:r>
        <w:t xml:space="preserve"> </w:t>
      </w:r>
      <w:r>
        <w:t xml:space="preserve">39 (2): 448-64.</w:t>
      </w:r>
    </w:p>
    <w:bookmarkEnd w:id="233"/>
    <w:bookmarkStart w:id="235" w:name="ref_Bain1951Relation"/>
    <w:p>
      <w:pPr>
        <w:pStyle w:val="Bibliography"/>
      </w:pPr>
      <w:r>
        <w:t xml:space="preserve">Bain, Joe S. (1951).</w:t>
      </w:r>
      <w:r>
        <w:t xml:space="preserve"> </w:t>
      </w:r>
      <w:r>
        <w:t xml:space="preserve">«Relation of Profit Rate to Industry Concentration: American Manufacturing, 1936–1940»</w:t>
      </w:r>
      <w:r>
        <w:t xml:space="preserve">.</w:t>
      </w:r>
      <w:r>
        <w:t xml:space="preserve"> </w:t>
      </w:r>
      <w:r>
        <w:rPr>
          <w:i/>
          <w:iCs/>
        </w:rPr>
        <w:t xml:space="preserve">Quarterly Journal of Economics</w:t>
      </w:r>
      <w:r>
        <w:t xml:space="preserve"> </w:t>
      </w:r>
      <w:r>
        <w:t xml:space="preserve">65 (3): 293-324.</w:t>
      </w:r>
      <w:r>
        <w:t xml:space="preserve"> </w:t>
      </w:r>
      <w:hyperlink r:id="rId234">
        <w:r>
          <w:rPr>
            <w:rStyle w:val="Hyperlink"/>
          </w:rPr>
          <w:t xml:space="preserve">https://doi.org/10.2307/1882217</w:t>
        </w:r>
      </w:hyperlink>
      <w:r>
        <w:t xml:space="preserve">.</w:t>
      </w:r>
    </w:p>
    <w:bookmarkEnd w:id="235"/>
    <w:bookmarkStart w:id="237" w:name="ref_Bain1956Barriers"/>
    <w:p>
      <w:pPr>
        <w:pStyle w:val="Bibliography"/>
      </w:pPr>
      <w:r>
        <w:t xml:space="preserve">Bain, Joe S. (1956).</w:t>
      </w:r>
      <w:r>
        <w:t xml:space="preserve"> </w:t>
      </w:r>
      <w:r>
        <w:rPr>
          <w:i/>
          <w:iCs/>
        </w:rPr>
        <w:t xml:space="preserve">Barriers to New Competition</w:t>
      </w:r>
      <w:r>
        <w:t xml:space="preserve">. Cambridge (Massachusetts): Harvard University Press.</w:t>
      </w:r>
      <w:r>
        <w:t xml:space="preserve"> </w:t>
      </w:r>
      <w:hyperlink r:id="rId236">
        <w:r>
          <w:rPr>
            <w:rStyle w:val="Hyperlink"/>
          </w:rPr>
          <w:t xml:space="preserve">https://doi.org/10.4159/harvard.9780674188037</w:t>
        </w:r>
      </w:hyperlink>
      <w:r>
        <w:t xml:space="preserve">.</w:t>
      </w:r>
    </w:p>
    <w:bookmarkEnd w:id="237"/>
    <w:bookmarkStart w:id="238" w:name="ref_Bain1959Industrial"/>
    <w:p>
      <w:pPr>
        <w:pStyle w:val="Bibliography"/>
      </w:pPr>
      <w:r>
        <w:t xml:space="preserve">Bain, Joe S. (1959).</w:t>
      </w:r>
      <w:r>
        <w:t xml:space="preserve"> </w:t>
      </w:r>
      <w:r>
        <w:rPr>
          <w:i/>
          <w:iCs/>
        </w:rPr>
        <w:t xml:space="preserve">Industrial Organization</w:t>
      </w:r>
      <w:r>
        <w:t xml:space="preserve">. Nueva York: Wiley.</w:t>
      </w:r>
    </w:p>
    <w:bookmarkEnd w:id="238"/>
    <w:bookmarkStart w:id="239" w:name="ref_BakerHubbard2003Make"/>
    <w:p>
      <w:pPr>
        <w:pStyle w:val="Bibliography"/>
      </w:pPr>
      <w:r>
        <w:t xml:space="preserve">Baker, George P. y Thomas N. Hubbard (2003).</w:t>
      </w:r>
      <w:r>
        <w:t xml:space="preserve"> </w:t>
      </w:r>
      <w:r>
        <w:t xml:space="preserve">«Make Versus Buy in Trucking: Asset Ownership, Job Design, and Information»</w:t>
      </w:r>
      <w:r>
        <w:t xml:space="preserve">.</w:t>
      </w:r>
      <w:r>
        <w:t xml:space="preserve"> </w:t>
      </w:r>
      <w:r>
        <w:rPr>
          <w:i/>
          <w:iCs/>
        </w:rPr>
        <w:t xml:space="preserve">American Economic Review</w:t>
      </w:r>
      <w:r>
        <w:t xml:space="preserve"> </w:t>
      </w:r>
      <w:r>
        <w:t xml:space="preserve">93 (3): 551-72.</w:t>
      </w:r>
    </w:p>
    <w:bookmarkEnd w:id="239"/>
    <w:bookmarkStart w:id="241" w:name="ref_Baumol1958Theory"/>
    <w:p>
      <w:pPr>
        <w:pStyle w:val="Bibliography"/>
      </w:pPr>
      <w:r>
        <w:t xml:space="preserve">Baumol, William J. (1958).</w:t>
      </w:r>
      <w:r>
        <w:t xml:space="preserve"> </w:t>
      </w:r>
      <w:r>
        <w:t xml:space="preserve">«On the Theory of Oligopoly»</w:t>
      </w:r>
      <w:r>
        <w:t xml:space="preserve">.</w:t>
      </w:r>
      <w:r>
        <w:t xml:space="preserve"> </w:t>
      </w:r>
      <w:r>
        <w:rPr>
          <w:i/>
          <w:iCs/>
        </w:rPr>
        <w:t xml:space="preserve">Economica</w:t>
      </w:r>
      <w:r>
        <w:t xml:space="preserve"> </w:t>
      </w:r>
      <w:r>
        <w:t xml:space="preserve">25 (99): 187-98.</w:t>
      </w:r>
      <w:r>
        <w:t xml:space="preserve"> </w:t>
      </w:r>
      <w:hyperlink r:id="rId240">
        <w:r>
          <w:rPr>
            <w:rStyle w:val="Hyperlink"/>
          </w:rPr>
          <w:t xml:space="preserve">https://doi.org/10.2307/2550723</w:t>
        </w:r>
      </w:hyperlink>
      <w:r>
        <w:t xml:space="preserve">.</w:t>
      </w:r>
    </w:p>
    <w:bookmarkEnd w:id="241"/>
    <w:bookmarkStart w:id="242" w:name="ref_Baumol1959Business"/>
    <w:p>
      <w:pPr>
        <w:pStyle w:val="Bibliography"/>
      </w:pPr>
      <w:r>
        <w:t xml:space="preserve">Baumol, William J. (1959).</w:t>
      </w:r>
      <w:r>
        <w:t xml:space="preserve"> </w:t>
      </w:r>
      <w:r>
        <w:rPr>
          <w:i/>
          <w:iCs/>
        </w:rPr>
        <w:t xml:space="preserve">Business Behavior, Value and Growth</w:t>
      </w:r>
      <w:r>
        <w:t xml:space="preserve">. Nueva York: Macmillan.</w:t>
      </w:r>
    </w:p>
    <w:bookmarkEnd w:id="242"/>
    <w:bookmarkStart w:id="243"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43"/>
    <w:bookmarkStart w:id="245"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44">
        <w:r>
          <w:rPr>
            <w:rStyle w:val="Hyperlink"/>
          </w:rPr>
          <w:t xml:space="preserve">https://ideas.repec.org/a/aea/aecrev/v72y1982i1p1-15.html</w:t>
        </w:r>
      </w:hyperlink>
      <w:r>
        <w:t xml:space="preserve">.</w:t>
      </w:r>
    </w:p>
    <w:bookmarkEnd w:id="245"/>
    <w:bookmarkStart w:id="246"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46"/>
    <w:bookmarkStart w:id="247"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47"/>
    <w:bookmarkStart w:id="249" w:name="ref_BaumolPanzarWillig1983Reply"/>
    <w:p>
      <w:pPr>
        <w:pStyle w:val="Bibliography"/>
      </w:pPr>
      <w:r>
        <w:t xml:space="preserve">Baumol, William J., John C. Panzar y Robert D. Willig (1983).</w:t>
      </w:r>
      <w:r>
        <w:t xml:space="preserve"> </w:t>
      </w:r>
      <w:r>
        <w:t xml:space="preserve">«Contestable Markets: An Uprising in the Theory of Industry Structure: Reply»</w:t>
      </w:r>
      <w:r>
        <w:t xml:space="preserve">.</w:t>
      </w:r>
      <w:r>
        <w:t xml:space="preserve"> </w:t>
      </w:r>
      <w:r>
        <w:rPr>
          <w:i/>
          <w:iCs/>
        </w:rPr>
        <w:t xml:space="preserve">American Economic Review</w:t>
      </w:r>
      <w:r>
        <w:t xml:space="preserve"> </w:t>
      </w:r>
      <w:r>
        <w:t xml:space="preserve">73 (3): 491-96.</w:t>
      </w:r>
      <w:r>
        <w:t xml:space="preserve"> </w:t>
      </w:r>
      <w:hyperlink r:id="rId248">
        <w:r>
          <w:rPr>
            <w:rStyle w:val="Hyperlink"/>
          </w:rPr>
          <w:t xml:space="preserve">https://ideas.repec.org/a/aea/aecrev/v73y1983i3p491-96.html</w:t>
        </w:r>
      </w:hyperlink>
      <w:r>
        <w:t xml:space="preserve">.</w:t>
      </w:r>
    </w:p>
    <w:bookmarkEnd w:id="249"/>
    <w:bookmarkStart w:id="250" w:name="ref_BerleMeans1932Modern"/>
    <w:p>
      <w:pPr>
        <w:pStyle w:val="Bibliography"/>
      </w:pPr>
      <w:r>
        <w:t xml:space="preserve">Berle, Adolf A. y Gardiner C. Means (1932).</w:t>
      </w:r>
      <w:r>
        <w:t xml:space="preserve"> </w:t>
      </w:r>
      <w:r>
        <w:rPr>
          <w:i/>
          <w:iCs/>
        </w:rPr>
        <w:t xml:space="preserve">The Modern Corporation and Private Property</w:t>
      </w:r>
      <w:r>
        <w:t xml:space="preserve">. Nueva York: Macmillan.</w:t>
      </w:r>
    </w:p>
    <w:bookmarkEnd w:id="250"/>
    <w:bookmarkStart w:id="252" w:name="ref_Bresnahan1982Oligopoly"/>
    <w:p>
      <w:pPr>
        <w:pStyle w:val="Bibliography"/>
      </w:pPr>
      <w:r>
        <w:t xml:space="preserve">Bresnahan, Timothy F. (1982).</w:t>
      </w:r>
      <w:r>
        <w:t xml:space="preserve"> </w:t>
      </w:r>
      <w:r>
        <w:t xml:space="preserve">«The Oligopoly Solution Concept Is Identified»</w:t>
      </w:r>
      <w:r>
        <w:t xml:space="preserve">.</w:t>
      </w:r>
      <w:r>
        <w:t xml:space="preserve"> </w:t>
      </w:r>
      <w:r>
        <w:rPr>
          <w:i/>
          <w:iCs/>
        </w:rPr>
        <w:t xml:space="preserve">Economics Letters</w:t>
      </w:r>
      <w:r>
        <w:t xml:space="preserve"> </w:t>
      </w:r>
      <w:r>
        <w:t xml:space="preserve">10 (1-2): 87-92.</w:t>
      </w:r>
      <w:r>
        <w:t xml:space="preserve"> </w:t>
      </w:r>
      <w:hyperlink r:id="rId251">
        <w:r>
          <w:rPr>
            <w:rStyle w:val="Hyperlink"/>
          </w:rPr>
          <w:t xml:space="preserve">https://doi.org/10.1016/0165-1765(82)90121-5</w:t>
        </w:r>
      </w:hyperlink>
      <w:r>
        <w:t xml:space="preserve">.</w:t>
      </w:r>
    </w:p>
    <w:bookmarkEnd w:id="252"/>
    <w:bookmarkStart w:id="254" w:name="ref_Bresnahan1989Empirical"/>
    <w:p>
      <w:pPr>
        <w:pStyle w:val="Bibliography"/>
      </w:pPr>
      <w:r>
        <w:t xml:space="preserve">Bresnahan, Timothy F. (1989).</w:t>
      </w:r>
      <w:r>
        <w:t xml:space="preserve"> </w:t>
      </w:r>
      <w:r>
        <w:t xml:space="preserve">«Empirical Studies of Industries with Market Power»</w:t>
      </w:r>
      <w:r>
        <w:t xml:space="preserve">. En</w:t>
      </w:r>
      <w:r>
        <w:t xml:space="preserve"> </w:t>
      </w:r>
      <w:r>
        <w:rPr>
          <w:i/>
          <w:iCs/>
        </w:rPr>
        <w:t xml:space="preserve">Handbook of Industrial Organization</w:t>
      </w:r>
      <w:r>
        <w:t xml:space="preserve">, editado por Richard Schmalensee y Robert D. Willig, 2:1011-57. Ámsterdam: North-Holland.</w:t>
      </w:r>
      <w:r>
        <w:t xml:space="preserve"> </w:t>
      </w:r>
      <w:hyperlink r:id="rId253">
        <w:r>
          <w:rPr>
            <w:rStyle w:val="Hyperlink"/>
          </w:rPr>
          <w:t xml:space="preserve">https://doi.org/10.1016/S1573-448X(89)02005-4</w:t>
        </w:r>
      </w:hyperlink>
      <w:r>
        <w:t xml:space="preserve">.</w:t>
      </w:r>
    </w:p>
    <w:bookmarkEnd w:id="254"/>
    <w:bookmarkStart w:id="256" w:name="ref_CasadesusMasanellSpulber2000Fable"/>
    <w:p>
      <w:pPr>
        <w:pStyle w:val="Bibliography"/>
      </w:pPr>
      <w:r>
        <w:t xml:space="preserve">Casadesus-Masanell, Ramon y Daniel F. Spulber (2000).</w:t>
      </w:r>
      <w:r>
        <w:t xml:space="preserve"> </w:t>
      </w:r>
      <w:r>
        <w:t xml:space="preserve">«The Fable of Fisher Body»</w:t>
      </w:r>
      <w:r>
        <w:t xml:space="preserve">.</w:t>
      </w:r>
      <w:r>
        <w:t xml:space="preserve"> </w:t>
      </w:r>
      <w:r>
        <w:rPr>
          <w:i/>
          <w:iCs/>
        </w:rPr>
        <w:t xml:space="preserve">Journal of Law and Economics</w:t>
      </w:r>
      <w:r>
        <w:t xml:space="preserve"> </w:t>
      </w:r>
      <w:r>
        <w:t xml:space="preserve">43 (1): 67-104.</w:t>
      </w:r>
      <w:r>
        <w:t xml:space="preserve"> </w:t>
      </w:r>
      <w:hyperlink r:id="rId255">
        <w:r>
          <w:rPr>
            <w:rStyle w:val="Hyperlink"/>
          </w:rPr>
          <w:t xml:space="preserve">https://doi.org/10.1086/467448</w:t>
        </w:r>
      </w:hyperlink>
      <w:r>
        <w:t xml:space="preserve">.</w:t>
      </w:r>
    </w:p>
    <w:bookmarkEnd w:id="256"/>
    <w:bookmarkStart w:id="257"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57"/>
    <w:bookmarkStart w:id="259" w:name="ref_Coase1937Nature"/>
    <w:p>
      <w:pPr>
        <w:pStyle w:val="Bibliography"/>
      </w:pPr>
      <w:r>
        <w:t xml:space="preserve">Coase, Ronald H. (1937).</w:t>
      </w:r>
      <w:r>
        <w:t xml:space="preserve"> </w:t>
      </w:r>
      <w:r>
        <w:t xml:space="preserve">«The Nature of the Firm»</w:t>
      </w:r>
      <w:r>
        <w:t xml:space="preserve">.</w:t>
      </w:r>
      <w:r>
        <w:t xml:space="preserve"> </w:t>
      </w:r>
      <w:r>
        <w:rPr>
          <w:i/>
          <w:iCs/>
        </w:rPr>
        <w:t xml:space="preserve">Economica</w:t>
      </w:r>
      <w:r>
        <w:t xml:space="preserve"> </w:t>
      </w:r>
      <w:r>
        <w:t xml:space="preserve">4 (16): 386-405.</w:t>
      </w:r>
      <w:r>
        <w:t xml:space="preserve"> </w:t>
      </w:r>
      <w:hyperlink r:id="rId258">
        <w:r>
          <w:rPr>
            <w:rStyle w:val="Hyperlink"/>
          </w:rPr>
          <w:t xml:space="preserve">https://doi.org/10.1111/j.1468-0335.1937.tb00002.x</w:t>
        </w:r>
      </w:hyperlink>
      <w:r>
        <w:t xml:space="preserve">.</w:t>
      </w:r>
    </w:p>
    <w:bookmarkEnd w:id="259"/>
    <w:bookmarkStart w:id="261"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60">
        <w:r>
          <w:rPr>
            <w:rStyle w:val="Hyperlink"/>
          </w:rPr>
          <w:t xml:space="preserve">https://doi.org/10.1086/466560</w:t>
        </w:r>
      </w:hyperlink>
      <w:r>
        <w:t xml:space="preserve">.</w:t>
      </w:r>
    </w:p>
    <w:bookmarkEnd w:id="261"/>
    <w:bookmarkStart w:id="263" w:name="ref_Coase1991Institutional"/>
    <w:p>
      <w:pPr>
        <w:pStyle w:val="Bibliography"/>
      </w:pPr>
      <w:r>
        <w:t xml:space="preserve">Coase, Ronald H. (1991).</w:t>
      </w:r>
      <w:r>
        <w:t xml:space="preserve"> </w:t>
      </w:r>
      <w:r>
        <w:t xml:space="preserve">«The Institutional Structure of Production. Prize Lecture»</w:t>
      </w:r>
      <w:r>
        <w:t xml:space="preserve">. NobelPrize.org. 1991.</w:t>
      </w:r>
      <w:r>
        <w:t xml:space="preserve"> </w:t>
      </w:r>
      <w:hyperlink r:id="rId262">
        <w:r>
          <w:rPr>
            <w:rStyle w:val="Hyperlink"/>
          </w:rPr>
          <w:t xml:space="preserve">https://www.nobelprize.org/prizes/economic-sciences/1991/coase/lecture/</w:t>
        </w:r>
      </w:hyperlink>
      <w:r>
        <w:t xml:space="preserve">.</w:t>
      </w:r>
    </w:p>
    <w:bookmarkEnd w:id="263"/>
    <w:bookmarkStart w:id="265" w:name="ref_Coase2000Acquisition"/>
    <w:p>
      <w:pPr>
        <w:pStyle w:val="Bibliography"/>
      </w:pPr>
      <w:r>
        <w:t xml:space="preserve">Coase, Ronald H. (2000).</w:t>
      </w:r>
      <w:r>
        <w:t xml:space="preserve"> </w:t>
      </w:r>
      <w:r>
        <w:t xml:space="preserve">«The Acquisition of Fisher Body by General Motors»</w:t>
      </w:r>
      <w:r>
        <w:t xml:space="preserve">.</w:t>
      </w:r>
      <w:r>
        <w:t xml:space="preserve"> </w:t>
      </w:r>
      <w:r>
        <w:rPr>
          <w:i/>
          <w:iCs/>
        </w:rPr>
        <w:t xml:space="preserve">Journal of Law and Economics</w:t>
      </w:r>
      <w:r>
        <w:t xml:space="preserve"> </w:t>
      </w:r>
      <w:r>
        <w:t xml:space="preserve">43 (1): 15-31.</w:t>
      </w:r>
      <w:r>
        <w:t xml:space="preserve"> </w:t>
      </w:r>
      <w:hyperlink r:id="rId264">
        <w:r>
          <w:rPr>
            <w:rStyle w:val="Hyperlink"/>
          </w:rPr>
          <w:t xml:space="preserve">https://doi.org/10.1086/467446</w:t>
        </w:r>
      </w:hyperlink>
      <w:r>
        <w:t xml:space="preserve">.</w:t>
      </w:r>
    </w:p>
    <w:bookmarkEnd w:id="265"/>
    <w:bookmarkStart w:id="267" w:name="ref_CNMV1998Olivencia"/>
    <w:p>
      <w:pPr>
        <w:pStyle w:val="Bibliography"/>
      </w:pPr>
      <w:r>
        <w:t xml:space="preserve">Comisión Especial para el estudio de un Código Ético de los Consejos de Administración de las Sociedades (1998).</w:t>
      </w:r>
      <w:r>
        <w:t xml:space="preserve"> </w:t>
      </w:r>
      <w:r>
        <w:t xml:space="preserve">«El gobierno de las sociedades cotizadas (Informe Olivencia)»</w:t>
      </w:r>
      <w:r>
        <w:t xml:space="preserve">. 26 de febrero de 1998.</w:t>
      </w:r>
      <w:r>
        <w:t xml:space="preserve"> </w:t>
      </w:r>
      <w:hyperlink r:id="rId266">
        <w:r>
          <w:rPr>
            <w:rStyle w:val="Hyperlink"/>
          </w:rPr>
          <w:t xml:space="preserve">https://www.cnmv.es/DocPortal/Publicaciones/CodigoGov/govsocot.pdf</w:t>
        </w:r>
      </w:hyperlink>
      <w:r>
        <w:t xml:space="preserve">.</w:t>
      </w:r>
    </w:p>
    <w:bookmarkEnd w:id="267"/>
    <w:bookmarkStart w:id="269" w:name="ref_CNMV2003Aldama"/>
    <w:p>
      <w:pPr>
        <w:pStyle w:val="Bibliography"/>
      </w:pPr>
      <w:r>
        <w:t xml:space="preserve">Comisión Especial para el Fomento de la Transparencia y Seguridad en los Mercados y Sociedades Cotizadas (2003).</w:t>
      </w:r>
      <w:r>
        <w:t xml:space="preserve"> </w:t>
      </w:r>
      <w:r>
        <w:t xml:space="preserve">«Informe de la Comisión Especial para el Fomento de la Transparencia y Seguridad en los Mercados y Sociedades Cotizadas (Informe Aldama)»</w:t>
      </w:r>
      <w:r>
        <w:t xml:space="preserve">. 8 de enero de 2003.</w:t>
      </w:r>
      <w:r>
        <w:t xml:space="preserve"> </w:t>
      </w:r>
      <w:hyperlink r:id="rId268">
        <w:r>
          <w:rPr>
            <w:rStyle w:val="Hyperlink"/>
          </w:rPr>
          <w:t xml:space="preserve">https://www.cnmv.es/DocPortal/Publicaciones/CodigoGov/INFORMEFINAL.PDF</w:t>
        </w:r>
      </w:hyperlink>
      <w:r>
        <w:t xml:space="preserve">.</w:t>
      </w:r>
    </w:p>
    <w:bookmarkEnd w:id="269"/>
    <w:bookmarkStart w:id="271"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270">
        <w:r>
          <w:rPr>
            <w:rStyle w:val="Hyperlink"/>
          </w:rPr>
          <w:t xml:space="preserve">https://eur-lex.europa.eu/legal-content/ES/TXT/?uri=CELEX:52004XC0205(02)</w:t>
        </w:r>
      </w:hyperlink>
      <w:r>
        <w:t xml:space="preserve">.</w:t>
      </w:r>
    </w:p>
    <w:bookmarkEnd w:id="271"/>
    <w:bookmarkStart w:id="273"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272">
        <w:r>
          <w:rPr>
            <w:rStyle w:val="Hyperlink"/>
          </w:rPr>
          <w:t xml:space="preserve">https://digital-markets-act.ec.europa.eu/gatekeepers-portal_en</w:t>
        </w:r>
      </w:hyperlink>
      <w:r>
        <w:t xml:space="preserve">.</w:t>
      </w:r>
    </w:p>
    <w:bookmarkEnd w:id="273"/>
    <w:bookmarkStart w:id="275" w:name="ref_CE2026BorradorMerger"/>
    <w:p>
      <w:pPr>
        <w:pStyle w:val="Bibliography"/>
      </w:pPr>
      <w:r>
        <w:t xml:space="preserve">Comisión Europea (2026b).</w:t>
      </w:r>
      <w:r>
        <w:t xml:space="preserve"> </w:t>
      </w:r>
      <w:r>
        <w:t xml:space="preserve">«Draft Merger Guidelines (texto para la consulta pública)»</w:t>
      </w:r>
      <w:r>
        <w:t xml:space="preserve">. 30 de abril de 2026.</w:t>
      </w:r>
      <w:r>
        <w:t xml:space="preserve"> </w:t>
      </w:r>
      <w:hyperlink r:id="rId274">
        <w:r>
          <w:rPr>
            <w:rStyle w:val="Hyperlink"/>
          </w:rPr>
          <w:t xml:space="preserve">https://competition-policy.ec.europa.eu/document/download/46dde10f-85c1-4590-a3f4-2b71f85685ef_en?filename=Merger%20Guidelines%20-%20final%20for%20public%20consultation.pdf</w:t>
        </w:r>
      </w:hyperlink>
      <w:r>
        <w:t xml:space="preserve">.</w:t>
      </w:r>
    </w:p>
    <w:bookmarkEnd w:id="275"/>
    <w:bookmarkStart w:id="277" w:name="ref_CNMV2006Unificado"/>
    <w:p>
      <w:pPr>
        <w:pStyle w:val="Bibliography"/>
      </w:pPr>
      <w:r>
        <w:t xml:space="preserve">Comisión Nacional del Mercado de Valores (2006).</w:t>
      </w:r>
      <w:r>
        <w:t xml:space="preserve"> </w:t>
      </w:r>
      <w:r>
        <w:t xml:space="preserve">«Código unificado de buen gobierno de las sociedades cotizadas»</w:t>
      </w:r>
      <w:r>
        <w:t xml:space="preserve">. 22 de mayo de 2006.</w:t>
      </w:r>
      <w:r>
        <w:t xml:space="preserve"> </w:t>
      </w:r>
      <w:hyperlink r:id="rId276">
        <w:r>
          <w:rPr>
            <w:rStyle w:val="Hyperlink"/>
          </w:rPr>
          <w:t xml:space="preserve">https://www.cnmv.es/Portal/Legislacion/COBG/COBG.aspx</w:t>
        </w:r>
      </w:hyperlink>
      <w:r>
        <w:t xml:space="preserve">.</w:t>
      </w:r>
    </w:p>
    <w:bookmarkEnd w:id="277"/>
    <w:bookmarkStart w:id="279" w:name="ref_CNMV2015CBG"/>
    <w:p>
      <w:pPr>
        <w:pStyle w:val="Bibliography"/>
      </w:pPr>
      <w:r>
        <w:t xml:space="preserve">Comisión Nacional del Mercado de Valores (2015).</w:t>
      </w:r>
      <w:r>
        <w:t xml:space="preserve"> </w:t>
      </w:r>
      <w:r>
        <w:t xml:space="preserve">«Código de buen gobierno de las sociedades cotizadas»</w:t>
      </w:r>
      <w:r>
        <w:t xml:space="preserve">. 18 de febrero de 2015.</w:t>
      </w:r>
      <w:r>
        <w:t xml:space="preserve"> </w:t>
      </w:r>
      <w:hyperlink r:id="rId278">
        <w:r>
          <w:rPr>
            <w:rStyle w:val="Hyperlink"/>
          </w:rPr>
          <w:t xml:space="preserve">https://www.cnmv.es/DocPortal/Publicaciones/CodigoGov/Codigo_buen_gobierno.pdf</w:t>
        </w:r>
      </w:hyperlink>
      <w:r>
        <w:t xml:space="preserve">.</w:t>
      </w:r>
    </w:p>
    <w:bookmarkEnd w:id="279"/>
    <w:bookmarkStart w:id="281" w:name="ref_CNMV2020CBG"/>
    <w:p>
      <w:pPr>
        <w:pStyle w:val="Bibliography"/>
      </w:pPr>
      <w:r>
        <w:t xml:space="preserve">Comisión Nacional del Mercado de Valores (2020).</w:t>
      </w:r>
      <w:r>
        <w:t xml:space="preserve"> </w:t>
      </w:r>
      <w:r>
        <w:t xml:space="preserve">«Código de buen gobierno de las sociedades cotizadas (revisado en junio de 2020)»</w:t>
      </w:r>
      <w:r>
        <w:t xml:space="preserve">. junio de 2020.</w:t>
      </w:r>
      <w:r>
        <w:t xml:space="preserve"> </w:t>
      </w:r>
      <w:hyperlink r:id="rId280">
        <w:r>
          <w:rPr>
            <w:rStyle w:val="Hyperlink"/>
          </w:rPr>
          <w:t xml:space="preserve">https://www.cnmv.es/DocPortal/Publicaciones/CodigoGov/CBG_2020.pdf</w:t>
        </w:r>
      </w:hyperlink>
      <w:r>
        <w:t xml:space="preserve">.</w:t>
      </w:r>
    </w:p>
    <w:bookmarkEnd w:id="281"/>
    <w:bookmarkStart w:id="283" w:name="ref_CNMV2025RevisionCBG"/>
    <w:p>
      <w:pPr>
        <w:pStyle w:val="Bibliography"/>
      </w:pPr>
      <w:r>
        <w:t xml:space="preserve">Comisión Nacional del Mercado de Valores (2025).</w:t>
      </w:r>
      <w:r>
        <w:t xml:space="preserve"> </w:t>
      </w:r>
      <w:r>
        <w:t xml:space="preserve">«La CNMV inicia el proceso de revisión del Código de Buen Gobierno de las sociedades cotizadas»</w:t>
      </w:r>
      <w:r>
        <w:t xml:space="preserve">. 18 de noviembre de 2025.</w:t>
      </w:r>
      <w:r>
        <w:t xml:space="preserve"> </w:t>
      </w:r>
      <w:hyperlink r:id="rId282">
        <w:r>
          <w:rPr>
            <w:rStyle w:val="Hyperlink"/>
          </w:rPr>
          <w:t xml:space="preserve">https://www.cnmv.es/webservices/verdocumento/ver?t=%7B3c556a68-47a3-4856-b3a4-0b9bdf98d695%7D</w:t>
        </w:r>
      </w:hyperlink>
      <w:r>
        <w:t xml:space="preserve">.</w:t>
      </w:r>
    </w:p>
    <w:bookmarkEnd w:id="283"/>
    <w:bookmarkStart w:id="285"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284">
        <w:r>
          <w:rPr>
            <w:rStyle w:val="Hyperlink"/>
          </w:rPr>
          <w:t xml:space="preserve">https://doi.org/10.2307/2553125</w:t>
        </w:r>
      </w:hyperlink>
      <w:r>
        <w:t xml:space="preserve">.</w:t>
      </w:r>
    </w:p>
    <w:bookmarkEnd w:id="285"/>
    <w:bookmarkStart w:id="286" w:name="ref_CyertMarch1963Behavioral"/>
    <w:p>
      <w:pPr>
        <w:pStyle w:val="Bibliography"/>
      </w:pPr>
      <w:r>
        <w:t xml:space="preserve">Cyert, Richard M. y James G. March (1963).</w:t>
      </w:r>
      <w:r>
        <w:t xml:space="preserve"> </w:t>
      </w:r>
      <w:r>
        <w:rPr>
          <w:i/>
          <w:iCs/>
        </w:rPr>
        <w:t xml:space="preserve">A Behavioral Theory of the Firm</w:t>
      </w:r>
      <w:r>
        <w:t xml:space="preserve">. Englewood Cliffs (Nueva Jersey): Prentice-Hall.</w:t>
      </w:r>
    </w:p>
    <w:bookmarkEnd w:id="286"/>
    <w:bookmarkStart w:id="288"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87">
        <w:r>
          <w:rPr>
            <w:rStyle w:val="Hyperlink"/>
          </w:rPr>
          <w:t xml:space="preserve">https://doi.org/10.1093/qje/qjz041</w:t>
        </w:r>
      </w:hyperlink>
      <w:r>
        <w:t xml:space="preserve">.</w:t>
      </w:r>
    </w:p>
    <w:bookmarkEnd w:id="288"/>
    <w:bookmarkStart w:id="290"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289">
        <w:r>
          <w:rPr>
            <w:rStyle w:val="Hyperlink"/>
          </w:rPr>
          <w:t xml:space="preserve">https://doi.org/10.1086/466643</w:t>
        </w:r>
      </w:hyperlink>
      <w:r>
        <w:t xml:space="preserve">.</w:t>
      </w:r>
    </w:p>
    <w:bookmarkEnd w:id="290"/>
    <w:bookmarkStart w:id="292" w:name="ref_Demsetz1973Industry"/>
    <w:p>
      <w:pPr>
        <w:pStyle w:val="Bibliography"/>
      </w:pPr>
      <w:r>
        <w:t xml:space="preserve">Demsetz, Harold (1973).</w:t>
      </w:r>
      <w:r>
        <w:t xml:space="preserve"> </w:t>
      </w:r>
      <w:r>
        <w:t xml:space="preserve">«Industry Structure, Market Rivalry, and Public Policy»</w:t>
      </w:r>
      <w:r>
        <w:t xml:space="preserve">.</w:t>
      </w:r>
      <w:r>
        <w:t xml:space="preserve"> </w:t>
      </w:r>
      <w:r>
        <w:rPr>
          <w:i/>
          <w:iCs/>
        </w:rPr>
        <w:t xml:space="preserve">Journal of Law and Economics</w:t>
      </w:r>
      <w:r>
        <w:t xml:space="preserve"> </w:t>
      </w:r>
      <w:r>
        <w:t xml:space="preserve">16 (1): 1-9.</w:t>
      </w:r>
      <w:r>
        <w:t xml:space="preserve"> </w:t>
      </w:r>
      <w:hyperlink r:id="rId291">
        <w:r>
          <w:rPr>
            <w:rStyle w:val="Hyperlink"/>
          </w:rPr>
          <w:t xml:space="preserve">https://doi.org/10.1086/466752</w:t>
        </w:r>
      </w:hyperlink>
      <w:r>
        <w:t xml:space="preserve">.</w:t>
      </w:r>
    </w:p>
    <w:bookmarkEnd w:id="292"/>
    <w:bookmarkStart w:id="294"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3">
        <w:r>
          <w:rPr>
            <w:rStyle w:val="Hyperlink"/>
          </w:rPr>
          <w:t xml:space="preserve">https://doi.org/10.2307/2231658</w:t>
        </w:r>
      </w:hyperlink>
      <w:r>
        <w:t xml:space="preserve">.</w:t>
      </w:r>
    </w:p>
    <w:bookmarkEnd w:id="294"/>
    <w:bookmarkStart w:id="296" w:name="ref_Nobel2014TiroleBackground"/>
    <w:p>
      <w:pPr>
        <w:pStyle w:val="Bibliography"/>
      </w:pPr>
      <w:r>
        <w:t xml:space="preserve">Economic Sciences Prize Committee of the Royal Swedish Academy of Sciences (2014).</w:t>
      </w:r>
      <w:r>
        <w:t xml:space="preserve"> </w:t>
      </w:r>
      <w:r>
        <w:t xml:space="preserve">«Jean Tirole: Market Power and Regulation. Scientific Background on the Sveriges Riksbank Prize in Economic Sciences in Memory of Alfred Nobel 2014»</w:t>
      </w:r>
      <w:r>
        <w:t xml:space="preserve">. Estocolmo: Royal Swedish Academy of Sciences.</w:t>
      </w:r>
      <w:r>
        <w:t xml:space="preserve"> </w:t>
      </w:r>
      <w:hyperlink r:id="rId295">
        <w:r>
          <w:rPr>
            <w:rStyle w:val="Hyperlink"/>
          </w:rPr>
          <w:t xml:space="preserve">https://www.nobelprize.org/uploads/2018/06/advanced-economicsciences2014.pdf</w:t>
        </w:r>
      </w:hyperlink>
      <w:r>
        <w:t xml:space="preserve">.</w:t>
      </w:r>
    </w:p>
    <w:bookmarkEnd w:id="296"/>
    <w:bookmarkStart w:id="29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7"/>
    <w:bookmarkStart w:id="299" w:name="ref_ESMA2025CRA"/>
    <w:p>
      <w:pPr>
        <w:pStyle w:val="Bibliography"/>
      </w:pPr>
      <w:r>
        <w:t xml:space="preserve">European Securities and Markets Authority (2025).</w:t>
      </w:r>
      <w:r>
        <w:t xml:space="preserve"> </w:t>
      </w:r>
      <w:r>
        <w:t xml:space="preserve">«Report on CRA Market Share Calculation 2025»</w:t>
      </w:r>
      <w:r>
        <w:t xml:space="preserve">. 18 de diciembre de 2025.</w:t>
      </w:r>
      <w:r>
        <w:t xml:space="preserve"> </w:t>
      </w:r>
      <w:hyperlink r:id="rId298">
        <w:r>
          <w:rPr>
            <w:rStyle w:val="Hyperlink"/>
          </w:rPr>
          <w:t xml:space="preserve">https://www.esma.europa.eu/sites/default/files/2025-12/ESMA84-900617762-2652_CRA_Market_Share_Calculation_2025.pdf</w:t>
        </w:r>
      </w:hyperlink>
      <w:r>
        <w:t xml:space="preserve">.</w:t>
      </w:r>
    </w:p>
    <w:bookmarkEnd w:id="299"/>
    <w:bookmarkStart w:id="301" w:name="ref_Eurostat2026SBS"/>
    <w:p>
      <w:pPr>
        <w:pStyle w:val="Bibliography"/>
      </w:pPr>
      <w:r>
        <w:t xml:space="preserve">Eurostat (2026).</w:t>
      </w:r>
      <w:r>
        <w:t xml:space="preserve"> </w:t>
      </w:r>
      <w:r>
        <w:t xml:space="preserve">«Enterprise statistics by size class and NACE Rev. 2 activity (from 2021 onwards) (sbs_sc_ovw)»</w:t>
      </w:r>
      <w:r>
        <w:t xml:space="preserve">. 2026.</w:t>
      </w:r>
      <w:r>
        <w:t xml:space="preserve"> </w:t>
      </w:r>
      <w:hyperlink r:id="rId300">
        <w:r>
          <w:rPr>
            <w:rStyle w:val="Hyperlink"/>
          </w:rPr>
          <w:t xml:space="preserve">https://doi.org/10.2908/SBS_SC_OVW</w:t>
        </w:r>
      </w:hyperlink>
      <w:r>
        <w:t xml:space="preserve">.</w:t>
      </w:r>
    </w:p>
    <w:bookmarkEnd w:id="301"/>
    <w:bookmarkStart w:id="303" w:name="ref_Fama1980Agency"/>
    <w:p>
      <w:pPr>
        <w:pStyle w:val="Bibliography"/>
      </w:pPr>
      <w:r>
        <w:t xml:space="preserve">Fama, Eugene F. (1980).</w:t>
      </w:r>
      <w:r>
        <w:t xml:space="preserve"> </w:t>
      </w:r>
      <w:r>
        <w:t xml:space="preserve">«Agency Problems and the Theory of the Firm»</w:t>
      </w:r>
      <w:r>
        <w:t xml:space="preserve">.</w:t>
      </w:r>
      <w:r>
        <w:t xml:space="preserve"> </w:t>
      </w:r>
      <w:r>
        <w:rPr>
          <w:i/>
          <w:iCs/>
        </w:rPr>
        <w:t xml:space="preserve">Journal of Political Economy</w:t>
      </w:r>
      <w:r>
        <w:t xml:space="preserve"> </w:t>
      </w:r>
      <w:r>
        <w:t xml:space="preserve">88 (2): 288-307.</w:t>
      </w:r>
      <w:r>
        <w:t xml:space="preserve"> </w:t>
      </w:r>
      <w:hyperlink r:id="rId302">
        <w:r>
          <w:rPr>
            <w:rStyle w:val="Hyperlink"/>
          </w:rPr>
          <w:t xml:space="preserve">https://doi.org/10.1086/260866</w:t>
        </w:r>
      </w:hyperlink>
      <w:r>
        <w:t xml:space="preserve">.</w:t>
      </w:r>
    </w:p>
    <w:bookmarkEnd w:id="303"/>
    <w:bookmarkStart w:id="305" w:name="ref_FTC2025Ferguson"/>
    <w:p>
      <w:pPr>
        <w:pStyle w:val="Bibliography"/>
      </w:pPr>
      <w:r>
        <w:t xml:space="preserve">Federal Trade Commission (2025).</w:t>
      </w:r>
      <w:r>
        <w:t xml:space="preserve"> </w:t>
      </w:r>
      <w:r>
        <w:t xml:space="preserve">«FTC Chairman Andrew N. Ferguson Announces that FTC-DOJ’s Joint 2023 Merger Guidelines Are in Effect»</w:t>
      </w:r>
      <w:r>
        <w:t xml:space="preserve">. 18 de febrero de 2025.</w:t>
      </w:r>
      <w:r>
        <w:t xml:space="preserve"> </w:t>
      </w:r>
      <w:hyperlink r:id="rId304">
        <w:r>
          <w:rPr>
            <w:rStyle w:val="Hyperlink"/>
          </w:rPr>
          <w:t xml:space="preserve">https://www.ftc.gov/news-events/news/press-releases/2025/02/ftc-chairman-andrew-n-ferguson-announces-ftc-dojs-joint-2023-merger-guidelines-are-effect</w:t>
        </w:r>
      </w:hyperlink>
      <w:r>
        <w:t xml:space="preserve">.</w:t>
      </w:r>
    </w:p>
    <w:bookmarkEnd w:id="305"/>
    <w:bookmarkStart w:id="307" w:name="ref_FTC2026AntitrustLaws"/>
    <w:p>
      <w:pPr>
        <w:pStyle w:val="Bibliography"/>
      </w:pPr>
      <w:r>
        <w:t xml:space="preserve">Federal Trade Commission (2026).</w:t>
      </w:r>
      <w:r>
        <w:t xml:space="preserve"> </w:t>
      </w:r>
      <w:r>
        <w:t xml:space="preserve">«The Antitrust Laws»</w:t>
      </w:r>
      <w:r>
        <w:t xml:space="preserve">. 2026.</w:t>
      </w:r>
      <w:r>
        <w:t xml:space="preserve"> </w:t>
      </w:r>
      <w:hyperlink r:id="rId306">
        <w:r>
          <w:rPr>
            <w:rStyle w:val="Hyperlink"/>
          </w:rPr>
          <w:t xml:space="preserve">https://www.ftc.gov/advice-guidance/competition-guidance/guide-antitrust-laws/antitrust-laws</w:t>
        </w:r>
      </w:hyperlink>
      <w:r>
        <w:t xml:space="preserve">.</w:t>
      </w:r>
    </w:p>
    <w:bookmarkEnd w:id="307"/>
    <w:bookmarkStart w:id="309" w:name="ref_FMI2019WEO"/>
    <w:p>
      <w:pPr>
        <w:pStyle w:val="Bibliography"/>
      </w:pPr>
      <w:r>
        <w:t xml:space="preserve">Fondo Monetario Internacional (2019).</w:t>
      </w:r>
      <w:r>
        <w:t xml:space="preserve"> </w:t>
      </w:r>
      <w:r>
        <w:t xml:space="preserve">«The Rise of Corporate Market Power and Its Macroeconomic Effects»</w:t>
      </w:r>
      <w:r>
        <w:t xml:space="preserve">. En</w:t>
      </w:r>
      <w:r>
        <w:t xml:space="preserve"> </w:t>
      </w:r>
      <w:r>
        <w:rPr>
          <w:i/>
          <w:iCs/>
        </w:rPr>
        <w:t xml:space="preserve">World Economic Outlook, April 2019: Growth Slowdown, Precarious Recovery</w:t>
      </w:r>
      <w:r>
        <w:t xml:space="preserve">. Washington: FMI.</w:t>
      </w:r>
      <w:r>
        <w:t xml:space="preserve"> </w:t>
      </w:r>
      <w:hyperlink r:id="rId308">
        <w:r>
          <w:rPr>
            <w:rStyle w:val="Hyperlink"/>
          </w:rPr>
          <w:t xml:space="preserve">https://www.imf.org/en/Publications/WEO/Issues/2019/03/28/world-economic-outlook-april-2019</w:t>
        </w:r>
      </w:hyperlink>
      <w:r>
        <w:t xml:space="preserve">.</w:t>
      </w:r>
    </w:p>
    <w:bookmarkEnd w:id="309"/>
    <w:bookmarkStart w:id="311" w:name="ref_Freeland2000Creating"/>
    <w:p>
      <w:pPr>
        <w:pStyle w:val="Bibliography"/>
      </w:pPr>
      <w:r>
        <w:t xml:space="preserve">Freeland, Robert F. (2000).</w:t>
      </w:r>
      <w:r>
        <w:t xml:space="preserve"> </w:t>
      </w:r>
      <w:r>
        <w:t xml:space="preserve">«Creating Holdup through Vertical Integration: Fisher Body Revisited»</w:t>
      </w:r>
      <w:r>
        <w:t xml:space="preserve">.</w:t>
      </w:r>
      <w:r>
        <w:t xml:space="preserve"> </w:t>
      </w:r>
      <w:r>
        <w:rPr>
          <w:i/>
          <w:iCs/>
        </w:rPr>
        <w:t xml:space="preserve">Journal of Law and Economics</w:t>
      </w:r>
      <w:r>
        <w:t xml:space="preserve"> </w:t>
      </w:r>
      <w:r>
        <w:t xml:space="preserve">43 (1): 33-66.</w:t>
      </w:r>
      <w:r>
        <w:t xml:space="preserve"> </w:t>
      </w:r>
      <w:hyperlink r:id="rId310">
        <w:r>
          <w:rPr>
            <w:rStyle w:val="Hyperlink"/>
          </w:rPr>
          <w:t xml:space="preserve">https://doi.org/10.1086/467447</w:t>
        </w:r>
      </w:hyperlink>
      <w:r>
        <w:t xml:space="preserve">.</w:t>
      </w:r>
    </w:p>
    <w:bookmarkEnd w:id="311"/>
    <w:bookmarkStart w:id="312" w:name="ref_FudenbergTirole1984Fat"/>
    <w:p>
      <w:pPr>
        <w:pStyle w:val="Bibliography"/>
      </w:pPr>
      <w:r>
        <w:t xml:space="preserve">Fudenberg, Drew y Jean Tirole (1984).</w:t>
      </w:r>
      <w:r>
        <w:t xml:space="preserve"> </w:t>
      </w:r>
      <w:r>
        <w:t xml:space="preserve">«The Fat-Cat Effect, the Puppy-Dog Ploy, and the Lean and Hungry Look»</w:t>
      </w:r>
      <w:r>
        <w:t xml:space="preserve">.</w:t>
      </w:r>
      <w:r>
        <w:t xml:space="preserve"> </w:t>
      </w:r>
      <w:r>
        <w:rPr>
          <w:i/>
          <w:iCs/>
        </w:rPr>
        <w:t xml:space="preserve">American Economic Review</w:t>
      </w:r>
      <w:r>
        <w:t xml:space="preserve"> </w:t>
      </w:r>
      <w:r>
        <w:t xml:space="preserve">74 (2): 361-66.</w:t>
      </w:r>
    </w:p>
    <w:bookmarkEnd w:id="312"/>
    <w:bookmarkStart w:id="314"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313">
        <w:r>
          <w:rPr>
            <w:rStyle w:val="Hyperlink"/>
          </w:rPr>
          <w:t xml:space="preserve">https://doi.org/10.1111/j.1430-9134.1992.00277.x</w:t>
        </w:r>
      </w:hyperlink>
      <w:r>
        <w:t xml:space="preserve">.</w:t>
      </w:r>
    </w:p>
    <w:bookmarkEnd w:id="314"/>
    <w:bookmarkStart w:id="315" w:name="ref_Gibrat1931Inegalites"/>
    <w:p>
      <w:pPr>
        <w:pStyle w:val="Bibliography"/>
      </w:pPr>
      <w:r>
        <w:t xml:space="preserve">Gibrat, Robert (1931).</w:t>
      </w:r>
      <w:r>
        <w:t xml:space="preserve"> </w:t>
      </w:r>
      <w:r>
        <w:rPr>
          <w:i/>
          <w:iCs/>
        </w:rPr>
        <w:t xml:space="preserve">Les inégalités économiques</w:t>
      </w:r>
      <w:r>
        <w:t xml:space="preserve">. París: Sirey.</w:t>
      </w:r>
    </w:p>
    <w:bookmarkEnd w:id="315"/>
    <w:bookmarkStart w:id="317" w:name="ref_GrossmanHart1986Costs"/>
    <w:p>
      <w:pPr>
        <w:pStyle w:val="Bibliography"/>
      </w:pPr>
      <w:r>
        <w:t xml:space="preserve">Grossman, Sanford J. y Oliver D. Hart (1986).</w:t>
      </w:r>
      <w:r>
        <w:t xml:space="preserve"> </w:t>
      </w:r>
      <w:r>
        <w:t xml:space="preserve">«The Costs and Benefits of Ownership: A Theory of Vertical and Lateral Integration»</w:t>
      </w:r>
      <w:r>
        <w:t xml:space="preserve">.</w:t>
      </w:r>
      <w:r>
        <w:t xml:space="preserve"> </w:t>
      </w:r>
      <w:r>
        <w:rPr>
          <w:i/>
          <w:iCs/>
        </w:rPr>
        <w:t xml:space="preserve">Journal of Political Economy</w:t>
      </w:r>
      <w:r>
        <w:t xml:space="preserve"> </w:t>
      </w:r>
      <w:r>
        <w:t xml:space="preserve">94 (4): 691-719.</w:t>
      </w:r>
      <w:r>
        <w:t xml:space="preserve"> </w:t>
      </w:r>
      <w:hyperlink r:id="rId316">
        <w:r>
          <w:rPr>
            <w:rStyle w:val="Hyperlink"/>
          </w:rPr>
          <w:t xml:space="preserve">https://doi.org/10.1086/261404</w:t>
        </w:r>
      </w:hyperlink>
      <w:r>
        <w:t xml:space="preserve">.</w:t>
      </w:r>
    </w:p>
    <w:bookmarkEnd w:id="317"/>
    <w:bookmarkStart w:id="318" w:name="ref_Hart1995Firms"/>
    <w:p>
      <w:pPr>
        <w:pStyle w:val="Bibliography"/>
      </w:pPr>
      <w:r>
        <w:t xml:space="preserve">Hart, Oliver (1995).</w:t>
      </w:r>
      <w:r>
        <w:t xml:space="preserve"> </w:t>
      </w:r>
      <w:r>
        <w:rPr>
          <w:i/>
          <w:iCs/>
        </w:rPr>
        <w:t xml:space="preserve">Firms, Contracts, and Financial Structure</w:t>
      </w:r>
      <w:r>
        <w:t xml:space="preserve">. Oxford: Clarendon Press.</w:t>
      </w:r>
    </w:p>
    <w:bookmarkEnd w:id="318"/>
    <w:bookmarkStart w:id="320" w:name="ref_Hart2017Incomplete"/>
    <w:p>
      <w:pPr>
        <w:pStyle w:val="Bibliography"/>
      </w:pPr>
      <w:r>
        <w:t xml:space="preserve">Hart, Oliver (2017).</w:t>
      </w:r>
      <w:r>
        <w:t xml:space="preserve"> </w:t>
      </w:r>
      <w:r>
        <w:t xml:space="preserve">«Incomplete Contracts and Control»</w:t>
      </w:r>
      <w:r>
        <w:t xml:space="preserve">.</w:t>
      </w:r>
      <w:r>
        <w:t xml:space="preserve"> </w:t>
      </w:r>
      <w:r>
        <w:rPr>
          <w:i/>
          <w:iCs/>
        </w:rPr>
        <w:t xml:space="preserve">American Economic Review</w:t>
      </w:r>
      <w:r>
        <w:t xml:space="preserve"> </w:t>
      </w:r>
      <w:r>
        <w:t xml:space="preserve">107 (7): 1731-52.</w:t>
      </w:r>
      <w:r>
        <w:t xml:space="preserve"> </w:t>
      </w:r>
      <w:hyperlink r:id="rId319">
        <w:r>
          <w:rPr>
            <w:rStyle w:val="Hyperlink"/>
          </w:rPr>
          <w:t xml:space="preserve">https://doi.org/10.1257/aer.107.7.1731</w:t>
        </w:r>
      </w:hyperlink>
      <w:r>
        <w:t xml:space="preserve">.</w:t>
      </w:r>
    </w:p>
    <w:bookmarkEnd w:id="320"/>
    <w:bookmarkStart w:id="322" w:name="ref_HartMoore1990Property"/>
    <w:p>
      <w:pPr>
        <w:pStyle w:val="Bibliography"/>
      </w:pPr>
      <w:r>
        <w:t xml:space="preserve">Hart, Oliver y John Moore (1990).</w:t>
      </w:r>
      <w:r>
        <w:t xml:space="preserve"> </w:t>
      </w:r>
      <w:r>
        <w:t xml:space="preserve">«Property Rights and the Nature of the Firm»</w:t>
      </w:r>
      <w:r>
        <w:t xml:space="preserve">.</w:t>
      </w:r>
      <w:r>
        <w:t xml:space="preserve"> </w:t>
      </w:r>
      <w:r>
        <w:rPr>
          <w:i/>
          <w:iCs/>
        </w:rPr>
        <w:t xml:space="preserve">Journal of Political Economy</w:t>
      </w:r>
      <w:r>
        <w:t xml:space="preserve"> </w:t>
      </w:r>
      <w:r>
        <w:t xml:space="preserve">98 (6): 1119-58.</w:t>
      </w:r>
      <w:r>
        <w:t xml:space="preserve"> </w:t>
      </w:r>
      <w:hyperlink r:id="rId321">
        <w:r>
          <w:rPr>
            <w:rStyle w:val="Hyperlink"/>
          </w:rPr>
          <w:t xml:space="preserve">https://doi.org/10.1086/261729</w:t>
        </w:r>
      </w:hyperlink>
      <w:r>
        <w:t xml:space="preserve">.</w:t>
      </w:r>
    </w:p>
    <w:bookmarkEnd w:id="322"/>
    <w:bookmarkStart w:id="324" w:name="ref_HartShleiferVishny1997Proper"/>
    <w:p>
      <w:pPr>
        <w:pStyle w:val="Bibliography"/>
      </w:pPr>
      <w:r>
        <w:t xml:space="preserve">Hart, Oliver, Andrei Shleifer y Robert W. Vishny (1997).</w:t>
      </w:r>
      <w:r>
        <w:t xml:space="preserve"> </w:t>
      </w:r>
      <w:r>
        <w:t xml:space="preserve">«The Proper Scope of Government: Theory and an Application to Prisons»</w:t>
      </w:r>
      <w:r>
        <w:t xml:space="preserve">.</w:t>
      </w:r>
      <w:r>
        <w:t xml:space="preserve"> </w:t>
      </w:r>
      <w:r>
        <w:rPr>
          <w:i/>
          <w:iCs/>
        </w:rPr>
        <w:t xml:space="preserve">Quarterly Journal of Economics</w:t>
      </w:r>
      <w:r>
        <w:t xml:space="preserve"> </w:t>
      </w:r>
      <w:r>
        <w:t xml:space="preserve">112 (4): 1127-61.</w:t>
      </w:r>
      <w:r>
        <w:t xml:space="preserve"> </w:t>
      </w:r>
      <w:hyperlink r:id="rId323">
        <w:r>
          <w:rPr>
            <w:rStyle w:val="Hyperlink"/>
          </w:rPr>
          <w:t xml:space="preserve">https://doi.org/10.1162/003355300555448</w:t>
        </w:r>
      </w:hyperlink>
      <w:r>
        <w:t xml:space="preserve">.</w:t>
      </w:r>
    </w:p>
    <w:bookmarkEnd w:id="324"/>
    <w:bookmarkStart w:id="326" w:name="ref_HartTirole1990Vertical"/>
    <w:p>
      <w:pPr>
        <w:pStyle w:val="Bibliography"/>
      </w:pPr>
      <w:r>
        <w:t xml:space="preserve">Hart, Oliver y Jean Tirole (1990).</w:t>
      </w:r>
      <w:r>
        <w:t xml:space="preserve"> </w:t>
      </w:r>
      <w:r>
        <w:t xml:space="preserve">«Vertical Integration and Market Foreclosure»</w:t>
      </w:r>
      <w:r>
        <w:t xml:space="preserve">.</w:t>
      </w:r>
      <w:r>
        <w:t xml:space="preserve"> </w:t>
      </w:r>
      <w:r>
        <w:rPr>
          <w:i/>
          <w:iCs/>
        </w:rPr>
        <w:t xml:space="preserve">Brookings Papers on Economic Activity. Microeconomics</w:t>
      </w:r>
      <w:r>
        <w:t xml:space="preserve">, 205-86.</w:t>
      </w:r>
      <w:r>
        <w:t xml:space="preserve"> </w:t>
      </w:r>
      <w:hyperlink r:id="rId325">
        <w:r>
          <w:rPr>
            <w:rStyle w:val="Hyperlink"/>
          </w:rPr>
          <w:t xml:space="preserve">https://doi.org/10.2307/2534783</w:t>
        </w:r>
      </w:hyperlink>
      <w:r>
        <w:t xml:space="preserve">.</w:t>
      </w:r>
    </w:p>
    <w:bookmarkEnd w:id="326"/>
    <w:bookmarkStart w:id="327"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27"/>
    <w:bookmarkStart w:id="329" w:name="ref_HealyPalepu2003Fall"/>
    <w:p>
      <w:pPr>
        <w:pStyle w:val="Bibliography"/>
      </w:pPr>
      <w:r>
        <w:t xml:space="preserve">Healy, Paul M. y Krishna G. Palepu (2003).</w:t>
      </w:r>
      <w:r>
        <w:t xml:space="preserve"> </w:t>
      </w:r>
      <w:r>
        <w:t xml:space="preserve">«The Fall of Enron»</w:t>
      </w:r>
      <w:r>
        <w:t xml:space="preserve">.</w:t>
      </w:r>
      <w:r>
        <w:t xml:space="preserve"> </w:t>
      </w:r>
      <w:r>
        <w:rPr>
          <w:i/>
          <w:iCs/>
        </w:rPr>
        <w:t xml:space="preserve">Journal of Economic Perspectives</w:t>
      </w:r>
      <w:r>
        <w:t xml:space="preserve"> </w:t>
      </w:r>
      <w:r>
        <w:t xml:space="preserve">17 (2): 3-26.</w:t>
      </w:r>
      <w:r>
        <w:t xml:space="preserve"> </w:t>
      </w:r>
      <w:hyperlink r:id="rId328">
        <w:r>
          <w:rPr>
            <w:rStyle w:val="Hyperlink"/>
          </w:rPr>
          <w:t xml:space="preserve">https://doi.org/10.1257/089533003765888403</w:t>
        </w:r>
      </w:hyperlink>
      <w:r>
        <w:t xml:space="preserve">.</w:t>
      </w:r>
    </w:p>
    <w:bookmarkEnd w:id="329"/>
    <w:bookmarkStart w:id="331"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30">
        <w:r>
          <w:rPr>
            <w:rStyle w:val="Hyperlink"/>
          </w:rPr>
          <w:t xml:space="preserve">https://doi.org/10.2307/1907343</w:t>
        </w:r>
      </w:hyperlink>
      <w:r>
        <w:t xml:space="preserve">.</w:t>
      </w:r>
    </w:p>
    <w:bookmarkEnd w:id="331"/>
    <w:bookmarkStart w:id="333"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332">
        <w:r>
          <w:rPr>
            <w:rStyle w:val="Hyperlink"/>
          </w:rPr>
          <w:t xml:space="preserve">https://doi.org/10.2307/3003320</w:t>
        </w:r>
      </w:hyperlink>
      <w:r>
        <w:t xml:space="preserve">.</w:t>
      </w:r>
    </w:p>
    <w:bookmarkEnd w:id="333"/>
    <w:bookmarkStart w:id="334"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334"/>
    <w:bookmarkStart w:id="335" w:name="ref_HolmstromMilgrom1994Firm"/>
    <w:p>
      <w:pPr>
        <w:pStyle w:val="Bibliography"/>
      </w:pPr>
      <w:r>
        <w:t xml:space="preserve">Holmström, Bengt y Paul Milgrom (1994).</w:t>
      </w:r>
      <w:r>
        <w:t xml:space="preserve"> </w:t>
      </w:r>
      <w:r>
        <w:t xml:space="preserve">«The Firm as an Incentive System»</w:t>
      </w:r>
      <w:r>
        <w:t xml:space="preserve">.</w:t>
      </w:r>
      <w:r>
        <w:t xml:space="preserve"> </w:t>
      </w:r>
      <w:r>
        <w:rPr>
          <w:i/>
          <w:iCs/>
        </w:rPr>
        <w:t xml:space="preserve">American Economic Review</w:t>
      </w:r>
      <w:r>
        <w:t xml:space="preserve"> </w:t>
      </w:r>
      <w:r>
        <w:t xml:space="preserve">84 (4): 972-91.</w:t>
      </w:r>
    </w:p>
    <w:bookmarkEnd w:id="335"/>
    <w:bookmarkStart w:id="337" w:name="ref_INE2025DIRCE"/>
    <w:p>
      <w:pPr>
        <w:pStyle w:val="Bibliography"/>
      </w:pPr>
      <w:r>
        <w:t xml:space="preserve">Instituto Nacional de Estadística (2025).</w:t>
      </w:r>
      <w:r>
        <w:t xml:space="preserve"> </w:t>
      </w:r>
      <w:r>
        <w:t xml:space="preserve">«Directorio Central de Empresas (DIRCE). 1 de enero de 2025»</w:t>
      </w:r>
      <w:r>
        <w:t xml:space="preserve">. 11 de diciembre de 2025.</w:t>
      </w:r>
      <w:r>
        <w:t xml:space="preserve"> </w:t>
      </w:r>
      <w:hyperlink r:id="rId336">
        <w:r>
          <w:rPr>
            <w:rStyle w:val="Hyperlink"/>
          </w:rPr>
          <w:t xml:space="preserve">https://www.ine.es/dyngs/Prensa/DIRCE2025.htm</w:t>
        </w:r>
      </w:hyperlink>
      <w:r>
        <w:t xml:space="preserve">.</w:t>
      </w:r>
    </w:p>
    <w:bookmarkEnd w:id="337"/>
    <w:bookmarkStart w:id="339"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338">
        <w:r>
          <w:rPr>
            <w:rStyle w:val="Hyperlink"/>
          </w:rPr>
          <w:t xml:space="preserve">https://www.boe.es/buscar/act.php?id=BOE-A-2007-12946</w:t>
        </w:r>
      </w:hyperlink>
      <w:r>
        <w:t xml:space="preserve">.</w:t>
      </w:r>
    </w:p>
    <w:bookmarkEnd w:id="339"/>
    <w:bookmarkStart w:id="341" w:name="ref_Ley2014GobiernoCorporativo"/>
    <w:p>
      <w:pPr>
        <w:pStyle w:val="Bibliography"/>
      </w:pPr>
      <w:r>
        <w:t xml:space="preserve">Jefatura del Estado (2014).</w:t>
      </w:r>
      <w:r>
        <w:t xml:space="preserve"> </w:t>
      </w:r>
      <w:r>
        <w:t xml:space="preserve">«Ley 31/2014, de 3 de diciembre, por la que se modifica la Ley de Sociedades de Capital para la mejora del gobierno corporativo»</w:t>
      </w:r>
      <w:r>
        <w:t xml:space="preserve">. 2014.</w:t>
      </w:r>
      <w:r>
        <w:t xml:space="preserve"> </w:t>
      </w:r>
      <w:hyperlink r:id="rId340">
        <w:r>
          <w:rPr>
            <w:rStyle w:val="Hyperlink"/>
          </w:rPr>
          <w:t xml:space="preserve">https://www.boe.es/buscar/doc.php?id=BOE-A-2014-12589</w:t>
        </w:r>
      </w:hyperlink>
      <w:r>
        <w:t xml:space="preserve">.</w:t>
      </w:r>
    </w:p>
    <w:bookmarkEnd w:id="341"/>
    <w:bookmarkStart w:id="343" w:name="ref_BOE2015LO1"/>
    <w:p>
      <w:pPr>
        <w:pStyle w:val="Bibliography"/>
      </w:pPr>
      <w:r>
        <w:t xml:space="preserve">Jefatura del Estado (2015).</w:t>
      </w:r>
      <w:r>
        <w:t xml:space="preserve"> </w:t>
      </w:r>
      <w:r>
        <w:t xml:space="preserve">«Ley Orgánica 1/2015, de 30 de marzo, por la que se modifica la Ley Orgánica 10/1995, de 23 de noviembre, del Código Penal»</w:t>
      </w:r>
      <w:r>
        <w:t xml:space="preserve">. 31 de marzo de 2015.</w:t>
      </w:r>
      <w:r>
        <w:t xml:space="preserve"> </w:t>
      </w:r>
      <w:hyperlink r:id="rId342">
        <w:r>
          <w:rPr>
            <w:rStyle w:val="Hyperlink"/>
          </w:rPr>
          <w:t xml:space="preserve">https://www.boe.es/buscar/act.php?id=BOE-A-2015-3439</w:t>
        </w:r>
      </w:hyperlink>
      <w:r>
        <w:t xml:space="preserve">.</w:t>
      </w:r>
    </w:p>
    <w:bookmarkEnd w:id="343"/>
    <w:bookmarkStart w:id="345"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44">
        <w:r>
          <w:rPr>
            <w:rStyle w:val="Hyperlink"/>
          </w:rPr>
          <w:t xml:space="preserve">https://doi.org/10.1016/0304-405X(76)90026-X</w:t>
        </w:r>
      </w:hyperlink>
      <w:r>
        <w:t xml:space="preserve">.</w:t>
      </w:r>
    </w:p>
    <w:bookmarkEnd w:id="345"/>
    <w:bookmarkStart w:id="346" w:name="ref_Joskow1987Contract"/>
    <w:p>
      <w:pPr>
        <w:pStyle w:val="Bibliography"/>
      </w:pPr>
      <w:r>
        <w:t xml:space="preserve">Joskow, Paul L. (1987).</w:t>
      </w:r>
      <w:r>
        <w:t xml:space="preserve"> </w:t>
      </w:r>
      <w:r>
        <w:t xml:space="preserve">«Contract Duration and Relationship-Specific Investments: Empirical Evidence from Coal Markets»</w:t>
      </w:r>
      <w:r>
        <w:t xml:space="preserve">.</w:t>
      </w:r>
      <w:r>
        <w:t xml:space="preserve"> </w:t>
      </w:r>
      <w:r>
        <w:rPr>
          <w:i/>
          <w:iCs/>
        </w:rPr>
        <w:t xml:space="preserve">American Economic Review</w:t>
      </w:r>
      <w:r>
        <w:t xml:space="preserve"> </w:t>
      </w:r>
      <w:r>
        <w:t xml:space="preserve">77 (1): 168-85.</w:t>
      </w:r>
    </w:p>
    <w:bookmarkEnd w:id="346"/>
    <w:bookmarkStart w:id="348"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47">
        <w:r>
          <w:rPr>
            <w:rStyle w:val="Hyperlink"/>
          </w:rPr>
          <w:t xml:space="preserve">https://doi.org/10.2307/2555407</w:t>
        </w:r>
      </w:hyperlink>
      <w:r>
        <w:t xml:space="preserve">.</w:t>
      </w:r>
    </w:p>
    <w:bookmarkEnd w:id="348"/>
    <w:bookmarkStart w:id="350" w:name="ref_Kaldor1934Equilibrium"/>
    <w:p>
      <w:pPr>
        <w:pStyle w:val="Bibliography"/>
      </w:pPr>
      <w:r>
        <w:t xml:space="preserve">Kaldor, Nicholas (1934).</w:t>
      </w:r>
      <w:r>
        <w:t xml:space="preserve"> </w:t>
      </w:r>
      <w:r>
        <w:t xml:space="preserve">«The Equilibrium of the Firm»</w:t>
      </w:r>
      <w:r>
        <w:t xml:space="preserve">.</w:t>
      </w:r>
      <w:r>
        <w:t xml:space="preserve"> </w:t>
      </w:r>
      <w:r>
        <w:rPr>
          <w:i/>
          <w:iCs/>
        </w:rPr>
        <w:t xml:space="preserve">Economic Journal</w:t>
      </w:r>
      <w:r>
        <w:t xml:space="preserve"> </w:t>
      </w:r>
      <w:r>
        <w:t xml:space="preserve">44 (173): 60-76.</w:t>
      </w:r>
      <w:r>
        <w:t xml:space="preserve"> </w:t>
      </w:r>
      <w:hyperlink r:id="rId349">
        <w:r>
          <w:rPr>
            <w:rStyle w:val="Hyperlink"/>
          </w:rPr>
          <w:t xml:space="preserve">https://doi.org/10.2307/2224727</w:t>
        </w:r>
      </w:hyperlink>
      <w:r>
        <w:t xml:space="preserve">.</w:t>
      </w:r>
    </w:p>
    <w:bookmarkEnd w:id="350"/>
    <w:bookmarkStart w:id="351" w:name="ref_Kirzner1973Competition"/>
    <w:p>
      <w:pPr>
        <w:pStyle w:val="Bibliography"/>
      </w:pPr>
      <w:r>
        <w:t xml:space="preserve">Kirzner, Israel M. (1973).</w:t>
      </w:r>
      <w:r>
        <w:t xml:space="preserve"> </w:t>
      </w:r>
      <w:r>
        <w:rPr>
          <w:i/>
          <w:iCs/>
        </w:rPr>
        <w:t xml:space="preserve">Competition and Entrepreneurship</w:t>
      </w:r>
      <w:r>
        <w:t xml:space="preserve">. Chicago: University of Chicago Press.</w:t>
      </w:r>
    </w:p>
    <w:bookmarkEnd w:id="351"/>
    <w:bookmarkStart w:id="353" w:name="ref_Klein2000Fisher"/>
    <w:p>
      <w:pPr>
        <w:pStyle w:val="Bibliography"/>
      </w:pPr>
      <w:r>
        <w:t xml:space="preserve">Klein, Benjamin (2000).</w:t>
      </w:r>
      <w:r>
        <w:t xml:space="preserve"> </w:t>
      </w:r>
      <w:r>
        <w:t xml:space="preserve">«Fisher–General Motors and the Nature of the Firm»</w:t>
      </w:r>
      <w:r>
        <w:t xml:space="preserve">.</w:t>
      </w:r>
      <w:r>
        <w:t xml:space="preserve"> </w:t>
      </w:r>
      <w:r>
        <w:rPr>
          <w:i/>
          <w:iCs/>
        </w:rPr>
        <w:t xml:space="preserve">Journal of Law and Economics</w:t>
      </w:r>
      <w:r>
        <w:t xml:space="preserve"> </w:t>
      </w:r>
      <w:r>
        <w:t xml:space="preserve">43 (1): 105-42.</w:t>
      </w:r>
      <w:r>
        <w:t xml:space="preserve"> </w:t>
      </w:r>
      <w:hyperlink r:id="rId352">
        <w:r>
          <w:rPr>
            <w:rStyle w:val="Hyperlink"/>
          </w:rPr>
          <w:t xml:space="preserve">https://doi.org/10.1086/467449</w:t>
        </w:r>
      </w:hyperlink>
      <w:r>
        <w:t xml:space="preserve">.</w:t>
      </w:r>
    </w:p>
    <w:bookmarkEnd w:id="353"/>
    <w:bookmarkStart w:id="355" w:name="ref_KleinCrawfordAlchian1978Vertical"/>
    <w:p>
      <w:pPr>
        <w:pStyle w:val="Bibliography"/>
      </w:pPr>
      <w:r>
        <w:t xml:space="preserve">Klein, Benjamin, Robert G. Crawford y Armen A. Alchian (1978).</w:t>
      </w:r>
      <w:r>
        <w:t xml:space="preserve"> </w:t>
      </w:r>
      <w:r>
        <w:t xml:space="preserve">«Vertical Integration, Appropriable Rents, and the Competitive Contracting Process»</w:t>
      </w:r>
      <w:r>
        <w:t xml:space="preserve">.</w:t>
      </w:r>
      <w:r>
        <w:t xml:space="preserve"> </w:t>
      </w:r>
      <w:r>
        <w:rPr>
          <w:i/>
          <w:iCs/>
        </w:rPr>
        <w:t xml:space="preserve">Journal of Law and Economics</w:t>
      </w:r>
      <w:r>
        <w:t xml:space="preserve"> </w:t>
      </w:r>
      <w:r>
        <w:t xml:space="preserve">21 (2): 297-326.</w:t>
      </w:r>
      <w:r>
        <w:t xml:space="preserve"> </w:t>
      </w:r>
      <w:hyperlink r:id="rId354">
        <w:r>
          <w:rPr>
            <w:rStyle w:val="Hyperlink"/>
          </w:rPr>
          <w:t xml:space="preserve">https://doi.org/10.1086/466922</w:t>
        </w:r>
      </w:hyperlink>
      <w:r>
        <w:t xml:space="preserve">.</w:t>
      </w:r>
    </w:p>
    <w:bookmarkEnd w:id="355"/>
    <w:bookmarkStart w:id="357" w:name="ref_KrepsWilson1982Reputation"/>
    <w:p>
      <w:pPr>
        <w:pStyle w:val="Bibliography"/>
      </w:pPr>
      <w:r>
        <w:t xml:space="preserve">Kreps, David M. y Robert B. Wilson (1982).</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56">
        <w:r>
          <w:rPr>
            <w:rStyle w:val="Hyperlink"/>
          </w:rPr>
          <w:t xml:space="preserve">https://doi.org/10.1016/0022-0531(82)90030-8</w:t>
        </w:r>
      </w:hyperlink>
      <w:r>
        <w:t xml:space="preserve">.</w:t>
      </w:r>
    </w:p>
    <w:bookmarkEnd w:id="357"/>
    <w:bookmarkStart w:id="359" w:name="ref_LaffontReyTirole1998NetworkI"/>
    <w:p>
      <w:pPr>
        <w:pStyle w:val="Bibliography"/>
      </w:pPr>
      <w:r>
        <w:t xml:space="preserve">Laffont, Jean-Jacques, Patrick Rey y Jean Tirole (1998).</w:t>
      </w:r>
      <w:r>
        <w:t xml:space="preserve"> </w:t>
      </w:r>
      <w:r>
        <w:t xml:space="preserve">«Network Competition: I. Overview and Nondiscriminatory Pricing»</w:t>
      </w:r>
      <w:r>
        <w:t xml:space="preserve">.</w:t>
      </w:r>
      <w:r>
        <w:t xml:space="preserve"> </w:t>
      </w:r>
      <w:r>
        <w:rPr>
          <w:i/>
          <w:iCs/>
        </w:rPr>
        <w:t xml:space="preserve">RAND Journal of Economics</w:t>
      </w:r>
      <w:r>
        <w:t xml:space="preserve"> </w:t>
      </w:r>
      <w:r>
        <w:t xml:space="preserve">29 (1): 1-37.</w:t>
      </w:r>
      <w:r>
        <w:t xml:space="preserve"> </w:t>
      </w:r>
      <w:hyperlink r:id="rId358">
        <w:r>
          <w:rPr>
            <w:rStyle w:val="Hyperlink"/>
          </w:rPr>
          <w:t xml:space="preserve">https://doi.org/10.2307/2555814</w:t>
        </w:r>
      </w:hyperlink>
      <w:r>
        <w:t xml:space="preserve">.</w:t>
      </w:r>
    </w:p>
    <w:bookmarkEnd w:id="359"/>
    <w:bookmarkStart w:id="361"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60">
        <w:r>
          <w:rPr>
            <w:rStyle w:val="Hyperlink"/>
          </w:rPr>
          <w:t xml:space="preserve">https://doi.org/10.1086/261392</w:t>
        </w:r>
      </w:hyperlink>
      <w:r>
        <w:t xml:space="preserve">.</w:t>
      </w:r>
    </w:p>
    <w:bookmarkEnd w:id="361"/>
    <w:bookmarkStart w:id="362"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62"/>
    <w:bookmarkStart w:id="363" w:name="ref_LaffontTirole2000Competition"/>
    <w:p>
      <w:pPr>
        <w:pStyle w:val="Bibliography"/>
      </w:pPr>
      <w:r>
        <w:t xml:space="preserve">Laffont, Jean-Jacques y Jean Tirole (2000).</w:t>
      </w:r>
      <w:r>
        <w:t xml:space="preserve"> </w:t>
      </w:r>
      <w:r>
        <w:rPr>
          <w:i/>
          <w:iCs/>
        </w:rPr>
        <w:t xml:space="preserve">Competition in Telecommunications</w:t>
      </w:r>
      <w:r>
        <w:t xml:space="preserve">. Cambridge (Massachusetts): MIT Press.</w:t>
      </w:r>
    </w:p>
    <w:bookmarkEnd w:id="363"/>
    <w:bookmarkStart w:id="365" w:name="ref_LafontaineSlade2007Vertical"/>
    <w:p>
      <w:pPr>
        <w:pStyle w:val="Bibliography"/>
      </w:pPr>
      <w:r>
        <w:t xml:space="preserve">Lafontaine, Francine y Margaret Slade (2007).</w:t>
      </w:r>
      <w:r>
        <w:t xml:space="preserve"> </w:t>
      </w:r>
      <w:r>
        <w:t xml:space="preserve">«Vertical Integration and Firm Boundaries: The Evidence»</w:t>
      </w:r>
      <w:r>
        <w:t xml:space="preserve">.</w:t>
      </w:r>
      <w:r>
        <w:t xml:space="preserve"> </w:t>
      </w:r>
      <w:r>
        <w:rPr>
          <w:i/>
          <w:iCs/>
        </w:rPr>
        <w:t xml:space="preserve">Journal of Economic Literature</w:t>
      </w:r>
      <w:r>
        <w:t xml:space="preserve"> </w:t>
      </w:r>
      <w:r>
        <w:t xml:space="preserve">45 (3): 629-85.</w:t>
      </w:r>
      <w:r>
        <w:t xml:space="preserve"> </w:t>
      </w:r>
      <w:hyperlink r:id="rId364">
        <w:r>
          <w:rPr>
            <w:rStyle w:val="Hyperlink"/>
          </w:rPr>
          <w:t xml:space="preserve">https://doi.org/10.1257/jel.45.3.629</w:t>
        </w:r>
      </w:hyperlink>
      <w:r>
        <w:t xml:space="preserve">.</w:t>
      </w:r>
    </w:p>
    <w:bookmarkEnd w:id="365"/>
    <w:bookmarkStart w:id="367"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66">
        <w:r>
          <w:rPr>
            <w:rStyle w:val="Hyperlink"/>
          </w:rPr>
          <w:t xml:space="preserve">https://www.jstor.org/stable/1823775</w:t>
        </w:r>
      </w:hyperlink>
      <w:r>
        <w:t xml:space="preserve">.</w:t>
      </w:r>
    </w:p>
    <w:bookmarkEnd w:id="367"/>
    <w:bookmarkStart w:id="368" w:name="ref_LipczynskiWilsonGoddard2017Ind_37140"/>
    <w:p>
      <w:pPr>
        <w:pStyle w:val="Bibliography"/>
      </w:pPr>
      <w:r>
        <w:t xml:space="preserve">Lipczynski, John, John O. S. Wilson y John Goddard (2017).</w:t>
      </w:r>
      <w:r>
        <w:t xml:space="preserve"> </w:t>
      </w:r>
      <w:r>
        <w:rPr>
          <w:i/>
          <w:iCs/>
        </w:rPr>
        <w:t xml:space="preserve">Industrial Organization: Competition, Strategy and Policy</w:t>
      </w:r>
      <w:r>
        <w:t xml:space="preserve">. 5.ª ed. Harlow: Pearson.</w:t>
      </w:r>
    </w:p>
    <w:bookmarkEnd w:id="368"/>
    <w:bookmarkStart w:id="369"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369"/>
    <w:bookmarkStart w:id="371" w:name="ref_Manne1965Mergers"/>
    <w:p>
      <w:pPr>
        <w:pStyle w:val="Bibliography"/>
      </w:pPr>
      <w:r>
        <w:t xml:space="preserve">Manne, Henry G. (1965).</w:t>
      </w:r>
      <w:r>
        <w:t xml:space="preserve"> </w:t>
      </w:r>
      <w:r>
        <w:t xml:space="preserve">«Mergers and the Market for Corporate Control»</w:t>
      </w:r>
      <w:r>
        <w:t xml:space="preserve">.</w:t>
      </w:r>
      <w:r>
        <w:t xml:space="preserve"> </w:t>
      </w:r>
      <w:r>
        <w:rPr>
          <w:i/>
          <w:iCs/>
        </w:rPr>
        <w:t xml:space="preserve">Journal of Political Economy</w:t>
      </w:r>
      <w:r>
        <w:t xml:space="preserve"> </w:t>
      </w:r>
      <w:r>
        <w:t xml:space="preserve">73 (2): 110-20.</w:t>
      </w:r>
      <w:r>
        <w:t xml:space="preserve"> </w:t>
      </w:r>
      <w:hyperlink r:id="rId370">
        <w:r>
          <w:rPr>
            <w:rStyle w:val="Hyperlink"/>
          </w:rPr>
          <w:t xml:space="preserve">https://doi.org/10.1086/259000</w:t>
        </w:r>
      </w:hyperlink>
      <w:r>
        <w:t xml:space="preserve">.</w:t>
      </w:r>
    </w:p>
    <w:bookmarkEnd w:id="371"/>
    <w:bookmarkStart w:id="373" w:name="ref_Marris1963Model"/>
    <w:p>
      <w:pPr>
        <w:pStyle w:val="Bibliography"/>
      </w:pPr>
      <w:r>
        <w:t xml:space="preserve">Marris, Robin (1963).</w:t>
      </w:r>
      <w:r>
        <w:t xml:space="preserve"> </w:t>
      </w:r>
      <w:r>
        <w:t xml:space="preserve">«A Model of the «Managerial» Enterprise»</w:t>
      </w:r>
      <w:r>
        <w:t xml:space="preserve">.</w:t>
      </w:r>
      <w:r>
        <w:t xml:space="preserve"> </w:t>
      </w:r>
      <w:r>
        <w:rPr>
          <w:i/>
          <w:iCs/>
        </w:rPr>
        <w:t xml:space="preserve">Quarterly Journal of Economics</w:t>
      </w:r>
      <w:r>
        <w:t xml:space="preserve"> </w:t>
      </w:r>
      <w:r>
        <w:t xml:space="preserve">77 (2): 185-209.</w:t>
      </w:r>
      <w:r>
        <w:t xml:space="preserve"> </w:t>
      </w:r>
      <w:hyperlink r:id="rId372">
        <w:r>
          <w:rPr>
            <w:rStyle w:val="Hyperlink"/>
          </w:rPr>
          <w:t xml:space="preserve">https://doi.org/10.2307/1884399</w:t>
        </w:r>
      </w:hyperlink>
      <w:r>
        <w:t xml:space="preserve">.</w:t>
      </w:r>
    </w:p>
    <w:bookmarkEnd w:id="373"/>
    <w:bookmarkStart w:id="374" w:name="ref_Marris1964Economic"/>
    <w:p>
      <w:pPr>
        <w:pStyle w:val="Bibliography"/>
      </w:pPr>
      <w:r>
        <w:t xml:space="preserve">Marris, Robin (1964).</w:t>
      </w:r>
      <w:r>
        <w:t xml:space="preserve"> </w:t>
      </w:r>
      <w:r>
        <w:rPr>
          <w:i/>
          <w:iCs/>
        </w:rPr>
        <w:t xml:space="preserve">The Economic Theory of «Managerial» Capitalism</w:t>
      </w:r>
      <w:r>
        <w:t xml:space="preserve">. Londres: Macmillan.</w:t>
      </w:r>
    </w:p>
    <w:bookmarkEnd w:id="374"/>
    <w:bookmarkStart w:id="375" w:name="ref_Mason1939Price"/>
    <w:p>
      <w:pPr>
        <w:pStyle w:val="Bibliography"/>
      </w:pPr>
      <w:r>
        <w:t xml:space="preserve">Mason, Edward S. (1939).</w:t>
      </w:r>
      <w:r>
        <w:t xml:space="preserve"> </w:t>
      </w:r>
      <w:r>
        <w:t xml:space="preserve">«Price and Production Policies of Large-Scale Enterprise»</w:t>
      </w:r>
      <w:r>
        <w:t xml:space="preserve">.</w:t>
      </w:r>
      <w:r>
        <w:t xml:space="preserve"> </w:t>
      </w:r>
      <w:r>
        <w:rPr>
          <w:i/>
          <w:iCs/>
        </w:rPr>
        <w:t xml:space="preserve">American Economic Review</w:t>
      </w:r>
      <w:r>
        <w:t xml:space="preserve"> </w:t>
      </w:r>
      <w:r>
        <w:t xml:space="preserve">29 (1): 61-74.</w:t>
      </w:r>
    </w:p>
    <w:bookmarkEnd w:id="375"/>
    <w:bookmarkStart w:id="376" w:name="ref_McAfeeMialonWilliams2004What"/>
    <w:p>
      <w:pPr>
        <w:pStyle w:val="Bibliography"/>
      </w:pPr>
      <w:r>
        <w:t xml:space="preserve">McAfee, R. Preston, Hugo M. Mialon y Michael A. Williams (2004).</w:t>
      </w:r>
      <w:r>
        <w:t xml:space="preserve"> </w:t>
      </w:r>
      <w:r>
        <w:t xml:space="preserve">«What Is a Barrier to Entry?»</w:t>
      </w:r>
      <w:r>
        <w:t xml:space="preserve"> </w:t>
      </w:r>
      <w:r>
        <w:rPr>
          <w:i/>
          <w:iCs/>
        </w:rPr>
        <w:t xml:space="preserve">American Economic Review</w:t>
      </w:r>
      <w:r>
        <w:t xml:space="preserve"> </w:t>
      </w:r>
      <w:r>
        <w:t xml:space="preserve">94 (2): 461-65.</w:t>
      </w:r>
    </w:p>
    <w:bookmarkEnd w:id="376"/>
    <w:bookmarkStart w:id="378" w:name="ref_McGee1958Predatory"/>
    <w:p>
      <w:pPr>
        <w:pStyle w:val="Bibliography"/>
      </w:pPr>
      <w:r>
        <w:t xml:space="preserve">McGee, John S. (1958).</w:t>
      </w:r>
      <w:r>
        <w:t xml:space="preserve"> </w:t>
      </w:r>
      <w:r>
        <w:t xml:space="preserve">«Predatory Price Cutting: The Standard Oil (N. J.) Case»</w:t>
      </w:r>
      <w:r>
        <w:t xml:space="preserve">.</w:t>
      </w:r>
      <w:r>
        <w:t xml:space="preserve"> </w:t>
      </w:r>
      <w:r>
        <w:rPr>
          <w:i/>
          <w:iCs/>
        </w:rPr>
        <w:t xml:space="preserve">Journal of Law and Economics</w:t>
      </w:r>
      <w:r>
        <w:t xml:space="preserve"> </w:t>
      </w:r>
      <w:r>
        <w:t xml:space="preserve">1: 137-69.</w:t>
      </w:r>
      <w:r>
        <w:t xml:space="preserve"> </w:t>
      </w:r>
      <w:hyperlink r:id="rId377">
        <w:r>
          <w:rPr>
            <w:rStyle w:val="Hyperlink"/>
          </w:rPr>
          <w:t xml:space="preserve">https://doi.org/10.1086/466547</w:t>
        </w:r>
      </w:hyperlink>
      <w:r>
        <w:t xml:space="preserve">.</w:t>
      </w:r>
    </w:p>
    <w:bookmarkEnd w:id="378"/>
    <w:bookmarkStart w:id="380"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79">
        <w:r>
          <w:rPr>
            <w:rStyle w:val="Hyperlink"/>
          </w:rPr>
          <w:t xml:space="preserve">https://doi.org/10.2307/1912637</w:t>
        </w:r>
      </w:hyperlink>
      <w:r>
        <w:t xml:space="preserve">.</w:t>
      </w:r>
    </w:p>
    <w:bookmarkEnd w:id="380"/>
    <w:bookmarkStart w:id="382"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81">
        <w:r>
          <w:rPr>
            <w:rStyle w:val="Hyperlink"/>
          </w:rPr>
          <w:t xml:space="preserve">https://doi.org/10.1016/0022-0531(82)90031-X</w:t>
        </w:r>
      </w:hyperlink>
      <w:r>
        <w:t xml:space="preserve">.</w:t>
      </w:r>
    </w:p>
    <w:bookmarkEnd w:id="382"/>
    <w:bookmarkStart w:id="384"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383">
        <w:r>
          <w:rPr>
            <w:rStyle w:val="Hyperlink"/>
          </w:rPr>
          <w:t xml:space="preserve">https://doi.org/10.1086/258035</w:t>
        </w:r>
      </w:hyperlink>
      <w:r>
        <w:t xml:space="preserve">.</w:t>
      </w:r>
    </w:p>
    <w:bookmarkEnd w:id="384"/>
    <w:bookmarkStart w:id="386" w:name="ref_MonteverdeTeece1982Supplier"/>
    <w:p>
      <w:pPr>
        <w:pStyle w:val="Bibliography"/>
      </w:pPr>
      <w:r>
        <w:t xml:space="preserve">Monteverde, Kirk y David J. Teece (1982).</w:t>
      </w:r>
      <w:r>
        <w:t xml:space="preserve"> </w:t>
      </w:r>
      <w:r>
        <w:t xml:space="preserve">«Supplier Switching Costs and Vertical Integration in the Automobile Industry»</w:t>
      </w:r>
      <w:r>
        <w:t xml:space="preserve">.</w:t>
      </w:r>
      <w:r>
        <w:t xml:space="preserve"> </w:t>
      </w:r>
      <w:r>
        <w:rPr>
          <w:i/>
          <w:iCs/>
        </w:rPr>
        <w:t xml:space="preserve">Bell Journal of Economics</w:t>
      </w:r>
      <w:r>
        <w:t xml:space="preserve"> </w:t>
      </w:r>
      <w:r>
        <w:t xml:space="preserve">13 (1): 206-13.</w:t>
      </w:r>
      <w:r>
        <w:t xml:space="preserve"> </w:t>
      </w:r>
      <w:hyperlink r:id="rId385">
        <w:r>
          <w:rPr>
            <w:rStyle w:val="Hyperlink"/>
          </w:rPr>
          <w:t xml:space="preserve">https://doi.org/10.2307/3003441</w:t>
        </w:r>
      </w:hyperlink>
      <w:r>
        <w:t xml:space="preserve">.</w:t>
      </w:r>
    </w:p>
    <w:bookmarkEnd w:id="386"/>
    <w:bookmarkStart w:id="388" w:name="ref_MorrisonWinston1987Empirical"/>
    <w:p>
      <w:pPr>
        <w:pStyle w:val="Bibliography"/>
      </w:pPr>
      <w:r>
        <w:t xml:space="preserve">Morrison, Steven A. y Clifford Winston (1987).</w:t>
      </w:r>
      <w:r>
        <w:t xml:space="preserve"> </w:t>
      </w:r>
      <w:r>
        <w:t xml:space="preserve">«Empirical Implications and Tests of the Contestability Hypothesis»</w:t>
      </w:r>
      <w:r>
        <w:t xml:space="preserve">.</w:t>
      </w:r>
      <w:r>
        <w:t xml:space="preserve"> </w:t>
      </w:r>
      <w:r>
        <w:rPr>
          <w:i/>
          <w:iCs/>
        </w:rPr>
        <w:t xml:space="preserve">Journal of Law and Economics</w:t>
      </w:r>
      <w:r>
        <w:t xml:space="preserve"> </w:t>
      </w:r>
      <w:r>
        <w:t xml:space="preserve">30 (1): 53-66.</w:t>
      </w:r>
      <w:r>
        <w:t xml:space="preserve"> </w:t>
      </w:r>
      <w:hyperlink r:id="rId387">
        <w:r>
          <w:rPr>
            <w:rStyle w:val="Hyperlink"/>
          </w:rPr>
          <w:t xml:space="preserve">https://doi.org/10.1086/467129</w:t>
        </w:r>
      </w:hyperlink>
      <w:r>
        <w:t xml:space="preserve">.</w:t>
      </w:r>
    </w:p>
    <w:bookmarkEnd w:id="388"/>
    <w:bookmarkStart w:id="390"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9">
        <w:r>
          <w:rPr>
            <w:rStyle w:val="Hyperlink"/>
          </w:rPr>
          <w:t xml:space="preserve">https://doi.org/10.2307/1907266</w:t>
        </w:r>
      </w:hyperlink>
      <w:r>
        <w:t xml:space="preserve">.</w:t>
      </w:r>
    </w:p>
    <w:bookmarkEnd w:id="390"/>
    <w:bookmarkStart w:id="391"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91"/>
    <w:bookmarkStart w:id="392"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2"/>
    <w:bookmarkStart w:id="394"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393">
        <w:r>
          <w:rPr>
            <w:rStyle w:val="Hyperlink"/>
          </w:rPr>
          <w:t xml:space="preserve">https://eur-lex.europa.eu/eli/reg/2022/1925/oj</w:t>
        </w:r>
      </w:hyperlink>
      <w:r>
        <w:t xml:space="preserve">.</w:t>
      </w:r>
    </w:p>
    <w:bookmarkEnd w:id="394"/>
    <w:bookmarkStart w:id="395" w:name="ref_Penrose1959Theory"/>
    <w:p>
      <w:pPr>
        <w:pStyle w:val="Bibliography"/>
      </w:pPr>
      <w:r>
        <w:t xml:space="preserve">Penrose, Edith T. (1959).</w:t>
      </w:r>
      <w:r>
        <w:t xml:space="preserve"> </w:t>
      </w:r>
      <w:r>
        <w:rPr>
          <w:i/>
          <w:iCs/>
        </w:rPr>
        <w:t xml:space="preserve">The Theory of the Growth of the Firm</w:t>
      </w:r>
      <w:r>
        <w:t xml:space="preserve">. Oxford: Basil Blackwell.</w:t>
      </w:r>
    </w:p>
    <w:bookmarkEnd w:id="395"/>
    <w:bookmarkStart w:id="396" w:name="ref_Philippon2019Great"/>
    <w:p>
      <w:pPr>
        <w:pStyle w:val="Bibliography"/>
      </w:pPr>
      <w:r>
        <w:t xml:space="preserve">Philippon, Thomas (2019).</w:t>
      </w:r>
      <w:r>
        <w:t xml:space="preserve"> </w:t>
      </w:r>
      <w:r>
        <w:rPr>
          <w:i/>
          <w:iCs/>
        </w:rPr>
        <w:t xml:space="preserve">The Great Reversal: How America Gave Up on Free Markets</w:t>
      </w:r>
      <w:r>
        <w:t xml:space="preserve">. Cambridge (Massachusetts): Belknap Press of Harvard University Press.</w:t>
      </w:r>
    </w:p>
    <w:bookmarkEnd w:id="396"/>
    <w:bookmarkStart w:id="398" w:name="ref_RiordanWilliamson1985Asset"/>
    <w:p>
      <w:pPr>
        <w:pStyle w:val="Bibliography"/>
      </w:pPr>
      <w:r>
        <w:t xml:space="preserve">Riordan, Michael H. y Oliver E. Williamson (1985).</w:t>
      </w:r>
      <w:r>
        <w:t xml:space="preserve"> </w:t>
      </w:r>
      <w:r>
        <w:t xml:space="preserve">«Asset Specificity and Economic Organization»</w:t>
      </w:r>
      <w:r>
        <w:t xml:space="preserve">.</w:t>
      </w:r>
      <w:r>
        <w:t xml:space="preserve"> </w:t>
      </w:r>
      <w:r>
        <w:rPr>
          <w:i/>
          <w:iCs/>
        </w:rPr>
        <w:t xml:space="preserve">International Journal of Industrial Organization</w:t>
      </w:r>
      <w:r>
        <w:t xml:space="preserve"> </w:t>
      </w:r>
      <w:r>
        <w:t xml:space="preserve">3 (4): 365-78.</w:t>
      </w:r>
      <w:r>
        <w:t xml:space="preserve"> </w:t>
      </w:r>
      <w:hyperlink r:id="rId397">
        <w:r>
          <w:rPr>
            <w:rStyle w:val="Hyperlink"/>
          </w:rPr>
          <w:t xml:space="preserve">https://doi.org/10.1016/0167-7187(85)90030-X</w:t>
        </w:r>
      </w:hyperlink>
      <w:r>
        <w:t xml:space="preserve">.</w:t>
      </w:r>
    </w:p>
    <w:bookmarkEnd w:id="398"/>
    <w:bookmarkStart w:id="400" w:name="ref_Robinson1934Problem"/>
    <w:p>
      <w:pPr>
        <w:pStyle w:val="Bibliography"/>
      </w:pPr>
      <w:r>
        <w:t xml:space="preserve">Robinson, E. A. G. (1934).</w:t>
      </w:r>
      <w:r>
        <w:t xml:space="preserve"> </w:t>
      </w:r>
      <w:r>
        <w:t xml:space="preserve">«The Problem of Management and the Size of Firms»</w:t>
      </w:r>
      <w:r>
        <w:t xml:space="preserve">.</w:t>
      </w:r>
      <w:r>
        <w:t xml:space="preserve"> </w:t>
      </w:r>
      <w:r>
        <w:rPr>
          <w:i/>
          <w:iCs/>
        </w:rPr>
        <w:t xml:space="preserve">Economic Journal</w:t>
      </w:r>
      <w:r>
        <w:t xml:space="preserve"> </w:t>
      </w:r>
      <w:r>
        <w:t xml:space="preserve">44 (174): 242-57.</w:t>
      </w:r>
      <w:r>
        <w:t xml:space="preserve"> </w:t>
      </w:r>
      <w:hyperlink r:id="rId399">
        <w:r>
          <w:rPr>
            <w:rStyle w:val="Hyperlink"/>
          </w:rPr>
          <w:t xml:space="preserve">https://doi.org/10.2307/2224765</w:t>
        </w:r>
      </w:hyperlink>
      <w:r>
        <w:t xml:space="preserve">.</w:t>
      </w:r>
    </w:p>
    <w:bookmarkEnd w:id="400"/>
    <w:bookmarkStart w:id="401"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01"/>
    <w:bookmarkStart w:id="403"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402">
        <w:r>
          <w:rPr>
            <w:rStyle w:val="Hyperlink"/>
          </w:rPr>
          <w:t xml:space="preserve">https://doi.org/10.1162/154247603322493212</w:t>
        </w:r>
      </w:hyperlink>
      <w:r>
        <w:t xml:space="preserve">.</w:t>
      </w:r>
    </w:p>
    <w:bookmarkEnd w:id="403"/>
    <w:bookmarkStart w:id="404" w:name="ref_SalopScheffman1983Raising"/>
    <w:p>
      <w:pPr>
        <w:pStyle w:val="Bibliography"/>
      </w:pPr>
      <w:r>
        <w:t xml:space="preserve">Salop, Steven C. y David T. Scheffman (1983).</w:t>
      </w:r>
      <w:r>
        <w:t xml:space="preserve"> </w:t>
      </w:r>
      <w:r>
        <w:t xml:space="preserve">«Raising Rivals’ Costs»</w:t>
      </w:r>
      <w:r>
        <w:t xml:space="preserve">.</w:t>
      </w:r>
      <w:r>
        <w:t xml:space="preserve"> </w:t>
      </w:r>
      <w:r>
        <w:rPr>
          <w:i/>
          <w:iCs/>
        </w:rPr>
        <w:t xml:space="preserve">American Economic Review</w:t>
      </w:r>
      <w:r>
        <w:t xml:space="preserve"> </w:t>
      </w:r>
      <w:r>
        <w:t xml:space="preserve">73 (2): 267-71.</w:t>
      </w:r>
    </w:p>
    <w:bookmarkEnd w:id="404"/>
    <w:bookmarkStart w:id="405"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05"/>
    <w:bookmarkStart w:id="407"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406">
        <w:r>
          <w:rPr>
            <w:rStyle w:val="Hyperlink"/>
          </w:rPr>
          <w:t xml:space="preserve">https://doi.org/10.2307/3003584</w:t>
        </w:r>
      </w:hyperlink>
      <w:r>
        <w:t xml:space="preserve">.</w:t>
      </w:r>
    </w:p>
    <w:bookmarkEnd w:id="407"/>
    <w:bookmarkStart w:id="409" w:name="ref_Schmalensee1989Inter"/>
    <w:p>
      <w:pPr>
        <w:pStyle w:val="Bibliography"/>
      </w:pPr>
      <w:r>
        <w:t xml:space="preserve">Schmalensee, Richard (1989).</w:t>
      </w:r>
      <w:r>
        <w:t xml:space="preserve"> </w:t>
      </w:r>
      <w:r>
        <w:t xml:space="preserve">«Inter-Industry Studies of Structure and Performance»</w:t>
      </w:r>
      <w:r>
        <w:t xml:space="preserve">. En</w:t>
      </w:r>
      <w:r>
        <w:t xml:space="preserve"> </w:t>
      </w:r>
      <w:r>
        <w:rPr>
          <w:i/>
          <w:iCs/>
        </w:rPr>
        <w:t xml:space="preserve">Handbook of Industrial Organization</w:t>
      </w:r>
      <w:r>
        <w:t xml:space="preserve">, editado por Richard Schmalensee y Robert D. Willig, 2:951-1009. Ámsterdam: North-Holland.</w:t>
      </w:r>
      <w:r>
        <w:t xml:space="preserve"> </w:t>
      </w:r>
      <w:hyperlink r:id="rId408">
        <w:r>
          <w:rPr>
            <w:rStyle w:val="Hyperlink"/>
          </w:rPr>
          <w:t xml:space="preserve">https://doi.org/10.1016/S1573-448X(89)02004-2</w:t>
        </w:r>
      </w:hyperlink>
      <w:r>
        <w:t xml:space="preserve">.</w:t>
      </w:r>
    </w:p>
    <w:bookmarkEnd w:id="409"/>
    <w:bookmarkStart w:id="410"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10"/>
    <w:bookmarkStart w:id="411" w:name="ref_SchwartzReynolds1983Contestable"/>
    <w:p>
      <w:pPr>
        <w:pStyle w:val="Bibliography"/>
      </w:pPr>
      <w:r>
        <w:t xml:space="preserve">Schwartz, Marius y Robert J. Reynolds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488-90.</w:t>
      </w:r>
    </w:p>
    <w:bookmarkEnd w:id="411"/>
    <w:bookmarkStart w:id="413"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2">
        <w:r>
          <w:rPr>
            <w:rStyle w:val="Hyperlink"/>
          </w:rPr>
          <w:t xml:space="preserve">https://doi.org/10.1007/BF00131770</w:t>
        </w:r>
      </w:hyperlink>
      <w:r>
        <w:t xml:space="preserve">.</w:t>
      </w:r>
    </w:p>
    <w:bookmarkEnd w:id="413"/>
    <w:bookmarkStart w:id="415" w:name="ref_Shepherd1984Contestability"/>
    <w:p>
      <w:pPr>
        <w:pStyle w:val="Bibliography"/>
      </w:pPr>
      <w:r>
        <w:t xml:space="preserve">Shepherd, William G. (1984).</w:t>
      </w:r>
      <w:r>
        <w:t xml:space="preserve"> </w:t>
      </w:r>
      <w:r>
        <w:t xml:space="preserve">«</w:t>
      </w:r>
      <w:r>
        <w:t xml:space="preserve">“Contestability”</w:t>
      </w:r>
      <w:r>
        <w:t xml:space="preserve"> </w:t>
      </w:r>
      <w:r>
        <w:t xml:space="preserve">vs. Competition»</w:t>
      </w:r>
      <w:r>
        <w:t xml:space="preserve">.</w:t>
      </w:r>
      <w:r>
        <w:t xml:space="preserve"> </w:t>
      </w:r>
      <w:r>
        <w:rPr>
          <w:i/>
          <w:iCs/>
        </w:rPr>
        <w:t xml:space="preserve">American Economic Review</w:t>
      </w:r>
      <w:r>
        <w:t xml:space="preserve"> </w:t>
      </w:r>
      <w:r>
        <w:t xml:space="preserve">74 (4): 572-87.</w:t>
      </w:r>
      <w:r>
        <w:t xml:space="preserve"> </w:t>
      </w:r>
      <w:hyperlink r:id="rId414">
        <w:r>
          <w:rPr>
            <w:rStyle w:val="Hyperlink"/>
          </w:rPr>
          <w:t xml:space="preserve">https://ideas.repec.org/a/aea/aecrev/v74y1984i4p572-87.html</w:t>
        </w:r>
      </w:hyperlink>
      <w:r>
        <w:t xml:space="preserve">.</w:t>
      </w:r>
    </w:p>
    <w:bookmarkEnd w:id="415"/>
    <w:bookmarkStart w:id="417"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16">
        <w:r>
          <w:rPr>
            <w:rStyle w:val="Hyperlink"/>
          </w:rPr>
          <w:t xml:space="preserve">https://doi.org/10.2307/1884852</w:t>
        </w:r>
      </w:hyperlink>
      <w:r>
        <w:t xml:space="preserve">.</w:t>
      </w:r>
    </w:p>
    <w:bookmarkEnd w:id="417"/>
    <w:bookmarkStart w:id="419" w:name="ref_Simon1991Organizations"/>
    <w:p>
      <w:pPr>
        <w:pStyle w:val="Bibliography"/>
      </w:pPr>
      <w:r>
        <w:t xml:space="preserve">Simon, Herbert A. (1991).</w:t>
      </w:r>
      <w:r>
        <w:t xml:space="preserve"> </w:t>
      </w:r>
      <w:r>
        <w:t xml:space="preserve">«Organizations and Markets»</w:t>
      </w:r>
      <w:r>
        <w:t xml:space="preserve">.</w:t>
      </w:r>
      <w:r>
        <w:t xml:space="preserve"> </w:t>
      </w:r>
      <w:r>
        <w:rPr>
          <w:i/>
          <w:iCs/>
        </w:rPr>
        <w:t xml:space="preserve">Journal of Economic Perspectives</w:t>
      </w:r>
      <w:r>
        <w:t xml:space="preserve"> </w:t>
      </w:r>
      <w:r>
        <w:t xml:space="preserve">5 (2): 25-44.</w:t>
      </w:r>
      <w:r>
        <w:t xml:space="preserve"> </w:t>
      </w:r>
      <w:hyperlink r:id="rId418">
        <w:r>
          <w:rPr>
            <w:rStyle w:val="Hyperlink"/>
          </w:rPr>
          <w:t xml:space="preserve">https://doi.org/10.1257/jep.5.2.25</w:t>
        </w:r>
      </w:hyperlink>
      <w:r>
        <w:t xml:space="preserve">.</w:t>
      </w:r>
    </w:p>
    <w:bookmarkEnd w:id="419"/>
    <w:bookmarkStart w:id="421"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0">
        <w:r>
          <w:rPr>
            <w:rStyle w:val="Hyperlink"/>
          </w:rPr>
          <w:t xml:space="preserve">https://doi.org/10.2307/3003302</w:t>
        </w:r>
      </w:hyperlink>
      <w:r>
        <w:t xml:space="preserve">.</w:t>
      </w:r>
    </w:p>
    <w:bookmarkEnd w:id="421"/>
    <w:bookmarkStart w:id="422" w:name="ref_Spence1983Contestable"/>
    <w:p>
      <w:pPr>
        <w:pStyle w:val="Bibliography"/>
      </w:pPr>
      <w:r>
        <w:t xml:space="preserve">Spence, Michael (1983).</w:t>
      </w:r>
      <w:r>
        <w:t xml:space="preserve"> </w:t>
      </w:r>
      <w:r>
        <w:t xml:space="preserve">«Contestable Markets and the Theory of Industry Structure: A Review Article»</w:t>
      </w:r>
      <w:r>
        <w:t xml:space="preserve">.</w:t>
      </w:r>
      <w:r>
        <w:t xml:space="preserve"> </w:t>
      </w:r>
      <w:r>
        <w:rPr>
          <w:i/>
          <w:iCs/>
        </w:rPr>
        <w:t xml:space="preserve">Journal of Economic Literature</w:t>
      </w:r>
      <w:r>
        <w:t xml:space="preserve"> </w:t>
      </w:r>
      <w:r>
        <w:t xml:space="preserve">21 (3): 981-90.</w:t>
      </w:r>
    </w:p>
    <w:bookmarkEnd w:id="422"/>
    <w:bookmarkStart w:id="424"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23">
        <w:r>
          <w:rPr>
            <w:rStyle w:val="Hyperlink"/>
          </w:rPr>
          <w:t xml:space="preserve">https://doi.org/10.1086/256964</w:t>
        </w:r>
      </w:hyperlink>
      <w:r>
        <w:t xml:space="preserve">.</w:t>
      </w:r>
    </w:p>
    <w:bookmarkEnd w:id="424"/>
    <w:bookmarkStart w:id="426"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25">
        <w:r>
          <w:rPr>
            <w:rStyle w:val="Hyperlink"/>
          </w:rPr>
          <w:t xml:space="preserve">https://doi.org/10.1086/255387</w:t>
        </w:r>
      </w:hyperlink>
      <w:r>
        <w:t xml:space="preserve">.</w:t>
      </w:r>
    </w:p>
    <w:bookmarkEnd w:id="426"/>
    <w:bookmarkStart w:id="4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27">
        <w:r>
          <w:rPr>
            <w:rStyle w:val="Hyperlink"/>
          </w:rPr>
          <w:t xml:space="preserve">https://doi.org/10.1086/466541</w:t>
        </w:r>
      </w:hyperlink>
      <w:r>
        <w:t xml:space="preserve">.</w:t>
      </w:r>
    </w:p>
    <w:bookmarkEnd w:id="428"/>
    <w:bookmarkStart w:id="430" w:name="ref_Stigler1964Theory"/>
    <w:p>
      <w:pPr>
        <w:pStyle w:val="Bibliography"/>
      </w:pPr>
      <w:r>
        <w:t xml:space="preserve">Stigler, George J. (1964).</w:t>
      </w:r>
      <w:r>
        <w:t xml:space="preserve"> </w:t>
      </w:r>
      <w:r>
        <w:t xml:space="preserve">«A Theory of Oligopoly»</w:t>
      </w:r>
      <w:r>
        <w:t xml:space="preserve">.</w:t>
      </w:r>
      <w:r>
        <w:t xml:space="preserve"> </w:t>
      </w:r>
      <w:r>
        <w:rPr>
          <w:i/>
          <w:iCs/>
        </w:rPr>
        <w:t xml:space="preserve">Journal of Political Economy</w:t>
      </w:r>
      <w:r>
        <w:t xml:space="preserve"> </w:t>
      </w:r>
      <w:r>
        <w:t xml:space="preserve">72 (1): 44-61.</w:t>
      </w:r>
      <w:r>
        <w:t xml:space="preserve"> </w:t>
      </w:r>
      <w:hyperlink r:id="rId429">
        <w:r>
          <w:rPr>
            <w:rStyle w:val="Hyperlink"/>
          </w:rPr>
          <w:t xml:space="preserve">https://doi.org/10.1086/258853</w:t>
        </w:r>
      </w:hyperlink>
      <w:r>
        <w:t xml:space="preserve">.</w:t>
      </w:r>
    </w:p>
    <w:bookmarkEnd w:id="430"/>
    <w:bookmarkStart w:id="431" w:name="ref_Stigler1968Organization"/>
    <w:p>
      <w:pPr>
        <w:pStyle w:val="Bibliography"/>
      </w:pPr>
      <w:r>
        <w:t xml:space="preserve">Stigler, George J. (1968).</w:t>
      </w:r>
      <w:r>
        <w:t xml:space="preserve"> </w:t>
      </w:r>
      <w:r>
        <w:rPr>
          <w:i/>
          <w:iCs/>
        </w:rPr>
        <w:t xml:space="preserve">The Organization of Industry</w:t>
      </w:r>
      <w:r>
        <w:t xml:space="preserve">. Homewood (Illinois): Richard D. Irwin.</w:t>
      </w:r>
    </w:p>
    <w:bookmarkEnd w:id="431"/>
    <w:bookmarkStart w:id="432"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32"/>
    <w:bookmarkStart w:id="434" w:name="ref_Stiglitz1987Technological"/>
    <w:p>
      <w:pPr>
        <w:pStyle w:val="Bibliography"/>
      </w:pPr>
      <w:r>
        <w:t xml:space="preserve">Stiglitz, Joseph E. (1987).</w:t>
      </w:r>
      <w:r>
        <w:t xml:space="preserve"> </w:t>
      </w:r>
      <w:r>
        <w:t xml:space="preserve">«Technological Change, Sunk Costs, and Competition»</w:t>
      </w:r>
      <w:r>
        <w:t xml:space="preserve">.</w:t>
      </w:r>
      <w:r>
        <w:t xml:space="preserve"> </w:t>
      </w:r>
      <w:r>
        <w:rPr>
          <w:i/>
          <w:iCs/>
        </w:rPr>
        <w:t xml:space="preserve">Brookings Papers on Economic Activity</w:t>
      </w:r>
      <w:r>
        <w:t xml:space="preserve"> </w:t>
      </w:r>
      <w:r>
        <w:t xml:space="preserve">1987 (3): 883-947.</w:t>
      </w:r>
      <w:r>
        <w:t xml:space="preserve"> </w:t>
      </w:r>
      <w:hyperlink r:id="rId433">
        <w:r>
          <w:rPr>
            <w:rStyle w:val="Hyperlink"/>
          </w:rPr>
          <w:t xml:space="preserve">https://doi.org/10.2307/2534456</w:t>
        </w:r>
      </w:hyperlink>
      <w:r>
        <w:t xml:space="preserve">.</w:t>
      </w:r>
    </w:p>
    <w:bookmarkEnd w:id="434"/>
    <w:bookmarkStart w:id="435" w:name="ref_Sutton1997Gibrat"/>
    <w:p>
      <w:pPr>
        <w:pStyle w:val="Bibliography"/>
      </w:pPr>
      <w:r>
        <w:t xml:space="preserve">Sutton, John (1997).</w:t>
      </w:r>
      <w:r>
        <w:t xml:space="preserve"> </w:t>
      </w:r>
      <w:r>
        <w:t xml:space="preserve">«Gibrat’s Legacy»</w:t>
      </w:r>
      <w:r>
        <w:t xml:space="preserve">.</w:t>
      </w:r>
      <w:r>
        <w:t xml:space="preserve"> </w:t>
      </w:r>
      <w:r>
        <w:rPr>
          <w:i/>
          <w:iCs/>
        </w:rPr>
        <w:t xml:space="preserve">Journal of Economic Literature</w:t>
      </w:r>
      <w:r>
        <w:t xml:space="preserve"> </w:t>
      </w:r>
      <w:r>
        <w:t xml:space="preserve">35 (1): 40-59.</w:t>
      </w:r>
    </w:p>
    <w:bookmarkEnd w:id="435"/>
    <w:bookmarkStart w:id="436" w:name="ref_SylosLabini1957Oligopolio"/>
    <w:p>
      <w:pPr>
        <w:pStyle w:val="Bibliography"/>
      </w:pPr>
      <w:r>
        <w:t xml:space="preserve">Sylos-Labini, Paolo (1957).</w:t>
      </w:r>
      <w:r>
        <w:t xml:space="preserve"> </w:t>
      </w:r>
      <w:r>
        <w:rPr>
          <w:i/>
          <w:iCs/>
        </w:rPr>
        <w:t xml:space="preserve">Oligopolio e progresso tecnico</w:t>
      </w:r>
      <w:r>
        <w:t xml:space="preserve">. Milán: Giuffrè.</w:t>
      </w:r>
    </w:p>
    <w:bookmarkEnd w:id="436"/>
    <w:bookmarkStart w:id="437" w:name="ref_Teece1980Economies"/>
    <w:p>
      <w:pPr>
        <w:pStyle w:val="Bibliography"/>
      </w:pPr>
      <w:r>
        <w:t xml:space="preserve">Teece, David J. (1980).</w:t>
      </w:r>
      <w:r>
        <w:t xml:space="preserve"> </w:t>
      </w:r>
      <w:r>
        <w:t xml:space="preserve">«Economies of Scope and the Scope of the Enterprise»</w:t>
      </w:r>
      <w:r>
        <w:t xml:space="preserve">.</w:t>
      </w:r>
      <w:r>
        <w:t xml:space="preserve"> </w:t>
      </w:r>
      <w:r>
        <w:rPr>
          <w:i/>
          <w:iCs/>
        </w:rPr>
        <w:t xml:space="preserve">Journal of Economic Behavior and Organization</w:t>
      </w:r>
      <w:r>
        <w:t xml:space="preserve"> </w:t>
      </w:r>
      <w:r>
        <w:t xml:space="preserve">1 (3): 223-47.</w:t>
      </w:r>
    </w:p>
    <w:bookmarkEnd w:id="437"/>
    <w:bookmarkStart w:id="439"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438">
        <w:r>
          <w:rPr>
            <w:rStyle w:val="Hyperlink"/>
          </w:rPr>
          <w:t xml:space="preserve">https://www.nobelprize.org/prizes/economic-sciences/1978/summary/</w:t>
        </w:r>
      </w:hyperlink>
      <w:r>
        <w:t xml:space="preserve">.</w:t>
      </w:r>
    </w:p>
    <w:bookmarkEnd w:id="439"/>
    <w:bookmarkStart w:id="441"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40">
        <w:r>
          <w:rPr>
            <w:rStyle w:val="Hyperlink"/>
          </w:rPr>
          <w:t xml:space="preserve">https://www.nobelprize.org/prizes/economic-sciences/1982/summary/</w:t>
        </w:r>
      </w:hyperlink>
      <w:r>
        <w:t xml:space="preserve">.</w:t>
      </w:r>
    </w:p>
    <w:bookmarkEnd w:id="441"/>
    <w:bookmarkStart w:id="443"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442">
        <w:r>
          <w:rPr>
            <w:rStyle w:val="Hyperlink"/>
          </w:rPr>
          <w:t xml:space="preserve">https://www.nobelprize.org/prizes/economic-sciences/1991/summary/</w:t>
        </w:r>
      </w:hyperlink>
      <w:r>
        <w:t xml:space="preserve">.</w:t>
      </w:r>
    </w:p>
    <w:bookmarkEnd w:id="443"/>
    <w:bookmarkStart w:id="445"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444">
        <w:r>
          <w:rPr>
            <w:rStyle w:val="Hyperlink"/>
          </w:rPr>
          <w:t xml:space="preserve">https://www.nobelprize.org/prizes/economic-sciences/2009/summary/</w:t>
        </w:r>
      </w:hyperlink>
      <w:r>
        <w:t xml:space="preserve">.</w:t>
      </w:r>
    </w:p>
    <w:bookmarkEnd w:id="445"/>
    <w:bookmarkStart w:id="447"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46">
        <w:r>
          <w:rPr>
            <w:rStyle w:val="Hyperlink"/>
          </w:rPr>
          <w:t xml:space="preserve">https://www.nobelprize.org/prizes/economic-sciences/2014/summary/</w:t>
        </w:r>
      </w:hyperlink>
      <w:r>
        <w:t xml:space="preserve">.</w:t>
      </w:r>
    </w:p>
    <w:bookmarkEnd w:id="447"/>
    <w:bookmarkStart w:id="449"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448">
        <w:r>
          <w:rPr>
            <w:rStyle w:val="Hyperlink"/>
          </w:rPr>
          <w:t xml:space="preserve">https://www.nobelprize.org/prizes/economic-sciences/2016/summary/</w:t>
        </w:r>
      </w:hyperlink>
      <w:r>
        <w:t xml:space="preserve">.</w:t>
      </w:r>
    </w:p>
    <w:bookmarkEnd w:id="449"/>
    <w:bookmarkStart w:id="450"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50"/>
    <w:bookmarkStart w:id="452" w:name="ref_Tirole2014Nobel"/>
    <w:p>
      <w:pPr>
        <w:pStyle w:val="Bibliography"/>
      </w:pPr>
      <w:r>
        <w:t xml:space="preserve">Tirole, Jean (2014).</w:t>
      </w:r>
      <w:r>
        <w:t xml:space="preserve"> </w:t>
      </w:r>
      <w:r>
        <w:t xml:space="preserve">«Market Failures and Public Policy. Prize Lecture»</w:t>
      </w:r>
      <w:r>
        <w:t xml:space="preserve">. NobelPrize.org. 2014.</w:t>
      </w:r>
      <w:r>
        <w:t xml:space="preserve"> </w:t>
      </w:r>
      <w:hyperlink r:id="rId451">
        <w:r>
          <w:rPr>
            <w:rStyle w:val="Hyperlink"/>
          </w:rPr>
          <w:t xml:space="preserve">https://www.nobelprize.org/prizes/economic-sciences/2014/tirole/lecture/</w:t>
        </w:r>
      </w:hyperlink>
      <w:r>
        <w:t xml:space="preserve">.</w:t>
      </w:r>
    </w:p>
    <w:bookmarkEnd w:id="452"/>
    <w:bookmarkStart w:id="454" w:name="ref_TJUE2023PrestigeLimousine"/>
    <w:p>
      <w:pPr>
        <w:pStyle w:val="Bibliography"/>
      </w:pPr>
      <w:r>
        <w:t xml:space="preserve">Tribunal de Justicia de la Unión Europea (2023).</w:t>
      </w:r>
      <w:r>
        <w:t xml:space="preserve"> </w:t>
      </w:r>
      <w:r>
        <w:t xml:space="preserve">«Sentencia de 8 de junio de 2023, Prestige and Limousine, C-50/21»</w:t>
      </w:r>
      <w:r>
        <w:t xml:space="preserve">. 8 de junio de 2023.</w:t>
      </w:r>
      <w:r>
        <w:t xml:space="preserve"> </w:t>
      </w:r>
      <w:hyperlink r:id="rId453">
        <w:r>
          <w:rPr>
            <w:rStyle w:val="Hyperlink"/>
          </w:rPr>
          <w:t xml:space="preserve">https://curia.europa.eu/juris/liste.jsf?num=C-50/21</w:t>
        </w:r>
      </w:hyperlink>
      <w:r>
        <w:t xml:space="preserve">.</w:t>
      </w:r>
    </w:p>
    <w:bookmarkEnd w:id="454"/>
    <w:bookmarkStart w:id="456"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455">
        <w:r>
          <w:rPr>
            <w:rStyle w:val="Hyperlink"/>
          </w:rPr>
          <w:t xml:space="preserve">https://curia.europa.eu/juris/liste.jsf?num=C-48/22</w:t>
        </w:r>
      </w:hyperlink>
      <w:r>
        <w:t xml:space="preserve">.</w:t>
      </w:r>
    </w:p>
    <w:bookmarkEnd w:id="456"/>
    <w:bookmarkStart w:id="458"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457">
        <w:r>
          <w:rPr>
            <w:rStyle w:val="Hyperlink"/>
          </w:rPr>
          <w:t xml:space="preserve">https://curia.europa.eu/site/upload/docs/application/pdf/2026-07/cp260093en.pdf</w:t>
        </w:r>
      </w:hyperlink>
      <w:r>
        <w:t xml:space="preserve">.</w:t>
      </w:r>
    </w:p>
    <w:bookmarkEnd w:id="458"/>
    <w:bookmarkStart w:id="460" w:name="ref_DOJ1982Merger"/>
    <w:p>
      <w:pPr>
        <w:pStyle w:val="Bibliography"/>
      </w:pPr>
      <w:r>
        <w:t xml:space="preserve">U.S. Department of Justice (1982).</w:t>
      </w:r>
      <w:r>
        <w:t xml:space="preserve"> </w:t>
      </w:r>
      <w:r>
        <w:t xml:space="preserve">«1982 Merger Guidelines»</w:t>
      </w:r>
      <w:r>
        <w:t xml:space="preserve">. 1982.</w:t>
      </w:r>
      <w:r>
        <w:t xml:space="preserve"> </w:t>
      </w:r>
      <w:hyperlink r:id="rId459">
        <w:r>
          <w:rPr>
            <w:rStyle w:val="Hyperlink"/>
          </w:rPr>
          <w:t xml:space="preserve">https://www.justice.gov/sites/default/files/atr/legacy/2007/07/11/11248.pdf</w:t>
        </w:r>
      </w:hyperlink>
      <w:r>
        <w:t xml:space="preserve">.</w:t>
      </w:r>
    </w:p>
    <w:bookmarkEnd w:id="460"/>
    <w:bookmarkStart w:id="462" w:name="ref_DOJFTC2010Horizontal"/>
    <w:p>
      <w:pPr>
        <w:pStyle w:val="Bibliography"/>
      </w:pPr>
      <w:r>
        <w:t xml:space="preserve">U.S. Department of Justice y Federal Trade Commission (2010).</w:t>
      </w:r>
      <w:r>
        <w:t xml:space="preserve"> </w:t>
      </w:r>
      <w:r>
        <w:t xml:space="preserve">«Horizontal Merger Guidelines»</w:t>
      </w:r>
      <w:r>
        <w:t xml:space="preserve">. 19 de agosto de 2010.</w:t>
      </w:r>
      <w:r>
        <w:t xml:space="preserve"> </w:t>
      </w:r>
      <w:hyperlink r:id="rId461">
        <w:r>
          <w:rPr>
            <w:rStyle w:val="Hyperlink"/>
          </w:rPr>
          <w:t xml:space="preserve">https://www.justice.gov/sites/default/files/atr/legacy/2010/08/19/hmg-2010.pdf</w:t>
        </w:r>
      </w:hyperlink>
      <w:r>
        <w:t xml:space="preserve">.</w:t>
      </w:r>
    </w:p>
    <w:bookmarkEnd w:id="462"/>
    <w:bookmarkStart w:id="464"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463">
        <w:r>
          <w:rPr>
            <w:rStyle w:val="Hyperlink"/>
          </w:rPr>
          <w:t xml:space="preserve">https://www.justice.gov/d9/2023-12/2023%20Merger%20Guidelines.pdf</w:t>
        </w:r>
      </w:hyperlink>
      <w:r>
        <w:t xml:space="preserve">.</w:t>
      </w:r>
    </w:p>
    <w:bookmarkEnd w:id="464"/>
    <w:bookmarkStart w:id="465" w:name="ref_Weitzman1983Contestable"/>
    <w:p>
      <w:pPr>
        <w:pStyle w:val="Bibliography"/>
      </w:pPr>
      <w:r>
        <w:t xml:space="preserve">Weitzman, Martin L.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486-87.</w:t>
      </w:r>
    </w:p>
    <w:bookmarkEnd w:id="465"/>
    <w:bookmarkStart w:id="467" w:name="ref_Weizsacker1980Welfare"/>
    <w:p>
      <w:pPr>
        <w:pStyle w:val="Bibliography"/>
      </w:pPr>
      <w:r>
        <w:t xml:space="preserve">Weizsäcker, C. Christian von (1980).</w:t>
      </w:r>
      <w:r>
        <w:t xml:space="preserve"> </w:t>
      </w:r>
      <w:r>
        <w:t xml:space="preserve">«A Welfare Analysis of Barriers to Entry»</w:t>
      </w:r>
      <w:r>
        <w:t xml:space="preserve">.</w:t>
      </w:r>
      <w:r>
        <w:t xml:space="preserve"> </w:t>
      </w:r>
      <w:r>
        <w:rPr>
          <w:i/>
          <w:iCs/>
        </w:rPr>
        <w:t xml:space="preserve">Bell Journal of Economics</w:t>
      </w:r>
      <w:r>
        <w:t xml:space="preserve"> </w:t>
      </w:r>
      <w:r>
        <w:t xml:space="preserve">11 (2): 399-420.</w:t>
      </w:r>
      <w:r>
        <w:t xml:space="preserve"> </w:t>
      </w:r>
      <w:hyperlink r:id="rId466">
        <w:r>
          <w:rPr>
            <w:rStyle w:val="Hyperlink"/>
          </w:rPr>
          <w:t xml:space="preserve">https://doi.org/10.2307/3003371</w:t>
        </w:r>
      </w:hyperlink>
      <w:r>
        <w:t xml:space="preserve">.</w:t>
      </w:r>
    </w:p>
    <w:bookmarkEnd w:id="467"/>
    <w:bookmarkStart w:id="469" w:name="ref_Wernerfelt1984Resource"/>
    <w:p>
      <w:pPr>
        <w:pStyle w:val="Bibliography"/>
      </w:pPr>
      <w:r>
        <w:t xml:space="preserve">Wernerfelt, Birger (1984).</w:t>
      </w:r>
      <w:r>
        <w:t xml:space="preserve"> </w:t>
      </w:r>
      <w:r>
        <w:t xml:space="preserve">«A Resource-Based View of the Firm»</w:t>
      </w:r>
      <w:r>
        <w:t xml:space="preserve">.</w:t>
      </w:r>
      <w:r>
        <w:t xml:space="preserve"> </w:t>
      </w:r>
      <w:r>
        <w:rPr>
          <w:i/>
          <w:iCs/>
        </w:rPr>
        <w:t xml:space="preserve">Strategic Management Journal</w:t>
      </w:r>
      <w:r>
        <w:t xml:space="preserve"> </w:t>
      </w:r>
      <w:r>
        <w:t xml:space="preserve">5 (2): 171-80.</w:t>
      </w:r>
      <w:r>
        <w:t xml:space="preserve"> </w:t>
      </w:r>
      <w:hyperlink r:id="rId468">
        <w:r>
          <w:rPr>
            <w:rStyle w:val="Hyperlink"/>
          </w:rPr>
          <w:t xml:space="preserve">https://doi.org/10.1002/smj.4250050207</w:t>
        </w:r>
      </w:hyperlink>
      <w:r>
        <w:t xml:space="preserve">.</w:t>
      </w:r>
    </w:p>
    <w:bookmarkEnd w:id="469"/>
    <w:bookmarkStart w:id="470" w:name="ref_Williamson1964Economics"/>
    <w:p>
      <w:pPr>
        <w:pStyle w:val="Bibliography"/>
      </w:pPr>
      <w:r>
        <w:t xml:space="preserve">Williamson, Oliver E. (1964).</w:t>
      </w:r>
      <w:r>
        <w:t xml:space="preserve"> </w:t>
      </w:r>
      <w:r>
        <w:rPr>
          <w:i/>
          <w:iCs/>
        </w:rPr>
        <w:t xml:space="preserve">The Economics of Discretionary Behavior: Managerial Objectives in a Theory of the Firm</w:t>
      </w:r>
      <w:r>
        <w:t xml:space="preserve">. Englewood Cliffs (Nueva Jersey): Prentice-Hall.</w:t>
      </w:r>
    </w:p>
    <w:bookmarkEnd w:id="470"/>
    <w:bookmarkStart w:id="472" w:name="ref_Williamson1967Hierarchical"/>
    <w:p>
      <w:pPr>
        <w:pStyle w:val="Bibliography"/>
      </w:pPr>
      <w:r>
        <w:t xml:space="preserve">Williamson, Oliver E. (1967).</w:t>
      </w:r>
      <w:r>
        <w:t xml:space="preserve"> </w:t>
      </w:r>
      <w:r>
        <w:t xml:space="preserve">«Hierarchical Control and Optimum Firm Size»</w:t>
      </w:r>
      <w:r>
        <w:t xml:space="preserve">.</w:t>
      </w:r>
      <w:r>
        <w:t xml:space="preserve"> </w:t>
      </w:r>
      <w:r>
        <w:rPr>
          <w:i/>
          <w:iCs/>
        </w:rPr>
        <w:t xml:space="preserve">Journal of Political Economy</w:t>
      </w:r>
      <w:r>
        <w:t xml:space="preserve"> </w:t>
      </w:r>
      <w:r>
        <w:t xml:space="preserve">75 (2): 123-38.</w:t>
      </w:r>
      <w:r>
        <w:t xml:space="preserve"> </w:t>
      </w:r>
      <w:hyperlink r:id="rId471">
        <w:r>
          <w:rPr>
            <w:rStyle w:val="Hyperlink"/>
          </w:rPr>
          <w:t xml:space="preserve">https://doi.org/10.1086/259258</w:t>
        </w:r>
      </w:hyperlink>
      <w:r>
        <w:t xml:space="preserve">.</w:t>
      </w:r>
    </w:p>
    <w:bookmarkEnd w:id="472"/>
    <w:bookmarkStart w:id="473" w:name="ref_Williamson1975Markets"/>
    <w:p>
      <w:pPr>
        <w:pStyle w:val="Bibliography"/>
      </w:pPr>
      <w:r>
        <w:t xml:space="preserve">Williamson, Oliver E. (1975).</w:t>
      </w:r>
      <w:r>
        <w:t xml:space="preserve"> </w:t>
      </w:r>
      <w:r>
        <w:rPr>
          <w:i/>
          <w:iCs/>
        </w:rPr>
        <w:t xml:space="preserve">Markets and Hierarchies: Analysis and Antitrust Implications</w:t>
      </w:r>
      <w:r>
        <w:t xml:space="preserve">. Nueva York: Free Press.</w:t>
      </w:r>
    </w:p>
    <w:bookmarkEnd w:id="473"/>
    <w:bookmarkStart w:id="475" w:name="ref_Williamson1979Transaction"/>
    <w:p>
      <w:pPr>
        <w:pStyle w:val="Bibliography"/>
      </w:pPr>
      <w:r>
        <w:t xml:space="preserve">Williamson, Oliver E. (1979).</w:t>
      </w:r>
      <w:r>
        <w:t xml:space="preserve"> </w:t>
      </w:r>
      <w:r>
        <w:t xml:space="preserve">«Transaction-Cost Economics: The Governance of Contractual Relations»</w:t>
      </w:r>
      <w:r>
        <w:t xml:space="preserve">.</w:t>
      </w:r>
      <w:r>
        <w:t xml:space="preserve"> </w:t>
      </w:r>
      <w:r>
        <w:rPr>
          <w:i/>
          <w:iCs/>
        </w:rPr>
        <w:t xml:space="preserve">Journal of Law and Economics</w:t>
      </w:r>
      <w:r>
        <w:t xml:space="preserve"> </w:t>
      </w:r>
      <w:r>
        <w:t xml:space="preserve">22 (2): 233-61.</w:t>
      </w:r>
      <w:r>
        <w:t xml:space="preserve"> </w:t>
      </w:r>
      <w:hyperlink r:id="rId474">
        <w:r>
          <w:rPr>
            <w:rStyle w:val="Hyperlink"/>
          </w:rPr>
          <w:t xml:space="preserve">https://doi.org/10.1086/466942</w:t>
        </w:r>
      </w:hyperlink>
      <w:r>
        <w:t xml:space="preserve">.</w:t>
      </w:r>
    </w:p>
    <w:bookmarkEnd w:id="475"/>
    <w:bookmarkStart w:id="476" w:name="ref_Williamson1985Economic"/>
    <w:p>
      <w:pPr>
        <w:pStyle w:val="Bibliography"/>
      </w:pPr>
      <w:r>
        <w:t xml:space="preserve">Williamson, Oliver E. (1985).</w:t>
      </w:r>
      <w:r>
        <w:t xml:space="preserve"> </w:t>
      </w:r>
      <w:r>
        <w:rPr>
          <w:i/>
          <w:iCs/>
        </w:rPr>
        <w:t xml:space="preserve">The Economic Institutions of Capitalism: Firms, Markets, Relational Contracting</w:t>
      </w:r>
      <w:r>
        <w:t xml:space="preserve">. Nueva York: Free Press.</w:t>
      </w:r>
    </w:p>
    <w:bookmarkEnd w:id="476"/>
    <w:bookmarkStart w:id="478" w:name="ref_Williamson1991Comparative"/>
    <w:p>
      <w:pPr>
        <w:pStyle w:val="Bibliography"/>
      </w:pPr>
      <w:r>
        <w:t xml:space="preserve">Williamson, Oliver E. (1991).</w:t>
      </w:r>
      <w:r>
        <w:t xml:space="preserve"> </w:t>
      </w:r>
      <w:r>
        <w:t xml:space="preserve">«Comparative Economic Organization: The Analysis of Discrete Structural Alternatives»</w:t>
      </w:r>
      <w:r>
        <w:t xml:space="preserve">.</w:t>
      </w:r>
      <w:r>
        <w:t xml:space="preserve"> </w:t>
      </w:r>
      <w:r>
        <w:rPr>
          <w:i/>
          <w:iCs/>
        </w:rPr>
        <w:t xml:space="preserve">Administrative Science Quarterly</w:t>
      </w:r>
      <w:r>
        <w:t xml:space="preserve"> </w:t>
      </w:r>
      <w:r>
        <w:t xml:space="preserve">36 (2): 269-96.</w:t>
      </w:r>
      <w:r>
        <w:t xml:space="preserve"> </w:t>
      </w:r>
      <w:hyperlink r:id="rId477">
        <w:r>
          <w:rPr>
            <w:rStyle w:val="Hyperlink"/>
          </w:rPr>
          <w:t xml:space="preserve">https://doi.org/10.2307/2393356</w:t>
        </w:r>
      </w:hyperlink>
      <w:r>
        <w:t xml:space="preserve">.</w:t>
      </w:r>
    </w:p>
    <w:bookmarkEnd w:id="478"/>
    <w:bookmarkStart w:id="480" w:name="ref_Nobel2009WilliamsonBio"/>
    <w:p>
      <w:pPr>
        <w:pStyle w:val="Bibliography"/>
      </w:pPr>
      <w:r>
        <w:t xml:space="preserve">Williamson, Oliver E. (2009).</w:t>
      </w:r>
      <w:r>
        <w:t xml:space="preserve"> </w:t>
      </w:r>
      <w:r>
        <w:t xml:space="preserve">«Oliver E. Williamson: Biographical»</w:t>
      </w:r>
      <w:r>
        <w:t xml:space="preserve">. 2009.</w:t>
      </w:r>
      <w:r>
        <w:t xml:space="preserve"> </w:t>
      </w:r>
      <w:hyperlink r:id="rId479">
        <w:r>
          <w:rPr>
            <w:rStyle w:val="Hyperlink"/>
          </w:rPr>
          <w:t xml:space="preserve">https://www.nobelprize.org/prizes/economic-sciences/2009/williamson/biographical/</w:t>
        </w:r>
      </w:hyperlink>
      <w:r>
        <w:t xml:space="preserve">.</w:t>
      </w:r>
    </w:p>
    <w:bookmarkEnd w:id="480"/>
    <w:bookmarkEnd w:id="481"/>
    <w:bookmarkEnd w:id="48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Compartió el premio con Elinor</w:t>
      </w:r>
      <w:r>
        <w:t xml:space="preserve"> </w:t>
      </w:r>
      <w:r>
        <w:rPr>
          <w:smallCaps/>
        </w:rPr>
        <w:t xml:space="preserve">Ostrom</w:t>
      </w:r>
      <w:r>
        <w:t xml:space="preserve">, «por su análisis de la gobernanza económica, en especial de los bienes comunes»: las comunidades de usuarios pueden gobernar recursos de uso común (pesquerías, pastos, regadíos) con reglas propias, sin Estado ni mercado</w:t>
      </w:r>
      <w:r>
        <w:t xml:space="preserve"> </w:t>
      </w:r>
      <w:hyperlink r:id="rId30">
        <w:r>
          <w:rPr>
            <w:rStyle w:val="Referenciaatema"/>
          </w:rPr>
          <w:t xml:space="preserve">[ver tema 3.A.23]</w:t>
        </w:r>
      </w:hyperlink>
      <w:r>
        <w:t xml:space="preserve">.</w:t>
      </w:r>
    </w:p>
  </w:footnote>
  <w:footnote w:id="37">
    <w:p>
      <w:pPr>
        <w:pStyle w:val="FootnoteText"/>
      </w:pPr>
      <w:r>
        <w:rPr>
          <w:rStyle w:val="FootnoteReference"/>
        </w:rPr>
        <w:footnoteRef/>
      </w:r>
      <w:r>
        <w:t xml:space="preserve"> </w:t>
      </w:r>
      <w:r>
        <w:t xml:space="preserve">En Estados Unidos se dice</w:t>
      </w:r>
      <w:r>
        <w:t xml:space="preserve"> </w:t>
      </w:r>
      <w:r>
        <w:rPr>
          <w:i/>
          <w:iCs/>
        </w:rPr>
        <w:t xml:space="preserve">industrial organization</w:t>
      </w:r>
      <w:r>
        <w:t xml:space="preserve">; en Europa es frecuente</w:t>
      </w:r>
      <w:r>
        <w:t xml:space="preserve"> </w:t>
      </w:r>
      <w:r>
        <w:rPr>
          <w:i/>
          <w:iCs/>
        </w:rPr>
        <w:t xml:space="preserve">economía industrial</w:t>
      </w:r>
      <w:r>
        <w:t xml:space="preserve">. Sus fronteras son difusas: abarca desde la organización interna de las empresas hasta la estructura de los mercados y la política de competencia</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w:t>
      </w:r>
    </w:p>
  </w:footnote>
  <w:footnote w:id="43">
    <w:p>
      <w:pPr>
        <w:pStyle w:val="FootnoteText"/>
      </w:pPr>
      <w:r>
        <w:rPr>
          <w:rStyle w:val="FootnoteReference"/>
        </w:rPr>
        <w:footnoteRef/>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añade un argumento teórico: como hay factores que no son perfectamente divisibles y la demanda es incierta, a la empresa le conviene una planta flexible, con costes medios y marginales constantes en un tramo amplio (la</w:t>
      </w:r>
      <w:r>
        <w:t xml:space="preserve"> </w:t>
      </w:r>
      <w:r>
        <w:rPr>
          <w:i/>
          <w:iCs/>
        </w:rPr>
        <w:t xml:space="preserve">reserva de capacidad</w:t>
      </w:r>
      <w:r>
        <w:t xml:space="preserve">), aunque su mínimo sea algo mayor; no habría un tamaño óptimo, sino una horquilla de tamaños óptimos</w:t>
      </w:r>
      <w:r>
        <w:t xml:space="preserve"> </w:t>
      </w:r>
      <w:hyperlink r:id="rId24">
        <w:r>
          <w:rPr>
            <w:rStyle w:val="Referenciaatema"/>
          </w:rPr>
          <w:t xml:space="preserve">[ver tema 3.A.12]</w:t>
        </w:r>
      </w:hyperlink>
      <w:r>
        <w:t xml:space="preserve">.</w:t>
      </w:r>
    </w:p>
    <w:p>
      <w:pPr>
        <w:pStyle w:val="Graficonota"/>
      </w:pPr>
      <w:r>
        <w:drawing>
          <wp:inline>
            <wp:extent cx="2686050" cy="2074403"/>
            <wp:effectExtent b="0" l="0" r="0" t="0"/>
            <wp:docPr descr="" title="" id="45" name="Picture"/>
            <a:graphic>
              <a:graphicData uri="http://schemas.openxmlformats.org/drawingml/2006/picture">
                <pic:pic>
                  <pic:nvPicPr>
                    <pic:cNvPr descr="C:\Users\vgutierrez\Documents\src\victorgutierrezmarcos.github.io-revision\oposicion\temario\fuentes\3A15\graficos/stigler.png" id="46" name="Picture"/>
                    <pic:cNvPicPr>
                      <a:picLocks noChangeArrowheads="1" noChangeAspect="1"/>
                    </pic:cNvPicPr>
                  </pic:nvPicPr>
                  <pic:blipFill>
                    <a:blip r:embed="rId44"/>
                    <a:stretch>
                      <a:fillRect/>
                    </a:stretch>
                  </pic:blipFill>
                  <pic:spPr bwMode="auto">
                    <a:xfrm>
                      <a:off x="0" y="0"/>
                      <a:ext cx="2686050" cy="2074403"/>
                    </a:xfrm>
                    <a:prstGeom prst="rect">
                      <a:avLst/>
                    </a:prstGeom>
                    <a:noFill/>
                    <a:ln w="9525">
                      <a:noFill/>
                      <a:headEnd/>
                      <a:tailEnd/>
                    </a:ln>
                  </pic:spPr>
                </pic:pic>
              </a:graphicData>
            </a:graphic>
          </wp:inline>
        </w:drawing>
      </w:r>
    </w:p>
  </w:footnote>
  <w:footnote w:id="67">
    <w:p>
      <w:pPr>
        <w:pStyle w:val="FootnoteText"/>
      </w:pPr>
      <w:r>
        <w:rPr>
          <w:rStyle w:val="FootnoteReference"/>
        </w:rPr>
        <w:footnoteRef/>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va más lejos: con racionalidad limitada (conocimiento parcial de cada situación y objetivos y valores propios, que no coinciden con los de la organización), los directivos no maximizan nada, sino que buscan resultados</w:t>
      </w:r>
      <w:r>
        <w:t xml:space="preserve"> </w:t>
      </w:r>
      <w:r>
        <w:rPr>
          <w:i/>
          <w:iCs/>
        </w:rPr>
        <w:t xml:space="preserve">satisfactorios</w:t>
      </w:r>
      <w:r>
        <w:t xml:space="preserve">, y las decisiones de la empresa salen de la negociación entre grupos con objetivos distintos</w:t>
      </w:r>
      <w:r>
        <w:t xml:space="preserve"> </w:t>
      </w:r>
      <w:r>
        <w:t xml:space="preserve">(</w:t>
      </w:r>
      <w:hyperlink w:anchor="ref_CyertMarch1963Behavioral">
        <w:r>
          <w:rPr>
            <w:rStyle w:val="Hyperlink"/>
            <w:smallCaps/>
          </w:rPr>
          <w:t xml:space="preserve">Cyert</w:t>
        </w:r>
        <w:r>
          <w:rPr>
            <w:rStyle w:val="Hyperlink"/>
          </w:rPr>
          <w:t xml:space="preserve"> </w:t>
        </w:r>
        <w:r>
          <w:rPr>
            <w:rStyle w:val="Hyperlink"/>
          </w:rPr>
          <w:t xml:space="preserve">y</w:t>
        </w:r>
        <w:r>
          <w:rPr>
            <w:rStyle w:val="Hyperlink"/>
          </w:rPr>
          <w:t xml:space="preserve"> </w:t>
        </w:r>
        <w:r>
          <w:rPr>
            <w:rStyle w:val="Hyperlink"/>
            <w:smallCaps/>
          </w:rPr>
          <w:t xml:space="preserve">March</w:t>
        </w:r>
        <w:r>
          <w:rPr>
            <w:rStyle w:val="Hyperlink"/>
          </w:rPr>
          <w:t xml:space="preserve">, 1963</w:t>
        </w:r>
      </w:hyperlink>
      <w:r>
        <w:t xml:space="preserve">)</w:t>
      </w:r>
      <w:r>
        <w:t xml:space="preserve">.</w:t>
      </w:r>
    </w:p>
  </w:footnote>
  <w:footnote w:id="85">
    <w:p>
      <w:pPr>
        <w:pStyle w:val="FootnoteText"/>
      </w:pPr>
      <w:r>
        <w:rPr>
          <w:rStyle w:val="FootnoteReference"/>
        </w:rPr>
        <w:footnoteRef/>
      </w:r>
      <w:r>
        <w:t xml:space="preserve"> </w:t>
      </w:r>
      <w:r>
        <w:t xml:space="preserve">La información asimétrica puede dar lugar a</w:t>
      </w:r>
      <w:r>
        <w:t xml:space="preserve"> </w:t>
      </w:r>
      <w:r>
        <w:rPr>
          <w:i/>
          <w:iCs/>
        </w:rPr>
        <w:t xml:space="preserve">selección adversa</w:t>
      </w:r>
      <w:r>
        <w:t xml:space="preserve"> </w:t>
      </w:r>
      <w:r>
        <w:t xml:space="preserve">(información oculta antes del contrato, como en el mercado de coches de segunda mano) o a</w:t>
      </w:r>
      <w:r>
        <w:t xml:space="preserve"> </w:t>
      </w:r>
      <w:r>
        <w:rPr>
          <w:i/>
          <w:iCs/>
        </w:rPr>
        <w:t xml:space="preserve">riesgo moral</w:t>
      </w:r>
      <w:r>
        <w:t xml:space="preserve"> </w:t>
      </w:r>
      <w:r>
        <w:t xml:space="preserve">(acción oculta después del contrato, como el asegurado imprudente). La relación entre propietarios y directivos es sobre todo de riesgo moral</w:t>
      </w:r>
      <w:r>
        <w:t xml:space="preserve"> </w:t>
      </w:r>
      <w:hyperlink r:id="rId35">
        <w:r>
          <w:rPr>
            <w:rStyle w:val="Referenciaatema"/>
          </w:rPr>
          <w:t xml:space="preserve">[ver tema 3.A.13]</w:t>
        </w:r>
      </w:hyperlink>
      <w:r>
        <w:t xml:space="preserve">.</w:t>
      </w:r>
    </w:p>
  </w:footnote>
  <w:footnote w:id="97">
    <w:p>
      <w:pPr>
        <w:pStyle w:val="FootnoteText"/>
      </w:pPr>
      <w:r>
        <w:rPr>
          <w:rStyle w:val="FootnoteReference"/>
        </w:rPr>
        <w:footnoteRef/>
      </w:r>
      <w:r>
        <w:t xml:space="preserve"> </w:t>
      </w:r>
      <w:r>
        <w:t xml:space="preserve">Sin empresa, el producto más sencillo exigiría una red de contratos entre productores independientes: si un bien requiere 5 procesos y cada productor contrata con los otros 4, hacen falta 10 contratos; si uno de ellos se convierte en empresa y emplea a los demás, bastan 4, y cada uno es un contrato de empleo, abierto, en el que el trabajador acepta la autoridad del empresario dentro de ciertos límites.</w:t>
      </w:r>
    </w:p>
    <w:p>
      <w:pPr>
        <w:pStyle w:val="Graficonota"/>
      </w:pPr>
      <w:r>
        <w:drawing>
          <wp:inline>
            <wp:extent cx="2686050" cy="1512558"/>
            <wp:effectExtent b="0" l="0" r="0" t="0"/>
            <wp:docPr descr="" title="" id="99" name="Picture"/>
            <a:graphic>
              <a:graphicData uri="http://schemas.openxmlformats.org/drawingml/2006/picture">
                <pic:pic>
                  <pic:nvPicPr>
                    <pic:cNvPr descr="C:\Users\vgutierrez\Documents\src\victorgutierrezmarcos.github.io-revision\oposicion\temario\fuentes\3A15\graficos/contratos-red.png" id="100" name="Picture"/>
                    <pic:cNvPicPr>
                      <a:picLocks noChangeArrowheads="1" noChangeAspect="1"/>
                    </pic:cNvPicPr>
                  </pic:nvPicPr>
                  <pic:blipFill>
                    <a:blip r:embed="rId98"/>
                    <a:stretch>
                      <a:fillRect/>
                    </a:stretch>
                  </pic:blipFill>
                  <pic:spPr bwMode="auto">
                    <a:xfrm>
                      <a:off x="0" y="0"/>
                      <a:ext cx="2686050" cy="1512558"/>
                    </a:xfrm>
                    <a:prstGeom prst="rect">
                      <a:avLst/>
                    </a:prstGeom>
                    <a:noFill/>
                    <a:ln w="9525">
                      <a:noFill/>
                      <a:headEnd/>
                      <a:tailEnd/>
                    </a:ln>
                  </pic:spPr>
                </pic:pic>
              </a:graphicData>
            </a:graphic>
          </wp:inline>
        </w:drawing>
      </w:r>
    </w:p>
  </w:footnote>
  <w:footnote w:id="113">
    <w:p>
      <w:pPr>
        <w:pStyle w:val="FootnoteText"/>
      </w:pPr>
      <w:r>
        <w:rPr>
          <w:rStyle w:val="FootnoteReference"/>
        </w:rPr>
        <w:footnoteRef/>
      </w:r>
      <w:r>
        <w:t xml:space="preserve"> </w:t>
      </w:r>
      <w:r>
        <w:rPr>
          <w:smallCaps/>
        </w:rPr>
        <w:t xml:space="preserve">Williamson</w:t>
      </w:r>
      <w:r>
        <w:t xml:space="preserve"> </w:t>
      </w:r>
      <w:r>
        <w:t xml:space="preserve">se doctoró en 1963 en el Carnegie Institute of Technology, con</w:t>
      </w:r>
      <w:r>
        <w:t xml:space="preserve"> </w:t>
      </w:r>
      <w:r>
        <w:rPr>
          <w:smallCaps/>
        </w:rPr>
        <w:t xml:space="preserve">Simon</w:t>
      </w:r>
      <w:r>
        <w:t xml:space="preserve">,</w:t>
      </w:r>
      <w:r>
        <w:t xml:space="preserve"> </w:t>
      </w:r>
      <w:r>
        <w:rPr>
          <w:smallCaps/>
        </w:rPr>
        <w:t xml:space="preserve">Cyert</w:t>
      </w:r>
      <w:r>
        <w:t xml:space="preserve"> </w:t>
      </w:r>
      <w:r>
        <w:t xml:space="preserve">y</w:t>
      </w:r>
      <w:r>
        <w:t xml:space="preserve"> </w:t>
      </w:r>
      <w:r>
        <w:rPr>
          <w:smallCaps/>
        </w:rPr>
        <w:t xml:space="preserve">March</w:t>
      </w:r>
      <w:r>
        <w:t xml:space="preserve">, de quienes toma la racionalidad limitada y el estudio de las organizaciones</w:t>
      </w:r>
      <w:r>
        <w:t xml:space="preserve"> </w:t>
      </w:r>
      <w:r>
        <w:t xml:space="preserve">(</w:t>
      </w:r>
      <w:hyperlink w:anchor="ref_Nobel2009WilliamsonBio">
        <w:r>
          <w:rPr>
            <w:rStyle w:val="Hyperlink"/>
            <w:smallCaps/>
          </w:rPr>
          <w:t xml:space="preserve">Williamson</w:t>
        </w:r>
        <w:r>
          <w:rPr>
            <w:rStyle w:val="Hyperlink"/>
          </w:rPr>
          <w:t xml:space="preserve">, 2009</w:t>
        </w:r>
      </w:hyperlink>
      <w:r>
        <w:t xml:space="preserve">)</w:t>
      </w:r>
      <w:r>
        <w:t xml:space="preserve">; de</w:t>
      </w:r>
      <w:r>
        <w:t xml:space="preserve"> </w:t>
      </w:r>
      <w:r>
        <w:rPr>
          <w:smallCaps/>
        </w:rPr>
        <w:t xml:space="preserve">Coase</w:t>
      </w:r>
      <w:r>
        <w:t xml:space="preserve"> </w:t>
      </w:r>
      <w:r>
        <w:t xml:space="preserve">hereda la pregunta, pero no fue alumno suyo.</w:t>
      </w:r>
    </w:p>
  </w:footnote>
  <w:footnote w:id="116">
    <w:p>
      <w:pPr>
        <w:pStyle w:val="FootnoteText"/>
      </w:pPr>
      <w:r>
        <w:rPr>
          <w:rStyle w:val="FootnoteReference"/>
        </w:rPr>
        <w:footnoteRef/>
      </w:r>
      <w:r>
        <w:t xml:space="preserve"> </w:t>
      </w:r>
      <w:r>
        <w:t xml:space="preserve">La integración vertical tiene además un motivo de precios, la</w:t>
      </w:r>
      <w:r>
        <w:t xml:space="preserve"> </w:t>
      </w: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integrados, venderían la cantidad de monopolio; separados, la cadena produce menos, cobra más y gana menos</w:t>
      </w:r>
      <w:r>
        <w:t xml:space="preserve"> </w:t>
      </w:r>
      <w:hyperlink r:id="rId26">
        <w:r>
          <w:rPr>
            <w:rStyle w:val="Referenciaatema"/>
          </w:rPr>
          <w:t xml:space="preserve">[ver tema 3.A.17]</w:t>
        </w:r>
      </w:hyperlink>
      <w:r>
        <w:t xml:space="preserve">.</w:t>
      </w:r>
    </w:p>
  </w:footnote>
  <w:footnote w:id="142">
    <w:p>
      <w:pPr>
        <w:pStyle w:val="FootnoteText"/>
      </w:pPr>
      <w:r>
        <w:rPr>
          <w:rStyle w:val="FootnoteReference"/>
        </w:rPr>
        <w:footnoteRef/>
      </w:r>
      <w:r>
        <w:t xml:space="preserve"> </w:t>
      </w:r>
      <w:r>
        <w:t xml:space="preserve">El IHH es mejor en teoría, porque usa todas las cuotas y pesa más las grandes; la ratio de concentración se usa más en la práctica porque solo exige conocer las cuotas de las mayores empresas. Las autoridades usan el IHH para filtrar las concentraciones. En Estados Unidos, las directrices de 2023 presumen que una fusión reduce sustancialmente la competencia si deja un mercado muy concentrado (IHH superior a 1.800) y eleva el índice en más de 100 puntos, o si crea una empresa con más del 30 % de cuota y eleva el índice en más de 100 puntos</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son los umbrales de 1982, que las directrices de 2010 habían subido a 2.500 y 200</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10Horizontal">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2010</w:t>
        </w:r>
      </w:hyperlink>
      <w:r>
        <w:t xml:space="preserve">)</w:t>
      </w:r>
      <w:r>
        <w:t xml:space="preserve">, y la FTC confirmó en 2025 que las de 2023 siguen en vigor</w:t>
      </w:r>
      <w:r>
        <w:t xml:space="preserve"> </w:t>
      </w:r>
      <w:r>
        <w:t xml:space="preserve">(</w:t>
      </w:r>
      <w:hyperlink w:anchor="ref_FTC2025Ferguson">
        <w:r>
          <w:rPr>
            <w:rStyle w:val="Hyperlink"/>
            <w:smallCaps/>
          </w:rPr>
          <w:t xml:space="preserve">Federal Trade Commission</w:t>
        </w:r>
        <w:r>
          <w:rPr>
            <w:rStyle w:val="Hyperlink"/>
          </w:rPr>
          <w:t xml:space="preserve">, 2025</w:t>
        </w:r>
      </w:hyperlink>
      <w:r>
        <w:t xml:space="preserve">)</w:t>
      </w:r>
      <w:r>
        <w:t xml:space="preserve">. En la Unión Europea, las directrices de 2004 consideran improbables los problemas si el IHH tras la fusión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el borrador de 2026, que la Comisión prevé aprobar a finales de año, mantiene esos umbrales</w:t>
      </w:r>
      <w:r>
        <w:t xml:space="preserve"> </w:t>
      </w:r>
      <w:r>
        <w:t xml:space="preserve">(</w:t>
      </w:r>
      <w:hyperlink w:anchor="ref_CE2026BorradorMerger">
        <w:r>
          <w:rPr>
            <w:rStyle w:val="Hyperlink"/>
            <w:smallCaps/>
          </w:rPr>
          <w:t xml:space="preserve">Comisión Europea</w:t>
        </w:r>
        <w:r>
          <w:rPr>
            <w:rStyle w:val="Hyperlink"/>
          </w:rPr>
          <w:t xml:space="preserve">, 2026b</w:t>
        </w:r>
      </w:hyperlink>
      <w:r>
        <w:t xml:space="preserve">)</w:t>
      </w:r>
      <w:r>
        <w:t xml:space="preserve">.</w:t>
      </w:r>
    </w:p>
  </w:footnote>
  <w:footnote w:id="148">
    <w:p>
      <w:pPr>
        <w:pStyle w:val="FootnoteText"/>
      </w:pPr>
      <w:r>
        <w:rPr>
          <w:rStyle w:val="FootnoteReference"/>
        </w:rPr>
        <w:footnoteRef/>
      </w:r>
      <w:r>
        <w:t xml:space="preserve"> </w:t>
      </w:r>
      <w:r>
        <w:t xml:space="preserve">Ejemplos: el oligopolio de las agencias de calificación, al que las exigencias regulatorias dan una ventaja difícil de igualar (S&amp;P, Moody’s y Fitch tienen el 92 % del mercado de la Unión Europea, con un IHH de unos 3.600, según</w:t>
      </w:r>
      <w:r>
        <w:t xml:space="preserve"> </w:t>
      </w:r>
      <w:r>
        <w:rPr>
          <w:smallCaps/>
        </w:rPr>
        <w:t xml:space="preserve">European Securities and Markets Authority</w:t>
      </w:r>
      <w:r>
        <w:t xml:space="preserve"> </w:t>
      </w:r>
      <w:r>
        <w:t xml:space="preserve">(</w:t>
      </w:r>
      <w:hyperlink w:anchor="ref_ESMA2025CRA">
        <w:r>
          <w:rPr>
            <w:rStyle w:val="Hyperlink"/>
          </w:rPr>
          <w:t xml:space="preserve">2025</w:t>
        </w:r>
      </w:hyperlink>
      <w:r>
        <w:t xml:space="preserve">)</w:t>
      </w:r>
      <w:r>
        <w:t xml:space="preserve">); o la limitación de las licencias de vehículos de alquiler con conductor a 1 por cada 30 de taxi, que según el Tribunal de Justicia de la UE restringe la libertad de establecimiento y solo cabe si es adecuada y proporcionada a fines de interés general</w:t>
      </w:r>
      <w:r>
        <w:t xml:space="preserve"> </w:t>
      </w:r>
      <w:r>
        <w:t xml:space="preserve">(</w:t>
      </w:r>
      <w:hyperlink w:anchor="ref_TJUE2023PrestigeLimousine">
        <w:r>
          <w:rPr>
            <w:rStyle w:val="Hyperlink"/>
            <w:smallCaps/>
          </w:rPr>
          <w:t xml:space="preserve">Tribunal de Justicia de la Unión Europea</w:t>
        </w:r>
        <w:r>
          <w:rPr>
            <w:rStyle w:val="Hyperlink"/>
          </w:rPr>
          <w:t xml:space="preserve">, 2023</w:t>
        </w:r>
      </w:hyperlink>
      <w:r>
        <w:t xml:space="preserve">)</w:t>
      </w:r>
      <w:r>
        <w:t xml:space="preserve">.</w:t>
      </w:r>
    </w:p>
  </w:footnote>
  <w:footnote w:id="149">
    <w:p>
      <w:pPr>
        <w:pStyle w:val="FootnoteText"/>
      </w:pPr>
      <w:r>
        <w:rPr>
          <w:rStyle w:val="FootnoteReference"/>
        </w:rPr>
        <w:footnoteRef/>
      </w:r>
      <w:r>
        <w:t xml:space="preserve"> </w:t>
      </w:r>
      <w:r>
        <w:t xml:space="preserve">Para la escuela austriaca y para</w:t>
      </w:r>
      <w:r>
        <w:t xml:space="preserve"> </w:t>
      </w:r>
      <w:r>
        <w:rPr>
          <w:smallCaps/>
        </w:rPr>
        <w:t xml:space="preserve">Schumpeter</w:t>
      </w:r>
      <w:r>
        <w:t xml:space="preserve">, el poder de mercado temporal es el premio de la innovación (anexo </w:t>
      </w:r>
      <w:hyperlink w:anchor="anexo_austriaca">
        <w:r>
          <w:rPr>
            <w:rStyle w:val="Hyperlink"/>
          </w:rPr>
          <w:t xml:space="preserve">A</w:t>
        </w:r>
      </w:hyperlink>
      <w:r>
        <w:t xml:space="preserve">)</w:t>
      </w:r>
      <w:r>
        <w:t xml:space="preserve"> </w:t>
      </w:r>
      <w:hyperlink r:id="rId150">
        <w:r>
          <w:rPr>
            <w:rStyle w:val="Referenciaatema"/>
          </w:rPr>
          <w:t xml:space="preserve">[ver tema 3.A.44]</w:t>
        </w:r>
      </w:hyperlink>
      <w:r>
        <w:t xml:space="preserve">.</w:t>
      </w:r>
    </w:p>
  </w:footnote>
  <w:footnote w:id="153">
    <w:p>
      <w:pPr>
        <w:pStyle w:val="FootnoteText"/>
      </w:pPr>
      <w:r>
        <w:rPr>
          <w:rStyle w:val="FootnoteReference"/>
        </w:rPr>
        <w:footnoteRef/>
      </w:r>
      <w:r>
        <w:t xml:space="preserve"> </w:t>
      </w:r>
      <w:r>
        <w:t xml:space="preserve">Una síntesis de las definiciones, en</w:t>
      </w:r>
      <w:r>
        <w:t xml:space="preserve"> </w:t>
      </w:r>
      <w:r>
        <w:rPr>
          <w:smallCaps/>
        </w:rPr>
        <w:t xml:space="preserve">McAfee</w:t>
      </w:r>
      <w:r>
        <w:t xml:space="preserve">,</w:t>
      </w:r>
      <w:r>
        <w:t xml:space="preserve"> </w:t>
      </w:r>
      <w:r>
        <w:rPr>
          <w:smallCaps/>
        </w:rPr>
        <w:t xml:space="preserve">Mialon</w:t>
      </w:r>
      <w:r>
        <w:t xml:space="preserve"> </w:t>
      </w:r>
      <w:r>
        <w:t xml:space="preserve">y</w:t>
      </w:r>
      <w:r>
        <w:t xml:space="preserve"> </w:t>
      </w:r>
      <w:r>
        <w:rPr>
          <w:smallCaps/>
        </w:rPr>
        <w:t xml:space="preserve">Williams</w:t>
      </w:r>
      <w:r>
        <w:t xml:space="preserve"> </w:t>
      </w:r>
      <w:r>
        <w:t xml:space="preserve">(</w:t>
      </w:r>
      <w:hyperlink w:anchor="ref_McAfeeMialonWilliams2004What">
        <w:r>
          <w:rPr>
            <w:rStyle w:val="Hyperlink"/>
          </w:rPr>
          <w:t xml:space="preserve">2004</w:t>
        </w:r>
      </w:hyperlink>
      <w:r>
        <w:t xml:space="preserve">)</w:t>
      </w:r>
      <w:r>
        <w:t xml:space="preserve">.</w:t>
      </w:r>
    </w:p>
  </w:footnote>
  <w:footnote w:id="157">
    <w:p>
      <w:pPr>
        <w:pStyle w:val="FootnoteText"/>
      </w:pPr>
      <w:r>
        <w:rPr>
          <w:rStyle w:val="FootnoteReference"/>
        </w:rPr>
        <w:footnoteRef/>
      </w:r>
      <w:r>
        <w:t xml:space="preserve"> </w:t>
      </w:r>
      <w:r>
        <w:t xml:space="preserve">Con demanda lineal,</w:t>
      </w:r>
      <w:r>
        <w:t xml:space="preserve"> </w:t>
      </w:r>
      <m:oMath>
        <m:r>
          <m:t>p</m:t>
        </m:r>
        <m:d>
          <m:dPr>
            <m:begChr m:val="("/>
            <m:sepChr m:val=""/>
            <m:endChr m:val=")"/>
            <m:grow/>
          </m:dPr>
          <m:e>
            <m:r>
              <m:t>Q</m:t>
            </m:r>
          </m:e>
        </m:d>
        <m:r>
          <m:rPr>
            <m:sty m:val="p"/>
          </m:rPr>
          <m:t>=</m:t>
        </m:r>
        <m:sSub>
          <m:e>
            <m:r>
              <m:t>α</m:t>
            </m:r>
          </m:e>
          <m:sub>
            <m:r>
              <m:t>0</m:t>
            </m:r>
          </m:sub>
        </m:sSub>
        <m:r>
          <m:rPr>
            <m:sty m:val="p"/>
          </m:rPr>
          <m:t>−</m:t>
        </m:r>
        <m:r>
          <m:t>b</m:t>
        </m:r>
        <m:r>
          <m:t>Q</m:t>
        </m:r>
      </m:oMath>
      <w:r>
        <w:t xml:space="preserve">, y costes</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el entrante elegiría su producción frente a la demanda residual</w:t>
      </w:r>
      <w:r>
        <w:t xml:space="preserve"> </w:t>
      </w:r>
      <m:oMath>
        <m:sSub>
          <m:e>
            <m:r>
              <m:t>α</m:t>
            </m:r>
          </m:e>
          <m:sub>
            <m:r>
              <m:t>0</m:t>
            </m:r>
          </m:sub>
        </m:sSub>
        <m:r>
          <m:rPr>
            <m:sty m:val="p"/>
          </m:rPr>
          <m:t>−</m:t>
        </m:r>
        <m:r>
          <m:t>b</m:t>
        </m:r>
        <m:sSub>
          <m:e>
            <m:r>
              <m:t>q</m:t>
            </m:r>
          </m:e>
          <m:sub>
            <m:r>
              <m:rPr>
                <m:sty m:val="p"/>
              </m:rPr>
              <m:t>I</m:t>
            </m:r>
          </m:sub>
        </m:sSub>
        <m:r>
          <m:rPr>
            <m:sty m:val="p"/>
          </m:rPr>
          <m:t>−</m:t>
        </m:r>
        <m:r>
          <m:t>b</m:t>
        </m:r>
        <m:sSub>
          <m:e>
            <m:r>
              <m:t>q</m:t>
            </m:r>
          </m:e>
          <m:sub>
            <m:r>
              <m:rPr>
                <m:sty m:val="p"/>
              </m:rPr>
              <m:t>E</m:t>
            </m:r>
          </m:sub>
        </m:sSub>
      </m:oMath>
      <w:r>
        <w:t xml:space="preserve"> </w:t>
      </w:r>
      <w:r>
        <w:t xml:space="preserve">y ganaría</w:t>
      </w:r>
      <w:r>
        <w:t xml:space="preserve"> </w:t>
      </w:r>
      <m:oMath>
        <m:sSup>
          <m:e>
            <m:d>
              <m:dPr>
                <m:begChr m:val="("/>
                <m:sepChr m:val=""/>
                <m:endChr m:val=")"/>
                <m:grow/>
              </m:dPr>
              <m:e>
                <m:sSub>
                  <m:e>
                    <m:r>
                      <m:t>α</m:t>
                    </m:r>
                  </m:e>
                  <m:sub>
                    <m:r>
                      <m:t>0</m:t>
                    </m:r>
                  </m:sub>
                </m:sSub>
                <m:r>
                  <m:rPr>
                    <m:sty m:val="p"/>
                  </m:rPr>
                  <m:t>−</m:t>
                </m:r>
                <m:r>
                  <m:t>c</m:t>
                </m:r>
                <m:r>
                  <m:rPr>
                    <m:sty m:val="p"/>
                  </m:rPr>
                  <m:t>−</m:t>
                </m:r>
                <m:r>
                  <m:t>b</m:t>
                </m:r>
                <m:sSub>
                  <m:e>
                    <m:r>
                      <m:t>q</m:t>
                    </m:r>
                  </m:e>
                  <m:sub>
                    <m:r>
                      <m:rPr>
                        <m:sty m:val="p"/>
                      </m:rPr>
                      <m:t>I</m:t>
                    </m:r>
                  </m:sub>
                </m:sSub>
              </m:e>
            </m:d>
          </m:e>
          <m:sup>
            <m:r>
              <m:t>2</m:t>
            </m:r>
          </m:sup>
        </m:sSup>
        <m:r>
          <m:rPr>
            <m:sty m:val="p"/>
          </m:rPr>
          <m:t>/</m:t>
        </m:r>
        <m:r>
          <m:t>4</m:t>
        </m:r>
        <m:r>
          <m:t>b</m:t>
        </m:r>
        <m:r>
          <m:rPr>
            <m:sty m:val="p"/>
          </m:rPr>
          <m:t>−</m:t>
        </m:r>
        <m:r>
          <m:rPr>
            <m:sty m:val="p"/>
          </m:rPr>
          <m:t>C</m:t>
        </m:r>
        <m:r>
          <m:rPr>
            <m:sty m:val="p"/>
          </m:rPr>
          <m:t>F</m:t>
        </m:r>
      </m:oMath>
      <w:r>
        <w:t xml:space="preserve">; no entra si</w:t>
      </w:r>
      <w:r>
        <w:t xml:space="preserve"> </w:t>
      </w:r>
      <m:oMath>
        <m:sSub>
          <m:e>
            <m:r>
              <m:t>q</m:t>
            </m:r>
          </m:e>
          <m:sub>
            <m:r>
              <m:rPr>
                <m:sty m:val="p"/>
              </m:rPr>
              <m:t>I</m:t>
            </m:r>
          </m:sub>
        </m:sSub>
        <m:r>
          <m:rPr>
            <m:sty m:val="p"/>
          </m:rPr>
          <m:t>≥</m:t>
        </m:r>
        <m:d>
          <m:dPr>
            <m:begChr m:val="["/>
            <m:sepChr m:val=""/>
            <m:endChr m:val="]"/>
            <m:grow/>
          </m:dPr>
          <m:e>
            <m:sSub>
              <m:e>
                <m:r>
                  <m:t>α</m:t>
                </m:r>
              </m:e>
              <m:sub>
                <m:r>
                  <m:t>0</m:t>
                </m:r>
              </m:sub>
            </m:sSub>
            <m:r>
              <m:rPr>
                <m:sty m:val="p"/>
              </m:rPr>
              <m:t>−</m:t>
            </m:r>
            <m:r>
              <m:t>c</m:t>
            </m:r>
            <m:r>
              <m:rPr>
                <m:sty m:val="p"/>
              </m:rPr>
              <m:t>−</m:t>
            </m:r>
            <m:r>
              <m:t>2</m:t>
            </m:r>
            <m:rad>
              <m:radPr>
                <m:degHide m:val="on"/>
              </m:radPr>
              <m:deg/>
              <m:e>
                <m:r>
                  <m:t>b</m:t>
                </m:r>
                <m:r>
                  <m:t> </m:t>
                </m:r>
                <m:r>
                  <m:rPr>
                    <m:sty m:val="p"/>
                  </m:rPr>
                  <m:t>C</m:t>
                </m:r>
                <m:r>
                  <m:rPr>
                    <m:sty m:val="p"/>
                  </m:rPr>
                  <m:t>F</m:t>
                </m:r>
              </m:e>
            </m:rad>
          </m:e>
        </m:d>
        <m:r>
          <m:rPr>
            <m:sty m:val="p"/>
          </m:rPr>
          <m:t>/</m:t>
        </m:r>
        <m:r>
          <m:t>b</m:t>
        </m:r>
      </m:oMath>
      <w:r>
        <w:t xml:space="preserve">, y el precio límite es</w:t>
      </w:r>
      <w:r>
        <w:t xml:space="preserve"> </w:t>
      </w:r>
      <m:oMath>
        <m:sSup>
          <m:e>
            <m:r>
              <m:t>p</m:t>
            </m:r>
          </m:e>
          <m:sup>
            <m:r>
              <m:t>L</m:t>
            </m:r>
          </m:sup>
        </m:sSup>
        <m:r>
          <m:rPr>
            <m:sty m:val="p"/>
          </m:rPr>
          <m:t>=</m:t>
        </m:r>
        <m:r>
          <m:t>c</m:t>
        </m:r>
        <m:r>
          <m:rPr>
            <m:sty m:val="p"/>
          </m:rPr>
          <m:t>+</m:t>
        </m:r>
        <m:r>
          <m:t>2</m:t>
        </m:r>
        <m:rad>
          <m:radPr>
            <m:degHide m:val="on"/>
          </m:radPr>
          <m:deg/>
          <m:e>
            <m:r>
              <m:t>b</m:t>
            </m:r>
            <m:r>
              <m:t> </m:t>
            </m:r>
            <m:r>
              <m:rPr>
                <m:sty m:val="p"/>
              </m:rPr>
              <m:t>C</m:t>
            </m:r>
            <m:r>
              <m:rPr>
                <m:sty m:val="p"/>
              </m:rPr>
              <m:t>F</m:t>
            </m:r>
          </m:e>
        </m:rad>
      </m:oMath>
      <w:r>
        <w:t xml:space="preserve">: el margen que se puede sostener crece con el coste fijo y con la pendiente de la demanda. En ese punto, la demanda residual del entrante es tangente a su coste medio,</w:t>
      </w:r>
      <w:r>
        <w:t xml:space="preserve"> </w:t>
      </w:r>
      <m:oMath>
        <m:r>
          <m:t>c</m:t>
        </m:r>
        <m:r>
          <m:rPr>
            <m:sty m:val="p"/>
          </m:rPr>
          <m:t>+</m:t>
        </m:r>
        <m:r>
          <m:rPr>
            <m:sty m:val="p"/>
          </m:rPr>
          <m:t>C</m:t>
        </m:r>
        <m:r>
          <m:rPr>
            <m:sty m:val="p"/>
          </m:rPr>
          <m:t>F</m:t>
        </m:r>
        <m:r>
          <m:rPr>
            <m:sty m:val="p"/>
          </m:rPr>
          <m:t>/</m:t>
        </m:r>
        <m:sSub>
          <m:e>
            <m:r>
              <m:t>q</m:t>
            </m:r>
          </m:e>
          <m:sub>
            <m:r>
              <m:rPr>
                <m:sty m:val="p"/>
              </m:rPr>
              <m:t>E</m:t>
            </m:r>
          </m:sub>
        </m:sSub>
      </m:oMath>
      <w:r>
        <w:t xml:space="preserve">.</w:t>
      </w:r>
    </w:p>
  </w:footnote>
  <w:footnote w:id="198">
    <w:p>
      <w:pPr>
        <w:pStyle w:val="FootnoteText"/>
      </w:pPr>
      <w:r>
        <w:rPr>
          <w:rStyle w:val="FootnoteReference"/>
        </w:rPr>
        <w:footnoteRef/>
      </w:r>
      <w:r>
        <w:t xml:space="preserve"> </w:t>
      </w:r>
      <m:oMath>
        <m:r>
          <m:t>θ</m:t>
        </m:r>
      </m:oMath>
      <w:r>
        <w:t xml:space="preserve"> </w:t>
      </w:r>
      <w:r>
        <w:t xml:space="preserve">es aquí un parámetro local, no el coeficiente de aversión al riesgo. En el duopolio con variación conjetural</w:t>
      </w:r>
      <w:r>
        <w:t xml:space="preserve"> </w:t>
      </w:r>
      <m:oMath>
        <m:r>
          <m:t>v</m:t>
        </m:r>
        <m:r>
          <m:rPr>
            <m:sty m:val="p"/>
          </m:rPr>
          <m:t>=</m:t>
        </m:r>
        <m:r>
          <m:rPr>
            <m:sty m:val="p"/>
          </m:rPr>
          <m:t>∂</m:t>
        </m:r>
        <m:sSub>
          <m:e>
            <m:r>
              <m:t>q</m:t>
            </m:r>
          </m:e>
          <m:sub>
            <m:r>
              <m:t>j</m:t>
            </m:r>
          </m:sub>
        </m:sSub>
        <m:r>
          <m:rPr>
            <m:sty m:val="p"/>
          </m:rPr>
          <m:t>/</m:t>
        </m:r>
        <m:r>
          <m:rPr>
            <m:sty m:val="p"/>
          </m:rPr>
          <m:t>∂</m:t>
        </m:r>
        <m:sSub>
          <m:e>
            <m:r>
              <m:t>q</m:t>
            </m:r>
          </m:e>
          <m:sub>
            <m:r>
              <m:t>i</m:t>
            </m:r>
          </m:sub>
        </m:sSub>
      </m:oMath>
      <w:r>
        <w:t xml:space="preserve">, la condición de cada empresa es</w:t>
      </w:r>
      <w:r>
        <w:t xml:space="preserve"> </w:t>
      </w:r>
      <m:oMath>
        <m:r>
          <m:t>p</m:t>
        </m:r>
        <m:r>
          <m:rPr>
            <m:sty m:val="p"/>
          </m:rPr>
          <m:t>+</m:t>
        </m:r>
        <m:sSub>
          <m:e>
            <m:r>
              <m:t>q</m:t>
            </m:r>
          </m:e>
          <m:sub>
            <m:r>
              <m:t>i</m:t>
            </m:r>
          </m:sub>
        </m:sSub>
        <m:r>
          <m:t> </m:t>
        </m:r>
        <m:r>
          <m:t>p</m:t>
        </m:r>
        <m:r>
          <m:rPr>
            <m:sty m:val="p"/>
          </m:rPr>
          <m:t>′</m:t>
        </m:r>
        <m:d>
          <m:dPr>
            <m:begChr m:val="("/>
            <m:sepChr m:val=""/>
            <m:endChr m:val=")"/>
            <m:grow/>
          </m:dPr>
          <m:e>
            <m:r>
              <m:t>Q</m:t>
            </m:r>
          </m:e>
        </m:d>
        <m:d>
          <m:dPr>
            <m:begChr m:val="("/>
            <m:sepChr m:val=""/>
            <m:endChr m:val=")"/>
            <m:grow/>
          </m:dPr>
          <m:e>
            <m:r>
              <m:t>1</m:t>
            </m:r>
            <m:r>
              <m:rPr>
                <m:sty m:val="p"/>
              </m:rPr>
              <m:t>+</m:t>
            </m:r>
            <m:r>
              <m:t>v</m:t>
            </m:r>
          </m:e>
        </m:d>
        <m:r>
          <m:rPr>
            <m:sty m:val="p"/>
          </m:rPr>
          <m:t>=</m:t>
        </m:r>
        <m:sSub>
          <m:e>
            <m:r>
              <m:rPr>
                <m:sty m:val="p"/>
              </m:rPr>
              <m:t>C</m:t>
            </m:r>
            <m:r>
              <m:rPr>
                <m:sty m:val="p"/>
              </m:rPr>
              <m:t>M</m:t>
            </m:r>
            <m:r>
              <m:rPr>
                <m:sty m:val="p"/>
              </m:rPr>
              <m:t>g</m:t>
            </m:r>
          </m:e>
          <m:sub>
            <m:r>
              <m:t>i</m:t>
            </m:r>
          </m:sub>
        </m:sSub>
      </m:oMath>
      <w:r>
        <w:t xml:space="preserve"> </w:t>
      </w:r>
      <w:r>
        <w:t xml:space="preserve">y, con simetría,</w:t>
      </w:r>
      <w:r>
        <w:t xml:space="preserve"> </w:t>
      </w:r>
      <m:oMath>
        <m:r>
          <m:t>θ</m:t>
        </m:r>
        <m:r>
          <m:rPr>
            <m:sty m:val="p"/>
          </m:rPr>
          <m:t>=</m:t>
        </m:r>
        <m:d>
          <m:dPr>
            <m:begChr m:val="("/>
            <m:sepChr m:val=""/>
            <m:endChr m:val=")"/>
            <m:grow/>
          </m:dPr>
          <m:e>
            <m:r>
              <m:t>1</m:t>
            </m:r>
            <m:r>
              <m:rPr>
                <m:sty m:val="p"/>
              </m:rPr>
              <m:t>+</m:t>
            </m:r>
            <m:r>
              <m:t>v</m:t>
            </m:r>
          </m:e>
        </m:d>
        <m:r>
          <m:rPr>
            <m:sty m:val="p"/>
          </m:rPr>
          <m:t>/</m:t>
        </m:r>
        <m:r>
          <m:t>2</m:t>
        </m:r>
      </m:oMath>
      <w:r>
        <w:t xml:space="preserve">:</w:t>
      </w:r>
      <w:r>
        <w:t xml:space="preserve"> </w:t>
      </w:r>
      <m:oMath>
        <m:r>
          <m:t>v</m:t>
        </m:r>
        <m:r>
          <m:rPr>
            <m:sty m:val="p"/>
          </m:rPr>
          <m:t>=</m:t>
        </m:r>
        <m:r>
          <m:t>0</m:t>
        </m:r>
      </m:oMath>
      <w:r>
        <w:t xml:space="preserve"> </w:t>
      </w:r>
      <w:r>
        <w:t xml:space="preserve">es</w:t>
      </w:r>
      <w:r>
        <w:t xml:space="preserve"> </w:t>
      </w:r>
      <w:r>
        <w:rPr>
          <w:smallCaps/>
        </w:rPr>
        <w:t xml:space="preserve">Cournot</w:t>
      </w:r>
      <w:r>
        <w:t xml:space="preserve">,</w:t>
      </w:r>
      <w:r>
        <w:t xml:space="preserve"> </w:t>
      </w:r>
      <m:oMath>
        <m:r>
          <m:t>v</m:t>
        </m:r>
        <m:r>
          <m:rPr>
            <m:sty m:val="p"/>
          </m:rPr>
          <m:t>=</m:t>
        </m:r>
        <m:r>
          <m:rPr>
            <m:sty m:val="p"/>
          </m:rPr>
          <m:t>−</m:t>
        </m:r>
        <m:r>
          <m:t>1</m:t>
        </m:r>
      </m:oMath>
      <w:r>
        <w:t xml:space="preserve"> </w:t>
      </w:r>
      <w:r>
        <w:t xml:space="preserve">competencia y</w:t>
      </w:r>
      <w:r>
        <w:t xml:space="preserve"> </w:t>
      </w:r>
      <m:oMath>
        <m:r>
          <m:t>v</m:t>
        </m:r>
        <m:r>
          <m:rPr>
            <m:sty m:val="p"/>
          </m:rPr>
          <m:t>=</m:t>
        </m:r>
        <m:r>
          <m:t>1</m:t>
        </m:r>
      </m:oMath>
      <w:r>
        <w:t xml:space="preserve"> </w:t>
      </w:r>
      <w:r>
        <w:t xml:space="preserve">colusión.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71" Target="media/rId71.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48" Target="media/rId48.png" /><Relationship Type="http://schemas.openxmlformats.org/officeDocument/2006/relationships/image" Id="rId170" Target="media/rId170.png" /><Relationship Type="http://schemas.openxmlformats.org/officeDocument/2006/relationships/image" Id="rId143" Target="media/rId143.png" /><Relationship Type="http://schemas.openxmlformats.org/officeDocument/2006/relationships/image" Id="rId118" Target="media/rId118.png" /><Relationship Type="http://schemas.openxmlformats.org/officeDocument/2006/relationships/image" Id="rId187" Target="media/rId187.png" /><Relationship Type="http://schemas.openxmlformats.org/officeDocument/2006/relationships/image" Id="rId159" Target="media/rId15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hyperlink" Id="rId274" Target="https://competition-policy.ec.europa.eu/document/download/46dde10f-85c1-4590-a3f4-2b71f85685ef_en?filename=Merger%20Guidelines%20-%20final%20for%20public%20consultation.pdf" TargetMode="External" /><Relationship Type="http://schemas.openxmlformats.org/officeDocument/2006/relationships/hyperlink" Id="rId455" Target="https://curia.europa.eu/juris/liste.jsf?num=C-48/22" TargetMode="External" /><Relationship Type="http://schemas.openxmlformats.org/officeDocument/2006/relationships/hyperlink" Id="rId453" Target="https://curia.europa.eu/juris/liste.jsf?num=C-50/21" TargetMode="External" /><Relationship Type="http://schemas.openxmlformats.org/officeDocument/2006/relationships/hyperlink" Id="rId457"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2" Target="https://digital-markets-act.ec.europa.eu/gatekeepers-portal_en" TargetMode="External" /><Relationship Type="http://schemas.openxmlformats.org/officeDocument/2006/relationships/hyperlink" Id="rId468" Target="https://doi.org/10.1002/smj.4250050207" TargetMode="External" /><Relationship Type="http://schemas.openxmlformats.org/officeDocument/2006/relationships/hyperlink" Id="rId412" Target="https://doi.org/10.1007/BF00131770" TargetMode="External" /><Relationship Type="http://schemas.openxmlformats.org/officeDocument/2006/relationships/hyperlink" Id="rId356" Target="https://doi.org/10.1016/0022-0531(82)90030-8" TargetMode="External" /><Relationship Type="http://schemas.openxmlformats.org/officeDocument/2006/relationships/hyperlink" Id="rId381" Target="https://doi.org/10.1016/0022-0531(82)90031-X" TargetMode="External" /><Relationship Type="http://schemas.openxmlformats.org/officeDocument/2006/relationships/hyperlink" Id="rId251" Target="https://doi.org/10.1016/0165-1765(82)90121-5" TargetMode="External" /><Relationship Type="http://schemas.openxmlformats.org/officeDocument/2006/relationships/hyperlink" Id="rId397" Target="https://doi.org/10.1016/0167-7187(85)90030-X" TargetMode="External" /><Relationship Type="http://schemas.openxmlformats.org/officeDocument/2006/relationships/hyperlink" Id="rId344" Target="https://doi.org/10.1016/0304-405X(76)90026-X" TargetMode="External" /><Relationship Type="http://schemas.openxmlformats.org/officeDocument/2006/relationships/hyperlink" Id="rId408" Target="https://doi.org/10.1016/S1573-448X(89)02004-2" TargetMode="External" /><Relationship Type="http://schemas.openxmlformats.org/officeDocument/2006/relationships/hyperlink" Id="rId253" Target="https://doi.org/10.1016/S1573-448X(89)02005-4" TargetMode="External" /><Relationship Type="http://schemas.openxmlformats.org/officeDocument/2006/relationships/hyperlink" Id="rId425" Target="https://doi.org/10.1086/255387" TargetMode="External" /><Relationship Type="http://schemas.openxmlformats.org/officeDocument/2006/relationships/hyperlink" Id="rId423" Target="https://doi.org/10.1086/256964" TargetMode="External" /><Relationship Type="http://schemas.openxmlformats.org/officeDocument/2006/relationships/hyperlink" Id="rId383" Target="https://doi.org/10.1086/258035" TargetMode="External" /><Relationship Type="http://schemas.openxmlformats.org/officeDocument/2006/relationships/hyperlink" Id="rId429" Target="https://doi.org/10.1086/258853" TargetMode="External" /><Relationship Type="http://schemas.openxmlformats.org/officeDocument/2006/relationships/hyperlink" Id="rId370" Target="https://doi.org/10.1086/259000" TargetMode="External" /><Relationship Type="http://schemas.openxmlformats.org/officeDocument/2006/relationships/hyperlink" Id="rId471" Target="https://doi.org/10.1086/259258" TargetMode="External" /><Relationship Type="http://schemas.openxmlformats.org/officeDocument/2006/relationships/hyperlink" Id="rId302" Target="https://doi.org/10.1086/260866" TargetMode="External" /><Relationship Type="http://schemas.openxmlformats.org/officeDocument/2006/relationships/hyperlink" Id="rId360" Target="https://doi.org/10.1086/261392" TargetMode="External" /><Relationship Type="http://schemas.openxmlformats.org/officeDocument/2006/relationships/hyperlink" Id="rId316" Target="https://doi.org/10.1086/261404" TargetMode="External" /><Relationship Type="http://schemas.openxmlformats.org/officeDocument/2006/relationships/hyperlink" Id="rId321" Target="https://doi.org/10.1086/261729" TargetMode="External" /><Relationship Type="http://schemas.openxmlformats.org/officeDocument/2006/relationships/hyperlink" Id="rId216" Target="https://doi.org/10.1086/262063" TargetMode="External" /><Relationship Type="http://schemas.openxmlformats.org/officeDocument/2006/relationships/hyperlink" Id="rId427" Target="https://doi.org/10.1086/466541" TargetMode="External" /><Relationship Type="http://schemas.openxmlformats.org/officeDocument/2006/relationships/hyperlink" Id="rId377" Target="https://doi.org/10.1086/466547" TargetMode="External" /><Relationship Type="http://schemas.openxmlformats.org/officeDocument/2006/relationships/hyperlink" Id="rId260" Target="https://doi.org/10.1086/466560" TargetMode="External" /><Relationship Type="http://schemas.openxmlformats.org/officeDocument/2006/relationships/hyperlink" Id="rId289" Target="https://doi.org/10.1086/466643" TargetMode="External" /><Relationship Type="http://schemas.openxmlformats.org/officeDocument/2006/relationships/hyperlink" Id="rId291" Target="https://doi.org/10.1086/466752" TargetMode="External" /><Relationship Type="http://schemas.openxmlformats.org/officeDocument/2006/relationships/hyperlink" Id="rId354" Target="https://doi.org/10.1086/466922" TargetMode="External" /><Relationship Type="http://schemas.openxmlformats.org/officeDocument/2006/relationships/hyperlink" Id="rId474" Target="https://doi.org/10.1086/466942" TargetMode="External" /><Relationship Type="http://schemas.openxmlformats.org/officeDocument/2006/relationships/hyperlink" Id="rId387" Target="https://doi.org/10.1086/467129" TargetMode="External" /><Relationship Type="http://schemas.openxmlformats.org/officeDocument/2006/relationships/hyperlink" Id="rId264" Target="https://doi.org/10.1086/467446" TargetMode="External" /><Relationship Type="http://schemas.openxmlformats.org/officeDocument/2006/relationships/hyperlink" Id="rId310" Target="https://doi.org/10.1086/467447" TargetMode="External" /><Relationship Type="http://schemas.openxmlformats.org/officeDocument/2006/relationships/hyperlink" Id="rId255" Target="https://doi.org/10.1086/467448" TargetMode="External" /><Relationship Type="http://schemas.openxmlformats.org/officeDocument/2006/relationships/hyperlink" Id="rId352" Target="https://doi.org/10.1086/467449" TargetMode="External" /><Relationship Type="http://schemas.openxmlformats.org/officeDocument/2006/relationships/hyperlink" Id="rId225" Target="https://doi.org/10.1093/qje/qjaa004" TargetMode="External" /><Relationship Type="http://schemas.openxmlformats.org/officeDocument/2006/relationships/hyperlink" Id="rId287" Target="https://doi.org/10.1093/qje/qjz041" TargetMode="External" /><Relationship Type="http://schemas.openxmlformats.org/officeDocument/2006/relationships/hyperlink" Id="rId313" Target="https://doi.org/10.1111/j.1430-9134.1992.00277.x" TargetMode="External" /><Relationship Type="http://schemas.openxmlformats.org/officeDocument/2006/relationships/hyperlink" Id="rId258" Target="https://doi.org/10.1111/j.1468-0335.1937.tb00002.x" TargetMode="External" /><Relationship Type="http://schemas.openxmlformats.org/officeDocument/2006/relationships/hyperlink" Id="rId222" Target="https://doi.org/10.1111/j.1756-2171.2006.tb00037.x" TargetMode="External" /><Relationship Type="http://schemas.openxmlformats.org/officeDocument/2006/relationships/hyperlink" Id="rId227" Target="https://doi.org/10.1126/science.1062081" TargetMode="External" /><Relationship Type="http://schemas.openxmlformats.org/officeDocument/2006/relationships/hyperlink" Id="rId323" Target="https://doi.org/10.1162/003355300555448" TargetMode="External" /><Relationship Type="http://schemas.openxmlformats.org/officeDocument/2006/relationships/hyperlink" Id="rId402" Target="https://doi.org/10.1162/154247603322493212" TargetMode="External" /><Relationship Type="http://schemas.openxmlformats.org/officeDocument/2006/relationships/hyperlink" Id="rId328" Target="https://doi.org/10.1257/089533003765888403" TargetMode="External" /><Relationship Type="http://schemas.openxmlformats.org/officeDocument/2006/relationships/hyperlink" Id="rId319" Target="https://doi.org/10.1257/aer.107.7.1731" TargetMode="External" /><Relationship Type="http://schemas.openxmlformats.org/officeDocument/2006/relationships/hyperlink" Id="rId364" Target="https://doi.org/10.1257/jel.45.3.629" TargetMode="External" /><Relationship Type="http://schemas.openxmlformats.org/officeDocument/2006/relationships/hyperlink" Id="rId418" Target="https://doi.org/10.1257/jep.5.2.25" TargetMode="External" /><Relationship Type="http://schemas.openxmlformats.org/officeDocument/2006/relationships/hyperlink" Id="rId231" Target="https://doi.org/10.2307/1191388" TargetMode="External" /><Relationship Type="http://schemas.openxmlformats.org/officeDocument/2006/relationships/hyperlink" Id="rId220" Target="https://doi.org/10.2307/1340237" TargetMode="External" /><Relationship Type="http://schemas.openxmlformats.org/officeDocument/2006/relationships/hyperlink" Id="rId234" Target="https://doi.org/10.2307/1882217" TargetMode="External" /><Relationship Type="http://schemas.openxmlformats.org/officeDocument/2006/relationships/hyperlink" Id="rId372" Target="https://doi.org/10.2307/1884399" TargetMode="External" /><Relationship Type="http://schemas.openxmlformats.org/officeDocument/2006/relationships/hyperlink" Id="rId416" Target="https://doi.org/10.2307/1884852" TargetMode="External" /><Relationship Type="http://schemas.openxmlformats.org/officeDocument/2006/relationships/hyperlink" Id="rId389" Target="https://doi.org/10.2307/1907266" TargetMode="External" /><Relationship Type="http://schemas.openxmlformats.org/officeDocument/2006/relationships/hyperlink" Id="rId330" Target="https://doi.org/10.2307/1907343" TargetMode="External" /><Relationship Type="http://schemas.openxmlformats.org/officeDocument/2006/relationships/hyperlink" Id="rId379" Target="https://doi.org/10.2307/1912637" TargetMode="External" /><Relationship Type="http://schemas.openxmlformats.org/officeDocument/2006/relationships/hyperlink" Id="rId349" Target="https://doi.org/10.2307/2224727" TargetMode="External" /><Relationship Type="http://schemas.openxmlformats.org/officeDocument/2006/relationships/hyperlink" Id="rId399" Target="https://doi.org/10.2307/2224765" TargetMode="External" /><Relationship Type="http://schemas.openxmlformats.org/officeDocument/2006/relationships/hyperlink" Id="rId293" Target="https://doi.org/10.2307/2231658" TargetMode="External" /><Relationship Type="http://schemas.openxmlformats.org/officeDocument/2006/relationships/hyperlink" Id="rId477" Target="https://doi.org/10.2307/2393356" TargetMode="External" /><Relationship Type="http://schemas.openxmlformats.org/officeDocument/2006/relationships/hyperlink" Id="rId433" Target="https://doi.org/10.2307/2534456" TargetMode="External" /><Relationship Type="http://schemas.openxmlformats.org/officeDocument/2006/relationships/hyperlink" Id="rId325" Target="https://doi.org/10.2307/2534783" TargetMode="External" /><Relationship Type="http://schemas.openxmlformats.org/officeDocument/2006/relationships/hyperlink" Id="rId240" Target="https://doi.org/10.2307/2550723" TargetMode="External" /><Relationship Type="http://schemas.openxmlformats.org/officeDocument/2006/relationships/hyperlink" Id="rId284" Target="https://doi.org/10.2307/2553125" TargetMode="External" /><Relationship Type="http://schemas.openxmlformats.org/officeDocument/2006/relationships/hyperlink" Id="rId347" Target="https://doi.org/10.2307/2555407" TargetMode="External" /><Relationship Type="http://schemas.openxmlformats.org/officeDocument/2006/relationships/hyperlink" Id="rId358" Target="https://doi.org/10.2307/2555814" TargetMode="External" /><Relationship Type="http://schemas.openxmlformats.org/officeDocument/2006/relationships/hyperlink" Id="rId420" Target="https://doi.org/10.2307/3003302" TargetMode="External" /><Relationship Type="http://schemas.openxmlformats.org/officeDocument/2006/relationships/hyperlink" Id="rId332" Target="https://doi.org/10.2307/3003320" TargetMode="External" /><Relationship Type="http://schemas.openxmlformats.org/officeDocument/2006/relationships/hyperlink" Id="rId466" Target="https://doi.org/10.2307/3003371" TargetMode="External" /><Relationship Type="http://schemas.openxmlformats.org/officeDocument/2006/relationships/hyperlink" Id="rId385" Target="https://doi.org/10.2307/3003441" TargetMode="External" /><Relationship Type="http://schemas.openxmlformats.org/officeDocument/2006/relationships/hyperlink" Id="rId406" Target="https://doi.org/10.2307/3003584" TargetMode="External" /><Relationship Type="http://schemas.openxmlformats.org/officeDocument/2006/relationships/hyperlink" Id="rId300" Target="https://doi.org/10.2908/SBS_SC_OVW" TargetMode="External" /><Relationship Type="http://schemas.openxmlformats.org/officeDocument/2006/relationships/hyperlink" Id="rId236" Target="https://doi.org/10.4159/harvard.9780674188037" TargetMode="External" /><Relationship Type="http://schemas.openxmlformats.org/officeDocument/2006/relationships/hyperlink" Id="rId393" Target="https://eur-lex.europa.eu/eli/reg/2022/1925/oj" TargetMode="External" /><Relationship Type="http://schemas.openxmlformats.org/officeDocument/2006/relationships/hyperlink" Id="rId270" Target="https://eur-lex.europa.eu/legal-content/ES/TXT/?uri=CELEX:52004XC0205(02)" TargetMode="External" /><Relationship Type="http://schemas.openxmlformats.org/officeDocument/2006/relationships/hyperlink" Id="rId218" Target="https://ideas.repec.org/a/aea/aecrev/v62y1972i5p777-95.html" TargetMode="External" /><Relationship Type="http://schemas.openxmlformats.org/officeDocument/2006/relationships/hyperlink" Id="rId244" Target="https://ideas.repec.org/a/aea/aecrev/v72y1982i1p1-15.html" TargetMode="External" /><Relationship Type="http://schemas.openxmlformats.org/officeDocument/2006/relationships/hyperlink" Id="rId248" Target="https://ideas.repec.org/a/aea/aecrev/v73y1983i3p491-96.html" TargetMode="External" /><Relationship Type="http://schemas.openxmlformats.org/officeDocument/2006/relationships/hyperlink" Id="rId414"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29" Target="https://openyls.law.yale.edu/entities/publication/394c17da-e37b-4118-a8df-0cb60aebecba" TargetMode="External" /><Relationship Type="http://schemas.openxmlformats.org/officeDocument/2006/relationships/hyperlink" Id="rId338" Target="https://www.boe.es/buscar/act.php?id=BOE-A-2007-12946" TargetMode="External" /><Relationship Type="http://schemas.openxmlformats.org/officeDocument/2006/relationships/hyperlink" Id="rId342" Target="https://www.boe.es/buscar/act.php?id=BOE-A-2015-3439" TargetMode="External" /><Relationship Type="http://schemas.openxmlformats.org/officeDocument/2006/relationships/hyperlink" Id="rId340" Target="https://www.boe.es/buscar/doc.php?id=BOE-A-2014-12589" TargetMode="External" /><Relationship Type="http://schemas.openxmlformats.org/officeDocument/2006/relationships/hyperlink" Id="rId280" Target="https://www.cnmv.es/DocPortal/Publicaciones/CodigoGov/CBG_2020.pdf" TargetMode="External" /><Relationship Type="http://schemas.openxmlformats.org/officeDocument/2006/relationships/hyperlink" Id="rId278" Target="https://www.cnmv.es/DocPortal/Publicaciones/CodigoGov/Codigo_buen_gobierno.pdf" TargetMode="External" /><Relationship Type="http://schemas.openxmlformats.org/officeDocument/2006/relationships/hyperlink" Id="rId268" Target="https://www.cnmv.es/DocPortal/Publicaciones/CodigoGov/INFORMEFINAL.PDF" TargetMode="External" /><Relationship Type="http://schemas.openxmlformats.org/officeDocument/2006/relationships/hyperlink" Id="rId266" Target="https://www.cnmv.es/DocPortal/Publicaciones/CodigoGov/govsocot.pdf" TargetMode="External" /><Relationship Type="http://schemas.openxmlformats.org/officeDocument/2006/relationships/hyperlink" Id="rId276" Target="https://www.cnmv.es/Portal/Legislacion/COBG/COBG.aspx" TargetMode="External" /><Relationship Type="http://schemas.openxmlformats.org/officeDocument/2006/relationships/hyperlink" Id="rId282"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8" Target="https://www.esma.europa.eu/sites/default/files/2025-12/ESMA84-900617762-2652_CRA_Market_Share_Calculation_2025.pdf" TargetMode="External" /><Relationship Type="http://schemas.openxmlformats.org/officeDocument/2006/relationships/hyperlink" Id="rId306" Target="https://www.ftc.gov/advice-guidance/competition-guidance/guide-antitrust-laws/antitrust-laws" TargetMode="External" /><Relationship Type="http://schemas.openxmlformats.org/officeDocument/2006/relationships/hyperlink" Id="rId304" Target="https://www.ftc.gov/news-events/news/press-releases/2025/02/ftc-chairman-andrew-n-ferguson-announces-ftc-dojs-joint-2023-merger-guidelines-are-effect" TargetMode="External" /><Relationship Type="http://schemas.openxmlformats.org/officeDocument/2006/relationships/hyperlink" Id="rId308" Target="https://www.imf.org/en/Publications/WEO/Issues/2019/03/28/world-economic-outlook-april-2019" TargetMode="External" /><Relationship Type="http://schemas.openxmlformats.org/officeDocument/2006/relationships/hyperlink" Id="rId336" Target="https://www.ine.es/dyngs/Prensa/DIRCE2025.htm" TargetMode="External" /><Relationship Type="http://schemas.openxmlformats.org/officeDocument/2006/relationships/hyperlink" Id="rId366" Target="https://www.jstor.org/stable/1823775" TargetMode="External" /><Relationship Type="http://schemas.openxmlformats.org/officeDocument/2006/relationships/hyperlink" Id="rId463" Target="https://www.justice.gov/d9/2023-12/2023%20Merger%20Guidelines.pdf" TargetMode="External" /><Relationship Type="http://schemas.openxmlformats.org/officeDocument/2006/relationships/hyperlink" Id="rId459" Target="https://www.justice.gov/sites/default/files/atr/legacy/2007/07/11/11248.pdf" TargetMode="External" /><Relationship Type="http://schemas.openxmlformats.org/officeDocument/2006/relationships/hyperlink" Id="rId461" Target="https://www.justice.gov/sites/default/files/atr/legacy/2010/08/19/hmg-2010.pdf" TargetMode="External" /><Relationship Type="http://schemas.openxmlformats.org/officeDocument/2006/relationships/hyperlink" Id="rId438" Target="https://www.nobelprize.org/prizes/economic-sciences/1978/summary/" TargetMode="External" /><Relationship Type="http://schemas.openxmlformats.org/officeDocument/2006/relationships/hyperlink" Id="rId440" Target="https://www.nobelprize.org/prizes/economic-sciences/1982/summary/" TargetMode="External" /><Relationship Type="http://schemas.openxmlformats.org/officeDocument/2006/relationships/hyperlink" Id="rId262" Target="https://www.nobelprize.org/prizes/economic-sciences/1991/coase/lecture/" TargetMode="External" /><Relationship Type="http://schemas.openxmlformats.org/officeDocument/2006/relationships/hyperlink" Id="rId442" Target="https://www.nobelprize.org/prizes/economic-sciences/1991/summary/" TargetMode="External" /><Relationship Type="http://schemas.openxmlformats.org/officeDocument/2006/relationships/hyperlink" Id="rId444" Target="https://www.nobelprize.org/prizes/economic-sciences/2009/summary/" TargetMode="External" /><Relationship Type="http://schemas.openxmlformats.org/officeDocument/2006/relationships/hyperlink" Id="rId479" Target="https://www.nobelprize.org/prizes/economic-sciences/2009/williamson/biographical/" TargetMode="External" /><Relationship Type="http://schemas.openxmlformats.org/officeDocument/2006/relationships/hyperlink" Id="rId446" Target="https://www.nobelprize.org/prizes/economic-sciences/2014/summary/" TargetMode="External" /><Relationship Type="http://schemas.openxmlformats.org/officeDocument/2006/relationships/hyperlink" Id="rId451" Target="https://www.nobelprize.org/prizes/economic-sciences/2014/tirole/lecture/" TargetMode="External" /><Relationship Type="http://schemas.openxmlformats.org/officeDocument/2006/relationships/hyperlink" Id="rId448" Target="https://www.nobelprize.org/prizes/economic-sciences/2016/summary/" TargetMode="External" /><Relationship Type="http://schemas.openxmlformats.org/officeDocument/2006/relationships/hyperlink" Id="rId295" Target="https://www.nobelprize.org/uploads/2018/06/advanced-economicsciences2014.pdf" TargetMode="External" /><Relationship Type="http://schemas.openxmlformats.org/officeDocument/2006/relationships/hyperlink" Id="rId192"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4"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1"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6"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4" Target="https://competition-policy.ec.europa.eu/document/download/46dde10f-85c1-4590-a3f4-2b71f85685ef_en?filename=Merger%20Guidelines%20-%20final%20for%20public%20consultation.pdf" TargetMode="External" /><Relationship Type="http://schemas.openxmlformats.org/officeDocument/2006/relationships/hyperlink" Id="rId455" Target="https://curia.europa.eu/juris/liste.jsf?num=C-48/22" TargetMode="External" /><Relationship Type="http://schemas.openxmlformats.org/officeDocument/2006/relationships/hyperlink" Id="rId453" Target="https://curia.europa.eu/juris/liste.jsf?num=C-50/21" TargetMode="External" /><Relationship Type="http://schemas.openxmlformats.org/officeDocument/2006/relationships/hyperlink" Id="rId457"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2" Target="https://digital-markets-act.ec.europa.eu/gatekeepers-portal_en" TargetMode="External" /><Relationship Type="http://schemas.openxmlformats.org/officeDocument/2006/relationships/hyperlink" Id="rId468" Target="https://doi.org/10.1002/smj.4250050207" TargetMode="External" /><Relationship Type="http://schemas.openxmlformats.org/officeDocument/2006/relationships/hyperlink" Id="rId412" Target="https://doi.org/10.1007/BF00131770" TargetMode="External" /><Relationship Type="http://schemas.openxmlformats.org/officeDocument/2006/relationships/hyperlink" Id="rId356" Target="https://doi.org/10.1016/0022-0531(82)90030-8" TargetMode="External" /><Relationship Type="http://schemas.openxmlformats.org/officeDocument/2006/relationships/hyperlink" Id="rId381" Target="https://doi.org/10.1016/0022-0531(82)90031-X" TargetMode="External" /><Relationship Type="http://schemas.openxmlformats.org/officeDocument/2006/relationships/hyperlink" Id="rId251" Target="https://doi.org/10.1016/0165-1765(82)90121-5" TargetMode="External" /><Relationship Type="http://schemas.openxmlformats.org/officeDocument/2006/relationships/hyperlink" Id="rId397" Target="https://doi.org/10.1016/0167-7187(85)90030-X" TargetMode="External" /><Relationship Type="http://schemas.openxmlformats.org/officeDocument/2006/relationships/hyperlink" Id="rId344" Target="https://doi.org/10.1016/0304-405X(76)90026-X" TargetMode="External" /><Relationship Type="http://schemas.openxmlformats.org/officeDocument/2006/relationships/hyperlink" Id="rId408" Target="https://doi.org/10.1016/S1573-448X(89)02004-2" TargetMode="External" /><Relationship Type="http://schemas.openxmlformats.org/officeDocument/2006/relationships/hyperlink" Id="rId253" Target="https://doi.org/10.1016/S1573-448X(89)02005-4" TargetMode="External" /><Relationship Type="http://schemas.openxmlformats.org/officeDocument/2006/relationships/hyperlink" Id="rId425" Target="https://doi.org/10.1086/255387" TargetMode="External" /><Relationship Type="http://schemas.openxmlformats.org/officeDocument/2006/relationships/hyperlink" Id="rId423" Target="https://doi.org/10.1086/256964" TargetMode="External" /><Relationship Type="http://schemas.openxmlformats.org/officeDocument/2006/relationships/hyperlink" Id="rId383" Target="https://doi.org/10.1086/258035" TargetMode="External" /><Relationship Type="http://schemas.openxmlformats.org/officeDocument/2006/relationships/hyperlink" Id="rId429" Target="https://doi.org/10.1086/258853" TargetMode="External" /><Relationship Type="http://schemas.openxmlformats.org/officeDocument/2006/relationships/hyperlink" Id="rId370" Target="https://doi.org/10.1086/259000" TargetMode="External" /><Relationship Type="http://schemas.openxmlformats.org/officeDocument/2006/relationships/hyperlink" Id="rId471" Target="https://doi.org/10.1086/259258" TargetMode="External" /><Relationship Type="http://schemas.openxmlformats.org/officeDocument/2006/relationships/hyperlink" Id="rId302" Target="https://doi.org/10.1086/260866" TargetMode="External" /><Relationship Type="http://schemas.openxmlformats.org/officeDocument/2006/relationships/hyperlink" Id="rId360" Target="https://doi.org/10.1086/261392" TargetMode="External" /><Relationship Type="http://schemas.openxmlformats.org/officeDocument/2006/relationships/hyperlink" Id="rId316" Target="https://doi.org/10.1086/261404" TargetMode="External" /><Relationship Type="http://schemas.openxmlformats.org/officeDocument/2006/relationships/hyperlink" Id="rId321" Target="https://doi.org/10.1086/261729" TargetMode="External" /><Relationship Type="http://schemas.openxmlformats.org/officeDocument/2006/relationships/hyperlink" Id="rId216" Target="https://doi.org/10.1086/262063" TargetMode="External" /><Relationship Type="http://schemas.openxmlformats.org/officeDocument/2006/relationships/hyperlink" Id="rId427" Target="https://doi.org/10.1086/466541" TargetMode="External" /><Relationship Type="http://schemas.openxmlformats.org/officeDocument/2006/relationships/hyperlink" Id="rId377" Target="https://doi.org/10.1086/466547" TargetMode="External" /><Relationship Type="http://schemas.openxmlformats.org/officeDocument/2006/relationships/hyperlink" Id="rId260" Target="https://doi.org/10.1086/466560" TargetMode="External" /><Relationship Type="http://schemas.openxmlformats.org/officeDocument/2006/relationships/hyperlink" Id="rId289" Target="https://doi.org/10.1086/466643" TargetMode="External" /><Relationship Type="http://schemas.openxmlformats.org/officeDocument/2006/relationships/hyperlink" Id="rId291" Target="https://doi.org/10.1086/466752" TargetMode="External" /><Relationship Type="http://schemas.openxmlformats.org/officeDocument/2006/relationships/hyperlink" Id="rId354" Target="https://doi.org/10.1086/466922" TargetMode="External" /><Relationship Type="http://schemas.openxmlformats.org/officeDocument/2006/relationships/hyperlink" Id="rId474" Target="https://doi.org/10.1086/466942" TargetMode="External" /><Relationship Type="http://schemas.openxmlformats.org/officeDocument/2006/relationships/hyperlink" Id="rId387" Target="https://doi.org/10.1086/467129" TargetMode="External" /><Relationship Type="http://schemas.openxmlformats.org/officeDocument/2006/relationships/hyperlink" Id="rId264" Target="https://doi.org/10.1086/467446" TargetMode="External" /><Relationship Type="http://schemas.openxmlformats.org/officeDocument/2006/relationships/hyperlink" Id="rId310" Target="https://doi.org/10.1086/467447" TargetMode="External" /><Relationship Type="http://schemas.openxmlformats.org/officeDocument/2006/relationships/hyperlink" Id="rId255" Target="https://doi.org/10.1086/467448" TargetMode="External" /><Relationship Type="http://schemas.openxmlformats.org/officeDocument/2006/relationships/hyperlink" Id="rId352" Target="https://doi.org/10.1086/467449" TargetMode="External" /><Relationship Type="http://schemas.openxmlformats.org/officeDocument/2006/relationships/hyperlink" Id="rId225" Target="https://doi.org/10.1093/qje/qjaa004" TargetMode="External" /><Relationship Type="http://schemas.openxmlformats.org/officeDocument/2006/relationships/hyperlink" Id="rId287" Target="https://doi.org/10.1093/qje/qjz041" TargetMode="External" /><Relationship Type="http://schemas.openxmlformats.org/officeDocument/2006/relationships/hyperlink" Id="rId313" Target="https://doi.org/10.1111/j.1430-9134.1992.00277.x" TargetMode="External" /><Relationship Type="http://schemas.openxmlformats.org/officeDocument/2006/relationships/hyperlink" Id="rId258" Target="https://doi.org/10.1111/j.1468-0335.1937.tb00002.x" TargetMode="External" /><Relationship Type="http://schemas.openxmlformats.org/officeDocument/2006/relationships/hyperlink" Id="rId222" Target="https://doi.org/10.1111/j.1756-2171.2006.tb00037.x" TargetMode="External" /><Relationship Type="http://schemas.openxmlformats.org/officeDocument/2006/relationships/hyperlink" Id="rId227" Target="https://doi.org/10.1126/science.1062081" TargetMode="External" /><Relationship Type="http://schemas.openxmlformats.org/officeDocument/2006/relationships/hyperlink" Id="rId323" Target="https://doi.org/10.1162/003355300555448" TargetMode="External" /><Relationship Type="http://schemas.openxmlformats.org/officeDocument/2006/relationships/hyperlink" Id="rId402" Target="https://doi.org/10.1162/154247603322493212" TargetMode="External" /><Relationship Type="http://schemas.openxmlformats.org/officeDocument/2006/relationships/hyperlink" Id="rId328" Target="https://doi.org/10.1257/089533003765888403" TargetMode="External" /><Relationship Type="http://schemas.openxmlformats.org/officeDocument/2006/relationships/hyperlink" Id="rId319" Target="https://doi.org/10.1257/aer.107.7.1731" TargetMode="External" /><Relationship Type="http://schemas.openxmlformats.org/officeDocument/2006/relationships/hyperlink" Id="rId364" Target="https://doi.org/10.1257/jel.45.3.629" TargetMode="External" /><Relationship Type="http://schemas.openxmlformats.org/officeDocument/2006/relationships/hyperlink" Id="rId418" Target="https://doi.org/10.1257/jep.5.2.25" TargetMode="External" /><Relationship Type="http://schemas.openxmlformats.org/officeDocument/2006/relationships/hyperlink" Id="rId231" Target="https://doi.org/10.2307/1191388" TargetMode="External" /><Relationship Type="http://schemas.openxmlformats.org/officeDocument/2006/relationships/hyperlink" Id="rId220" Target="https://doi.org/10.2307/1340237" TargetMode="External" /><Relationship Type="http://schemas.openxmlformats.org/officeDocument/2006/relationships/hyperlink" Id="rId234" Target="https://doi.org/10.2307/1882217" TargetMode="External" /><Relationship Type="http://schemas.openxmlformats.org/officeDocument/2006/relationships/hyperlink" Id="rId372" Target="https://doi.org/10.2307/1884399" TargetMode="External" /><Relationship Type="http://schemas.openxmlformats.org/officeDocument/2006/relationships/hyperlink" Id="rId416" Target="https://doi.org/10.2307/1884852" TargetMode="External" /><Relationship Type="http://schemas.openxmlformats.org/officeDocument/2006/relationships/hyperlink" Id="rId389" Target="https://doi.org/10.2307/1907266" TargetMode="External" /><Relationship Type="http://schemas.openxmlformats.org/officeDocument/2006/relationships/hyperlink" Id="rId330" Target="https://doi.org/10.2307/1907343" TargetMode="External" /><Relationship Type="http://schemas.openxmlformats.org/officeDocument/2006/relationships/hyperlink" Id="rId379" Target="https://doi.org/10.2307/1912637" TargetMode="External" /><Relationship Type="http://schemas.openxmlformats.org/officeDocument/2006/relationships/hyperlink" Id="rId349" Target="https://doi.org/10.2307/2224727" TargetMode="External" /><Relationship Type="http://schemas.openxmlformats.org/officeDocument/2006/relationships/hyperlink" Id="rId399" Target="https://doi.org/10.2307/2224765" TargetMode="External" /><Relationship Type="http://schemas.openxmlformats.org/officeDocument/2006/relationships/hyperlink" Id="rId293" Target="https://doi.org/10.2307/2231658" TargetMode="External" /><Relationship Type="http://schemas.openxmlformats.org/officeDocument/2006/relationships/hyperlink" Id="rId477" Target="https://doi.org/10.2307/2393356" TargetMode="External" /><Relationship Type="http://schemas.openxmlformats.org/officeDocument/2006/relationships/hyperlink" Id="rId433" Target="https://doi.org/10.2307/2534456" TargetMode="External" /><Relationship Type="http://schemas.openxmlformats.org/officeDocument/2006/relationships/hyperlink" Id="rId325" Target="https://doi.org/10.2307/2534783" TargetMode="External" /><Relationship Type="http://schemas.openxmlformats.org/officeDocument/2006/relationships/hyperlink" Id="rId240" Target="https://doi.org/10.2307/2550723" TargetMode="External" /><Relationship Type="http://schemas.openxmlformats.org/officeDocument/2006/relationships/hyperlink" Id="rId284" Target="https://doi.org/10.2307/2553125" TargetMode="External" /><Relationship Type="http://schemas.openxmlformats.org/officeDocument/2006/relationships/hyperlink" Id="rId347" Target="https://doi.org/10.2307/2555407" TargetMode="External" /><Relationship Type="http://schemas.openxmlformats.org/officeDocument/2006/relationships/hyperlink" Id="rId358" Target="https://doi.org/10.2307/2555814" TargetMode="External" /><Relationship Type="http://schemas.openxmlformats.org/officeDocument/2006/relationships/hyperlink" Id="rId420" Target="https://doi.org/10.2307/3003302" TargetMode="External" /><Relationship Type="http://schemas.openxmlformats.org/officeDocument/2006/relationships/hyperlink" Id="rId332" Target="https://doi.org/10.2307/3003320" TargetMode="External" /><Relationship Type="http://schemas.openxmlformats.org/officeDocument/2006/relationships/hyperlink" Id="rId466" Target="https://doi.org/10.2307/3003371" TargetMode="External" /><Relationship Type="http://schemas.openxmlformats.org/officeDocument/2006/relationships/hyperlink" Id="rId385" Target="https://doi.org/10.2307/3003441" TargetMode="External" /><Relationship Type="http://schemas.openxmlformats.org/officeDocument/2006/relationships/hyperlink" Id="rId406" Target="https://doi.org/10.2307/3003584" TargetMode="External" /><Relationship Type="http://schemas.openxmlformats.org/officeDocument/2006/relationships/hyperlink" Id="rId300" Target="https://doi.org/10.2908/SBS_SC_OVW" TargetMode="External" /><Relationship Type="http://schemas.openxmlformats.org/officeDocument/2006/relationships/hyperlink" Id="rId236" Target="https://doi.org/10.4159/harvard.9780674188037" TargetMode="External" /><Relationship Type="http://schemas.openxmlformats.org/officeDocument/2006/relationships/hyperlink" Id="rId393" Target="https://eur-lex.europa.eu/eli/reg/2022/1925/oj" TargetMode="External" /><Relationship Type="http://schemas.openxmlformats.org/officeDocument/2006/relationships/hyperlink" Id="rId270" Target="https://eur-lex.europa.eu/legal-content/ES/TXT/?uri=CELEX:52004XC0205(02)" TargetMode="External" /><Relationship Type="http://schemas.openxmlformats.org/officeDocument/2006/relationships/hyperlink" Id="rId218" Target="https://ideas.repec.org/a/aea/aecrev/v62y1972i5p777-95.html" TargetMode="External" /><Relationship Type="http://schemas.openxmlformats.org/officeDocument/2006/relationships/hyperlink" Id="rId244" Target="https://ideas.repec.org/a/aea/aecrev/v72y1982i1p1-15.html" TargetMode="External" /><Relationship Type="http://schemas.openxmlformats.org/officeDocument/2006/relationships/hyperlink" Id="rId248" Target="https://ideas.repec.org/a/aea/aecrev/v73y1983i3p491-96.html" TargetMode="External" /><Relationship Type="http://schemas.openxmlformats.org/officeDocument/2006/relationships/hyperlink" Id="rId414"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29" Target="https://openyls.law.yale.edu/entities/publication/394c17da-e37b-4118-a8df-0cb60aebecba" TargetMode="External" /><Relationship Type="http://schemas.openxmlformats.org/officeDocument/2006/relationships/hyperlink" Id="rId338" Target="https://www.boe.es/buscar/act.php?id=BOE-A-2007-12946" TargetMode="External" /><Relationship Type="http://schemas.openxmlformats.org/officeDocument/2006/relationships/hyperlink" Id="rId342" Target="https://www.boe.es/buscar/act.php?id=BOE-A-2015-3439" TargetMode="External" /><Relationship Type="http://schemas.openxmlformats.org/officeDocument/2006/relationships/hyperlink" Id="rId340" Target="https://www.boe.es/buscar/doc.php?id=BOE-A-2014-12589" TargetMode="External" /><Relationship Type="http://schemas.openxmlformats.org/officeDocument/2006/relationships/hyperlink" Id="rId280" Target="https://www.cnmv.es/DocPortal/Publicaciones/CodigoGov/CBG_2020.pdf" TargetMode="External" /><Relationship Type="http://schemas.openxmlformats.org/officeDocument/2006/relationships/hyperlink" Id="rId278" Target="https://www.cnmv.es/DocPortal/Publicaciones/CodigoGov/Codigo_buen_gobierno.pdf" TargetMode="External" /><Relationship Type="http://schemas.openxmlformats.org/officeDocument/2006/relationships/hyperlink" Id="rId268" Target="https://www.cnmv.es/DocPortal/Publicaciones/CodigoGov/INFORMEFINAL.PDF" TargetMode="External" /><Relationship Type="http://schemas.openxmlformats.org/officeDocument/2006/relationships/hyperlink" Id="rId266" Target="https://www.cnmv.es/DocPortal/Publicaciones/CodigoGov/govsocot.pdf" TargetMode="External" /><Relationship Type="http://schemas.openxmlformats.org/officeDocument/2006/relationships/hyperlink" Id="rId276" Target="https://www.cnmv.es/Portal/Legislacion/COBG/COBG.aspx" TargetMode="External" /><Relationship Type="http://schemas.openxmlformats.org/officeDocument/2006/relationships/hyperlink" Id="rId282"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8" Target="https://www.esma.europa.eu/sites/default/files/2025-12/ESMA84-900617762-2652_CRA_Market_Share_Calculation_2025.pdf" TargetMode="External" /><Relationship Type="http://schemas.openxmlformats.org/officeDocument/2006/relationships/hyperlink" Id="rId306" Target="https://www.ftc.gov/advice-guidance/competition-guidance/guide-antitrust-laws/antitrust-laws" TargetMode="External" /><Relationship Type="http://schemas.openxmlformats.org/officeDocument/2006/relationships/hyperlink" Id="rId304" Target="https://www.ftc.gov/news-events/news/press-releases/2025/02/ftc-chairman-andrew-n-ferguson-announces-ftc-dojs-joint-2023-merger-guidelines-are-effect" TargetMode="External" /><Relationship Type="http://schemas.openxmlformats.org/officeDocument/2006/relationships/hyperlink" Id="rId308" Target="https://www.imf.org/en/Publications/WEO/Issues/2019/03/28/world-economic-outlook-april-2019" TargetMode="External" /><Relationship Type="http://schemas.openxmlformats.org/officeDocument/2006/relationships/hyperlink" Id="rId336" Target="https://www.ine.es/dyngs/Prensa/DIRCE2025.htm" TargetMode="External" /><Relationship Type="http://schemas.openxmlformats.org/officeDocument/2006/relationships/hyperlink" Id="rId366" Target="https://www.jstor.org/stable/1823775" TargetMode="External" /><Relationship Type="http://schemas.openxmlformats.org/officeDocument/2006/relationships/hyperlink" Id="rId463" Target="https://www.justice.gov/d9/2023-12/2023%20Merger%20Guidelines.pdf" TargetMode="External" /><Relationship Type="http://schemas.openxmlformats.org/officeDocument/2006/relationships/hyperlink" Id="rId459" Target="https://www.justice.gov/sites/default/files/atr/legacy/2007/07/11/11248.pdf" TargetMode="External" /><Relationship Type="http://schemas.openxmlformats.org/officeDocument/2006/relationships/hyperlink" Id="rId461" Target="https://www.justice.gov/sites/default/files/atr/legacy/2010/08/19/hmg-2010.pdf" TargetMode="External" /><Relationship Type="http://schemas.openxmlformats.org/officeDocument/2006/relationships/hyperlink" Id="rId438" Target="https://www.nobelprize.org/prizes/economic-sciences/1978/summary/" TargetMode="External" /><Relationship Type="http://schemas.openxmlformats.org/officeDocument/2006/relationships/hyperlink" Id="rId440" Target="https://www.nobelprize.org/prizes/economic-sciences/1982/summary/" TargetMode="External" /><Relationship Type="http://schemas.openxmlformats.org/officeDocument/2006/relationships/hyperlink" Id="rId262" Target="https://www.nobelprize.org/prizes/economic-sciences/1991/coase/lecture/" TargetMode="External" /><Relationship Type="http://schemas.openxmlformats.org/officeDocument/2006/relationships/hyperlink" Id="rId442" Target="https://www.nobelprize.org/prizes/economic-sciences/1991/summary/" TargetMode="External" /><Relationship Type="http://schemas.openxmlformats.org/officeDocument/2006/relationships/hyperlink" Id="rId444" Target="https://www.nobelprize.org/prizes/economic-sciences/2009/summary/" TargetMode="External" /><Relationship Type="http://schemas.openxmlformats.org/officeDocument/2006/relationships/hyperlink" Id="rId479" Target="https://www.nobelprize.org/prizes/economic-sciences/2009/williamson/biographical/" TargetMode="External" /><Relationship Type="http://schemas.openxmlformats.org/officeDocument/2006/relationships/hyperlink" Id="rId446" Target="https://www.nobelprize.org/prizes/economic-sciences/2014/summary/" TargetMode="External" /><Relationship Type="http://schemas.openxmlformats.org/officeDocument/2006/relationships/hyperlink" Id="rId451" Target="https://www.nobelprize.org/prizes/economic-sciences/2014/tirole/lecture/" TargetMode="External" /><Relationship Type="http://schemas.openxmlformats.org/officeDocument/2006/relationships/hyperlink" Id="rId448" Target="https://www.nobelprize.org/prizes/economic-sciences/2016/summary/" TargetMode="External" /><Relationship Type="http://schemas.openxmlformats.org/officeDocument/2006/relationships/hyperlink" Id="rId295" Target="https://www.nobelprize.org/uploads/2018/06/advanced-economicsciences2014.pdf" TargetMode="External" /><Relationship Type="http://schemas.openxmlformats.org/officeDocument/2006/relationships/hyperlink" Id="rId192"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4"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1"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6"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Type="http://schemas.openxmlformats.org/officeDocument/2006/relationships/image" Id="rId98" Target="media/rId98.png" /><Relationship Type="http://schemas.openxmlformats.org/officeDocument/2006/relationships/image" Id="rId44" Target="media/rId4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3.A.15: La empresa: el tamaño eficiente y sus límites. Mención especial de la economía de los costes de transacción. La Teoría de la Organización Industrial: barreras a la entrada y mercados impugnables.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2026-10-20T20:33:00Z</dcterms:created>
  <dcterms:modified xsi:type="dcterms:W3CDTF">2026-10-20T20:33:00Z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3A15</vt:lpwstr>
  </property>
  <property fmtid="{D5CDD505-2E9C-101B-9397-08002B2CF9AE}" pid="6" name="bibliography">
    <vt:lpwstr>C:\Users\vgutierrez\Documents\src\victorgutierrezmarcos.github.io-revision\oposicion\temario\fuentes\3A15\3A15.bib</vt:lpwstr>
  </property>
  <property fmtid="{D5CDD505-2E9C-101B-9397-08002B2CF9AE}" pid="7" name="carpeta">
    <vt:lpwstr>tercer-ejercicio</vt:lpwstr>
  </property>
  <property fmtid="{D5CDD505-2E9C-101B-9397-08002B2CF9AE}" pid="8" name="codigo">
    <vt:lpwstr>3.A.15</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C:\Users\vgutierrez\Documents\src\victorgutierrezmarcos.github.io-revision\oposicion\temario\fuentes\3A15\graficos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33 págs. · Anexos: 4 · Bibliografía: 8</vt:lpwstr>
  </property>
  <property fmtid="{D5CDD505-2E9C-101B-9397-08002B2CF9AE}" pid="19" name="palabras-clave">
    <vt:lpwstr>teoría de la empresa, costes de transacción, Coase, Williamson, especificidad de los activos, hold-up, contratos incompletos, Grossman, Hart y Moore, escala mínima eficiente, modelo de Baumol, teoría de la agencia, paradigma estructura-conducta-resultado, barreras a la entrada, precio límite, compromiso de capacidad, mercados impugnables, organización industrial, microeconomía</vt:lpwstr>
  </property>
  <property fmtid="{D5CDD505-2E9C-101B-9397-08002B2CF9AE}" pid="20" name="reference-section-title">
    <vt:lpwstr>Bibliografía</vt:lpwstr>
  </property>
  <property fmtid="{D5CDD505-2E9C-101B-9397-08002B2CF9AE}" pid="21" name="resumen">
    <vt:lpwstr>Tamaño eficiente y límites de la empresa, Coase, Williamson y Hart, gerencialistas y agencia, barreras a la entrada, precio límite y mercados impugnables.</vt:lpwstr>
  </property>
  <property fmtid="{D5CDD505-2E9C-101B-9397-08002B2CF9AE}" pid="22" name="titulo">
    <vt:lpwstr>La empresa: el tamaño eficiente y sus límites. Mención especial de la economía de los costes de transacción. La Teoría de la Organización Industrial: barreras a la entrada y mercados impugnables.</vt:lpwstr>
  </property>
  <property fmtid="{D5CDD505-2E9C-101B-9397-08002B2CF9AE}" pid="23" name="titulo-cita">
    <vt:lpwstr>La empresa: el tamaño eficiente y sus límites. Mención especial de la economía de los costes de transacción. La Teoría de la Organización Industrial: barreras a la entrada y mercados impugnables</vt:lpwstr>
  </property>
  <property fmtid="{D5CDD505-2E9C-101B-9397-08002B2CF9AE}" pid="24" name="titulo-seo">
    <vt:lpwstr>Teoría de la empresa y costes de transacción</vt:lpwstr>
  </property>
</Properties>
</file>