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46182646"/>
    <w:p w14:paraId="4C089A7E" w14:textId="6046257D" w:rsidR="009D35BA" w:rsidRDefault="00000000" w:rsidP="009D35BA">
      <w:pPr>
        <w:pStyle w:val="Ttulo"/>
      </w:pPr>
      <w:sdt>
        <w:sdtPr>
          <w:rPr>
            <w:i/>
            <w:u w:val="single"/>
          </w:rPr>
          <w:alias w:val="Title"/>
          <w:tag w:val=""/>
          <w:id w:val="-780801520"/>
          <w:placeholder>
            <w:docPart w:val="790E9A66856B49AC9572A387D93F9C12"/>
          </w:placeholder>
          <w:dataBinding w:prefixMappings="xmlns:ns0='http://purl.org/dc/elements/1.1/' xmlns:ns1='http://schemas.openxmlformats.org/package/2006/metadata/core-properties' " w:xpath="/ns1:coreProperties[1]/ns0:title[1]" w:storeItemID="{6C3C8BC8-F283-45AE-878A-BAB7291924A1}"/>
          <w:text/>
        </w:sdtPr>
        <w:sdtContent>
          <w:r w:rsidR="009D35BA">
            <w:rPr>
              <w:i/>
              <w:u w:val="single"/>
            </w:rPr>
            <w:t>4.B.6</w:t>
          </w:r>
        </w:sdtContent>
      </w:sdt>
      <w:r w:rsidR="009D35BA">
        <w:t xml:space="preserve"> :</w:t>
      </w:r>
      <w:r w:rsidR="009D35BA" w:rsidRPr="004C0C34">
        <w:t xml:space="preserve"> </w:t>
      </w:r>
      <w:sdt>
        <w:sdtPr>
          <w:alias w:val="Subject"/>
          <w:tag w:val=""/>
          <w:id w:val="-1903059896"/>
          <w:placeholder>
            <w:docPart w:val="C3882E3CCB614C28954E7F3F1C55EF2E"/>
          </w:placeholder>
          <w:dataBinding w:prefixMappings="xmlns:ns0='http://purl.org/dc/elements/1.1/' xmlns:ns1='http://schemas.openxmlformats.org/package/2006/metadata/core-properties' " w:xpath="/ns1:coreProperties[1]/ns0:subject[1]" w:storeItemID="{6C3C8BC8-F283-45AE-878A-BAB7291924A1}"/>
          <w:text/>
        </w:sdtPr>
        <w:sdtContent>
          <w:r w:rsidR="009D35BA">
            <w:t>El gasto público. Causas de su crecimiento. El debate sobre el tamaño del sector público.</w:t>
          </w:r>
        </w:sdtContent>
      </w:sdt>
    </w:p>
    <w:p w14:paraId="4C9B7D99" w14:textId="68183389" w:rsidR="00F81AD5" w:rsidRPr="00F81AD5" w:rsidRDefault="00F81AD5" w:rsidP="00F81AD5">
      <w:pPr>
        <w:pStyle w:val="Cajadeanotaciones"/>
      </w:pPr>
      <w:hyperlink r:id="rId8" w:history="1">
        <w:r w:rsidRPr="00E011B3">
          <w:rPr>
            <w:rStyle w:val="Hipervnculo"/>
          </w:rPr>
          <w:t>https://www.bde.es/f/webbde/SES/Secciones/Publicaciones/PublicacionesSeriadas/DocumentosOcasionales/22/Fich/do2217.pdf</w:t>
        </w:r>
      </w:hyperlink>
    </w:p>
    <w:bookmarkEnd w:id="0"/>
    <w:p w14:paraId="29950ED2" w14:textId="706FDA7D" w:rsidR="009D35BA" w:rsidRDefault="00CE1217" w:rsidP="000039E3">
      <w:pPr>
        <w:pStyle w:val="Introduccinyconclusin"/>
      </w:pPr>
      <w:r>
        <w:t>INTRODUCCION</w:t>
      </w:r>
    </w:p>
    <w:p w14:paraId="13968ECA" w14:textId="77777777" w:rsidR="009D35BA" w:rsidRDefault="009D35BA" w:rsidP="009D35BA">
      <w:pPr>
        <w:pStyle w:val="Nivel1"/>
        <w:keepNext/>
        <w:spacing w:before="0" w:after="0"/>
      </w:pPr>
      <w:r>
        <w:rPr>
          <w:b/>
          <w:bCs/>
          <w:i/>
          <w:iCs/>
        </w:rPr>
        <w:t>Enganche</w:t>
      </w:r>
      <w:r>
        <w:t>:</w:t>
      </w:r>
    </w:p>
    <w:p w14:paraId="27A6F83D" w14:textId="77777777" w:rsidR="004D6896" w:rsidRPr="008D01A5" w:rsidRDefault="004D6896" w:rsidP="004D6896">
      <w:pPr>
        <w:pStyle w:val="Nivel2"/>
        <w:keepNext/>
        <w:spacing w:after="0"/>
        <w:rPr>
          <w:rStyle w:val="Hipervnculo"/>
          <w:color w:val="auto"/>
        </w:rPr>
      </w:pPr>
      <w:bookmarkStart w:id="1" w:name="_Hlk99365876"/>
      <w:r w:rsidRPr="008D01A5">
        <w:rPr>
          <w:smallCaps/>
        </w:rPr>
        <w:t>Alfred Marshall</w:t>
      </w:r>
      <w:r w:rsidRPr="008D01A5">
        <w:t xml:space="preserve">, en sus </w:t>
      </w:r>
      <w:r w:rsidRPr="008D01A5">
        <w:rPr>
          <w:i/>
          <w:iCs/>
        </w:rPr>
        <w:t>Principios de Economía</w:t>
      </w:r>
      <w:r w:rsidRPr="008D01A5">
        <w:t xml:space="preserve"> (1890) define la economía como</w:t>
      </w:r>
      <w:r w:rsidRPr="008D01A5">
        <w:rPr>
          <w:i/>
          <w:iCs/>
        </w:rPr>
        <w:t xml:space="preserve"> la ciencia de la vida diaria en lo que respecta a las </w:t>
      </w:r>
      <w:r w:rsidRPr="008D01A5">
        <w:rPr>
          <w:i/>
          <w:iCs/>
          <w:u w:val="single"/>
        </w:rPr>
        <w:t>acciones humanas</w:t>
      </w:r>
      <w:r w:rsidRPr="008D01A5">
        <w:rPr>
          <w:i/>
          <w:iCs/>
        </w:rPr>
        <w:t xml:space="preserve"> tomadas para alcanzar un nivel máximo de bienestar</w:t>
      </w:r>
      <w:r w:rsidRPr="008D01A5">
        <w:t>.</w:t>
      </w:r>
    </w:p>
    <w:p w14:paraId="4B8E1660" w14:textId="77777777" w:rsidR="004D6896" w:rsidRPr="008D01A5" w:rsidRDefault="004D6896" w:rsidP="004D6896">
      <w:pPr>
        <w:pStyle w:val="Nivel3"/>
        <w:rPr>
          <w:rStyle w:val="Hipervnculo"/>
          <w:color w:val="auto"/>
          <w:u w:val="none"/>
        </w:rPr>
      </w:pPr>
      <w:r w:rsidRPr="008D01A5">
        <w:rPr>
          <w:rStyle w:val="Hipervnculo"/>
          <w:color w:val="auto"/>
          <w:u w:val="none"/>
        </w:rPr>
        <w:t xml:space="preserve">Esta definición nos muestra cómo uno de los principios subyacentes a la reflexión económica, pero particularmente enfatizado en la teoría neoclásica, es el del </w:t>
      </w:r>
      <w:r w:rsidRPr="008D01A5">
        <w:rPr>
          <w:rStyle w:val="Hipervnculo"/>
          <w:b/>
          <w:bCs/>
          <w:color w:val="auto"/>
          <w:u w:val="none"/>
        </w:rPr>
        <w:t>individualismo metodológico</w:t>
      </w:r>
      <w:bookmarkStart w:id="2" w:name="_Hlk99365893"/>
      <w:r w:rsidRPr="008D01A5">
        <w:rPr>
          <w:rStyle w:val="Refdenotaalpie"/>
        </w:rPr>
        <w:footnoteReference w:id="2"/>
      </w:r>
      <w:bookmarkEnd w:id="2"/>
      <w:r w:rsidRPr="008D01A5">
        <w:rPr>
          <w:rStyle w:val="Hipervnculo"/>
          <w:color w:val="auto"/>
          <w:u w:val="none"/>
        </w:rPr>
        <w:t xml:space="preserve">. Se contempla el objeto de la teoría como una </w:t>
      </w:r>
      <w:r w:rsidRPr="008D01A5">
        <w:rPr>
          <w:rStyle w:val="Hipervnculo"/>
          <w:i/>
          <w:iCs/>
          <w:color w:val="auto"/>
          <w:u w:val="none"/>
        </w:rPr>
        <w:t>realidad social compuesta de individuos que se interrelacionan en economías descentralizadas</w:t>
      </w:r>
      <w:r w:rsidRPr="008D01A5">
        <w:rPr>
          <w:rStyle w:val="Hipervnculo"/>
          <w:color w:val="auto"/>
          <w:u w:val="none"/>
        </w:rPr>
        <w:t>.</w:t>
      </w:r>
    </w:p>
    <w:bookmarkEnd w:id="1"/>
    <w:p w14:paraId="24FD2F07" w14:textId="77777777" w:rsidR="004D6896" w:rsidRPr="00492C10" w:rsidRDefault="004D6896" w:rsidP="004D6896">
      <w:pPr>
        <w:pStyle w:val="Nivel2"/>
        <w:rPr>
          <w:spacing w:val="-4"/>
        </w:rPr>
      </w:pPr>
      <w:r>
        <w:t xml:space="preserve">En su objetivo fundamental de comprender y predecir el funcionamiento de los mercados, la </w:t>
      </w:r>
      <w:r w:rsidRPr="000551B2">
        <w:rPr>
          <w:b/>
          <w:bCs/>
        </w:rPr>
        <w:t>microeconomía</w:t>
      </w:r>
      <w:r>
        <w:t xml:space="preserve"> examina el comportamiento de dos agentes fundamentales: </w:t>
      </w:r>
      <w:r w:rsidRPr="000551B2">
        <w:rPr>
          <w:i/>
          <w:iCs/>
        </w:rPr>
        <w:t>consumidores</w:t>
      </w:r>
      <w:r>
        <w:t xml:space="preserve"> y </w:t>
      </w:r>
      <w:r>
        <w:rPr>
          <w:i/>
          <w:iCs/>
        </w:rPr>
        <w:t>productore</w:t>
      </w:r>
      <w:r w:rsidRPr="000551B2">
        <w:rPr>
          <w:i/>
          <w:iCs/>
        </w:rPr>
        <w:t>s</w:t>
      </w:r>
      <w:r>
        <w:rPr>
          <w:rStyle w:val="Refdenotaalpie"/>
        </w:rPr>
        <w:footnoteReference w:id="3"/>
      </w:r>
      <w:r>
        <w:t>.</w:t>
      </w:r>
    </w:p>
    <w:p w14:paraId="2001E454" w14:textId="77777777" w:rsidR="004D6896" w:rsidRPr="002A08C4" w:rsidRDefault="004D6896" w:rsidP="004D6896">
      <w:pPr>
        <w:pStyle w:val="Nivel2"/>
        <w:rPr>
          <w:spacing w:val="-2"/>
        </w:rPr>
      </w:pPr>
      <w:r w:rsidRPr="002A08C4">
        <w:rPr>
          <w:spacing w:val="-2"/>
        </w:rPr>
        <w:t xml:space="preserve">Desde un </w:t>
      </w:r>
      <w:r w:rsidRPr="002A08C4">
        <w:rPr>
          <w:i/>
          <w:iCs/>
          <w:spacing w:val="-2"/>
        </w:rPr>
        <w:t>punto de vista positivo</w:t>
      </w:r>
      <w:r w:rsidRPr="002A08C4">
        <w:rPr>
          <w:spacing w:val="-2"/>
        </w:rPr>
        <w:t xml:space="preserve">, el resultado de la interrelación de los agentes constituye el equilibrio de mercado. Otro análisis adicional sería estudiar no solo cuál es este equilibrio de mercado sino, desde un </w:t>
      </w:r>
      <w:r w:rsidRPr="002A08C4">
        <w:rPr>
          <w:i/>
          <w:iCs/>
          <w:spacing w:val="-2"/>
        </w:rPr>
        <w:t>enfoque normativo</w:t>
      </w:r>
      <w:r w:rsidRPr="002A08C4">
        <w:rPr>
          <w:spacing w:val="-2"/>
        </w:rPr>
        <w:t xml:space="preserve">, </w:t>
      </w:r>
      <w:r w:rsidRPr="002A08C4">
        <w:rPr>
          <w:b/>
          <w:spacing w:val="-2"/>
        </w:rPr>
        <w:t>valorar la deseabilidad</w:t>
      </w:r>
      <w:r w:rsidRPr="002A08C4">
        <w:rPr>
          <w:spacing w:val="-2"/>
        </w:rPr>
        <w:t xml:space="preserve"> </w:t>
      </w:r>
      <w:proofErr w:type="gramStart"/>
      <w:r w:rsidRPr="002A08C4">
        <w:rPr>
          <w:spacing w:val="-2"/>
        </w:rPr>
        <w:t>del mismo</w:t>
      </w:r>
      <w:proofErr w:type="gramEnd"/>
      <w:r w:rsidRPr="002A08C4">
        <w:rPr>
          <w:spacing w:val="-2"/>
        </w:rPr>
        <w:t>.</w:t>
      </w:r>
    </w:p>
    <w:p w14:paraId="03A13A9E" w14:textId="77777777" w:rsidR="004D6896" w:rsidRDefault="004D6896" w:rsidP="004D6896">
      <w:pPr>
        <w:pStyle w:val="Nivel2"/>
        <w:keepNext/>
        <w:spacing w:after="0"/>
      </w:pPr>
      <w:r>
        <w:t xml:space="preserve">La </w:t>
      </w:r>
      <w:r>
        <w:rPr>
          <w:b/>
          <w:bCs/>
        </w:rPr>
        <w:t>economía del bienestar</w:t>
      </w:r>
      <w:r>
        <w:t xml:space="preserve"> está ligada a este enfoque normativo.</w:t>
      </w:r>
    </w:p>
    <w:p w14:paraId="5B52798B" w14:textId="77777777" w:rsidR="004D6896" w:rsidRDefault="004D6896" w:rsidP="004D6896">
      <w:pPr>
        <w:pStyle w:val="Nivel3"/>
        <w:keepNext/>
      </w:pPr>
      <w:r>
        <w:t xml:space="preserve">Concretamente, las </w:t>
      </w:r>
      <w:r w:rsidRPr="00B156D0">
        <w:rPr>
          <w:b/>
          <w:bCs/>
        </w:rPr>
        <w:t>funciones</w:t>
      </w:r>
      <w:r w:rsidRPr="007E0C03">
        <w:rPr>
          <w:bCs/>
        </w:rPr>
        <w:t xml:space="preserve"> de la </w:t>
      </w:r>
      <w:r>
        <w:rPr>
          <w:bCs/>
        </w:rPr>
        <w:t>economía del bienestar</w:t>
      </w:r>
      <w:r>
        <w:t xml:space="preserve"> son</w:t>
      </w:r>
      <w:r>
        <w:rPr>
          <w:rStyle w:val="Refdenotaalpie"/>
        </w:rPr>
        <w:footnoteReference w:id="4"/>
      </w:r>
      <w:r>
        <w:t>:</w:t>
      </w:r>
    </w:p>
    <w:p w14:paraId="060DA18A" w14:textId="77777777" w:rsidR="004D6896" w:rsidRDefault="004D6896" w:rsidP="004D6896">
      <w:pPr>
        <w:pStyle w:val="Letra"/>
        <w:spacing w:after="0"/>
        <w:ind w:left="1843"/>
      </w:pPr>
      <w:r w:rsidRPr="00F30DE3">
        <w:rPr>
          <w:i/>
        </w:rPr>
        <w:t>Proporcionar</w:t>
      </w:r>
      <w:r>
        <w:t xml:space="preserve"> </w:t>
      </w:r>
      <w:r w:rsidRPr="00AB25E7">
        <w:rPr>
          <w:i/>
        </w:rPr>
        <w:t>instrumentos para valorar</w:t>
      </w:r>
      <w:r w:rsidRPr="00F30DE3">
        <w:rPr>
          <w:i/>
          <w:iCs/>
        </w:rPr>
        <w:t xml:space="preserve"> la deseabilidad social</w:t>
      </w:r>
      <w:r>
        <w:t xml:space="preserve"> de los estados alternativos, caracterizados por una asignación de recursos y una distribución de la renta. En principio, valorar esos estados alternativos requiere hacer </w:t>
      </w:r>
      <w:r w:rsidRPr="00112D4A">
        <w:t>juicios de valor</w:t>
      </w:r>
      <w:r>
        <w:t xml:space="preserve"> explícitos sobre los mismos.</w:t>
      </w:r>
    </w:p>
    <w:p w14:paraId="53FAEF04" w14:textId="77777777" w:rsidR="004D6896" w:rsidRDefault="004D6896" w:rsidP="004D6896">
      <w:pPr>
        <w:pStyle w:val="Letra"/>
        <w:spacing w:after="0"/>
        <w:ind w:left="1843"/>
      </w:pPr>
      <w:r w:rsidRPr="00F30DE3">
        <w:rPr>
          <w:i/>
          <w:iCs/>
        </w:rPr>
        <w:t>Proporcionar normas de política económica</w:t>
      </w:r>
      <w:r>
        <w:rPr>
          <w:i/>
        </w:rPr>
        <w:t xml:space="preserve"> </w:t>
      </w:r>
      <w:r>
        <w:rPr>
          <w:iCs/>
        </w:rPr>
        <w:t>que permitan</w:t>
      </w:r>
      <w:r w:rsidRPr="00AB25E7">
        <w:t xml:space="preserve"> maximizar</w:t>
      </w:r>
      <w:r>
        <w:t xml:space="preserve"> el bienestar social (alcanzar el estado o estados realizables socialmente más preferidos).</w:t>
      </w:r>
    </w:p>
    <w:p w14:paraId="54D91D44" w14:textId="77777777" w:rsidR="009D35BA" w:rsidRDefault="009D35BA" w:rsidP="009D35BA">
      <w:pPr>
        <w:pStyle w:val="Nivel1"/>
        <w:keepNext/>
        <w:spacing w:after="0"/>
      </w:pPr>
      <w:r>
        <w:rPr>
          <w:b/>
          <w:bCs/>
          <w:i/>
          <w:iCs/>
        </w:rPr>
        <w:t>Relevancia</w:t>
      </w:r>
      <w:bookmarkStart w:id="3" w:name="_Hlk145917891"/>
      <w:r>
        <w:t>:</w:t>
      </w:r>
      <w:bookmarkEnd w:id="3"/>
    </w:p>
    <w:p w14:paraId="32572E76" w14:textId="77777777" w:rsidR="004D6896" w:rsidRDefault="004D6896" w:rsidP="004D6896">
      <w:pPr>
        <w:pStyle w:val="Nivel2"/>
        <w:keepNext/>
        <w:spacing w:after="0"/>
      </w:pPr>
      <w:r w:rsidRPr="00516674">
        <w:t>La comparación de diferentes alternativas es algo vital, ya que nos permite</w:t>
      </w:r>
      <w:r>
        <w:t>:</w:t>
      </w:r>
    </w:p>
    <w:p w14:paraId="559E3065" w14:textId="77777777" w:rsidR="004D6896" w:rsidRPr="002A08C4" w:rsidRDefault="004D6896" w:rsidP="004D6896">
      <w:pPr>
        <w:pStyle w:val="Nivel3"/>
        <w:rPr>
          <w:spacing w:val="-1"/>
        </w:rPr>
      </w:pPr>
      <w:r w:rsidRPr="002A08C4">
        <w:rPr>
          <w:spacing w:val="-1"/>
        </w:rPr>
        <w:t>Por un lado, valorar si el resultado al que conduce un sistema económico es apropiado o mejorable.</w:t>
      </w:r>
    </w:p>
    <w:p w14:paraId="30B37021" w14:textId="77777777" w:rsidR="004D6896" w:rsidRPr="002A08C4" w:rsidRDefault="004D6896" w:rsidP="004D6896">
      <w:pPr>
        <w:pStyle w:val="Nivel3"/>
        <w:rPr>
          <w:spacing w:val="-5"/>
        </w:rPr>
      </w:pPr>
      <w:r w:rsidRPr="002A08C4">
        <w:rPr>
          <w:spacing w:val="-5"/>
        </w:rPr>
        <w:t>Por otro lado, valorar si una política económica que cambie la situación inicial es deseable.</w:t>
      </w:r>
    </w:p>
    <w:p w14:paraId="6EE168DE" w14:textId="77777777" w:rsidR="004D6896" w:rsidRDefault="004D6896" w:rsidP="004D6896">
      <w:pPr>
        <w:pStyle w:val="Nivel2"/>
        <w:keepNext/>
        <w:spacing w:after="0"/>
      </w:pPr>
      <w:r>
        <w:t xml:space="preserve">Como afirmó </w:t>
      </w:r>
      <w:r>
        <w:rPr>
          <w:smallCaps/>
        </w:rPr>
        <w:t>Atkinson</w:t>
      </w:r>
      <w:r>
        <w:t xml:space="preserve">, el gran teórico de la desigualdad del siglo XX, la ciencia económica no existe sólo para describir el comportamiento humano y satisfacer la </w:t>
      </w:r>
      <w:r>
        <w:lastRenderedPageBreak/>
        <w:t>curiosidad y la vanidad de los economistas, sino para emitir recomendaciones y diseñar y valorar políticas que contribuyan a mejorar la vida de los ciudadanos</w:t>
      </w:r>
      <w:r>
        <w:rPr>
          <w:rStyle w:val="Refdenotaalpie"/>
        </w:rPr>
        <w:footnoteReference w:id="5"/>
      </w:r>
      <w:r>
        <w:t>.</w:t>
      </w:r>
    </w:p>
    <w:p w14:paraId="58810668" w14:textId="77777777" w:rsidR="004D6896" w:rsidRDefault="004D6896" w:rsidP="004D6896">
      <w:pPr>
        <w:pStyle w:val="Nivel3"/>
      </w:pPr>
      <w:r>
        <w:t xml:space="preserve">Por ello, la economía del bienestar forma parte del “corazón” de la ciencia económica y como tal, debe ocupar un lugar preeminente en la formación de un economista y más aún de un </w:t>
      </w:r>
      <w:r>
        <w:rPr>
          <w:i/>
          <w:iCs/>
        </w:rPr>
        <w:t>policy-maker</w:t>
      </w:r>
      <w:r>
        <w:t>.</w:t>
      </w:r>
    </w:p>
    <w:p w14:paraId="6A2D898B" w14:textId="77777777" w:rsidR="009D35BA" w:rsidRDefault="009D35BA" w:rsidP="009D35BA">
      <w:pPr>
        <w:pStyle w:val="Nivel1"/>
        <w:keepNext/>
        <w:spacing w:after="0"/>
      </w:pPr>
      <w:r>
        <w:rPr>
          <w:b/>
          <w:bCs/>
          <w:i/>
          <w:iCs/>
        </w:rPr>
        <w:t>Contextualización</w:t>
      </w:r>
      <w:r>
        <w:t>:</w:t>
      </w:r>
    </w:p>
    <w:p w14:paraId="03C4A79D" w14:textId="77777777" w:rsidR="000C073B" w:rsidRPr="009477A5" w:rsidRDefault="000C073B" w:rsidP="000C073B">
      <w:pPr>
        <w:pStyle w:val="Nivel2"/>
      </w:pPr>
      <w:r w:rsidRPr="00FE0B31">
        <w:rPr>
          <w:lang w:eastAsia="zh-CN" w:bidi="hi-IN"/>
        </w:rPr>
        <w:t xml:space="preserve">La rama de la teoría económica que estudia </w:t>
      </w:r>
      <w:r w:rsidRPr="009477A5">
        <w:rPr>
          <w:lang w:eastAsia="zh-CN" w:bidi="hi-IN"/>
        </w:rPr>
        <w:t>la intervención del Estado en la economía</w:t>
      </w:r>
      <w:r w:rsidRPr="00FE0B31">
        <w:rPr>
          <w:lang w:eastAsia="zh-CN" w:bidi="hi-IN"/>
        </w:rPr>
        <w:t xml:space="preserve">, los </w:t>
      </w:r>
      <w:r w:rsidRPr="009477A5">
        <w:rPr>
          <w:lang w:eastAsia="zh-CN" w:bidi="hi-IN"/>
        </w:rPr>
        <w:t>efectos de dicha intervención sobre el bienestar social</w:t>
      </w:r>
      <w:r w:rsidRPr="00FE0B31">
        <w:rPr>
          <w:lang w:eastAsia="zh-CN" w:bidi="hi-IN"/>
        </w:rPr>
        <w:t xml:space="preserve"> y la </w:t>
      </w:r>
      <w:r w:rsidRPr="009477A5">
        <w:rPr>
          <w:lang w:eastAsia="zh-CN" w:bidi="hi-IN"/>
        </w:rPr>
        <w:t>toma de decisiones del sector público</w:t>
      </w:r>
      <w:r w:rsidRPr="00FE0B31">
        <w:rPr>
          <w:lang w:eastAsia="zh-CN" w:bidi="hi-IN"/>
        </w:rPr>
        <w:t xml:space="preserve"> es la </w:t>
      </w:r>
      <w:r w:rsidRPr="009477A5">
        <w:rPr>
          <w:b/>
          <w:bCs/>
          <w:lang w:eastAsia="zh-CN" w:bidi="hi-IN"/>
        </w:rPr>
        <w:t>Teoría de la Hacienda Pública</w:t>
      </w:r>
      <w:r w:rsidRPr="00FE0B31">
        <w:rPr>
          <w:lang w:eastAsia="zh-CN" w:bidi="hi-IN"/>
        </w:rPr>
        <w:t xml:space="preserve"> o, como se le denomina cada vez con más frecuencia, la </w:t>
      </w:r>
      <w:r>
        <w:rPr>
          <w:b/>
          <w:bCs/>
          <w:lang w:eastAsia="zh-CN" w:bidi="hi-IN"/>
        </w:rPr>
        <w:t>e</w:t>
      </w:r>
      <w:r w:rsidRPr="009477A5">
        <w:rPr>
          <w:b/>
          <w:bCs/>
          <w:lang w:eastAsia="zh-CN" w:bidi="hi-IN"/>
        </w:rPr>
        <w:t xml:space="preserve">conomía </w:t>
      </w:r>
      <w:r>
        <w:rPr>
          <w:b/>
          <w:bCs/>
          <w:lang w:eastAsia="zh-CN" w:bidi="hi-IN"/>
        </w:rPr>
        <w:t>p</w:t>
      </w:r>
      <w:r w:rsidRPr="009477A5">
        <w:rPr>
          <w:b/>
          <w:bCs/>
          <w:lang w:eastAsia="zh-CN" w:bidi="hi-IN"/>
        </w:rPr>
        <w:t>ública</w:t>
      </w:r>
      <w:r w:rsidRPr="00FE0B31">
        <w:rPr>
          <w:lang w:eastAsia="zh-CN" w:bidi="hi-IN"/>
        </w:rPr>
        <w:t>.</w:t>
      </w:r>
    </w:p>
    <w:p w14:paraId="700298F2" w14:textId="77D71CD8" w:rsidR="009D35BA" w:rsidRDefault="009D35BA" w:rsidP="009D35BA">
      <w:pPr>
        <w:pStyle w:val="Nivel2"/>
        <w:keepNext/>
        <w:spacing w:after="0"/>
      </w:pPr>
      <w:r w:rsidRPr="00FE0B31">
        <w:rPr>
          <w:rFonts w:eastAsia="SimSun"/>
          <w:kern w:val="3"/>
          <w:lang w:eastAsia="zh-CN" w:bidi="hi-IN"/>
        </w:rPr>
        <w:t>Frente al laissez faire propugnado por los clásicos, la Economía del Bienestar abre la puerta a la intervención pública en la economía para corregir aquellas situaciones en las que el mercado no funciona de forma adecuada.</w:t>
      </w:r>
      <w:r>
        <w:rPr>
          <w:rFonts w:eastAsia="SimSun"/>
          <w:kern w:val="3"/>
          <w:lang w:eastAsia="zh-CN" w:bidi="hi-IN"/>
        </w:rPr>
        <w:t xml:space="preserve"> </w:t>
      </w:r>
      <w:r>
        <w:t xml:space="preserve">Para </w:t>
      </w:r>
      <w:r w:rsidRPr="006B58CD">
        <w:rPr>
          <w:smallCaps/>
        </w:rPr>
        <w:t>Musgrave</w:t>
      </w:r>
      <w:r>
        <w:t xml:space="preserve">, la intervención </w:t>
      </w:r>
      <w:r w:rsidRPr="0030527F">
        <w:rPr>
          <w:u w:val="single"/>
        </w:rPr>
        <w:t>se justifica</w:t>
      </w:r>
      <w:r>
        <w:t xml:space="preserve"> en base a tres motivos principales que originan a su vez las </w:t>
      </w:r>
      <w:r w:rsidRPr="00487BD2">
        <w:rPr>
          <w:b/>
          <w:bCs/>
        </w:rPr>
        <w:t>3 principales funciones del sector público</w:t>
      </w:r>
      <w:r>
        <w:t>:</w:t>
      </w:r>
    </w:p>
    <w:p w14:paraId="2EB27AFE" w14:textId="77777777" w:rsidR="009D35BA" w:rsidRDefault="009D35BA" w:rsidP="009D35BA">
      <w:pPr>
        <w:pStyle w:val="Prrafodelista"/>
        <w:keepNext/>
        <w:numPr>
          <w:ilvl w:val="0"/>
          <w:numId w:val="45"/>
        </w:numPr>
        <w:spacing w:after="0"/>
        <w:ind w:left="1702" w:hanging="284"/>
      </w:pPr>
      <w:r w:rsidRPr="00A31374">
        <w:rPr>
          <w:i/>
          <w:iCs/>
          <w:u w:val="single"/>
        </w:rPr>
        <w:t>Motivos de eficiencia</w:t>
      </w:r>
      <w:r>
        <w:t>: P</w:t>
      </w:r>
      <w:r w:rsidRPr="00FE0B31">
        <w:t xml:space="preserve">ara corregir fallos de mercado como la existencia de externalidades, bienes públicos, </w:t>
      </w:r>
      <w:proofErr w:type="gramStart"/>
      <w:r w:rsidRPr="00FE0B31">
        <w:t>información imperfecta o competencia imperfecta</w:t>
      </w:r>
      <w:proofErr w:type="gramEnd"/>
      <w:r>
        <w:t xml:space="preserve">. Es decir, en ejercicio de la </w:t>
      </w:r>
      <w:r>
        <w:rPr>
          <w:i/>
          <w:iCs/>
        </w:rPr>
        <w:t>función asignativa</w:t>
      </w:r>
      <w:r>
        <w:t>.</w:t>
      </w:r>
    </w:p>
    <w:p w14:paraId="10253E83" w14:textId="77777777" w:rsidR="009D35BA" w:rsidRPr="00FE0B31" w:rsidRDefault="009D35BA" w:rsidP="009D35BA">
      <w:pPr>
        <w:pStyle w:val="Prrafodelista"/>
        <w:keepNext/>
        <w:numPr>
          <w:ilvl w:val="0"/>
          <w:numId w:val="45"/>
        </w:numPr>
        <w:spacing w:after="0"/>
        <w:ind w:left="1702" w:hanging="284"/>
      </w:pPr>
      <w:r w:rsidRPr="00A31374">
        <w:rPr>
          <w:i/>
          <w:iCs/>
          <w:u w:val="single"/>
        </w:rPr>
        <w:t>Motivos de equidad</w:t>
      </w:r>
      <w:r>
        <w:t>: P</w:t>
      </w:r>
      <w:r w:rsidRPr="00FE0B31">
        <w:t>ara conseguir una redistribución más equitativa de la renta</w:t>
      </w:r>
      <w:r>
        <w:t xml:space="preserve">. Es decir, en ejercicio de la </w:t>
      </w:r>
      <w:r>
        <w:rPr>
          <w:i/>
          <w:iCs/>
        </w:rPr>
        <w:t>función redistributiva</w:t>
      </w:r>
      <w:r>
        <w:t>.</w:t>
      </w:r>
    </w:p>
    <w:p w14:paraId="7FDBF211" w14:textId="77777777" w:rsidR="009D35BA" w:rsidRDefault="009D35BA" w:rsidP="009D35BA">
      <w:pPr>
        <w:pStyle w:val="Prrafodelista"/>
        <w:keepNext/>
        <w:numPr>
          <w:ilvl w:val="0"/>
          <w:numId w:val="45"/>
        </w:numPr>
        <w:spacing w:after="0"/>
        <w:ind w:left="1702" w:hanging="284"/>
      </w:pPr>
      <w:r w:rsidRPr="005317AA">
        <w:rPr>
          <w:i/>
          <w:iCs/>
          <w:u w:val="single"/>
        </w:rPr>
        <w:t>Motivos de estabilización</w:t>
      </w:r>
      <w:r w:rsidRPr="005317AA">
        <w:t>:</w:t>
      </w:r>
      <w:r>
        <w:t xml:space="preserve"> P</w:t>
      </w:r>
      <w:r w:rsidRPr="00FE0B31">
        <w:t>ara conseguir una senda de crecimiento estable y reducir las fluctuaciones cíclicas de la economía.</w:t>
      </w:r>
      <w:r>
        <w:t xml:space="preserve"> Es decir, en ejercicio de la función estabilizadora.</w:t>
      </w:r>
    </w:p>
    <w:p w14:paraId="33E26525" w14:textId="77777777" w:rsidR="009D35BA" w:rsidRDefault="009D35BA" w:rsidP="009D35BA">
      <w:pPr>
        <w:pStyle w:val="Nivel4"/>
      </w:pPr>
      <w:r w:rsidRPr="005317AA">
        <w:t xml:space="preserve">Estas </w:t>
      </w:r>
      <w:r>
        <w:t>3 </w:t>
      </w:r>
      <w:r w:rsidRPr="005317AA">
        <w:t>funciones no han recibido siempre el mismo grado de atención. De hecho, hasta l</w:t>
      </w:r>
      <w:r>
        <w:t>os años </w:t>
      </w:r>
      <w:r w:rsidRPr="005317AA">
        <w:t xml:space="preserve">40 las </w:t>
      </w:r>
      <w:r w:rsidRPr="005317AA">
        <w:rPr>
          <w:i/>
          <w:iCs/>
        </w:rPr>
        <w:t>funciones redistributiva</w:t>
      </w:r>
      <w:r w:rsidRPr="005317AA">
        <w:t xml:space="preserve"> y </w:t>
      </w:r>
      <w:r w:rsidRPr="005317AA">
        <w:rPr>
          <w:i/>
          <w:iCs/>
        </w:rPr>
        <w:t>estabilizadora</w:t>
      </w:r>
      <w:r w:rsidRPr="005317AA">
        <w:t xml:space="preserve"> fueron, en cierto modo, desatendidas.</w:t>
      </w:r>
    </w:p>
    <w:p w14:paraId="0F4F16BC" w14:textId="77777777" w:rsidR="009D35BA" w:rsidRDefault="009D35BA" w:rsidP="009D35BA">
      <w:pPr>
        <w:pStyle w:val="Nivel4"/>
      </w:pPr>
      <w:r w:rsidRPr="005317AA">
        <w:t xml:space="preserve">Sin embargo, a partir de </w:t>
      </w:r>
      <w:r>
        <w:t>entonces</w:t>
      </w:r>
      <w:r w:rsidRPr="005317AA">
        <w:t xml:space="preserve">, con el auge del pensamiento </w:t>
      </w:r>
      <w:r>
        <w:t>k</w:t>
      </w:r>
      <w:r w:rsidRPr="005317AA">
        <w:t xml:space="preserve">eynesiano, tiene lugar en los </w:t>
      </w:r>
      <w:r>
        <w:t>países desarrollados</w:t>
      </w:r>
      <w:r w:rsidRPr="005317AA">
        <w:t xml:space="preserve"> el desarrollo del Estado del Bienestar.</w:t>
      </w:r>
    </w:p>
    <w:p w14:paraId="6827D90D" w14:textId="77777777" w:rsidR="009D35BA" w:rsidRDefault="009D35BA" w:rsidP="009D35BA">
      <w:pPr>
        <w:pStyle w:val="Nivel2"/>
        <w:keepNext/>
        <w:spacing w:after="0"/>
      </w:pPr>
      <w:r>
        <w:t>Para conseguir sus objetivos de eficiencia, equidad y estabilización el sector público actúa básicamente de 2 formas:</w:t>
      </w:r>
    </w:p>
    <w:p w14:paraId="5BBEAEBF" w14:textId="77777777" w:rsidR="009D35BA" w:rsidRDefault="009D35BA" w:rsidP="009D35BA">
      <w:pPr>
        <w:pStyle w:val="Nivel3"/>
      </w:pPr>
      <w:r w:rsidRPr="000A6812">
        <w:rPr>
          <w:i/>
          <w:iCs/>
        </w:rPr>
        <w:t>Actividades no financieras</w:t>
      </w:r>
      <w:r>
        <w:t xml:space="preserve">, como la regulación o la producción de bienes y servicios por </w:t>
      </w:r>
      <w:r w:rsidRPr="000A6812">
        <w:t>medio</w:t>
      </w:r>
      <w:r>
        <w:t xml:space="preserve"> de empresas públicas.</w:t>
      </w:r>
    </w:p>
    <w:p w14:paraId="3D42CC39" w14:textId="77777777" w:rsidR="009D35BA" w:rsidRPr="001742A5" w:rsidRDefault="009D35BA" w:rsidP="009D35BA">
      <w:pPr>
        <w:pStyle w:val="Nivel3"/>
        <w:keepNext/>
      </w:pPr>
      <w:r w:rsidRPr="000A6812">
        <w:rPr>
          <w:i/>
          <w:iCs/>
        </w:rPr>
        <w:t>Actividades financieras</w:t>
      </w:r>
      <w:r>
        <w:t>:</w:t>
      </w:r>
    </w:p>
    <w:p w14:paraId="46A183B1" w14:textId="77777777" w:rsidR="009D35BA" w:rsidRDefault="009D35BA" w:rsidP="009D35BA">
      <w:pPr>
        <w:pStyle w:val="Nivel4"/>
      </w:pPr>
      <w:r>
        <w:t>La realización de gastos asociados a las funciones del sector público.</w:t>
      </w:r>
    </w:p>
    <w:p w14:paraId="3D46071A" w14:textId="77777777" w:rsidR="009D35BA" w:rsidRDefault="009D35BA" w:rsidP="009D35BA">
      <w:pPr>
        <w:pStyle w:val="Nivel4"/>
      </w:pPr>
      <w:r>
        <w:t>La obtención de los ingresos necesarios para hacer frente a esos gastos.</w:t>
      </w:r>
    </w:p>
    <w:p w14:paraId="71AB46D9" w14:textId="77777777" w:rsidR="009D35BA" w:rsidRDefault="009D35BA" w:rsidP="009D35BA">
      <w:pPr>
        <w:pStyle w:val="Nivel1"/>
        <w:keepNext/>
        <w:spacing w:after="0"/>
      </w:pPr>
      <w:r>
        <w:rPr>
          <w:b/>
          <w:bCs/>
          <w:i/>
          <w:iCs/>
        </w:rPr>
        <w:t>Problemática</w:t>
      </w:r>
      <w:r>
        <w:t>:</w:t>
      </w:r>
    </w:p>
    <w:p w14:paraId="52C9EA7E" w14:textId="04F03CE2" w:rsidR="009D35BA" w:rsidRDefault="009D35BA" w:rsidP="009D35BA">
      <w:pPr>
        <w:pStyle w:val="Nivel2"/>
      </w:pPr>
      <w:r>
        <w:t>El objetivo de esta exposición ser</w:t>
      </w:r>
      <w:r w:rsidRPr="002C1D39">
        <w:t xml:space="preserve">á </w:t>
      </w:r>
      <w:r>
        <w:t xml:space="preserve">estudiar uno de los campos de análisis de la Economía Pública: </w:t>
      </w:r>
      <w:r w:rsidR="00861D57">
        <w:t>e</w:t>
      </w:r>
      <w:r>
        <w:t xml:space="preserve">l </w:t>
      </w:r>
      <w:r w:rsidR="00861D57">
        <w:t>g</w:t>
      </w:r>
      <w:r>
        <w:t xml:space="preserve">asto </w:t>
      </w:r>
      <w:r w:rsidR="00861D57">
        <w:t>p</w:t>
      </w:r>
      <w:r>
        <w:t>úblico.</w:t>
      </w:r>
    </w:p>
    <w:p w14:paraId="2735C0C3" w14:textId="77777777" w:rsidR="009D35BA" w:rsidRDefault="009D35BA" w:rsidP="009D35BA">
      <w:pPr>
        <w:pStyle w:val="Nivel1"/>
        <w:keepNext/>
        <w:spacing w:after="0"/>
      </w:pPr>
      <w:r>
        <w:rPr>
          <w:b/>
          <w:bCs/>
          <w:i/>
          <w:iCs/>
        </w:rPr>
        <w:lastRenderedPageBreak/>
        <w:t>Estructura</w:t>
      </w:r>
      <w:r>
        <w:t>:</w:t>
      </w:r>
    </w:p>
    <w:tbl>
      <w:tblPr>
        <w:tblStyle w:val="Tablaconcuadrcula"/>
        <w:tblW w:w="10205" w:type="dxa"/>
        <w:jc w:val="center"/>
        <w:tblLook w:val="04A0" w:firstRow="1" w:lastRow="0" w:firstColumn="1" w:lastColumn="0" w:noHBand="0" w:noVBand="1"/>
      </w:tblPr>
      <w:tblGrid>
        <w:gridCol w:w="10205"/>
      </w:tblGrid>
      <w:tr w:rsidR="009D35BA" w14:paraId="0460007D" w14:textId="77777777" w:rsidTr="00861D57">
        <w:trPr>
          <w:jc w:val="center"/>
          <w:hidden/>
        </w:trPr>
        <w:tc>
          <w:tcPr>
            <w:tcW w:w="10205"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2D7F9C29" w14:textId="71FF6298" w:rsidR="009D35BA" w:rsidRPr="00861D57" w:rsidRDefault="009D35BA" w:rsidP="00861D57">
      <w:pPr>
        <w:spacing w:after="0"/>
        <w:rPr>
          <w:sz w:val="2"/>
          <w:szCs w:val="2"/>
        </w:rPr>
      </w:pPr>
      <w:r w:rsidRPr="00861D57">
        <w:rPr>
          <w:sz w:val="2"/>
          <w:szCs w:val="2"/>
        </w:rPr>
        <w:br w:type="page"/>
      </w:r>
    </w:p>
    <w:p w14:paraId="6CBF2E19" w14:textId="7D976EEE" w:rsidR="00A73216" w:rsidRPr="00322C75" w:rsidRDefault="0033735C" w:rsidP="00322C75">
      <w:pPr>
        <w:pStyle w:val="Ttulo1"/>
      </w:pPr>
      <w:bookmarkStart w:id="4" w:name="_Toc150975404"/>
      <w:r>
        <w:lastRenderedPageBreak/>
        <w:t>INTRODUCCIÓN AL GASTO PÚBLICO</w:t>
      </w:r>
      <w:r w:rsidR="004D6896">
        <w:t>.</w:t>
      </w:r>
      <w:r w:rsidR="004D6896">
        <w:br/>
        <w:t>CARACTERIZACIÓN Y CLASIFICACIÓN DEL GASTO PÚBLICO.</w:t>
      </w:r>
      <w:bookmarkEnd w:id="4"/>
    </w:p>
    <w:p w14:paraId="43BB18BC" w14:textId="4886A044" w:rsidR="0033735C" w:rsidRPr="00322C75" w:rsidRDefault="004D6896" w:rsidP="0038092E">
      <w:pPr>
        <w:pStyle w:val="Ttulo2"/>
      </w:pPr>
      <w:bookmarkStart w:id="5" w:name="_Toc150975405"/>
      <w:r>
        <w:t>Delimitación: ¿qué es gasto público?</w:t>
      </w:r>
      <w:bookmarkEnd w:id="5"/>
    </w:p>
    <w:p w14:paraId="35586E04" w14:textId="5A909F09" w:rsidR="005B3D06" w:rsidRDefault="009F22A0" w:rsidP="005B3D06">
      <w:pPr>
        <w:pStyle w:val="Nivel1SM"/>
        <w:keepNext/>
        <w:spacing w:before="0" w:after="0"/>
      </w:pPr>
      <w:r>
        <w:t xml:space="preserve">Vamos a considerar </w:t>
      </w:r>
      <w:r w:rsidRPr="005B3D06">
        <w:rPr>
          <w:b/>
          <w:bCs/>
        </w:rPr>
        <w:t>gasto público</w:t>
      </w:r>
      <w:r w:rsidR="005B3D06">
        <w:t xml:space="preserve">, como aquel gasto </w:t>
      </w:r>
      <w:r>
        <w:t xml:space="preserve">realizado por las </w:t>
      </w:r>
      <w:r w:rsidR="00405ED8">
        <w:t>Administraciones Públicas</w:t>
      </w:r>
      <w:r>
        <w:t>.</w:t>
      </w:r>
    </w:p>
    <w:p w14:paraId="3FCA9DB4" w14:textId="4FD636D6" w:rsidR="000E1D84" w:rsidRDefault="009F22A0" w:rsidP="00280860">
      <w:pPr>
        <w:pStyle w:val="Nivel2SM"/>
        <w:keepNext/>
        <w:spacing w:after="0"/>
      </w:pPr>
      <w:r>
        <w:t>Por ello</w:t>
      </w:r>
      <w:r w:rsidR="000F7F7E">
        <w:t>,</w:t>
      </w:r>
      <w:r>
        <w:t xml:space="preserve"> comenzaremos delimitando el </w:t>
      </w:r>
      <w:r w:rsidR="005B3D06">
        <w:t>sector público</w:t>
      </w:r>
      <w:r>
        <w:t xml:space="preserve"> </w:t>
      </w:r>
      <w:r w:rsidRPr="00405ED8">
        <w:rPr>
          <w:i/>
          <w:iCs/>
        </w:rPr>
        <w:t>desde un punto de vista contable</w:t>
      </w:r>
      <w:r w:rsidR="00080E0D" w:rsidRPr="00405ED8">
        <w:rPr>
          <w:spacing w:val="-4"/>
        </w:rPr>
        <w:t>, ha</w:t>
      </w:r>
      <w:r w:rsidR="00405ED8" w:rsidRPr="00405ED8">
        <w:rPr>
          <w:spacing w:val="-4"/>
        </w:rPr>
        <w:t>ciendo</w:t>
      </w:r>
      <w:r w:rsidR="00080E0D" w:rsidRPr="00405ED8">
        <w:rPr>
          <w:spacing w:val="-4"/>
        </w:rPr>
        <w:t xml:space="preserve"> referencia al Sistema Europeo de Cuentas (SEC)</w:t>
      </w:r>
      <w:r w:rsidR="00DB02FC" w:rsidRPr="00405ED8">
        <w:rPr>
          <w:spacing w:val="-4"/>
        </w:rPr>
        <w:t>, versión europea del SCN elaborado por la ONU</w:t>
      </w:r>
      <w:r w:rsidR="00080E0D" w:rsidRPr="00405ED8">
        <w:rPr>
          <w:spacing w:val="-4"/>
        </w:rPr>
        <w:t>.</w:t>
      </w:r>
      <w:r w:rsidR="00405ED8">
        <w:rPr>
          <w:spacing w:val="-4"/>
        </w:rPr>
        <w:t xml:space="preserve"> </w:t>
      </w:r>
      <w:r w:rsidR="00DB02FC" w:rsidRPr="00DB02FC">
        <w:t>Así</w:t>
      </w:r>
      <w:r w:rsidR="000E1D84">
        <w:t xml:space="preserve">, </w:t>
      </w:r>
      <w:r w:rsidR="000E1D84" w:rsidRPr="00C96D3C">
        <w:t>una unidad institucional pertenece al S</w:t>
      </w:r>
      <w:r w:rsidR="000E1D84">
        <w:t xml:space="preserve">ector </w:t>
      </w:r>
      <w:r w:rsidR="000E1D84" w:rsidRPr="00C96D3C">
        <w:t>P</w:t>
      </w:r>
      <w:r w:rsidR="000E1D84">
        <w:t xml:space="preserve">úblico </w:t>
      </w:r>
      <w:r w:rsidR="000E1D84" w:rsidRPr="00405ED8">
        <w:rPr>
          <w:i/>
          <w:iCs/>
        </w:rPr>
        <w:t>si puede clasificarse bajo 2 tipos de organizaciones</w:t>
      </w:r>
      <w:r w:rsidR="000E1D84">
        <w:rPr>
          <w:rStyle w:val="Refdenotaalpie"/>
        </w:rPr>
        <w:footnoteReference w:id="6"/>
      </w:r>
      <w:r w:rsidR="000E1D84" w:rsidRPr="00405ED8">
        <w:rPr>
          <w:rFonts w:cs="Times New Roman"/>
          <w:bCs/>
          <w:vertAlign w:val="superscript"/>
        </w:rPr>
        <w:t>,</w:t>
      </w:r>
      <w:r w:rsidR="000E1D84" w:rsidRPr="000E46DE">
        <w:rPr>
          <w:vertAlign w:val="superscript"/>
        </w:rPr>
        <w:footnoteReference w:id="7"/>
      </w:r>
      <w:r w:rsidR="000E1D84">
        <w:t>:</w:t>
      </w:r>
    </w:p>
    <w:p w14:paraId="5B10C9B9" w14:textId="77777777" w:rsidR="000E1D84" w:rsidRDefault="000E1D84" w:rsidP="000E1D84">
      <w:pPr>
        <w:pStyle w:val="Prrafodelista"/>
        <w:numPr>
          <w:ilvl w:val="0"/>
          <w:numId w:val="46"/>
        </w:numPr>
        <w:spacing w:after="0"/>
        <w:ind w:left="1134" w:hanging="113"/>
      </w:pPr>
      <w:r w:rsidRPr="007A6659">
        <w:rPr>
          <w:i/>
          <w:iCs/>
          <w:u w:val="single"/>
        </w:rPr>
        <w:t>Administraciones Públicas (AAPP)</w:t>
      </w:r>
      <w:r>
        <w:t>.</w:t>
      </w:r>
    </w:p>
    <w:p w14:paraId="2E17950D" w14:textId="77777777" w:rsidR="000E1D84" w:rsidRDefault="000E1D84" w:rsidP="00405ED8">
      <w:pPr>
        <w:pStyle w:val="Prrafodelista"/>
        <w:keepNext/>
        <w:numPr>
          <w:ilvl w:val="0"/>
          <w:numId w:val="46"/>
        </w:numPr>
        <w:spacing w:after="0"/>
        <w:ind w:left="1134" w:hanging="113"/>
      </w:pPr>
      <w:r w:rsidRPr="007A6659">
        <w:rPr>
          <w:i/>
          <w:iCs/>
          <w:u w:val="single"/>
        </w:rPr>
        <w:t>Sector Público empresarial</w:t>
      </w:r>
      <w:r>
        <w:t>.</w:t>
      </w:r>
    </w:p>
    <w:p w14:paraId="6FBF7C4D" w14:textId="4DA464EC" w:rsidR="00405ED8" w:rsidRDefault="00405ED8" w:rsidP="00405ED8">
      <w:pPr>
        <w:pStyle w:val="Nivel4"/>
        <w:ind w:left="1474"/>
      </w:pPr>
      <w:r>
        <w:t xml:space="preserve">En cualquier caso, en esta exposición nos centraremos en el </w:t>
      </w:r>
      <w:r w:rsidRPr="00405ED8">
        <w:rPr>
          <w:i/>
          <w:iCs/>
        </w:rPr>
        <w:t>gasto público de las AAPP</w:t>
      </w:r>
      <w:r>
        <w:t xml:space="preserve"> (i.e. sin considerar el gasto de las empresas públicas).</w:t>
      </w:r>
    </w:p>
    <w:p w14:paraId="7A8D8EAB" w14:textId="0FA2430F" w:rsidR="00405ED8" w:rsidRDefault="00405ED8" w:rsidP="0089149E">
      <w:pPr>
        <w:pStyle w:val="Ttulo6"/>
      </w:pPr>
      <w:bookmarkStart w:id="6" w:name="_Toc150975406"/>
      <w:r>
        <w:t>Administraciones públicas (AAPP)</w:t>
      </w:r>
      <w:bookmarkEnd w:id="6"/>
    </w:p>
    <w:p w14:paraId="6B63AF4C" w14:textId="7DDB9C17" w:rsidR="000E1D84" w:rsidRDefault="00405ED8" w:rsidP="00405ED8">
      <w:pPr>
        <w:pStyle w:val="Nivel2SM"/>
        <w:keepNext/>
        <w:spacing w:after="0"/>
      </w:pPr>
      <w:r w:rsidRPr="00405ED8">
        <w:t>Según e</w:t>
      </w:r>
      <w:r w:rsidR="000E1D84" w:rsidRPr="00405ED8">
        <w:t>l SEC</w:t>
      </w:r>
      <w:r>
        <w:t xml:space="preserve">, podemos definir las </w:t>
      </w:r>
      <w:r w:rsidRPr="008674E8">
        <w:rPr>
          <w:b/>
          <w:bCs/>
        </w:rPr>
        <w:t>administraciones públicas</w:t>
      </w:r>
      <w:r>
        <w:t xml:space="preserve"> (S.13) como aquellas unidades institucionales</w:t>
      </w:r>
      <w:r w:rsidR="000E1D84">
        <w:t>:</w:t>
      </w:r>
    </w:p>
    <w:p w14:paraId="06789DEE" w14:textId="77777777" w:rsidR="008D304B" w:rsidRDefault="008D304B" w:rsidP="008D304B">
      <w:pPr>
        <w:pStyle w:val="Nivel3SM"/>
      </w:pPr>
      <w:r>
        <w:t xml:space="preserve">Cuya </w:t>
      </w:r>
      <w:r w:rsidRPr="009A7104">
        <w:rPr>
          <w:i/>
          <w:iCs/>
          <w:u w:val="single"/>
        </w:rPr>
        <w:t>función principal</w:t>
      </w:r>
      <w:r w:rsidRPr="00A9141C">
        <w:t xml:space="preserve"> es </w:t>
      </w:r>
      <w:r w:rsidRPr="009A7104">
        <w:rPr>
          <w:i/>
          <w:iCs/>
        </w:rPr>
        <w:t>producir bienes y servicios no de mercado para consumo individual y colectivo</w:t>
      </w:r>
      <w:r w:rsidRPr="00D82241">
        <w:t xml:space="preserve"> y </w:t>
      </w:r>
      <w:r w:rsidRPr="009A7104">
        <w:rPr>
          <w:i/>
          <w:iCs/>
        </w:rPr>
        <w:t>efectuar operaciones de redistribución de la renta y la riqueza</w:t>
      </w:r>
      <w:r>
        <w:rPr>
          <w:i/>
          <w:iCs/>
        </w:rPr>
        <w:t xml:space="preserve"> nacional</w:t>
      </w:r>
      <w:r>
        <w:t>.</w:t>
      </w:r>
    </w:p>
    <w:p w14:paraId="5C4F7552" w14:textId="77777777" w:rsidR="008D304B" w:rsidRDefault="008D304B" w:rsidP="008D304B">
      <w:pPr>
        <w:pStyle w:val="Nivel3SM"/>
      </w:pPr>
      <w:r>
        <w:t>P</w:t>
      </w:r>
      <w:r w:rsidRPr="001B647C">
        <w:t xml:space="preserve">rocediendo sus </w:t>
      </w:r>
      <w:r w:rsidRPr="009A7104">
        <w:rPr>
          <w:i/>
          <w:iCs/>
          <w:u w:val="single"/>
        </w:rPr>
        <w:t>recursos</w:t>
      </w:r>
      <w:r w:rsidRPr="001B647C">
        <w:t xml:space="preserve"> de </w:t>
      </w:r>
      <w:r w:rsidRPr="009A7104">
        <w:rPr>
          <w:i/>
          <w:iCs/>
        </w:rPr>
        <w:t xml:space="preserve">pagos obligatorios efectuados por los diferentes sectores </w:t>
      </w:r>
      <w:r w:rsidRPr="009A7104">
        <w:t>(hogares, empresas, instituciones sin fin de lucro)</w:t>
      </w:r>
      <w:r w:rsidRPr="001B647C">
        <w:t>.</w:t>
      </w:r>
    </w:p>
    <w:p w14:paraId="04462ED6" w14:textId="77777777" w:rsidR="000E1D84" w:rsidRDefault="000E1D84" w:rsidP="000E1D84">
      <w:pPr>
        <w:pStyle w:val="Nivel2SM"/>
        <w:keepNext/>
        <w:spacing w:after="0"/>
      </w:pPr>
      <w:r w:rsidRPr="00D82030">
        <w:t>De acuerdo con la C</w:t>
      </w:r>
      <w:r>
        <w:t xml:space="preserve">ontabilidad </w:t>
      </w:r>
      <w:r w:rsidRPr="00D82030">
        <w:t>N</w:t>
      </w:r>
      <w:r>
        <w:t>acional</w:t>
      </w:r>
      <w:r w:rsidRPr="00D82030">
        <w:t xml:space="preserve"> en España </w:t>
      </w:r>
      <w:r w:rsidRPr="00E26905">
        <w:rPr>
          <w:u w:val="single"/>
        </w:rPr>
        <w:t>las AAPP se subdividen en</w:t>
      </w:r>
      <w:r>
        <w:t>:</w:t>
      </w:r>
    </w:p>
    <w:p w14:paraId="137F7108" w14:textId="77777777" w:rsidR="000E1D84" w:rsidRDefault="000E1D84" w:rsidP="000E1D84">
      <w:pPr>
        <w:pStyle w:val="Prrafodelista"/>
        <w:keepNext/>
        <w:numPr>
          <w:ilvl w:val="0"/>
          <w:numId w:val="47"/>
        </w:numPr>
        <w:spacing w:after="0"/>
        <w:ind w:left="993" w:hanging="284"/>
        <w:rPr>
          <w:lang w:eastAsia="zh-CN" w:bidi="hi-IN"/>
        </w:rPr>
      </w:pPr>
      <w:r w:rsidRPr="00E65A52">
        <w:rPr>
          <w:i/>
          <w:iCs/>
          <w:u w:val="single"/>
          <w:lang w:eastAsia="zh-CN" w:bidi="hi-IN"/>
        </w:rPr>
        <w:t>Administración Central</w:t>
      </w:r>
      <w:r>
        <w:rPr>
          <w:lang w:eastAsia="zh-CN" w:bidi="hi-IN"/>
        </w:rPr>
        <w:t>: Agrupa todos los órganos del Estado y OO.AA. cuya competencia se extiende sobre todo el territorio nacional, con excepción de las administraciones centrales de la Seguridad Social.</w:t>
      </w:r>
    </w:p>
    <w:p w14:paraId="1B1FF69B" w14:textId="2BCD8C24" w:rsidR="000E1D84" w:rsidRPr="0085578B" w:rsidRDefault="000E1D84" w:rsidP="000E1D84">
      <w:pPr>
        <w:pStyle w:val="Nivel4"/>
        <w:ind w:left="1474"/>
        <w:rPr>
          <w:lang w:bidi="hi-IN"/>
        </w:rPr>
      </w:pPr>
      <w:r w:rsidRPr="0085578B">
        <w:rPr>
          <w:i/>
          <w:iCs/>
          <w:lang w:eastAsia="zh-CN" w:bidi="hi-IN"/>
        </w:rPr>
        <w:t>Administración</w:t>
      </w:r>
      <w:r w:rsidRPr="0085578B">
        <w:rPr>
          <w:i/>
          <w:iCs/>
          <w:lang w:bidi="hi-IN"/>
        </w:rPr>
        <w:t xml:space="preserve"> Central del Estado</w:t>
      </w:r>
      <w:r w:rsidRPr="0085578B">
        <w:rPr>
          <w:lang w:bidi="hi-IN"/>
        </w:rPr>
        <w:t>:</w:t>
      </w:r>
      <w:r w:rsidRPr="0085578B">
        <w:t xml:space="preserve"> </w:t>
      </w:r>
      <w:r w:rsidR="00E669C3" w:rsidRPr="0085578B">
        <w:rPr>
          <w:lang w:bidi="hi-IN"/>
        </w:rPr>
        <w:t>Gobierno</w:t>
      </w:r>
      <w:r w:rsidR="00E669C3">
        <w:rPr>
          <w:lang w:bidi="hi-IN"/>
        </w:rPr>
        <w:t xml:space="preserve"> y órganos constitucionales</w:t>
      </w:r>
      <w:r w:rsidR="00E669C3" w:rsidRPr="0085578B">
        <w:rPr>
          <w:lang w:bidi="hi-IN"/>
        </w:rPr>
        <w:t xml:space="preserve"> </w:t>
      </w:r>
      <w:r w:rsidR="00E669C3" w:rsidRPr="00E669C3">
        <w:rPr>
          <w:sz w:val="19"/>
          <w:szCs w:val="19"/>
          <w:lang w:bidi="hi-IN"/>
        </w:rPr>
        <w:t>(</w:t>
      </w:r>
      <w:r w:rsidRPr="00E669C3">
        <w:rPr>
          <w:sz w:val="19"/>
          <w:szCs w:val="19"/>
          <w:lang w:bidi="hi-IN"/>
        </w:rPr>
        <w:t>Cortes Generales, Casa del Rey, Tribunal Constitucional, CGPJ, etc.</w:t>
      </w:r>
      <w:r w:rsidR="00E669C3" w:rsidRPr="00E669C3">
        <w:rPr>
          <w:sz w:val="19"/>
          <w:szCs w:val="19"/>
          <w:lang w:bidi="hi-IN"/>
        </w:rPr>
        <w:t>)</w:t>
      </w:r>
      <w:r w:rsidR="00E669C3">
        <w:rPr>
          <w:lang w:bidi="hi-IN"/>
        </w:rPr>
        <w:t>.</w:t>
      </w:r>
    </w:p>
    <w:p w14:paraId="344462B7" w14:textId="10034FEA" w:rsidR="000E1D84" w:rsidRPr="0085578B" w:rsidRDefault="000E1D84" w:rsidP="000E1D84">
      <w:pPr>
        <w:pStyle w:val="Nivel4"/>
        <w:ind w:left="1474"/>
        <w:rPr>
          <w:lang w:bidi="hi-IN"/>
        </w:rPr>
      </w:pPr>
      <w:r w:rsidRPr="0085578B">
        <w:rPr>
          <w:i/>
          <w:iCs/>
          <w:lang w:bidi="hi-IN"/>
        </w:rPr>
        <w:t>Organismos Autónomos (OO.AA.)</w:t>
      </w:r>
      <w:r w:rsidRPr="0085578B">
        <w:rPr>
          <w:lang w:bidi="hi-IN"/>
        </w:rPr>
        <w:t>:</w:t>
      </w:r>
      <w:r w:rsidRPr="0085578B">
        <w:t xml:space="preserve"> </w:t>
      </w:r>
      <w:r w:rsidR="00E669C3">
        <w:t xml:space="preserve">Organismos extrapresupuestarios y otras entidades vinculadas a la administración central </w:t>
      </w:r>
      <w:r w:rsidR="00E669C3" w:rsidRPr="00E669C3">
        <w:rPr>
          <w:sz w:val="19"/>
          <w:szCs w:val="19"/>
        </w:rPr>
        <w:t>(</w:t>
      </w:r>
      <w:r w:rsidRPr="00E669C3">
        <w:rPr>
          <w:sz w:val="19"/>
          <w:szCs w:val="19"/>
          <w:lang w:bidi="hi-IN"/>
        </w:rPr>
        <w:t>SEPE, INE, INAP, etc.</w:t>
      </w:r>
      <w:r w:rsidR="00E669C3" w:rsidRPr="00E669C3">
        <w:rPr>
          <w:sz w:val="19"/>
          <w:szCs w:val="19"/>
          <w:lang w:bidi="hi-IN"/>
        </w:rPr>
        <w:t>)</w:t>
      </w:r>
      <w:r w:rsidR="00E669C3">
        <w:rPr>
          <w:lang w:bidi="hi-IN"/>
        </w:rPr>
        <w:t>.</w:t>
      </w:r>
    </w:p>
    <w:p w14:paraId="3E8BC81E" w14:textId="0E3F8409" w:rsidR="000E1D84" w:rsidRPr="00C23902" w:rsidRDefault="000E1D84" w:rsidP="000E1D84">
      <w:pPr>
        <w:pStyle w:val="Nivel4"/>
        <w:ind w:left="1474"/>
        <w:rPr>
          <w:lang w:eastAsia="zh-CN" w:bidi="hi-IN"/>
        </w:rPr>
      </w:pPr>
      <w:r w:rsidRPr="0085578B">
        <w:rPr>
          <w:i/>
          <w:iCs/>
          <w:lang w:bidi="hi-IN"/>
        </w:rPr>
        <w:t>Otr</w:t>
      </w:r>
      <w:r w:rsidR="00505666">
        <w:rPr>
          <w:i/>
          <w:iCs/>
          <w:lang w:bidi="hi-IN"/>
        </w:rPr>
        <w:t>os entes públicos</w:t>
      </w:r>
      <w:r w:rsidRPr="0085578B">
        <w:rPr>
          <w:lang w:bidi="hi-IN"/>
        </w:rPr>
        <w:t>:</w:t>
      </w:r>
      <w:r w:rsidRPr="0085578B">
        <w:t xml:space="preserve"> </w:t>
      </w:r>
      <w:r>
        <w:rPr>
          <w:lang w:eastAsia="zh-CN" w:bidi="hi-IN"/>
        </w:rPr>
        <w:t xml:space="preserve">INE, ICEX, CNMC, AECID, </w:t>
      </w:r>
      <w:r w:rsidRPr="00C23902">
        <w:rPr>
          <w:lang w:eastAsia="zh-CN" w:bidi="hi-IN"/>
        </w:rPr>
        <w:t xml:space="preserve">la DGT, </w:t>
      </w:r>
      <w:r>
        <w:rPr>
          <w:lang w:eastAsia="zh-CN" w:bidi="hi-IN"/>
        </w:rPr>
        <w:t xml:space="preserve">Museo del Prado, </w:t>
      </w:r>
      <w:r w:rsidRPr="00C23902">
        <w:rPr>
          <w:lang w:eastAsia="zh-CN" w:bidi="hi-IN"/>
        </w:rPr>
        <w:t>etc.</w:t>
      </w:r>
    </w:p>
    <w:p w14:paraId="1389053C" w14:textId="77777777" w:rsidR="000E1D84" w:rsidRDefault="000E1D84" w:rsidP="000E1D84">
      <w:pPr>
        <w:pStyle w:val="Prrafodelista"/>
        <w:numPr>
          <w:ilvl w:val="0"/>
          <w:numId w:val="47"/>
        </w:numPr>
        <w:spacing w:after="0"/>
        <w:ind w:left="993" w:hanging="284"/>
        <w:rPr>
          <w:lang w:eastAsia="zh-CN" w:bidi="hi-IN"/>
        </w:rPr>
      </w:pPr>
      <w:r w:rsidRPr="00E65A52">
        <w:rPr>
          <w:i/>
          <w:iCs/>
          <w:u w:val="single"/>
          <w:lang w:eastAsia="zh-CN" w:bidi="hi-IN"/>
        </w:rPr>
        <w:t>Administraciones territoriales</w:t>
      </w:r>
      <w:r w:rsidRPr="00C23902">
        <w:rPr>
          <w:lang w:eastAsia="zh-CN" w:bidi="hi-IN"/>
        </w:rPr>
        <w:t>:</w:t>
      </w:r>
      <w:r>
        <w:rPr>
          <w:lang w:eastAsia="zh-CN" w:bidi="hi-IN"/>
        </w:rPr>
        <w:t xml:space="preserve"> C</w:t>
      </w:r>
      <w:r w:rsidRPr="00657EDC">
        <w:rPr>
          <w:lang w:eastAsia="zh-CN" w:bidi="hi-IN"/>
        </w:rPr>
        <w:t>uya competencia se limita a una parte del territorio nacional</w:t>
      </w:r>
      <w:r>
        <w:rPr>
          <w:lang w:eastAsia="zh-CN" w:bidi="hi-IN"/>
        </w:rPr>
        <w:t xml:space="preserve"> (</w:t>
      </w:r>
      <w:r w:rsidRPr="00C23902">
        <w:rPr>
          <w:lang w:eastAsia="zh-CN" w:bidi="hi-IN"/>
        </w:rPr>
        <w:t>C</w:t>
      </w:r>
      <w:r>
        <w:rPr>
          <w:lang w:eastAsia="zh-CN" w:bidi="hi-IN"/>
        </w:rPr>
        <w:t>omunidades Autónomas (CCAA)</w:t>
      </w:r>
      <w:r w:rsidRPr="00C23902">
        <w:rPr>
          <w:lang w:eastAsia="zh-CN" w:bidi="hi-IN"/>
        </w:rPr>
        <w:t xml:space="preserve"> y </w:t>
      </w:r>
      <w:r>
        <w:rPr>
          <w:lang w:eastAsia="zh-CN" w:bidi="hi-IN"/>
        </w:rPr>
        <w:t>Corporaciones Locales (CCLL))</w:t>
      </w:r>
      <w:r w:rsidRPr="00657EDC">
        <w:rPr>
          <w:lang w:eastAsia="zh-CN" w:bidi="hi-IN"/>
        </w:rPr>
        <w:t>.</w:t>
      </w:r>
    </w:p>
    <w:p w14:paraId="0A9A9C93" w14:textId="76B1563E" w:rsidR="000E1D84" w:rsidRPr="00776835" w:rsidRDefault="000E1D84" w:rsidP="000E1D84">
      <w:pPr>
        <w:pStyle w:val="Prrafodelista"/>
        <w:keepNext/>
        <w:numPr>
          <w:ilvl w:val="0"/>
          <w:numId w:val="47"/>
        </w:numPr>
        <w:spacing w:after="0"/>
        <w:ind w:left="993" w:hanging="284"/>
        <w:rPr>
          <w:spacing w:val="-5"/>
        </w:rPr>
      </w:pPr>
      <w:r w:rsidRPr="00776835">
        <w:rPr>
          <w:i/>
          <w:iCs/>
          <w:spacing w:val="-5"/>
          <w:u w:val="single"/>
          <w:lang w:eastAsia="zh-CN" w:bidi="hi-IN"/>
        </w:rPr>
        <w:t>Administraciones de la Seguridad Social</w:t>
      </w:r>
      <w:r w:rsidRPr="00776835">
        <w:rPr>
          <w:spacing w:val="-5"/>
          <w:lang w:eastAsia="zh-CN" w:bidi="hi-IN"/>
        </w:rPr>
        <w:t>: Incluyen unidades institucionales centrales, autonómicas y locales cuya actividad principal consiste en realizar prestaciones sociales y cuyos recursos principales son las cotizaciones sociales obligatorias que recibe de otros sectores.</w:t>
      </w:r>
    </w:p>
    <w:p w14:paraId="4F732D37" w14:textId="079F28D7" w:rsidR="00080E0D" w:rsidRPr="00776835" w:rsidRDefault="00776835" w:rsidP="000E1D84">
      <w:pPr>
        <w:pStyle w:val="Nivel4"/>
        <w:ind w:left="1474"/>
        <w:rPr>
          <w:spacing w:val="-4"/>
        </w:rPr>
      </w:pPr>
      <w:r w:rsidRPr="00776835">
        <w:rPr>
          <w:spacing w:val="-4"/>
          <w:lang w:eastAsia="zh-CN" w:bidi="hi-IN"/>
        </w:rPr>
        <w:t>De acuerdo con el artículo 66 del RDL 8/2015, que es la principal norma reguladora del sistema de la SS en España, sus entidades gestoras son el Instituto Nacional de la Seguridad Social (INSS), el Instituto Nacional de Gestión Sanitaria y el IMSERSO. Además de estas, existen también otras entidades gestoras que desempeñan funciones relacionadas con la SS, como el SEPE (antiguo INEM) o el Instituto Social de la Marina.</w:t>
      </w:r>
    </w:p>
    <w:p w14:paraId="3F28F2D1" w14:textId="77777777" w:rsidR="000E1D84" w:rsidRDefault="000E1D84" w:rsidP="0089149E">
      <w:pPr>
        <w:pStyle w:val="Ttulo6"/>
      </w:pPr>
      <w:bookmarkStart w:id="7" w:name="_Toc146266643"/>
      <w:bookmarkStart w:id="8" w:name="_Toc150975407"/>
      <w:r w:rsidRPr="009D262B">
        <w:lastRenderedPageBreak/>
        <w:t>S</w:t>
      </w:r>
      <w:r>
        <w:t xml:space="preserve">ector </w:t>
      </w:r>
      <w:r w:rsidRPr="009D262B">
        <w:t>P</w:t>
      </w:r>
      <w:r>
        <w:t>úblico</w:t>
      </w:r>
      <w:r w:rsidRPr="009D262B">
        <w:t xml:space="preserve"> Empresarial</w:t>
      </w:r>
      <w:bookmarkEnd w:id="7"/>
      <w:bookmarkEnd w:id="8"/>
    </w:p>
    <w:p w14:paraId="20F80C2D" w14:textId="2122D1E4" w:rsidR="000E1D84" w:rsidRDefault="008674E8" w:rsidP="000E1D84">
      <w:pPr>
        <w:pStyle w:val="Nivel2SM"/>
        <w:keepNext/>
        <w:spacing w:after="0"/>
      </w:pPr>
      <w:r w:rsidRPr="008674E8">
        <w:t>Por su parte, según el SEC,</w:t>
      </w:r>
      <w:r>
        <w:t xml:space="preserve"> </w:t>
      </w:r>
      <w:r w:rsidR="000F7F7E">
        <w:t>e</w:t>
      </w:r>
      <w:r>
        <w:t xml:space="preserve">l </w:t>
      </w:r>
      <w:r w:rsidRPr="00A9141C">
        <w:rPr>
          <w:b/>
          <w:bCs/>
        </w:rPr>
        <w:t>sector público empresarial</w:t>
      </w:r>
      <w:r w:rsidRPr="005E0F01">
        <w:t xml:space="preserve"> </w:t>
      </w:r>
      <w:r>
        <w:t>(S.11 y S.12) está compuesto por aquellas unidades institucionales:</w:t>
      </w:r>
    </w:p>
    <w:p w14:paraId="4EB665C2" w14:textId="77777777" w:rsidR="000E1D84" w:rsidRDefault="000E1D84" w:rsidP="008674E8">
      <w:pPr>
        <w:pStyle w:val="Nivel3SM"/>
      </w:pPr>
      <w:r>
        <w:t xml:space="preserve">Cuya </w:t>
      </w:r>
      <w:r w:rsidRPr="008674E8">
        <w:rPr>
          <w:i/>
          <w:iCs/>
          <w:u w:val="single"/>
        </w:rPr>
        <w:t>función principal</w:t>
      </w:r>
      <w:r w:rsidRPr="00A9141C">
        <w:t xml:space="preserve"> es la </w:t>
      </w:r>
      <w:r w:rsidRPr="008674E8">
        <w:rPr>
          <w:i/>
          <w:iCs/>
        </w:rPr>
        <w:t>producción de bienes y servicios que posteriormente venden en el mercado, o que suministran directamente financiándolos mediante impuestos</w:t>
      </w:r>
      <w:r>
        <w:rPr>
          <w:rStyle w:val="Refdenotaalpie"/>
        </w:rPr>
        <w:footnoteReference w:id="8"/>
      </w:r>
      <w:r>
        <w:t>.</w:t>
      </w:r>
    </w:p>
    <w:p w14:paraId="466AAE79" w14:textId="77777777" w:rsidR="000E1D84" w:rsidRDefault="000E1D84" w:rsidP="008674E8">
      <w:pPr>
        <w:pStyle w:val="Nivel3SM"/>
      </w:pPr>
      <w:r>
        <w:t xml:space="preserve">Procediendo sus </w:t>
      </w:r>
      <w:r w:rsidRPr="008674E8">
        <w:rPr>
          <w:i/>
          <w:iCs/>
          <w:u w:val="single"/>
        </w:rPr>
        <w:t>recursos</w:t>
      </w:r>
      <w:r>
        <w:t xml:space="preserve"> de </w:t>
      </w:r>
      <w:r w:rsidRPr="008674E8">
        <w:rPr>
          <w:i/>
          <w:iCs/>
        </w:rPr>
        <w:t>sus ventas y suponiendo estos al menos el 50 % de sus costes de producción</w:t>
      </w:r>
      <w:r>
        <w:t>.</w:t>
      </w:r>
    </w:p>
    <w:p w14:paraId="05B4407C" w14:textId="77777777" w:rsidR="000E1D84" w:rsidRDefault="000E1D84" w:rsidP="008674E8">
      <w:pPr>
        <w:pStyle w:val="Nivel3SM"/>
        <w:keepNext/>
      </w:pPr>
      <w:r>
        <w:t>Hasta aquí se podría tratar de empresas públicas o privadas, por lo que para formar parte del sector público empresarial debemos imponer que sean controladas por las administraciones públicas.</w:t>
      </w:r>
    </w:p>
    <w:p w14:paraId="6F1A976E" w14:textId="77777777" w:rsidR="000E1D84" w:rsidRDefault="000E1D84" w:rsidP="008674E8">
      <w:pPr>
        <w:pStyle w:val="Nivel4"/>
        <w:ind w:left="1474"/>
      </w:pPr>
      <w:r w:rsidRPr="00B94152">
        <w:t xml:space="preserve">Así, su definición es menos precisa que la de AAPP ya que no se indica qué se entiende por control ni qué </w:t>
      </w:r>
      <w:r>
        <w:t>porcentaje</w:t>
      </w:r>
      <w:r w:rsidRPr="00B94152">
        <w:t xml:space="preserve"> de propiedad se considera determinante para calificar a una empresa como pública. En la práctica, cada país aplica sus propios criterios para catalogar a una empresa como empresa pública.</w:t>
      </w:r>
    </w:p>
    <w:p w14:paraId="6A30549D" w14:textId="77777777" w:rsidR="000E1D84" w:rsidRDefault="000E1D84" w:rsidP="008674E8">
      <w:pPr>
        <w:pStyle w:val="Nivel4"/>
        <w:ind w:left="1474"/>
      </w:pPr>
      <w:r>
        <w:t>En España el criterio seguido actualmente es poseer más de la mitad de las acciones con derecho a voto o mediante una disposición legal que autorice a determinar la política de la unidad empresarial.</w:t>
      </w:r>
    </w:p>
    <w:p w14:paraId="0621C57D" w14:textId="77777777" w:rsidR="000E1D84" w:rsidRDefault="000E1D84" w:rsidP="000E1D84">
      <w:pPr>
        <w:pStyle w:val="Nivel2SM"/>
        <w:keepNext/>
        <w:spacing w:after="0"/>
      </w:pPr>
      <w:r>
        <w:t xml:space="preserve">Pueden clasificarse en </w:t>
      </w:r>
      <w:r w:rsidRPr="00E26905">
        <w:rPr>
          <w:u w:val="single"/>
        </w:rPr>
        <w:t>2 grandes grupos</w:t>
      </w:r>
      <w:r>
        <w:rPr>
          <w:rStyle w:val="Refdenotaalpie"/>
        </w:rPr>
        <w:footnoteReference w:id="9"/>
      </w:r>
      <w:r>
        <w:t>:</w:t>
      </w:r>
    </w:p>
    <w:p w14:paraId="58A2074D" w14:textId="77777777" w:rsidR="000E1D84" w:rsidRPr="00BB4918" w:rsidRDefault="000E1D84" w:rsidP="000E1D84">
      <w:pPr>
        <w:pStyle w:val="Nivel3SM"/>
        <w:keepNext/>
      </w:pPr>
      <w:r w:rsidRPr="00BB4918">
        <w:rPr>
          <w:i/>
          <w:iCs/>
          <w:u w:val="single"/>
        </w:rPr>
        <w:t>Sociedades no financieras</w:t>
      </w:r>
      <w:r w:rsidRPr="00052B42">
        <w:t xml:space="preserve"> </w:t>
      </w:r>
      <w:r>
        <w:t>(S.11):</w:t>
      </w:r>
    </w:p>
    <w:p w14:paraId="5AFF0C55" w14:textId="77777777" w:rsidR="000E1D84" w:rsidRPr="008F2FE0" w:rsidRDefault="000E1D84" w:rsidP="000E1D84">
      <w:pPr>
        <w:pStyle w:val="Nivel4"/>
        <w:keepNext/>
        <w:ind w:left="1474"/>
      </w:pPr>
      <w:r w:rsidRPr="00BB4918">
        <w:rPr>
          <w:i/>
          <w:iCs/>
        </w:rPr>
        <w:t>Sociedades mercantiles y asimiladas</w:t>
      </w:r>
      <w:r>
        <w:t>:</w:t>
      </w:r>
    </w:p>
    <w:p w14:paraId="05890049" w14:textId="77777777" w:rsidR="000E1D84" w:rsidRDefault="000E1D84" w:rsidP="000E1D84">
      <w:pPr>
        <w:pStyle w:val="Nivel5"/>
        <w:ind w:left="1871"/>
      </w:pPr>
      <w:r>
        <w:t>Sociedades de la DG de Patrimonio (Paradores de Turismo).</w:t>
      </w:r>
    </w:p>
    <w:p w14:paraId="73DC971B" w14:textId="77777777" w:rsidR="000E1D84" w:rsidRDefault="000E1D84" w:rsidP="000E1D84">
      <w:pPr>
        <w:pStyle w:val="Nivel5"/>
        <w:ind w:left="1871"/>
      </w:pPr>
      <w:r>
        <w:t>Otras Sociedades controladas por el Estado.</w:t>
      </w:r>
    </w:p>
    <w:p w14:paraId="709DD58D" w14:textId="77777777" w:rsidR="000E1D84" w:rsidRDefault="000E1D84" w:rsidP="000E1D84">
      <w:pPr>
        <w:pStyle w:val="Nivel5"/>
        <w:ind w:left="1871"/>
      </w:pPr>
      <w:r>
        <w:t>Sociedades controladas por la SEPI (Agencia EFE).</w:t>
      </w:r>
    </w:p>
    <w:p w14:paraId="72166E0B" w14:textId="77777777" w:rsidR="000E1D84" w:rsidRDefault="000E1D84" w:rsidP="000E1D84">
      <w:pPr>
        <w:pStyle w:val="Nivel5"/>
        <w:ind w:left="1871"/>
      </w:pPr>
      <w:r>
        <w:t>Sociedades controladas por otras Entidades Públicas Empresariales.</w:t>
      </w:r>
    </w:p>
    <w:p w14:paraId="61888485" w14:textId="77777777" w:rsidR="000E1D84" w:rsidRPr="008F2FE0" w:rsidRDefault="000E1D84" w:rsidP="000E1D84">
      <w:pPr>
        <w:pStyle w:val="Nivel4"/>
        <w:keepNext/>
        <w:ind w:left="1474"/>
      </w:pPr>
      <w:r w:rsidRPr="00BB4918">
        <w:rPr>
          <w:i/>
          <w:iCs/>
        </w:rPr>
        <w:t>Otros organismos públicos y entidades empresariales</w:t>
      </w:r>
      <w:r>
        <w:t>:</w:t>
      </w:r>
    </w:p>
    <w:p w14:paraId="4D50CB24" w14:textId="77777777" w:rsidR="000E1D84" w:rsidRDefault="000E1D84" w:rsidP="000E1D84">
      <w:pPr>
        <w:pStyle w:val="Nivel5"/>
        <w:ind w:left="1871"/>
      </w:pPr>
      <w:r>
        <w:t>Organismos Autónomos (BOE).</w:t>
      </w:r>
    </w:p>
    <w:p w14:paraId="2F8E0257" w14:textId="77777777" w:rsidR="000E1D84" w:rsidRDefault="000E1D84" w:rsidP="000E1D84">
      <w:pPr>
        <w:pStyle w:val="Nivel5"/>
        <w:ind w:left="1871"/>
      </w:pPr>
      <w:r>
        <w:t>Entidades Públicas Empresariales (RENFE, Loterías y Apuestas del Estado, AENA, Correos, el Canal de Isabel II, etc.).</w:t>
      </w:r>
    </w:p>
    <w:p w14:paraId="75FC8A69" w14:textId="77777777" w:rsidR="000E1D84" w:rsidRDefault="000E1D84" w:rsidP="000E1D84">
      <w:pPr>
        <w:pStyle w:val="Nivel3SM"/>
        <w:keepNext/>
      </w:pPr>
      <w:r w:rsidRPr="00BB4918">
        <w:rPr>
          <w:i/>
          <w:iCs/>
          <w:u w:val="single"/>
        </w:rPr>
        <w:t>Sociedades financieras públicas</w:t>
      </w:r>
      <w:r>
        <w:t xml:space="preserve"> (S.12):</w:t>
      </w:r>
    </w:p>
    <w:p w14:paraId="7456D0EF" w14:textId="77777777" w:rsidR="000E1D84" w:rsidRPr="008F2FE0" w:rsidRDefault="000E1D84" w:rsidP="000E1D84">
      <w:pPr>
        <w:pStyle w:val="Nivel4"/>
        <w:ind w:left="1474"/>
      </w:pPr>
      <w:r>
        <w:t>Banco Central</w:t>
      </w:r>
      <w:r>
        <w:rPr>
          <w:rStyle w:val="Refdenotaalpie"/>
        </w:rPr>
        <w:footnoteReference w:id="10"/>
      </w:r>
      <w:r>
        <w:t>.</w:t>
      </w:r>
    </w:p>
    <w:p w14:paraId="419A4527" w14:textId="77777777" w:rsidR="000E1D84" w:rsidRPr="008F2FE0" w:rsidRDefault="000E1D84" w:rsidP="000E1D84">
      <w:pPr>
        <w:pStyle w:val="Nivel4"/>
        <w:ind w:left="1474"/>
      </w:pPr>
      <w:r>
        <w:t>Otras Instituciones Financieras Monetarias Públicas (ICO)</w:t>
      </w:r>
      <w:r>
        <w:rPr>
          <w:rStyle w:val="Refdenotaalpie"/>
        </w:rPr>
        <w:footnoteReference w:id="11"/>
      </w:r>
      <w:r>
        <w:t>.</w:t>
      </w:r>
    </w:p>
    <w:p w14:paraId="565BCB66" w14:textId="77777777" w:rsidR="000E1D84" w:rsidRPr="008F2FE0" w:rsidRDefault="000E1D84" w:rsidP="000E1D84">
      <w:pPr>
        <w:pStyle w:val="Nivel4"/>
        <w:ind w:left="1474"/>
      </w:pPr>
      <w:r>
        <w:t>Otros Intermediarios Financieros Públicos.</w:t>
      </w:r>
    </w:p>
    <w:p w14:paraId="1F1113B4" w14:textId="77777777" w:rsidR="000E1D84" w:rsidRDefault="000E1D84" w:rsidP="000E1D84">
      <w:pPr>
        <w:pStyle w:val="Nivel4"/>
        <w:ind w:left="1474"/>
      </w:pPr>
      <w:r>
        <w:t>Auxiliares Financieros Públicos (Fondo de Garantía de Depósitos).</w:t>
      </w:r>
    </w:p>
    <w:p w14:paraId="378BB815" w14:textId="4267B17E" w:rsidR="000E1D84" w:rsidRDefault="000E1D84" w:rsidP="000E1D84">
      <w:pPr>
        <w:pStyle w:val="Nivel4"/>
        <w:ind w:left="1474"/>
      </w:pPr>
      <w:r>
        <w:lastRenderedPageBreak/>
        <w:t>Empresas de Seguro y Fondos de Pensiones Públicos (CESCE).</w:t>
      </w:r>
    </w:p>
    <w:p w14:paraId="30BDDF92" w14:textId="77777777" w:rsidR="000E1D84" w:rsidRDefault="000E1D84" w:rsidP="000E1D84">
      <w:pPr>
        <w:pStyle w:val="Nivel2SM"/>
        <w:keepNext/>
        <w:keepLines/>
        <w:spacing w:after="0"/>
      </w:pPr>
      <w:r>
        <w:t>En cualquier caso, una empresa pública puede estar clasificada en el S.11 o el S.12 y, debido a un cambio en su estatuto, en su estructura, en sus actividades o en sus cuentas puede pasar a ser parte del S.13. Por ello, no es conveniente aprenderse la lista de unidades de memoria sino más bien comprender el principio que lleva a clasificar una unidad en las AAPP o en el sector público empresarial.</w:t>
      </w:r>
    </w:p>
    <w:p w14:paraId="7F36AB98" w14:textId="77777777" w:rsidR="000E1D84" w:rsidRDefault="000E1D84" w:rsidP="000E1D84">
      <w:pPr>
        <w:pStyle w:val="Nivel3SM"/>
      </w:pPr>
      <w:r>
        <w:t>De la delimitación de las AAPP en contabilidad nacional se encarga la IGAE, en colaboración con el INE y el Banco de España. A su vez, Eurostat hace un seguimiento periódico de esta clasificación y proporciona su opinión para los casos dudosos.</w:t>
      </w:r>
    </w:p>
    <w:p w14:paraId="6F61D1F7" w14:textId="77777777" w:rsidR="000E1D84" w:rsidRDefault="000E1D84" w:rsidP="000E1D84">
      <w:pPr>
        <w:pStyle w:val="Nivel1SM"/>
        <w:keepNext/>
        <w:spacing w:after="0"/>
      </w:pPr>
      <w:r>
        <w:t>Clasificar correctamente las unidades públicas como AAPP (S.13) o como parte del sector empresarial (S.11 y S.12) es crucial a la hora de calcular correctamente el déficit y la deuda pública.</w:t>
      </w:r>
    </w:p>
    <w:p w14:paraId="16C0D25D" w14:textId="77777777" w:rsidR="000E1D84" w:rsidRDefault="000E1D84" w:rsidP="000E1D84">
      <w:pPr>
        <w:pStyle w:val="Nivel2SM"/>
      </w:pPr>
      <w:r>
        <w:t>Se entiende por déficit público al déficit del sector AAPP según la sectorización de contabilidad nacional y por deuda pública a la deuda del sector AAPP.</w:t>
      </w:r>
    </w:p>
    <w:p w14:paraId="7E530755" w14:textId="77777777" w:rsidR="000E1D84" w:rsidRDefault="000E1D84" w:rsidP="000E1D84">
      <w:pPr>
        <w:pStyle w:val="Nivel2SM"/>
        <w:keepNext/>
        <w:spacing w:after="0"/>
      </w:pPr>
      <w:r>
        <w:t>Por tanto, el déficit y la deuda de empresas públicas que son productores de mercado no computarán como déficit/deuda pública, sino como déficit y deuda de los sectores S.11 y S.12. La deuda de las empresas públicas se integra dentro de los pasivos contingentes de las AAPP.</w:t>
      </w:r>
    </w:p>
    <w:p w14:paraId="524D4801" w14:textId="77777777" w:rsidR="000E1D84" w:rsidRPr="00AE658A" w:rsidRDefault="000E1D84" w:rsidP="000E1D84">
      <w:pPr>
        <w:pStyle w:val="Nivel3SM"/>
      </w:pPr>
      <w:r>
        <w:t>La clasificación incorrecta de una empresa pública llevará pues a cifras erróneas del déficit y la deuda pública en contabilidad nacional.</w:t>
      </w:r>
    </w:p>
    <w:p w14:paraId="70BCBC36" w14:textId="77777777" w:rsidR="001B35F3" w:rsidRDefault="00C1330E" w:rsidP="006008EF">
      <w:pPr>
        <w:pStyle w:val="Ttulo2"/>
      </w:pPr>
      <w:bookmarkStart w:id="9" w:name="_Toc150975408"/>
      <w:r w:rsidRPr="0033735C">
        <w:t>Formas de clasificación del gasto p</w:t>
      </w:r>
      <w:r w:rsidR="008E7414" w:rsidRPr="0033735C">
        <w:t>úblico</w:t>
      </w:r>
      <w:bookmarkEnd w:id="9"/>
    </w:p>
    <w:p w14:paraId="11DDACFD" w14:textId="77777777" w:rsidR="00DB2234" w:rsidRDefault="00DB2234" w:rsidP="00DB2234">
      <w:pPr>
        <w:pStyle w:val="Ttulo3"/>
        <w:spacing w:before="0"/>
      </w:pPr>
      <w:bookmarkStart w:id="10" w:name="_Toc150975409"/>
      <w:r>
        <w:t>Gasto público según los Presupuestos Generales del Estado (PGE)</w:t>
      </w:r>
      <w:bookmarkEnd w:id="10"/>
    </w:p>
    <w:p w14:paraId="2EF49CDF" w14:textId="788444B3" w:rsidR="00DB2234" w:rsidRPr="00C75DC0" w:rsidRDefault="00DB2234" w:rsidP="00DB2234">
      <w:pPr>
        <w:pStyle w:val="Ttuloimagen"/>
        <w:rPr>
          <w:smallCaps w:val="0"/>
        </w:rPr>
      </w:pPr>
      <w:r>
        <w:t>Imagen </w:t>
      </w:r>
      <w:r>
        <w:fldChar w:fldCharType="begin"/>
      </w:r>
      <w:r>
        <w:instrText xml:space="preserve"> SEQ Ilustración \* ARABIC </w:instrText>
      </w:r>
      <w:r>
        <w:fldChar w:fldCharType="separate"/>
      </w:r>
      <w:r w:rsidR="000E5443">
        <w:t>1</w:t>
      </w:r>
      <w:r>
        <w:fldChar w:fldCharType="end"/>
      </w:r>
      <w:r>
        <w:rPr>
          <w:smallCaps w:val="0"/>
        </w:rPr>
        <w:t xml:space="preserve">.– </w:t>
      </w:r>
      <w:r>
        <w:rPr>
          <w:i/>
          <w:iCs/>
          <w:smallCaps w:val="0"/>
        </w:rPr>
        <w:t>Criterios de clasificación del presupuesto de gastos de las entidades con presupuesto limitativo</w:t>
      </w:r>
    </w:p>
    <w:p w14:paraId="7932EE13" w14:textId="4D087CD9" w:rsidR="00DB2234" w:rsidRDefault="00DB2234" w:rsidP="00DB2234">
      <w:pPr>
        <w:pStyle w:val="Imagen"/>
      </w:pPr>
      <w:r>
        <w:drawing>
          <wp:inline distT="0" distB="0" distL="0" distR="0" wp14:anchorId="1F1D4C29" wp14:editId="7DC76181">
            <wp:extent cx="3600000" cy="1914237"/>
            <wp:effectExtent l="0" t="0" r="635" b="0"/>
            <wp:docPr id="97213042" name="Imagen 9721304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58200" name="Imagen 1" descr="Diagrama&#10;&#10;Descripción generada automáticamente"/>
                    <pic:cNvPicPr/>
                  </pic:nvPicPr>
                  <pic:blipFill>
                    <a:blip r:embed="rId9"/>
                    <a:stretch>
                      <a:fillRect/>
                    </a:stretch>
                  </pic:blipFill>
                  <pic:spPr>
                    <a:xfrm>
                      <a:off x="0" y="0"/>
                      <a:ext cx="3600000" cy="1914237"/>
                    </a:xfrm>
                    <a:prstGeom prst="rect">
                      <a:avLst/>
                    </a:prstGeom>
                  </pic:spPr>
                </pic:pic>
              </a:graphicData>
            </a:graphic>
          </wp:inline>
        </w:drawing>
      </w:r>
      <w:r>
        <w:drawing>
          <wp:inline distT="0" distB="0" distL="0" distR="0" wp14:anchorId="1F67E996" wp14:editId="103AB686">
            <wp:extent cx="3600000" cy="2187341"/>
            <wp:effectExtent l="0" t="0" r="635" b="3810"/>
            <wp:docPr id="73362813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28134" name="Imagen 1" descr="Diagrama&#10;&#10;Descripción generada automáticamente"/>
                    <pic:cNvPicPr/>
                  </pic:nvPicPr>
                  <pic:blipFill>
                    <a:blip r:embed="rId10"/>
                    <a:stretch>
                      <a:fillRect/>
                    </a:stretch>
                  </pic:blipFill>
                  <pic:spPr>
                    <a:xfrm>
                      <a:off x="0" y="0"/>
                      <a:ext cx="3600000" cy="2187341"/>
                    </a:xfrm>
                    <a:prstGeom prst="rect">
                      <a:avLst/>
                    </a:prstGeom>
                  </pic:spPr>
                </pic:pic>
              </a:graphicData>
            </a:graphic>
          </wp:inline>
        </w:drawing>
      </w:r>
    </w:p>
    <w:p w14:paraId="31E451A7" w14:textId="3F163E3A" w:rsidR="00DB2234" w:rsidRPr="00DB2234" w:rsidRDefault="00DB2234" w:rsidP="00DB2234">
      <w:pPr>
        <w:pStyle w:val="PiedeImagen"/>
        <w:rPr>
          <w:i w:val="0"/>
          <w:iCs/>
        </w:rPr>
      </w:pPr>
      <w:r>
        <w:t>Fuente</w:t>
      </w:r>
      <w:r w:rsidRPr="00DB2234">
        <w:rPr>
          <w:i w:val="0"/>
          <w:iCs/>
        </w:rPr>
        <w:t xml:space="preserve">: Ministerio de Hacienda y Función Pública (2023) </w:t>
      </w:r>
      <w:r w:rsidRPr="00DB2234">
        <w:t>Introducción a la lectura de los Presupuestos Generales del Estado</w:t>
      </w:r>
      <w:r w:rsidRPr="00DB2234">
        <w:rPr>
          <w:i w:val="0"/>
          <w:iCs/>
        </w:rPr>
        <w:t xml:space="preserve">. </w:t>
      </w:r>
      <w:hyperlink r:id="rId11" w:history="1">
        <w:r w:rsidRPr="00DB2234">
          <w:rPr>
            <w:rStyle w:val="Hipervnculo"/>
            <w:i w:val="0"/>
            <w:iCs/>
          </w:rPr>
          <w:t>https://www.sepg.pap.hacienda.gob.es/sitios/sepg/es-ES/Presupuestos/PGE/ProyectoPGE2023/Documents/LIBROSALMON2023.pdf</w:t>
        </w:r>
      </w:hyperlink>
    </w:p>
    <w:p w14:paraId="7EA521EF" w14:textId="77777777" w:rsidR="00A1097E" w:rsidRDefault="00A1097E" w:rsidP="00A1097E">
      <w:pPr>
        <w:pStyle w:val="Nivel1SM"/>
        <w:keepNext/>
        <w:spacing w:before="0" w:after="0"/>
      </w:pPr>
      <w:r>
        <w:t xml:space="preserve">En los PGE se recogen </w:t>
      </w:r>
      <w:r w:rsidRPr="000F17E0">
        <w:rPr>
          <w:b/>
          <w:bCs/>
        </w:rPr>
        <w:t>3 clasificaciones</w:t>
      </w:r>
      <w:r>
        <w:t>:</w:t>
      </w:r>
    </w:p>
    <w:p w14:paraId="2013B707" w14:textId="77777777" w:rsidR="00A1097E" w:rsidRDefault="00A1097E" w:rsidP="00A1097E">
      <w:pPr>
        <w:pStyle w:val="Prrafodelista"/>
        <w:numPr>
          <w:ilvl w:val="0"/>
          <w:numId w:val="60"/>
        </w:numPr>
        <w:spacing w:after="100"/>
        <w:ind w:left="567" w:hanging="113"/>
      </w:pPr>
      <w:r w:rsidRPr="00DD6B8F">
        <w:rPr>
          <w:i/>
          <w:iCs/>
        </w:rPr>
        <w:t>Clasificación orgánica del gasto</w:t>
      </w:r>
      <w:r>
        <w:t>,</w:t>
      </w:r>
    </w:p>
    <w:p w14:paraId="2F613BEB" w14:textId="77777777" w:rsidR="00A1097E" w:rsidRDefault="00A1097E" w:rsidP="00A1097E">
      <w:pPr>
        <w:pStyle w:val="Prrafodelista"/>
        <w:numPr>
          <w:ilvl w:val="0"/>
          <w:numId w:val="60"/>
        </w:numPr>
        <w:spacing w:after="100"/>
        <w:ind w:left="567" w:hanging="113"/>
      </w:pPr>
      <w:r w:rsidRPr="00DD6B8F">
        <w:rPr>
          <w:i/>
          <w:iCs/>
        </w:rPr>
        <w:t>Clasificación funcional del gasto</w:t>
      </w:r>
      <w:r>
        <w:t>, y</w:t>
      </w:r>
    </w:p>
    <w:p w14:paraId="40447EF0" w14:textId="77777777" w:rsidR="00A1097E" w:rsidRDefault="00A1097E" w:rsidP="00A1097E">
      <w:pPr>
        <w:pStyle w:val="Prrafodelista"/>
        <w:numPr>
          <w:ilvl w:val="0"/>
          <w:numId w:val="60"/>
        </w:numPr>
        <w:spacing w:after="100"/>
        <w:ind w:left="567" w:hanging="113"/>
      </w:pPr>
      <w:r>
        <w:rPr>
          <w:i/>
          <w:iCs/>
        </w:rPr>
        <w:t>C</w:t>
      </w:r>
      <w:r w:rsidRPr="00DD6B8F">
        <w:rPr>
          <w:i/>
          <w:iCs/>
        </w:rPr>
        <w:t>lasificación económica del gasto</w:t>
      </w:r>
      <w:r>
        <w:t>.</w:t>
      </w:r>
    </w:p>
    <w:p w14:paraId="06A8F08A" w14:textId="77777777" w:rsidR="00DB2234" w:rsidRDefault="00DB2234" w:rsidP="00DB2234">
      <w:pPr>
        <w:pStyle w:val="Ttulo6"/>
      </w:pPr>
      <w:bookmarkStart w:id="11" w:name="_Toc150975410"/>
      <w:r>
        <w:lastRenderedPageBreak/>
        <w:t>Clasificación orgánica del gasto</w:t>
      </w:r>
      <w:bookmarkEnd w:id="11"/>
    </w:p>
    <w:p w14:paraId="1A209F53" w14:textId="186DDE5F" w:rsidR="00DB2234" w:rsidRDefault="00DB2234" w:rsidP="00DB2234">
      <w:pPr>
        <w:pStyle w:val="Nivel2SM"/>
      </w:pPr>
      <w:r w:rsidRPr="00E669C3">
        <w:rPr>
          <w:i/>
          <w:iCs/>
        </w:rPr>
        <w:t>Idea</w:t>
      </w:r>
      <w:r>
        <w:t xml:space="preserve">: Clasifica el </w:t>
      </w:r>
      <w:r w:rsidR="00603119">
        <w:t>gasto público</w:t>
      </w:r>
      <w:r>
        <w:t xml:space="preserve"> por centros de gasto. Responde a la pregunta ¿quién gasta?</w:t>
      </w:r>
    </w:p>
    <w:p w14:paraId="708CF60C" w14:textId="77777777" w:rsidR="00DB2234" w:rsidRDefault="00DB2234" w:rsidP="00DB2234">
      <w:pPr>
        <w:pStyle w:val="Nivel2SM"/>
        <w:keepNext/>
        <w:spacing w:after="0"/>
      </w:pPr>
      <w:r w:rsidRPr="00E669C3">
        <w:rPr>
          <w:i/>
          <w:iCs/>
        </w:rPr>
        <w:t>Clasificación</w:t>
      </w:r>
      <w:r>
        <w:t>:</w:t>
      </w:r>
    </w:p>
    <w:p w14:paraId="0A3975E4" w14:textId="77777777" w:rsidR="00DB2234" w:rsidRDefault="00DB2234" w:rsidP="00DB2234">
      <w:pPr>
        <w:pStyle w:val="Prrafodelista"/>
        <w:keepNext/>
        <w:numPr>
          <w:ilvl w:val="0"/>
          <w:numId w:val="55"/>
        </w:numPr>
        <w:spacing w:after="0"/>
        <w:ind w:left="1135" w:hanging="284"/>
        <w:rPr>
          <w:lang w:eastAsia="zh-CN" w:bidi="hi-IN"/>
        </w:rPr>
      </w:pPr>
      <w:r w:rsidRPr="00E65A52">
        <w:rPr>
          <w:i/>
          <w:iCs/>
          <w:u w:val="single"/>
          <w:lang w:eastAsia="zh-CN" w:bidi="hi-IN"/>
        </w:rPr>
        <w:t>Administración Central</w:t>
      </w:r>
      <w:r>
        <w:rPr>
          <w:lang w:eastAsia="zh-CN" w:bidi="hi-IN"/>
        </w:rPr>
        <w:t>:</w:t>
      </w:r>
    </w:p>
    <w:p w14:paraId="596C6A51" w14:textId="77777777" w:rsidR="00DB2234" w:rsidRPr="00E669C3" w:rsidRDefault="00DB2234" w:rsidP="00DB2234">
      <w:pPr>
        <w:pStyle w:val="Nivel4"/>
        <w:ind w:left="1474"/>
      </w:pPr>
      <w:r w:rsidRPr="00E669C3">
        <w:rPr>
          <w:i/>
          <w:iCs/>
        </w:rPr>
        <w:t>Administración Central del Estado</w:t>
      </w:r>
      <w:r w:rsidRPr="00E669C3">
        <w:t xml:space="preserve">: Gobierno y órganos constitucionales </w:t>
      </w:r>
      <w:r w:rsidRPr="00E669C3">
        <w:rPr>
          <w:sz w:val="19"/>
          <w:szCs w:val="19"/>
        </w:rPr>
        <w:t>(Cortes Generales, Casa del Rey, Tribunal Constitucional, CGPJ, etc.)</w:t>
      </w:r>
      <w:r w:rsidRPr="00E669C3">
        <w:t>.</w:t>
      </w:r>
    </w:p>
    <w:p w14:paraId="2F379200" w14:textId="77777777" w:rsidR="00DB2234" w:rsidRPr="00E669C3" w:rsidRDefault="00DB2234" w:rsidP="00DB2234">
      <w:pPr>
        <w:pStyle w:val="Nivel4"/>
        <w:ind w:left="1474"/>
      </w:pPr>
      <w:r w:rsidRPr="00E669C3">
        <w:rPr>
          <w:i/>
          <w:iCs/>
        </w:rPr>
        <w:t>Organismos Autónomos (OO.AA.)</w:t>
      </w:r>
      <w:r w:rsidRPr="00E669C3">
        <w:t xml:space="preserve">: Organismos extrapresupuestarios y otras entidades vinculadas a la administración central </w:t>
      </w:r>
      <w:r w:rsidRPr="00E669C3">
        <w:rPr>
          <w:sz w:val="19"/>
          <w:szCs w:val="19"/>
        </w:rPr>
        <w:t>(SEPE, INE, INAP, etc.)</w:t>
      </w:r>
      <w:r w:rsidRPr="00E669C3">
        <w:t>.</w:t>
      </w:r>
    </w:p>
    <w:p w14:paraId="01E8C50C" w14:textId="36A7E6DF" w:rsidR="00DB2234" w:rsidRPr="00C23902" w:rsidRDefault="00DB2234" w:rsidP="00DB2234">
      <w:pPr>
        <w:pStyle w:val="Nivel4"/>
        <w:ind w:left="1474"/>
        <w:rPr>
          <w:lang w:eastAsia="zh-CN" w:bidi="hi-IN"/>
        </w:rPr>
      </w:pPr>
      <w:r w:rsidRPr="00E669C3">
        <w:rPr>
          <w:i/>
          <w:iCs/>
        </w:rPr>
        <w:t>Otros entes públicos</w:t>
      </w:r>
      <w:r w:rsidRPr="00E669C3">
        <w:t xml:space="preserve">: </w:t>
      </w:r>
      <w:r w:rsidR="00C725B7">
        <w:t>AEMET</w:t>
      </w:r>
      <w:r w:rsidRPr="00E669C3">
        <w:t>, la DGT, etc</w:t>
      </w:r>
      <w:r w:rsidRPr="00C23902">
        <w:rPr>
          <w:lang w:eastAsia="zh-CN" w:bidi="hi-IN"/>
        </w:rPr>
        <w:t>.</w:t>
      </w:r>
    </w:p>
    <w:p w14:paraId="6B422A9F" w14:textId="77777777" w:rsidR="00DB2234" w:rsidRDefault="00DB2234" w:rsidP="00DB2234">
      <w:pPr>
        <w:pStyle w:val="Prrafodelista"/>
        <w:keepNext/>
        <w:numPr>
          <w:ilvl w:val="0"/>
          <w:numId w:val="55"/>
        </w:numPr>
        <w:spacing w:after="0"/>
        <w:ind w:left="1135" w:hanging="284"/>
      </w:pPr>
      <w:r w:rsidRPr="00E65A52">
        <w:rPr>
          <w:i/>
          <w:iCs/>
          <w:u w:val="single"/>
          <w:lang w:eastAsia="zh-CN" w:bidi="hi-IN"/>
        </w:rPr>
        <w:t>Administraciones de la Seguridad Social</w:t>
      </w:r>
      <w:r w:rsidRPr="0054256A">
        <w:rPr>
          <w:lang w:eastAsia="zh-CN" w:bidi="hi-IN"/>
        </w:rPr>
        <w:t>:</w:t>
      </w:r>
      <w:r>
        <w:rPr>
          <w:lang w:eastAsia="zh-CN" w:bidi="hi-IN"/>
        </w:rPr>
        <w:t xml:space="preserve"> Incluyen unidades institucionales centrales, autonómicas y locales cuya actividad principal consiste en realizar prestaciones sociales y cuyos recursos principales son las cotizaciones sociales obligatorias que recibe de otros sectores. </w:t>
      </w:r>
      <w:r w:rsidRPr="00657EDC">
        <w:rPr>
          <w:lang w:eastAsia="zh-CN" w:bidi="hi-IN"/>
        </w:rPr>
        <w:t>De acuerdo con el artículo 66 del RDL 8/2015, que es la principal norma reguladora del sistema de la SS en España, sus entidades gestoras son el Instituto Nacional de la Seguridad Social (INSS), el Instituto Nacional de Gestión Sanitaria y el IMSERSO. Además de estas, existen también otras entidades gestoras que desempeñan funciones relacionadas con la SS, como el SE</w:t>
      </w:r>
      <w:r>
        <w:rPr>
          <w:lang w:eastAsia="zh-CN" w:bidi="hi-IN"/>
        </w:rPr>
        <w:t>P</w:t>
      </w:r>
      <w:r w:rsidRPr="00657EDC">
        <w:rPr>
          <w:lang w:eastAsia="zh-CN" w:bidi="hi-IN"/>
        </w:rPr>
        <w:t>E (antiguo INEM) o el Instituto Social de la Marina.</w:t>
      </w:r>
    </w:p>
    <w:p w14:paraId="6469FA77" w14:textId="77777777" w:rsidR="00DB2234" w:rsidRPr="0085578B" w:rsidRDefault="00DB2234" w:rsidP="00DB2234">
      <w:pPr>
        <w:pStyle w:val="Nivel4"/>
        <w:ind w:left="1474"/>
      </w:pPr>
      <w:r w:rsidRPr="00D636B8">
        <w:t>Instituciones</w:t>
      </w:r>
      <w:r>
        <w:t xml:space="preserve">: Incluyen </w:t>
      </w:r>
      <w:r w:rsidRPr="00CD4DB0">
        <w:t xml:space="preserve">unidades institucionales centrales, autonómicas y </w:t>
      </w:r>
      <w:r w:rsidRPr="0085578B">
        <w:t>locales.</w:t>
      </w:r>
    </w:p>
    <w:p w14:paraId="248A5942" w14:textId="593D2C84" w:rsidR="009B6114" w:rsidRDefault="00DB2234" w:rsidP="009B6114">
      <w:pPr>
        <w:pStyle w:val="Nivel4"/>
        <w:ind w:left="1474"/>
      </w:pPr>
      <w:r w:rsidRPr="0085578B">
        <w:t>Actividad y recursos: Cuya actividad principal consiste en realizar prestaciones sociales y cuyos recursos principales son las cotizaciones sociales obligatorias</w:t>
      </w:r>
      <w:r w:rsidRPr="0054256A">
        <w:t xml:space="preserve"> que recibe de otros sectores</w:t>
      </w:r>
      <w:r w:rsidR="009B6114">
        <w:t>.</w:t>
      </w:r>
    </w:p>
    <w:p w14:paraId="065EE9B5" w14:textId="6D09B5DD" w:rsidR="00CB5237" w:rsidRPr="00CB5237" w:rsidRDefault="00CB5237" w:rsidP="00CB5237">
      <w:pPr>
        <w:pStyle w:val="Prrafodelista"/>
        <w:numPr>
          <w:ilvl w:val="0"/>
          <w:numId w:val="55"/>
        </w:numPr>
        <w:spacing w:after="0"/>
        <w:ind w:left="1135" w:hanging="284"/>
        <w:rPr>
          <w:color w:val="767171" w:themeColor="background2" w:themeShade="80"/>
          <w:spacing w:val="-2"/>
          <w:lang w:eastAsia="zh-CN" w:bidi="hi-IN"/>
        </w:rPr>
      </w:pPr>
      <w:r w:rsidRPr="00CB5237">
        <w:rPr>
          <w:i/>
          <w:iCs/>
          <w:color w:val="767171" w:themeColor="background2" w:themeShade="80"/>
          <w:spacing w:val="-2"/>
          <w:u w:val="single"/>
          <w:lang w:eastAsia="zh-CN" w:bidi="hi-IN"/>
        </w:rPr>
        <w:t>No aplica</w:t>
      </w:r>
      <w:r w:rsidRPr="00CB5237">
        <w:rPr>
          <w:i/>
          <w:iCs/>
          <w:color w:val="767171" w:themeColor="background2" w:themeShade="80"/>
          <w:spacing w:val="-2"/>
          <w:lang w:eastAsia="zh-CN" w:bidi="hi-IN"/>
        </w:rPr>
        <w:t xml:space="preserve"> a administraciones territoriales</w:t>
      </w:r>
      <w:r w:rsidR="002935DA">
        <w:rPr>
          <w:color w:val="767171" w:themeColor="background2" w:themeShade="80"/>
          <w:spacing w:val="-2"/>
          <w:lang w:eastAsia="zh-CN" w:bidi="hi-IN"/>
        </w:rPr>
        <w:t>, c</w:t>
      </w:r>
      <w:r w:rsidRPr="00CB5237">
        <w:rPr>
          <w:color w:val="767171" w:themeColor="background2" w:themeShade="80"/>
          <w:spacing w:val="-2"/>
          <w:lang w:eastAsia="zh-CN" w:bidi="hi-IN"/>
        </w:rPr>
        <w:t>uya competencia se limita a una parte del territorio nacional (Comunidades Autónomas (CCAA) y Corporaciones Locales (CCLL)).</w:t>
      </w:r>
    </w:p>
    <w:p w14:paraId="25351101" w14:textId="6901A56E" w:rsidR="0017257C" w:rsidRPr="00C75DC0" w:rsidRDefault="0017257C" w:rsidP="0017257C">
      <w:pPr>
        <w:pStyle w:val="Ttuloimagen"/>
        <w:rPr>
          <w:smallCaps w:val="0"/>
        </w:rPr>
      </w:pPr>
      <w:bookmarkStart w:id="12" w:name="_Hlk148261529"/>
      <w:r>
        <w:t>Imagen </w:t>
      </w:r>
      <w:r>
        <w:fldChar w:fldCharType="begin"/>
      </w:r>
      <w:r>
        <w:instrText xml:space="preserve"> SEQ Ilustración \* ARABIC </w:instrText>
      </w:r>
      <w:r>
        <w:fldChar w:fldCharType="separate"/>
      </w:r>
      <w:r w:rsidR="000E5443">
        <w:t>2</w:t>
      </w:r>
      <w:r>
        <w:fldChar w:fldCharType="end"/>
      </w:r>
      <w:r>
        <w:rPr>
          <w:smallCaps w:val="0"/>
        </w:rPr>
        <w:t xml:space="preserve">.– </w:t>
      </w:r>
      <w:r w:rsidR="002B2405">
        <w:rPr>
          <w:i/>
          <w:iCs/>
          <w:smallCaps w:val="0"/>
        </w:rPr>
        <w:t>Distribución por subsectores</w:t>
      </w:r>
      <w:r w:rsidR="004621CE">
        <w:rPr>
          <w:i/>
          <w:iCs/>
          <w:smallCaps w:val="0"/>
        </w:rPr>
        <w:t xml:space="preserve"> </w:t>
      </w:r>
      <w:r>
        <w:rPr>
          <w:i/>
          <w:iCs/>
          <w:smallCaps w:val="0"/>
        </w:rPr>
        <w:t>PGE 2023</w:t>
      </w:r>
    </w:p>
    <w:p w14:paraId="406A3A3F" w14:textId="0441FE9A" w:rsidR="0017257C" w:rsidRDefault="0017257C" w:rsidP="0017257C">
      <w:pPr>
        <w:pStyle w:val="Imagen"/>
      </w:pPr>
      <w:r w:rsidRPr="0017257C">
        <w:drawing>
          <wp:inline distT="0" distB="0" distL="0" distR="0" wp14:anchorId="72D0FB96" wp14:editId="0AA238D6">
            <wp:extent cx="3341112" cy="1800000"/>
            <wp:effectExtent l="0" t="0" r="0" b="0"/>
            <wp:docPr id="1147392529" name="Imagen 1"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92529" name="Imagen 1" descr="Gráfico, Gráfico circular&#10;&#10;Descripción generada automáticamente"/>
                    <pic:cNvPicPr/>
                  </pic:nvPicPr>
                  <pic:blipFill rotWithShape="1">
                    <a:blip r:embed="rId12"/>
                    <a:srcRect t="26973"/>
                    <a:stretch/>
                  </pic:blipFill>
                  <pic:spPr bwMode="auto">
                    <a:xfrm>
                      <a:off x="0" y="0"/>
                      <a:ext cx="3341112" cy="1800000"/>
                    </a:xfrm>
                    <a:prstGeom prst="rect">
                      <a:avLst/>
                    </a:prstGeom>
                    <a:ln>
                      <a:noFill/>
                    </a:ln>
                    <a:extLst>
                      <a:ext uri="{53640926-AAD7-44D8-BBD7-CCE9431645EC}">
                        <a14:shadowObscured xmlns:a14="http://schemas.microsoft.com/office/drawing/2010/main"/>
                      </a:ext>
                    </a:extLst>
                  </pic:spPr>
                </pic:pic>
              </a:graphicData>
            </a:graphic>
          </wp:inline>
        </w:drawing>
      </w:r>
    </w:p>
    <w:p w14:paraId="48F82587" w14:textId="313A073F" w:rsidR="0017257C" w:rsidRPr="0017257C" w:rsidRDefault="0017257C" w:rsidP="0017257C">
      <w:pPr>
        <w:pStyle w:val="PiedeImagen"/>
        <w:rPr>
          <w:i w:val="0"/>
          <w:iCs/>
        </w:rPr>
      </w:pPr>
      <w:r>
        <w:t>Fuente</w:t>
      </w:r>
      <w:r>
        <w:rPr>
          <w:i w:val="0"/>
          <w:iCs/>
        </w:rPr>
        <w:t xml:space="preserve">: </w:t>
      </w:r>
      <w:hyperlink r:id="rId13" w:history="1">
        <w:r w:rsidRPr="00515B8A">
          <w:rPr>
            <w:rStyle w:val="Hipervnculo"/>
            <w:i w:val="0"/>
            <w:iCs/>
          </w:rPr>
          <w:t>https://www.sepg.pap.hacienda.gob.es/sitios/sepg/es-ES/Presupuestos/PGE/ProyectoPGE2023/Documents/LIBROAMARILLO2023.pdf</w:t>
        </w:r>
      </w:hyperlink>
      <w:r>
        <w:rPr>
          <w:i w:val="0"/>
          <w:iCs/>
        </w:rPr>
        <w:t xml:space="preserve"> (pág. 125)</w:t>
      </w:r>
    </w:p>
    <w:p w14:paraId="248019D7" w14:textId="77777777" w:rsidR="00C93994" w:rsidRDefault="00C93994" w:rsidP="00C93994">
      <w:pPr>
        <w:pStyle w:val="Ttulo6"/>
      </w:pPr>
      <w:bookmarkStart w:id="13" w:name="_Toc150975411"/>
      <w:bookmarkEnd w:id="12"/>
      <w:r>
        <w:t>Clasificación económica del gasto (clasificación por capítulos)</w:t>
      </w:r>
      <w:bookmarkEnd w:id="13"/>
    </w:p>
    <w:p w14:paraId="616C17CF" w14:textId="77777777" w:rsidR="00C93994" w:rsidRDefault="00C93994" w:rsidP="00C93994">
      <w:pPr>
        <w:pStyle w:val="Nivel2SM"/>
      </w:pPr>
      <w:r w:rsidRPr="000E1D84">
        <w:rPr>
          <w:i/>
          <w:iCs/>
        </w:rPr>
        <w:t>Idea</w:t>
      </w:r>
      <w:r>
        <w:t>: Clasifica el gasto público por destino económico. Responde a la pregunta ¿cómo se gasta?</w:t>
      </w:r>
    </w:p>
    <w:p w14:paraId="0ADA54B7" w14:textId="77777777" w:rsidR="00C93994" w:rsidRPr="00183AD7" w:rsidRDefault="00C93994" w:rsidP="00C93994">
      <w:pPr>
        <w:pStyle w:val="Nivel2SM"/>
        <w:keepNext/>
        <w:spacing w:after="0"/>
      </w:pPr>
      <w:r w:rsidRPr="000E1D84">
        <w:rPr>
          <w:i/>
          <w:iCs/>
        </w:rPr>
        <w:t>Clasificación</w:t>
      </w:r>
      <w:r>
        <w:t>:</w:t>
      </w:r>
    </w:p>
    <w:p w14:paraId="74F0B543" w14:textId="77777777" w:rsidR="00C93994" w:rsidRDefault="00C93994" w:rsidP="00C93994">
      <w:pPr>
        <w:pStyle w:val="Nivel3SM"/>
        <w:keepNext/>
      </w:pPr>
      <w:r w:rsidRPr="007B405B">
        <w:rPr>
          <w:i/>
          <w:iCs/>
        </w:rPr>
        <w:t>Operaciones no financieras</w:t>
      </w:r>
      <w:r>
        <w:t>:</w:t>
      </w:r>
    </w:p>
    <w:p w14:paraId="5166C1CD" w14:textId="77777777" w:rsidR="00C93994" w:rsidRDefault="00C93994" w:rsidP="00C93994">
      <w:pPr>
        <w:pStyle w:val="Nivel4"/>
        <w:keepNext/>
        <w:ind w:left="1474"/>
      </w:pPr>
      <w:r w:rsidRPr="00AB5C19">
        <w:t>Gastos corrientes</w:t>
      </w:r>
      <w:r>
        <w:t>:</w:t>
      </w:r>
    </w:p>
    <w:p w14:paraId="6E25B60D" w14:textId="77777777" w:rsidR="00C93994" w:rsidRDefault="00C93994" w:rsidP="00C93994">
      <w:pPr>
        <w:pStyle w:val="Nivel5"/>
        <w:ind w:left="1871"/>
      </w:pPr>
      <w:r w:rsidRPr="00AC36F0">
        <w:t>Capítulo</w:t>
      </w:r>
      <w:r>
        <w:t> </w:t>
      </w:r>
      <w:r w:rsidRPr="00AC36F0">
        <w:t>I: Gastos de personal</w:t>
      </w:r>
      <w:r>
        <w:t>: Altos cargos, funcionarios…</w:t>
      </w:r>
    </w:p>
    <w:p w14:paraId="37C61619" w14:textId="77777777" w:rsidR="00C93994" w:rsidRDefault="00C93994" w:rsidP="00C93994">
      <w:pPr>
        <w:pStyle w:val="Nivel5"/>
        <w:ind w:left="1871"/>
      </w:pPr>
      <w:r w:rsidRPr="000E1D84">
        <w:t>Capítulo</w:t>
      </w:r>
      <w:r>
        <w:t> </w:t>
      </w:r>
      <w:r w:rsidRPr="000E1D84">
        <w:t>II: Gasto</w:t>
      </w:r>
      <w:r>
        <w:t>s</w:t>
      </w:r>
      <w:r w:rsidRPr="000E1D84">
        <w:t xml:space="preserve"> en bienes y servicios:</w:t>
      </w:r>
      <w:r>
        <w:t xml:space="preserve"> Arrendamientos, material…</w:t>
      </w:r>
    </w:p>
    <w:p w14:paraId="454A7CD9" w14:textId="77777777" w:rsidR="00C93994" w:rsidRDefault="00C93994" w:rsidP="00C93994">
      <w:pPr>
        <w:pStyle w:val="Nivel5"/>
        <w:ind w:left="1871"/>
      </w:pPr>
      <w:r w:rsidRPr="00AC36F0">
        <w:t>Capítulo</w:t>
      </w:r>
      <w:r>
        <w:t> </w:t>
      </w:r>
      <w:r w:rsidRPr="00AC36F0">
        <w:t>III: Gastos financieros</w:t>
      </w:r>
      <w:r>
        <w:t>: Intereses de deuda pública, intereses de préstamos, intereses de demora…</w:t>
      </w:r>
    </w:p>
    <w:p w14:paraId="55A45A69" w14:textId="77777777" w:rsidR="00C93994" w:rsidRPr="00967D7E" w:rsidRDefault="00C93994" w:rsidP="00C93994">
      <w:pPr>
        <w:pStyle w:val="Nivel5"/>
        <w:ind w:left="1871"/>
      </w:pPr>
      <w:r w:rsidRPr="00967D7E">
        <w:t>Capítulo IV: Transferencias corrientes pagadas: Son los recursos que el Estado transfiere para el funcionamiento de otros organismos y administraciones (pensiones, sistema de financiación autonómico y local, aportaciones al presupuesto de la UE, becas, dependencia, etc.).</w:t>
      </w:r>
    </w:p>
    <w:p w14:paraId="1D2D5639" w14:textId="77777777" w:rsidR="00C93994" w:rsidRDefault="00C93994" w:rsidP="00C93994">
      <w:pPr>
        <w:pStyle w:val="Nivel4"/>
        <w:ind w:left="1474"/>
      </w:pPr>
      <w:r w:rsidRPr="0075712D">
        <w:lastRenderedPageBreak/>
        <w:t>Capítulo</w:t>
      </w:r>
      <w:r>
        <w:t> V</w:t>
      </w:r>
      <w:r w:rsidRPr="003F088F">
        <w:t>: Fondo de contingencia</w:t>
      </w:r>
      <w:r>
        <w:t>. Suele considerarse a parte del resto.</w:t>
      </w:r>
    </w:p>
    <w:p w14:paraId="6F5187A5" w14:textId="77777777" w:rsidR="00C93994" w:rsidRDefault="00C93994" w:rsidP="00C93994">
      <w:pPr>
        <w:pStyle w:val="Nivel4"/>
        <w:keepNext/>
        <w:ind w:left="1474"/>
      </w:pPr>
      <w:r w:rsidRPr="00AB5C19">
        <w:t>Gastos de capital</w:t>
      </w:r>
      <w:r>
        <w:t>:</w:t>
      </w:r>
    </w:p>
    <w:p w14:paraId="25CDB4F6" w14:textId="16A55CF6" w:rsidR="00C93994" w:rsidRDefault="00C93994" w:rsidP="00C93994">
      <w:pPr>
        <w:pStyle w:val="Nivel5"/>
        <w:ind w:left="1871"/>
      </w:pPr>
      <w:r w:rsidRPr="0075712D">
        <w:t>Capítulo</w:t>
      </w:r>
      <w:r>
        <w:t> VI</w:t>
      </w:r>
      <w:r w:rsidRPr="003F088F">
        <w:t>: Inversiones reales</w:t>
      </w:r>
      <w:r w:rsidR="00CE1B10">
        <w:t xml:space="preserve"> (e</w:t>
      </w:r>
      <w:r>
        <w:t>n bienes e infraestructuras de uso general, en bienes e infraestructuras militares…).</w:t>
      </w:r>
    </w:p>
    <w:p w14:paraId="5FA40A1F" w14:textId="77777777" w:rsidR="00C93994" w:rsidRPr="000E1D84" w:rsidRDefault="00C93994" w:rsidP="00C93994">
      <w:pPr>
        <w:pStyle w:val="Nivel5"/>
        <w:ind w:left="1871"/>
      </w:pPr>
      <w:r w:rsidRPr="000E1D84">
        <w:t>Capítulo VII: Transferencias de capital pagadas: Son los recursos que el Estado transfiere a otros organismos y administraciones para la realización de actuaciones concretas y puntuales, no recurrentes en el tiempo.</w:t>
      </w:r>
    </w:p>
    <w:p w14:paraId="33252F6A" w14:textId="77777777" w:rsidR="00C93994" w:rsidRDefault="00C93994" w:rsidP="00C93994">
      <w:pPr>
        <w:pStyle w:val="Nivel3SM"/>
        <w:keepNext/>
      </w:pPr>
      <w:r w:rsidRPr="007B405B">
        <w:rPr>
          <w:i/>
          <w:iCs/>
        </w:rPr>
        <w:t>Operaciones financieras</w:t>
      </w:r>
      <w:r w:rsidRPr="0038092E">
        <w:t>:</w:t>
      </w:r>
    </w:p>
    <w:p w14:paraId="3498BB6B" w14:textId="77777777" w:rsidR="00C93994" w:rsidRDefault="00C93994" w:rsidP="00C93994">
      <w:pPr>
        <w:pStyle w:val="Nivel4"/>
        <w:keepNext/>
        <w:ind w:left="1474"/>
      </w:pPr>
      <w:r w:rsidRPr="0075712D">
        <w:t>Capítulo</w:t>
      </w:r>
      <w:r>
        <w:t> V</w:t>
      </w:r>
      <w:r w:rsidRPr="0075712D">
        <w:t>I</w:t>
      </w:r>
      <w:r>
        <w:t>II</w:t>
      </w:r>
      <w:r w:rsidRPr="003F088F">
        <w:t>: Activos financieros</w:t>
      </w:r>
    </w:p>
    <w:p w14:paraId="625ABD67" w14:textId="77777777" w:rsidR="00C93994" w:rsidRPr="001E3903" w:rsidRDefault="00C93994" w:rsidP="00C93994">
      <w:pPr>
        <w:pStyle w:val="Nivel5"/>
        <w:keepNext/>
        <w:ind w:left="1871"/>
      </w:pPr>
      <w:r w:rsidRPr="001E3903">
        <w:t>Préstamos del sector público</w:t>
      </w:r>
    </w:p>
    <w:p w14:paraId="4E2107D6" w14:textId="7FC4C0D4" w:rsidR="00C93994" w:rsidRDefault="00C93994" w:rsidP="00C93994">
      <w:pPr>
        <w:pStyle w:val="Nivel6"/>
        <w:ind w:left="2212"/>
      </w:pPr>
      <w:r>
        <w:t>A empresas o entes públicos (p.ej. a la Seguridad Social, al Fondo de Liquidez Autonómico, etc.)</w:t>
      </w:r>
      <w:r w:rsidR="009D04F9">
        <w:t>.</w:t>
      </w:r>
    </w:p>
    <w:p w14:paraId="64367A67" w14:textId="77777777" w:rsidR="00C93994" w:rsidRDefault="00C93994" w:rsidP="00C93994">
      <w:pPr>
        <w:pStyle w:val="Nivel6"/>
        <w:ind w:left="2212"/>
      </w:pPr>
      <w:r>
        <w:t>A agentes privados (p.ej. préstamos de I+D+i, préstamos a constructoras para la realización del AVE).</w:t>
      </w:r>
    </w:p>
    <w:p w14:paraId="19029D35" w14:textId="77777777" w:rsidR="00C93994" w:rsidRDefault="00C93994" w:rsidP="00C93994">
      <w:pPr>
        <w:pStyle w:val="Nivel5"/>
        <w:ind w:left="1871"/>
      </w:pPr>
      <w:r w:rsidRPr="001E3903">
        <w:t xml:space="preserve">Compra de títulos </w:t>
      </w:r>
      <w:r>
        <w:t>(p.ej.</w:t>
      </w:r>
      <w:r w:rsidRPr="00AB5C19">
        <w:t xml:space="preserve"> </w:t>
      </w:r>
      <w:r w:rsidRPr="00CB77B2">
        <w:t xml:space="preserve">adquisición de acciones en empresas o sociedades estatales o mixtas, </w:t>
      </w:r>
      <w:r>
        <w:t>como sociedades de gestión de aguas).</w:t>
      </w:r>
    </w:p>
    <w:p w14:paraId="1455C14A" w14:textId="77777777" w:rsidR="00C93994" w:rsidRPr="003F088F" w:rsidRDefault="00C93994" w:rsidP="00C93994">
      <w:pPr>
        <w:pStyle w:val="Nivel4"/>
        <w:keepNext/>
        <w:ind w:left="1474"/>
      </w:pPr>
      <w:r w:rsidRPr="003F088F">
        <w:t>Capítulo</w:t>
      </w:r>
      <w:r>
        <w:t> </w:t>
      </w:r>
      <w:r w:rsidRPr="003F088F">
        <w:t>IX: Pasivos financieros</w:t>
      </w:r>
    </w:p>
    <w:p w14:paraId="38E4EEDA" w14:textId="77777777" w:rsidR="00C93994" w:rsidRDefault="00C93994" w:rsidP="00C93994">
      <w:pPr>
        <w:pStyle w:val="Nivel5"/>
        <w:ind w:left="1871"/>
      </w:pPr>
      <w:r>
        <w:t>Amortización de deuda pública, amortización de préstamos…</w:t>
      </w:r>
    </w:p>
    <w:p w14:paraId="41ABF929" w14:textId="27B8C794" w:rsidR="00C93994" w:rsidRPr="00C75DC0" w:rsidRDefault="00C93994" w:rsidP="00C93994">
      <w:pPr>
        <w:pStyle w:val="Ttuloimagen"/>
        <w:rPr>
          <w:smallCaps w:val="0"/>
        </w:rPr>
      </w:pPr>
      <w:r>
        <w:t>Imagen </w:t>
      </w:r>
      <w:r>
        <w:fldChar w:fldCharType="begin"/>
      </w:r>
      <w:r>
        <w:instrText xml:space="preserve"> SEQ Ilustración \* ARABIC </w:instrText>
      </w:r>
      <w:r>
        <w:fldChar w:fldCharType="separate"/>
      </w:r>
      <w:r w:rsidR="000E5443">
        <w:t>3</w:t>
      </w:r>
      <w:r>
        <w:fldChar w:fldCharType="end"/>
      </w:r>
      <w:r>
        <w:rPr>
          <w:smallCaps w:val="0"/>
        </w:rPr>
        <w:t xml:space="preserve">.– </w:t>
      </w:r>
      <w:r>
        <w:rPr>
          <w:i/>
          <w:iCs/>
          <w:smallCaps w:val="0"/>
        </w:rPr>
        <w:t>Estructura económica de los PGE</w:t>
      </w:r>
    </w:p>
    <w:p w14:paraId="7D827D2C" w14:textId="77777777" w:rsidR="00C93994" w:rsidRDefault="00C93994" w:rsidP="00C93994">
      <w:pPr>
        <w:pStyle w:val="Imagen"/>
      </w:pPr>
      <w:r w:rsidRPr="00C00CFB">
        <w:drawing>
          <wp:inline distT="0" distB="0" distL="0" distR="0" wp14:anchorId="7C9F55B4" wp14:editId="07A7D7D3">
            <wp:extent cx="3079074" cy="2160000"/>
            <wp:effectExtent l="0" t="0" r="7620" b="0"/>
            <wp:docPr id="99643977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39774" name="Imagen 1" descr="Interfaz de usuario gráfica, Texto, Aplicación&#10;&#10;Descripción generada automáticamente"/>
                    <pic:cNvPicPr/>
                  </pic:nvPicPr>
                  <pic:blipFill rotWithShape="1">
                    <a:blip r:embed="rId14"/>
                    <a:srcRect l="6329" t="2530" r="4337" b="1991"/>
                    <a:stretch/>
                  </pic:blipFill>
                  <pic:spPr bwMode="auto">
                    <a:xfrm>
                      <a:off x="0" y="0"/>
                      <a:ext cx="3079074" cy="2160000"/>
                    </a:xfrm>
                    <a:prstGeom prst="rect">
                      <a:avLst/>
                    </a:prstGeom>
                    <a:ln>
                      <a:noFill/>
                    </a:ln>
                    <a:extLst>
                      <a:ext uri="{53640926-AAD7-44D8-BBD7-CCE9431645EC}">
                        <a14:shadowObscured xmlns:a14="http://schemas.microsoft.com/office/drawing/2010/main"/>
                      </a:ext>
                    </a:extLst>
                  </pic:spPr>
                </pic:pic>
              </a:graphicData>
            </a:graphic>
          </wp:inline>
        </w:drawing>
      </w:r>
      <w:r>
        <w:drawing>
          <wp:inline distT="0" distB="0" distL="0" distR="0" wp14:anchorId="4D0F6FD3" wp14:editId="6441D801">
            <wp:extent cx="2786492" cy="2160000"/>
            <wp:effectExtent l="0" t="0" r="0" b="0"/>
            <wp:docPr id="118666692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66929" name="Imagen 1" descr="Texto&#10;&#10;Descripción generada automáticamente"/>
                    <pic:cNvPicPr/>
                  </pic:nvPicPr>
                  <pic:blipFill>
                    <a:blip r:embed="rId15"/>
                    <a:stretch>
                      <a:fillRect/>
                    </a:stretch>
                  </pic:blipFill>
                  <pic:spPr>
                    <a:xfrm>
                      <a:off x="0" y="0"/>
                      <a:ext cx="2786492" cy="2160000"/>
                    </a:xfrm>
                    <a:prstGeom prst="rect">
                      <a:avLst/>
                    </a:prstGeom>
                  </pic:spPr>
                </pic:pic>
              </a:graphicData>
            </a:graphic>
          </wp:inline>
        </w:drawing>
      </w:r>
    </w:p>
    <w:p w14:paraId="1208F4AD" w14:textId="0E9BD69E" w:rsidR="00C93994" w:rsidRPr="0053454A" w:rsidRDefault="00C93994" w:rsidP="00C93994">
      <w:pPr>
        <w:pStyle w:val="PiedeImagen"/>
        <w:rPr>
          <w:i w:val="0"/>
          <w:iCs/>
        </w:rPr>
      </w:pPr>
      <w:r>
        <w:t>Fuente</w:t>
      </w:r>
      <w:r w:rsidRPr="00DB2234">
        <w:rPr>
          <w:i w:val="0"/>
          <w:iCs/>
        </w:rPr>
        <w:t xml:space="preserve">: Ministerio de Hacienda y Función Pública (2023) </w:t>
      </w:r>
      <w:r w:rsidRPr="00DB2234">
        <w:t>Introducción a la lectura de los Presupuestos Generales del Estado</w:t>
      </w:r>
      <w:r w:rsidRPr="00DB2234">
        <w:rPr>
          <w:i w:val="0"/>
          <w:iCs/>
        </w:rPr>
        <w:t xml:space="preserve">. </w:t>
      </w:r>
      <w:hyperlink r:id="rId16" w:history="1">
        <w:r w:rsidRPr="00DB2234">
          <w:rPr>
            <w:rStyle w:val="Hipervnculo"/>
            <w:i w:val="0"/>
            <w:iCs/>
          </w:rPr>
          <w:t>https://www.sepg.pap.hacienda.gob.es/sitios/sepg/es-ES/Presupuestos/PGE/ProyectoPGE2023/Documents/LIBROSALMON2023.pdf</w:t>
        </w:r>
      </w:hyperlink>
    </w:p>
    <w:p w14:paraId="731F32F8" w14:textId="691EBB54" w:rsidR="00DB2234" w:rsidRDefault="00DB2234" w:rsidP="00DB2234">
      <w:pPr>
        <w:pStyle w:val="Ttulo6"/>
      </w:pPr>
      <w:bookmarkStart w:id="14" w:name="_Toc150975412"/>
      <w:r>
        <w:t>Clasificación funcional del gasto (por programas)</w:t>
      </w:r>
      <w:bookmarkEnd w:id="14"/>
    </w:p>
    <w:p w14:paraId="2640CD04" w14:textId="2E8340EA" w:rsidR="00DB2234" w:rsidRDefault="00DB2234" w:rsidP="00A7118B">
      <w:pPr>
        <w:pStyle w:val="Nivel2SM"/>
      </w:pPr>
      <w:r w:rsidRPr="00DB2234">
        <w:rPr>
          <w:i/>
          <w:iCs/>
        </w:rPr>
        <w:t>Idea</w:t>
      </w:r>
      <w:r w:rsidRPr="003D2F95">
        <w:t xml:space="preserve">: </w:t>
      </w:r>
      <w:r>
        <w:t xml:space="preserve">Clasifica el </w:t>
      </w:r>
      <w:r w:rsidR="00B650B0">
        <w:t>gasto público</w:t>
      </w:r>
      <w:r>
        <w:t xml:space="preserve"> según su función o finalidad, por lo que también se le llama “clasificación del ciudadano”. Responde a la pregunta ¿para qué se gasta? Proporciona así información sobre las prioridades y objetivos del </w:t>
      </w:r>
      <w:r w:rsidR="00B650B0">
        <w:t>gasto público</w:t>
      </w:r>
      <w:r>
        <w:t>. Es la principal clasificación de los créditos presupuestarios ya que permite identificar la finalidad a la que se destinan los recursos públicos. Un programa de gasto es el conjunto de créditos que se pone a disposición de los centros directivos para el logro de los objetivos establecidos. En definitiva, el programa presupuestario determina el gasto que se considera necesario realizar para el desarrollo de cada actividad pública.</w:t>
      </w:r>
    </w:p>
    <w:p w14:paraId="1F05D90A" w14:textId="50E28F82" w:rsidR="00DB2234" w:rsidRPr="003D2F95" w:rsidRDefault="00DB2234" w:rsidP="00DB2234">
      <w:pPr>
        <w:pStyle w:val="Nivel2SM"/>
        <w:keepNext/>
        <w:spacing w:after="0"/>
      </w:pPr>
      <w:bookmarkStart w:id="15" w:name="_Hlk148261555"/>
      <w:r w:rsidRPr="003D2F95">
        <w:rPr>
          <w:i/>
          <w:iCs/>
        </w:rPr>
        <w:t>Estructura</w:t>
      </w:r>
      <w:r w:rsidRPr="003D2F95">
        <w:t>:</w:t>
      </w:r>
      <w:r>
        <w:t xml:space="preserve"> Los PGE aprobados en 2023 se dividen en 400 programas, 27 políticas de ga</w:t>
      </w:r>
      <w:r w:rsidR="00B650B0">
        <w:t>s</w:t>
      </w:r>
      <w:r>
        <w:t xml:space="preserve">to que pueden agruparse en </w:t>
      </w:r>
      <w:r w:rsidR="004621CE">
        <w:t>4</w:t>
      </w:r>
      <w:r>
        <w:t> áreas de gasto</w:t>
      </w:r>
      <w:r>
        <w:rPr>
          <w:rStyle w:val="Refdenotaalpie"/>
        </w:rPr>
        <w:footnoteReference w:id="12"/>
      </w:r>
      <w:r>
        <w:t>:</w:t>
      </w:r>
    </w:p>
    <w:p w14:paraId="7CB4EDB5" w14:textId="13EB86FB" w:rsidR="004621CE" w:rsidRPr="004621CE" w:rsidRDefault="004621CE" w:rsidP="00DB2234">
      <w:pPr>
        <w:pStyle w:val="Prrafodelista"/>
        <w:keepNext/>
        <w:numPr>
          <w:ilvl w:val="0"/>
          <w:numId w:val="56"/>
        </w:numPr>
        <w:spacing w:after="0"/>
        <w:ind w:left="1134" w:hanging="113"/>
      </w:pPr>
      <w:r>
        <w:rPr>
          <w:i/>
          <w:iCs/>
        </w:rPr>
        <w:t>Gasto público social</w:t>
      </w:r>
      <w:r>
        <w:t>:</w:t>
      </w:r>
    </w:p>
    <w:p w14:paraId="0819ECF5" w14:textId="59DFE083" w:rsidR="00DB2234" w:rsidRDefault="00DB2234" w:rsidP="004621CE">
      <w:pPr>
        <w:pStyle w:val="Prrafodelista"/>
        <w:keepNext/>
        <w:numPr>
          <w:ilvl w:val="1"/>
          <w:numId w:val="56"/>
        </w:numPr>
        <w:spacing w:after="0"/>
        <w:ind w:left="1560" w:hanging="284"/>
      </w:pPr>
      <w:r w:rsidRPr="00DB2234">
        <w:rPr>
          <w:i/>
          <w:iCs/>
        </w:rPr>
        <w:t>Actuaciones de protección y promoción social</w:t>
      </w:r>
      <w:r w:rsidR="005C3376">
        <w:t xml:space="preserve"> </w:t>
      </w:r>
      <w:r w:rsidR="005C3376" w:rsidRPr="005C3376">
        <w:t>(</w:t>
      </w:r>
      <w:r w:rsidR="009B6114">
        <w:t>55,5</w:t>
      </w:r>
      <w:r w:rsidR="005C3376">
        <w:t> %</w:t>
      </w:r>
      <w:r w:rsidR="005C3376" w:rsidRPr="005C3376">
        <w:t>)</w:t>
      </w:r>
      <w:r>
        <w:t>:</w:t>
      </w:r>
      <w:r w:rsidRPr="00D34822">
        <w:t xml:space="preserve"> Pensiones, prestaciones por desempleo</w:t>
      </w:r>
      <w:r>
        <w:t>…</w:t>
      </w:r>
    </w:p>
    <w:p w14:paraId="65A42F18" w14:textId="25F24BEA" w:rsidR="00DB2234" w:rsidRDefault="00DB2234" w:rsidP="004621CE">
      <w:pPr>
        <w:pStyle w:val="Prrafodelista"/>
        <w:numPr>
          <w:ilvl w:val="1"/>
          <w:numId w:val="56"/>
        </w:numPr>
        <w:spacing w:after="0"/>
        <w:ind w:left="1560" w:hanging="284"/>
      </w:pPr>
      <w:r w:rsidRPr="00DB2234">
        <w:rPr>
          <w:i/>
          <w:iCs/>
        </w:rPr>
        <w:t>Producción de bienes públicos de carácter preferente</w:t>
      </w:r>
      <w:r w:rsidR="005C3376">
        <w:t xml:space="preserve"> </w:t>
      </w:r>
      <w:r w:rsidR="005C3376" w:rsidRPr="005C3376">
        <w:t>(</w:t>
      </w:r>
      <w:r w:rsidR="009B6114">
        <w:t>3</w:t>
      </w:r>
      <w:r w:rsidR="005C3376">
        <w:t> %</w:t>
      </w:r>
      <w:r w:rsidR="005C3376" w:rsidRPr="005C3376">
        <w:t>)</w:t>
      </w:r>
      <w:r>
        <w:t>: Educación, Sanidad, Cultura.</w:t>
      </w:r>
    </w:p>
    <w:p w14:paraId="57A29C05" w14:textId="77777777" w:rsidR="007F27B3" w:rsidRPr="007F27B3" w:rsidRDefault="007F27B3" w:rsidP="007F27B3">
      <w:pPr>
        <w:pStyle w:val="Prrafodelista"/>
        <w:numPr>
          <w:ilvl w:val="0"/>
          <w:numId w:val="56"/>
        </w:numPr>
        <w:spacing w:after="0"/>
        <w:ind w:left="1134" w:hanging="113"/>
        <w:rPr>
          <w:u w:val="single"/>
        </w:rPr>
      </w:pPr>
      <w:r w:rsidRPr="00DB2234">
        <w:rPr>
          <w:i/>
          <w:iCs/>
        </w:rPr>
        <w:lastRenderedPageBreak/>
        <w:t>Actuaciones de carácter general</w:t>
      </w:r>
      <w:r>
        <w:rPr>
          <w:i/>
          <w:iCs/>
        </w:rPr>
        <w:t xml:space="preserve"> </w:t>
      </w:r>
      <w:r w:rsidRPr="005C3376">
        <w:t>(</w:t>
      </w:r>
      <w:r>
        <w:t>27,6 %</w:t>
      </w:r>
      <w:r w:rsidRPr="005C3376">
        <w:t>)</w:t>
      </w:r>
      <w:r w:rsidRPr="003D2F95">
        <w:t>:</w:t>
      </w:r>
      <w:r>
        <w:t xml:space="preserve"> Servicios de carácter general, administración financiera y tributaria, transferencias a otras AAPP, deuda pública.</w:t>
      </w:r>
    </w:p>
    <w:p w14:paraId="66AF9F7B" w14:textId="4435CC5A" w:rsidR="00DB2234" w:rsidRDefault="00DB2234" w:rsidP="00DB2234">
      <w:pPr>
        <w:pStyle w:val="Prrafodelista"/>
        <w:numPr>
          <w:ilvl w:val="0"/>
          <w:numId w:val="56"/>
        </w:numPr>
        <w:spacing w:after="0"/>
        <w:ind w:left="1134" w:hanging="113"/>
      </w:pPr>
      <w:r w:rsidRPr="00DB2234">
        <w:rPr>
          <w:i/>
          <w:iCs/>
        </w:rPr>
        <w:t>Actuaciones de carácter económico</w:t>
      </w:r>
      <w:r w:rsidR="005C3376" w:rsidRPr="005C3376">
        <w:t xml:space="preserve"> (</w:t>
      </w:r>
      <w:r w:rsidR="005C3376">
        <w:t>7,9 %</w:t>
      </w:r>
      <w:r w:rsidR="005C3376" w:rsidRPr="005C3376">
        <w:t>)</w:t>
      </w:r>
      <w:r w:rsidRPr="003D2F95">
        <w:t>:</w:t>
      </w:r>
      <w:r>
        <w:t xml:space="preserve"> Agricultura y pesca, Comercio, Turismo, Industria y Energía…</w:t>
      </w:r>
    </w:p>
    <w:p w14:paraId="0BAA831E" w14:textId="77777777" w:rsidR="007F27B3" w:rsidRDefault="007F27B3" w:rsidP="007F27B3">
      <w:pPr>
        <w:pStyle w:val="Prrafodelista"/>
        <w:numPr>
          <w:ilvl w:val="0"/>
          <w:numId w:val="56"/>
        </w:numPr>
        <w:spacing w:after="0"/>
        <w:ind w:left="1134" w:hanging="113"/>
      </w:pPr>
      <w:r w:rsidRPr="00DB2234">
        <w:rPr>
          <w:i/>
          <w:iCs/>
        </w:rPr>
        <w:t>Servicios públicos básicos</w:t>
      </w:r>
      <w:r>
        <w:t xml:space="preserve"> </w:t>
      </w:r>
      <w:r w:rsidRPr="005C3376">
        <w:t>(</w:t>
      </w:r>
      <w:r>
        <w:t>6 %</w:t>
      </w:r>
      <w:r w:rsidRPr="005C3376">
        <w:t>)</w:t>
      </w:r>
      <w:r w:rsidRPr="003D2F95">
        <w:t>:</w:t>
      </w:r>
      <w:r>
        <w:t xml:space="preserve"> Justicia; Defensa; Seguridad ciudadana; y Política exterior y de Cooperación para el Desarrollo.</w:t>
      </w:r>
    </w:p>
    <w:p w14:paraId="1ED029EA" w14:textId="5C2096F7" w:rsidR="0061601E" w:rsidRPr="00C75DC0" w:rsidRDefault="0061601E" w:rsidP="0061601E">
      <w:pPr>
        <w:pStyle w:val="Ttuloimagen"/>
        <w:rPr>
          <w:smallCaps w:val="0"/>
        </w:rPr>
      </w:pPr>
      <w:r>
        <w:t>Imagen </w:t>
      </w:r>
      <w:r>
        <w:fldChar w:fldCharType="begin"/>
      </w:r>
      <w:r>
        <w:instrText xml:space="preserve"> SEQ Ilustración \* ARABIC </w:instrText>
      </w:r>
      <w:r>
        <w:fldChar w:fldCharType="separate"/>
      </w:r>
      <w:r w:rsidR="000E5443">
        <w:t>4</w:t>
      </w:r>
      <w:r>
        <w:fldChar w:fldCharType="end"/>
      </w:r>
      <w:r>
        <w:rPr>
          <w:smallCaps w:val="0"/>
        </w:rPr>
        <w:t xml:space="preserve">.– </w:t>
      </w:r>
      <w:r>
        <w:rPr>
          <w:i/>
          <w:iCs/>
          <w:smallCaps w:val="0"/>
        </w:rPr>
        <w:t>Distribución del gasto en los PGE 2023</w:t>
      </w:r>
    </w:p>
    <w:p w14:paraId="32E4B1CD" w14:textId="20C1D5D6" w:rsidR="0061601E" w:rsidRDefault="0061601E" w:rsidP="0061601E">
      <w:pPr>
        <w:pStyle w:val="Imagen"/>
      </w:pPr>
      <w:r w:rsidRPr="0061601E">
        <w:drawing>
          <wp:inline distT="0" distB="0" distL="0" distR="0" wp14:anchorId="7E3D2A45" wp14:editId="2F9B0227">
            <wp:extent cx="3240000" cy="2709524"/>
            <wp:effectExtent l="0" t="0" r="0" b="0"/>
            <wp:docPr id="613371845" name="Imagen 1" descr="Gráfico, Gráfico de rectángul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71845" name="Imagen 1" descr="Gráfico, Gráfico de rectángulos&#10;&#10;Descripción generada automáticamente"/>
                    <pic:cNvPicPr/>
                  </pic:nvPicPr>
                  <pic:blipFill>
                    <a:blip r:embed="rId17"/>
                    <a:stretch>
                      <a:fillRect/>
                    </a:stretch>
                  </pic:blipFill>
                  <pic:spPr>
                    <a:xfrm>
                      <a:off x="0" y="0"/>
                      <a:ext cx="3240000" cy="2709524"/>
                    </a:xfrm>
                    <a:prstGeom prst="rect">
                      <a:avLst/>
                    </a:prstGeom>
                  </pic:spPr>
                </pic:pic>
              </a:graphicData>
            </a:graphic>
          </wp:inline>
        </w:drawing>
      </w:r>
      <w:r w:rsidR="004621CE" w:rsidRPr="004621CE">
        <w:t xml:space="preserve"> </w:t>
      </w:r>
      <w:r w:rsidR="004621CE" w:rsidRPr="004621CE">
        <w:drawing>
          <wp:inline distT="0" distB="0" distL="0" distR="0" wp14:anchorId="273BD2A3" wp14:editId="0DDB23E0">
            <wp:extent cx="3599815" cy="1742422"/>
            <wp:effectExtent l="0" t="0" r="635" b="0"/>
            <wp:docPr id="489808573" name="Imagen 1"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08573" name="Imagen 1" descr="Gráfico, Gráfico circular&#10;&#10;Descripción generada automáticamente"/>
                    <pic:cNvPicPr/>
                  </pic:nvPicPr>
                  <pic:blipFill rotWithShape="1">
                    <a:blip r:embed="rId18"/>
                    <a:srcRect t="23947"/>
                    <a:stretch/>
                  </pic:blipFill>
                  <pic:spPr bwMode="auto">
                    <a:xfrm>
                      <a:off x="0" y="0"/>
                      <a:ext cx="3600000" cy="1742512"/>
                    </a:xfrm>
                    <a:prstGeom prst="rect">
                      <a:avLst/>
                    </a:prstGeom>
                    <a:ln>
                      <a:noFill/>
                    </a:ln>
                    <a:extLst>
                      <a:ext uri="{53640926-AAD7-44D8-BBD7-CCE9431645EC}">
                        <a14:shadowObscured xmlns:a14="http://schemas.microsoft.com/office/drawing/2010/main"/>
                      </a:ext>
                    </a:extLst>
                  </pic:spPr>
                </pic:pic>
              </a:graphicData>
            </a:graphic>
          </wp:inline>
        </w:drawing>
      </w:r>
    </w:p>
    <w:p w14:paraId="45050224" w14:textId="3AD397D4" w:rsidR="0061601E" w:rsidRPr="0059210C" w:rsidRDefault="0061601E" w:rsidP="0061601E">
      <w:pPr>
        <w:pStyle w:val="PiedeImagen"/>
        <w:rPr>
          <w:i w:val="0"/>
          <w:iCs/>
          <w:sz w:val="12"/>
          <w:szCs w:val="12"/>
        </w:rPr>
      </w:pPr>
      <w:r>
        <w:t>Fuente</w:t>
      </w:r>
      <w:r w:rsidRPr="00DB2234">
        <w:rPr>
          <w:i w:val="0"/>
          <w:iCs/>
        </w:rPr>
        <w:t xml:space="preserve">: </w:t>
      </w:r>
      <w:hyperlink r:id="rId19" w:anchor=":~:text=Si%20se%20agrupan%20las%20partidas,p%C3%BAblicos%20b%C3%A1sicos'%20el%206%25" w:history="1">
        <w:r w:rsidRPr="0059210C">
          <w:rPr>
            <w:rStyle w:val="Hipervnculo"/>
            <w:i w:val="0"/>
            <w:iCs/>
            <w:sz w:val="12"/>
            <w:szCs w:val="12"/>
          </w:rPr>
          <w:t>https://www.europapress.es/economia/noticia-presupuestos-generales-estado-2023-politicas-dedicara-mas-gasto-cuales-menos-20221004180420.html</w:t>
        </w:r>
      </w:hyperlink>
      <w:r w:rsidR="0059210C" w:rsidRPr="0059210C">
        <w:rPr>
          <w:i w:val="0"/>
          <w:iCs/>
          <w:sz w:val="12"/>
          <w:szCs w:val="12"/>
        </w:rPr>
        <w:t xml:space="preserve"> y </w:t>
      </w:r>
      <w:hyperlink r:id="rId20" w:history="1">
        <w:r w:rsidR="0059210C" w:rsidRPr="0059210C">
          <w:rPr>
            <w:rStyle w:val="Hipervnculo"/>
            <w:i w:val="0"/>
            <w:iCs/>
            <w:sz w:val="12"/>
            <w:szCs w:val="12"/>
          </w:rPr>
          <w:t>https://www.sepg.pap.hacienda.gob.es/sitios/sepg/es-ES/Presupuestos/PGE/ProyectoPGE2023/Documents/LIBROAMARILLO2023.pdf</w:t>
        </w:r>
      </w:hyperlink>
    </w:p>
    <w:bookmarkEnd w:id="15"/>
    <w:p w14:paraId="5C68CA97" w14:textId="6185836F" w:rsidR="009B6114" w:rsidRPr="00C75DC0" w:rsidRDefault="009B6114" w:rsidP="009B6114">
      <w:pPr>
        <w:pStyle w:val="Ttuloimagen"/>
        <w:rPr>
          <w:smallCaps w:val="0"/>
        </w:rPr>
      </w:pPr>
      <w:r>
        <w:t>Imagen </w:t>
      </w:r>
      <w:r>
        <w:fldChar w:fldCharType="begin"/>
      </w:r>
      <w:r>
        <w:instrText xml:space="preserve"> SEQ Ilustración \* ARABIC </w:instrText>
      </w:r>
      <w:r>
        <w:fldChar w:fldCharType="separate"/>
      </w:r>
      <w:r w:rsidR="000E5443">
        <w:t>5</w:t>
      </w:r>
      <w:r>
        <w:fldChar w:fldCharType="end"/>
      </w:r>
      <w:r>
        <w:rPr>
          <w:smallCaps w:val="0"/>
        </w:rPr>
        <w:t xml:space="preserve">.– </w:t>
      </w:r>
      <w:r w:rsidR="00E14008">
        <w:rPr>
          <w:i/>
          <w:iCs/>
          <w:smallCaps w:val="0"/>
        </w:rPr>
        <w:t>Dónde sube y dónde baja el gasto en los PGE de 2023</w:t>
      </w:r>
    </w:p>
    <w:p w14:paraId="3B30F652" w14:textId="0E2142AF" w:rsidR="009B6114" w:rsidRDefault="009B6114" w:rsidP="009B6114">
      <w:pPr>
        <w:pStyle w:val="Imagen"/>
      </w:pPr>
      <w:r>
        <w:drawing>
          <wp:inline distT="0" distB="0" distL="0" distR="0" wp14:anchorId="2D07FDFB" wp14:editId="265853CA">
            <wp:extent cx="3572580" cy="1620000"/>
            <wp:effectExtent l="0" t="0" r="8890" b="0"/>
            <wp:docPr id="1559176380"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76380" name="Imagen 1" descr="Gráfico&#10;&#10;Descripción generada automáticamente"/>
                    <pic:cNvPicPr/>
                  </pic:nvPicPr>
                  <pic:blipFill rotWithShape="1">
                    <a:blip r:embed="rId21"/>
                    <a:srcRect t="11588" b="11183"/>
                    <a:stretch/>
                  </pic:blipFill>
                  <pic:spPr bwMode="auto">
                    <a:xfrm>
                      <a:off x="0" y="0"/>
                      <a:ext cx="3572580" cy="1620000"/>
                    </a:xfrm>
                    <a:prstGeom prst="rect">
                      <a:avLst/>
                    </a:prstGeom>
                    <a:ln>
                      <a:noFill/>
                    </a:ln>
                    <a:extLst>
                      <a:ext uri="{53640926-AAD7-44D8-BBD7-CCE9431645EC}">
                        <a14:shadowObscured xmlns:a14="http://schemas.microsoft.com/office/drawing/2010/main"/>
                      </a:ext>
                    </a:extLst>
                  </pic:spPr>
                </pic:pic>
              </a:graphicData>
            </a:graphic>
          </wp:inline>
        </w:drawing>
      </w:r>
    </w:p>
    <w:p w14:paraId="60667E1B" w14:textId="48220750" w:rsidR="009B6114" w:rsidRDefault="009B6114" w:rsidP="009B6114">
      <w:pPr>
        <w:pStyle w:val="PiedeImagen"/>
        <w:rPr>
          <w:i w:val="0"/>
          <w:iCs/>
        </w:rPr>
      </w:pPr>
      <w:r>
        <w:t>Fuente</w:t>
      </w:r>
      <w:r w:rsidRPr="00DB2234">
        <w:rPr>
          <w:i w:val="0"/>
          <w:iCs/>
        </w:rPr>
        <w:t xml:space="preserve">: </w:t>
      </w:r>
      <w:hyperlink r:id="rId22" w:anchor=":~:text=Si%20se%20agrupan%20las%20partidas,p%C3%BAblicos%20b%C3%A1sicos'%20el%206%25" w:history="1">
        <w:r w:rsidRPr="00F7023B">
          <w:rPr>
            <w:rStyle w:val="Hipervnculo"/>
            <w:i w:val="0"/>
            <w:iCs/>
          </w:rPr>
          <w:t>https://www.europapress.es/economia/noticia-presupuestos-generales-estado-2023-politicas-dedicara-mas-gasto-cuales-menos-20221004180420.html</w:t>
        </w:r>
      </w:hyperlink>
      <w:r w:rsidRPr="0061601E">
        <w:rPr>
          <w:i w:val="0"/>
          <w:iCs/>
        </w:rPr>
        <w:t>.</w:t>
      </w:r>
    </w:p>
    <w:p w14:paraId="7CD6B290" w14:textId="1B64E147" w:rsidR="00F71BFA" w:rsidRPr="00DB2234" w:rsidRDefault="00F71BFA" w:rsidP="00DB2234">
      <w:pPr>
        <w:pStyle w:val="Ttulo3"/>
        <w:rPr>
          <w:spacing w:val="-2"/>
        </w:rPr>
      </w:pPr>
      <w:bookmarkStart w:id="16" w:name="_Toc150975413"/>
      <w:r w:rsidRPr="00DB2234">
        <w:rPr>
          <w:spacing w:val="-2"/>
        </w:rPr>
        <w:t>Clasificación según la presentación de las Estadísticas de las Finanzas Públicas (EFP) en el SEC</w:t>
      </w:r>
      <w:bookmarkEnd w:id="16"/>
    </w:p>
    <w:p w14:paraId="49A8C45E" w14:textId="6618F836" w:rsidR="00E55BA4" w:rsidRDefault="00E55BA4" w:rsidP="00E55BA4">
      <w:pPr>
        <w:pStyle w:val="Nivel1SM"/>
        <w:keepNext/>
        <w:spacing w:before="0" w:after="0"/>
      </w:pPr>
      <w:r>
        <w:t>La Unión Europea tiene aprobado su Sistema Europeo de Cuentas (SEC-2010), coherente con las directrices internacionales establecidas en el Sistema de Cuentas Nacionales (SCN 2008) de las Naciones Unidas.</w:t>
      </w:r>
    </w:p>
    <w:p w14:paraId="2F970F24" w14:textId="20D63DF4" w:rsidR="00E55BA4" w:rsidRDefault="00E55BA4" w:rsidP="0011738B">
      <w:pPr>
        <w:pStyle w:val="Nivel2SM"/>
      </w:pPr>
      <w:r>
        <w:t>El SEC-2010 es obligatorio para los Estados miembros de la UE ya que fue aprobado por el Reglamento 549/2013, reemplazando al SEC-95 (con entrada en vigor en 2014).</w:t>
      </w:r>
    </w:p>
    <w:p w14:paraId="4738F0ED" w14:textId="2E86FF00" w:rsidR="00E55BA4" w:rsidRDefault="00E55BA4" w:rsidP="0011738B">
      <w:pPr>
        <w:pStyle w:val="Nivel2SM"/>
      </w:pPr>
      <w:r>
        <w:t>Las definiciones y la clasificación las extraeremos de este reglamento.</w:t>
      </w:r>
    </w:p>
    <w:p w14:paraId="23B2DAEB" w14:textId="77777777" w:rsidR="00E55BA4" w:rsidRDefault="00E55BA4" w:rsidP="008D7A4F">
      <w:pPr>
        <w:pStyle w:val="Nivel1SM"/>
        <w:keepNext/>
        <w:spacing w:after="0"/>
      </w:pPr>
      <w:r>
        <w:lastRenderedPageBreak/>
        <w:t xml:space="preserve">En concreto, las </w:t>
      </w:r>
      <w:r w:rsidR="00F71BFA" w:rsidRPr="00E55BA4">
        <w:rPr>
          <w:b/>
          <w:bCs/>
        </w:rPr>
        <w:t>Estadísticas de las Finanzas Públicas (EFP)</w:t>
      </w:r>
      <w:r w:rsidR="00F71BFA">
        <w:t xml:space="preserve"> ofrecen una </w:t>
      </w:r>
      <w:r w:rsidR="00F71BFA" w:rsidRPr="00E55BA4">
        <w:rPr>
          <w:i/>
          <w:iCs/>
        </w:rPr>
        <w:t>imagen diferente, aunque integrada, de las cuentas de las AAPP</w:t>
      </w:r>
      <w:r w:rsidR="00F71BFA">
        <w:t>.</w:t>
      </w:r>
    </w:p>
    <w:p w14:paraId="37A5BBC9" w14:textId="15A63102" w:rsidR="00F71BFA" w:rsidRDefault="00F71BFA" w:rsidP="00E55BA4">
      <w:pPr>
        <w:pStyle w:val="Nivel2SM"/>
      </w:pPr>
      <w:r>
        <w:t>La presentación de las EFP basada en el SEC consiste en las operaciones registradas en la sucesión de cuentas (cuentas corrientes, cuentas de capital y cuenta financiera)</w:t>
      </w:r>
      <w:r w:rsidR="007F261C">
        <w:t xml:space="preserve"> </w:t>
      </w:r>
      <w:r w:rsidR="007F261C" w:rsidRPr="00E55BA4">
        <w:rPr>
          <w:color w:val="767171" w:themeColor="background2" w:themeShade="80"/>
          <w:sz w:val="19"/>
          <w:szCs w:val="19"/>
        </w:rPr>
        <w:t>[ver tema 4.B.1]</w:t>
      </w:r>
      <w:r>
        <w:t xml:space="preserve">, reorganizadas para las operaciones no financieras en una presentación en una </w:t>
      </w:r>
      <w:r w:rsidRPr="00E55BA4">
        <w:rPr>
          <w:i/>
          <w:iCs/>
        </w:rPr>
        <w:t>cuenta única más apropiada para el análisis fiscal</w:t>
      </w:r>
      <w:r>
        <w:t>.</w:t>
      </w:r>
    </w:p>
    <w:p w14:paraId="61B6125C" w14:textId="45AB2E44" w:rsidR="006F1556" w:rsidRDefault="00DD64A2" w:rsidP="006F1556">
      <w:pPr>
        <w:pStyle w:val="Nivel2SM"/>
        <w:keepNext/>
        <w:spacing w:after="0"/>
      </w:pPr>
      <w:r>
        <w:t xml:space="preserve">En el sistema de las EFP, los </w:t>
      </w:r>
      <w:r w:rsidRPr="006F1556">
        <w:rPr>
          <w:b/>
          <w:bCs/>
        </w:rPr>
        <w:t>gastos</w:t>
      </w:r>
      <w:r>
        <w:t xml:space="preserve"> se definen como el </w:t>
      </w:r>
      <w:r w:rsidRPr="006F1556">
        <w:rPr>
          <w:i/>
          <w:iCs/>
        </w:rPr>
        <w:t>agregado de todas las operaciones registradas con empleos positivos</w:t>
      </w:r>
      <w:r w:rsidR="00A85E2E">
        <w:rPr>
          <w:i/>
          <w:iCs/>
        </w:rPr>
        <w:t xml:space="preserve"> en el marco central del SEC</w:t>
      </w:r>
      <w:r w:rsidRPr="006F1556">
        <w:rPr>
          <w:i/>
          <w:iCs/>
        </w:rPr>
        <w:t xml:space="preserve"> y como subvenciones a pagar</w:t>
      </w:r>
      <w:r w:rsidR="00A85E2E">
        <w:rPr>
          <w:i/>
          <w:iCs/>
        </w:rPr>
        <w:t xml:space="preserve"> en las cuentas corrientes, así como los gastos de capital (la formación bruta de capital más las transferencias de capital a pagar) registrados en la cuenta de capital</w:t>
      </w:r>
      <w:r w:rsidR="00A85E2E">
        <w:rPr>
          <w:rStyle w:val="Refdenotaalpie"/>
        </w:rPr>
        <w:footnoteReference w:id="13"/>
      </w:r>
      <w:r>
        <w:t>.</w:t>
      </w:r>
    </w:p>
    <w:p w14:paraId="6805EF3B" w14:textId="5173C76A" w:rsidR="00DD64A2" w:rsidRDefault="00DD64A2" w:rsidP="006F1556">
      <w:pPr>
        <w:pStyle w:val="Nivel3SM"/>
      </w:pPr>
      <w:r>
        <w:t>En otras palabras, una operación de gastos tiene un efecto negativo sobre la capacidad/necesidad de financiación y por tanto tiene un efecto negativo sobre el patrimonio neto de las AAPP.</w:t>
      </w:r>
    </w:p>
    <w:p w14:paraId="4D3918FA" w14:textId="502157CA" w:rsidR="00DD64A2" w:rsidRDefault="00DD64A2" w:rsidP="006F1556">
      <w:pPr>
        <w:pStyle w:val="Nivel2SM"/>
        <w:keepNext/>
        <w:spacing w:after="0"/>
      </w:pPr>
      <w:r>
        <w:t>El gasto total se compone de los gastos</w:t>
      </w:r>
      <w:r w:rsidR="006F1556">
        <w:t xml:space="preserve"> </w:t>
      </w:r>
      <w:r>
        <w:t>corrientes y de capital</w:t>
      </w:r>
      <w:r w:rsidR="006F1556">
        <w:t>:</w:t>
      </w:r>
    </w:p>
    <w:p w14:paraId="535150E4" w14:textId="4619D8D3" w:rsidR="006F1556" w:rsidRDefault="006F1556" w:rsidP="006F1556">
      <w:pPr>
        <w:pStyle w:val="Nivel3SM"/>
        <w:keepNext/>
      </w:pPr>
      <w:r>
        <w:rPr>
          <w:i/>
          <w:iCs/>
        </w:rPr>
        <w:t>Gastos corrientes</w:t>
      </w:r>
      <w:r>
        <w:t>:</w:t>
      </w:r>
      <w:r w:rsidR="006E1083">
        <w:t xml:space="preserve"> Incluye los gastos relacionados con la producción.</w:t>
      </w:r>
    </w:p>
    <w:p w14:paraId="0E07F20A" w14:textId="63E68871" w:rsidR="006F1556" w:rsidRDefault="006E1083" w:rsidP="006F1556">
      <w:pPr>
        <w:pStyle w:val="Nivel4"/>
        <w:ind w:left="1474"/>
      </w:pPr>
      <w:r>
        <w:t>Consumo intermedio</w:t>
      </w:r>
      <w:r>
        <w:rPr>
          <w:rStyle w:val="Refdenotaalpie"/>
        </w:rPr>
        <w:footnoteReference w:id="14"/>
      </w:r>
      <w:r>
        <w:t xml:space="preserve"> </w:t>
      </w:r>
      <w:r w:rsidRPr="006E1083">
        <w:rPr>
          <w:sz w:val="19"/>
          <w:szCs w:val="19"/>
        </w:rPr>
        <w:t>(cuenta de producción)</w:t>
      </w:r>
      <w:r>
        <w:t>.</w:t>
      </w:r>
    </w:p>
    <w:p w14:paraId="1F98D46F" w14:textId="41EEF4F6" w:rsidR="006E1083" w:rsidRDefault="006E1083" w:rsidP="006E1083">
      <w:pPr>
        <w:pStyle w:val="Nivel4"/>
        <w:ind w:left="1474"/>
      </w:pPr>
      <w:r>
        <w:t>Remuneración de asalariados</w:t>
      </w:r>
      <w:r>
        <w:rPr>
          <w:rStyle w:val="Refdenotaalpie"/>
        </w:rPr>
        <w:footnoteReference w:id="15"/>
      </w:r>
      <w:r>
        <w:t xml:space="preserve"> </w:t>
      </w:r>
      <w:r w:rsidRPr="006E1083">
        <w:rPr>
          <w:sz w:val="19"/>
          <w:szCs w:val="19"/>
        </w:rPr>
        <w:t xml:space="preserve">(cuenta de </w:t>
      </w:r>
      <w:r>
        <w:rPr>
          <w:sz w:val="19"/>
          <w:szCs w:val="19"/>
        </w:rPr>
        <w:t>explotación</w:t>
      </w:r>
      <w:r w:rsidRPr="006E1083">
        <w:rPr>
          <w:sz w:val="19"/>
          <w:szCs w:val="19"/>
        </w:rPr>
        <w:t>)</w:t>
      </w:r>
      <w:r>
        <w:t>.</w:t>
      </w:r>
    </w:p>
    <w:p w14:paraId="5544C2B5" w14:textId="6CCA97CC" w:rsidR="006E1083" w:rsidRDefault="006E1083" w:rsidP="006E1083">
      <w:pPr>
        <w:pStyle w:val="Nivel4"/>
        <w:ind w:left="1474"/>
      </w:pPr>
      <w:r>
        <w:t>Gasto en rentas de la propiedad</w:t>
      </w:r>
      <w:r>
        <w:rPr>
          <w:rStyle w:val="Refdenotaalpie"/>
        </w:rPr>
        <w:footnoteReference w:id="16"/>
      </w:r>
      <w:r>
        <w:t xml:space="preserve"> </w:t>
      </w:r>
      <w:r w:rsidRPr="006E1083">
        <w:rPr>
          <w:sz w:val="19"/>
          <w:szCs w:val="19"/>
        </w:rPr>
        <w:t xml:space="preserve">(cuenta de </w:t>
      </w:r>
      <w:r>
        <w:rPr>
          <w:sz w:val="19"/>
          <w:szCs w:val="19"/>
        </w:rPr>
        <w:t>asignación de la renta primaria</w:t>
      </w:r>
      <w:r w:rsidRPr="006E1083">
        <w:rPr>
          <w:sz w:val="19"/>
          <w:szCs w:val="19"/>
        </w:rPr>
        <w:t>)</w:t>
      </w:r>
      <w:r>
        <w:t>.</w:t>
      </w:r>
    </w:p>
    <w:p w14:paraId="5C84B27E" w14:textId="11DA78C1" w:rsidR="006E1083" w:rsidRDefault="006E1083" w:rsidP="006E1083">
      <w:pPr>
        <w:pStyle w:val="Nivel4"/>
        <w:ind w:left="1474"/>
      </w:pPr>
      <w:r>
        <w:t>Gastos en prestaciones sociales distintas de las transferencias sociales en especie</w:t>
      </w:r>
      <w:r>
        <w:rPr>
          <w:rStyle w:val="Refdenotaalpie"/>
        </w:rPr>
        <w:footnoteReference w:id="17"/>
      </w:r>
      <w:r>
        <w:t xml:space="preserve"> </w:t>
      </w:r>
      <w:r w:rsidRPr="006E1083">
        <w:rPr>
          <w:sz w:val="19"/>
          <w:szCs w:val="19"/>
        </w:rPr>
        <w:t xml:space="preserve">(cuenta de </w:t>
      </w:r>
      <w:r>
        <w:rPr>
          <w:sz w:val="19"/>
          <w:szCs w:val="19"/>
        </w:rPr>
        <w:t>distribución secundaria de la renta</w:t>
      </w:r>
      <w:r w:rsidRPr="006E1083">
        <w:rPr>
          <w:sz w:val="19"/>
          <w:szCs w:val="19"/>
        </w:rPr>
        <w:t>)</w:t>
      </w:r>
      <w:r>
        <w:t>.</w:t>
      </w:r>
    </w:p>
    <w:p w14:paraId="16080671" w14:textId="7A2BA96C" w:rsidR="00363214" w:rsidRDefault="00363214" w:rsidP="00363214">
      <w:pPr>
        <w:pStyle w:val="Nivel4"/>
        <w:ind w:left="1474"/>
      </w:pPr>
      <w:proofErr w:type="gramStart"/>
      <w:r>
        <w:t>Otras transferencias corrientes a pagar</w:t>
      </w:r>
      <w:proofErr w:type="gramEnd"/>
      <w:r>
        <w:rPr>
          <w:rStyle w:val="Refdenotaalpie"/>
        </w:rPr>
        <w:footnoteReference w:id="18"/>
      </w:r>
      <w:r>
        <w:t xml:space="preserve"> </w:t>
      </w:r>
      <w:r w:rsidRPr="006E1083">
        <w:rPr>
          <w:sz w:val="19"/>
          <w:szCs w:val="19"/>
        </w:rPr>
        <w:t xml:space="preserve">(cuenta de </w:t>
      </w:r>
      <w:r>
        <w:rPr>
          <w:sz w:val="19"/>
          <w:szCs w:val="19"/>
        </w:rPr>
        <w:t>distribución secundaria de la renta</w:t>
      </w:r>
      <w:r w:rsidRPr="006E1083">
        <w:rPr>
          <w:sz w:val="19"/>
          <w:szCs w:val="19"/>
        </w:rPr>
        <w:t>)</w:t>
      </w:r>
      <w:r>
        <w:t>.</w:t>
      </w:r>
    </w:p>
    <w:p w14:paraId="512D9E48" w14:textId="2B9BA291" w:rsidR="006E1083" w:rsidRDefault="006E1083" w:rsidP="006E1083">
      <w:pPr>
        <w:pStyle w:val="Nivel4"/>
        <w:ind w:left="1474"/>
      </w:pPr>
      <w:r>
        <w:t>Transferencias sociales en especie</w:t>
      </w:r>
      <w:r>
        <w:rPr>
          <w:rStyle w:val="Refdenotaalpie"/>
        </w:rPr>
        <w:footnoteReference w:id="19"/>
      </w:r>
      <w:r>
        <w:t xml:space="preserve"> </w:t>
      </w:r>
      <w:r w:rsidRPr="006E1083">
        <w:rPr>
          <w:sz w:val="19"/>
          <w:szCs w:val="19"/>
        </w:rPr>
        <w:t xml:space="preserve">(cuenta de </w:t>
      </w:r>
      <w:r>
        <w:rPr>
          <w:sz w:val="19"/>
          <w:szCs w:val="19"/>
        </w:rPr>
        <w:t>redistribución de la renta en especie</w:t>
      </w:r>
      <w:r w:rsidRPr="006E1083">
        <w:rPr>
          <w:sz w:val="19"/>
          <w:szCs w:val="19"/>
        </w:rPr>
        <w:t>)</w:t>
      </w:r>
      <w:r>
        <w:t>.</w:t>
      </w:r>
    </w:p>
    <w:p w14:paraId="7127E960" w14:textId="67EEC1D7" w:rsidR="006F1556" w:rsidRDefault="006F1556" w:rsidP="006F1556">
      <w:pPr>
        <w:pStyle w:val="Nivel3SM"/>
        <w:keepNext/>
      </w:pPr>
      <w:r>
        <w:rPr>
          <w:i/>
          <w:iCs/>
        </w:rPr>
        <w:t>Gastos de capital</w:t>
      </w:r>
      <w:r>
        <w:t>:</w:t>
      </w:r>
    </w:p>
    <w:p w14:paraId="0C9296CC" w14:textId="68D238F2" w:rsidR="009D7E14" w:rsidRDefault="009D7E14" w:rsidP="006F1556">
      <w:pPr>
        <w:pStyle w:val="Nivel4"/>
        <w:ind w:left="1474"/>
      </w:pPr>
      <w:r>
        <w:t>Transferencias de capital</w:t>
      </w:r>
      <w:r>
        <w:rPr>
          <w:rStyle w:val="Refdenotaalpie"/>
        </w:rPr>
        <w:footnoteReference w:id="20"/>
      </w:r>
      <w:r>
        <w:t>.</w:t>
      </w:r>
    </w:p>
    <w:p w14:paraId="2F00C3FE" w14:textId="1A5D6905" w:rsidR="006E1083" w:rsidRDefault="006E1083" w:rsidP="006F1556">
      <w:pPr>
        <w:pStyle w:val="Nivel4"/>
        <w:ind w:left="1474"/>
      </w:pPr>
      <w:r>
        <w:t>Formación bruta de capital fijo pública</w:t>
      </w:r>
      <w:r>
        <w:rPr>
          <w:rStyle w:val="Refdenotaalpie"/>
        </w:rPr>
        <w:footnoteReference w:id="21"/>
      </w:r>
      <w:r>
        <w:t>.</w:t>
      </w:r>
    </w:p>
    <w:p w14:paraId="4EE31F7A" w14:textId="03BB28B2" w:rsidR="006E1083" w:rsidRDefault="006E1083" w:rsidP="006F1556">
      <w:pPr>
        <w:pStyle w:val="Nivel4"/>
        <w:ind w:left="1474"/>
      </w:pPr>
      <w:r>
        <w:t>Variación de existencias.</w:t>
      </w:r>
    </w:p>
    <w:p w14:paraId="44149380" w14:textId="0BB6D83D" w:rsidR="006E1083" w:rsidRDefault="006E1083" w:rsidP="006F1556">
      <w:pPr>
        <w:pStyle w:val="Nivel4"/>
        <w:ind w:left="1474"/>
      </w:pPr>
      <w:r>
        <w:t>Adquisición de activos no financieros no producidos</w:t>
      </w:r>
      <w:r>
        <w:rPr>
          <w:rStyle w:val="Refdenotaalpie"/>
        </w:rPr>
        <w:footnoteReference w:id="22"/>
      </w:r>
      <w:r>
        <w:t>.</w:t>
      </w:r>
    </w:p>
    <w:p w14:paraId="1D66C5BD" w14:textId="77777777" w:rsidR="006E1083" w:rsidRDefault="006E1083" w:rsidP="00DB2234">
      <w:pPr>
        <w:pStyle w:val="Ttulo3"/>
      </w:pPr>
      <w:bookmarkStart w:id="17" w:name="_Toc150975414"/>
      <w:r>
        <w:lastRenderedPageBreak/>
        <w:t>Gasto de las administraciones públicas por funciones según el COFOG</w:t>
      </w:r>
      <w:bookmarkEnd w:id="17"/>
    </w:p>
    <w:p w14:paraId="5FEBA009" w14:textId="1074BFC8" w:rsidR="00C401EE" w:rsidRPr="00046370" w:rsidRDefault="00C401EE" w:rsidP="00046370">
      <w:pPr>
        <w:pStyle w:val="Nivel2SM"/>
        <w:keepNext/>
        <w:spacing w:after="0"/>
        <w:rPr>
          <w:spacing w:val="-6"/>
        </w:rPr>
      </w:pPr>
      <w:r w:rsidRPr="00046370">
        <w:rPr>
          <w:spacing w:val="-6"/>
        </w:rPr>
        <w:t xml:space="preserve">La </w:t>
      </w:r>
      <w:r w:rsidR="00046370" w:rsidRPr="00046370">
        <w:rPr>
          <w:spacing w:val="-6"/>
        </w:rPr>
        <w:t>Clasificación funcional del gasto de las Administraciones Públicas (</w:t>
      </w:r>
      <w:r w:rsidRPr="00046370">
        <w:rPr>
          <w:spacing w:val="-6"/>
        </w:rPr>
        <w:t>COFOG</w:t>
      </w:r>
      <w:r w:rsidR="00046370" w:rsidRPr="00046370">
        <w:rPr>
          <w:spacing w:val="-6"/>
        </w:rPr>
        <w:t>)</w:t>
      </w:r>
      <w:r w:rsidRPr="00046370">
        <w:rPr>
          <w:spacing w:val="-6"/>
        </w:rPr>
        <w:t xml:space="preserve"> describe el gasto público</w:t>
      </w:r>
      <w:r w:rsidR="00046370" w:rsidRPr="00046370">
        <w:rPr>
          <w:spacing w:val="-6"/>
        </w:rPr>
        <w:t xml:space="preserve"> de acuerdo con los criterios de la Contabilidad Nacional (SEC-2010), </w:t>
      </w:r>
      <w:r w:rsidRPr="00046370">
        <w:rPr>
          <w:spacing w:val="-6"/>
        </w:rPr>
        <w:t xml:space="preserve">con arreglo a </w:t>
      </w:r>
      <w:r w:rsidRPr="00046370">
        <w:rPr>
          <w:i/>
          <w:iCs/>
          <w:spacing w:val="-6"/>
        </w:rPr>
        <w:t>10 funciones principales</w:t>
      </w:r>
      <w:r w:rsidRPr="00046370">
        <w:rPr>
          <w:spacing w:val="-6"/>
        </w:rPr>
        <w:t xml:space="preserve"> (similar a la presentación funcional de los Presupuestos Generales del Estado):</w:t>
      </w:r>
    </w:p>
    <w:p w14:paraId="6246551D" w14:textId="515221B5" w:rsidR="00F6604F" w:rsidRPr="00F6604F" w:rsidRDefault="00F6604F" w:rsidP="00F6604F">
      <w:pPr>
        <w:pStyle w:val="Ttuloimagen"/>
        <w:rPr>
          <w:smallCaps w:val="0"/>
          <w:spacing w:val="-3"/>
        </w:rPr>
      </w:pPr>
      <w:r>
        <w:t>Tabla </w:t>
      </w:r>
      <w:r>
        <w:fldChar w:fldCharType="begin"/>
      </w:r>
      <w:r>
        <w:instrText xml:space="preserve"> SEQ Tabla \* ARABIC </w:instrText>
      </w:r>
      <w:r>
        <w:fldChar w:fldCharType="separate"/>
      </w:r>
      <w:r w:rsidR="000E5443">
        <w:t>1</w:t>
      </w:r>
      <w:r>
        <w:fldChar w:fldCharType="end"/>
      </w:r>
      <w:r>
        <w:rPr>
          <w:smallCaps w:val="0"/>
        </w:rPr>
        <w:t xml:space="preserve">.– </w:t>
      </w:r>
      <w:r>
        <w:rPr>
          <w:i/>
          <w:iCs/>
          <w:smallCaps w:val="0"/>
        </w:rPr>
        <w:t>COFOG, las 10 funciones de las AAPP</w:t>
      </w:r>
    </w:p>
    <w:p w14:paraId="788BBC1C" w14:textId="2BFE9FD4" w:rsidR="00F6604F" w:rsidRDefault="00F6604F" w:rsidP="00F6604F">
      <w:pPr>
        <w:pStyle w:val="Imagen"/>
        <w:rPr>
          <w:spacing w:val="-3"/>
        </w:rPr>
      </w:pPr>
      <w:r>
        <w:drawing>
          <wp:inline distT="0" distB="0" distL="0" distR="0" wp14:anchorId="2C36F4B8" wp14:editId="37737F67">
            <wp:extent cx="3172733" cy="1800000"/>
            <wp:effectExtent l="0" t="0" r="8890" b="0"/>
            <wp:docPr id="2063773238"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73238" name="Imagen 1" descr="Tabla&#10;&#10;Descripción generada automáticamente"/>
                    <pic:cNvPicPr/>
                  </pic:nvPicPr>
                  <pic:blipFill rotWithShape="1">
                    <a:blip r:embed="rId23"/>
                    <a:srcRect t="6722"/>
                    <a:stretch/>
                  </pic:blipFill>
                  <pic:spPr bwMode="auto">
                    <a:xfrm>
                      <a:off x="0" y="0"/>
                      <a:ext cx="3172733" cy="1800000"/>
                    </a:xfrm>
                    <a:prstGeom prst="rect">
                      <a:avLst/>
                    </a:prstGeom>
                    <a:ln>
                      <a:noFill/>
                    </a:ln>
                    <a:extLst>
                      <a:ext uri="{53640926-AAD7-44D8-BBD7-CCE9431645EC}">
                        <a14:shadowObscured xmlns:a14="http://schemas.microsoft.com/office/drawing/2010/main"/>
                      </a:ext>
                    </a:extLst>
                  </pic:spPr>
                </pic:pic>
              </a:graphicData>
            </a:graphic>
          </wp:inline>
        </w:drawing>
      </w:r>
    </w:p>
    <w:p w14:paraId="280B7645" w14:textId="66D2992C" w:rsidR="00F6604F" w:rsidRPr="00F6604F" w:rsidRDefault="00F6604F" w:rsidP="00F6604F">
      <w:pPr>
        <w:pStyle w:val="PiedeImagen"/>
      </w:pPr>
      <w:r>
        <w:t>Fuente</w:t>
      </w:r>
      <w:r>
        <w:rPr>
          <w:i w:val="0"/>
          <w:iCs/>
        </w:rPr>
        <w:t xml:space="preserve">: Parlamento Europeo y Consejo (2013) Reglamento UE Nº 549/2013 relativo al sistema Europeo de Cuentas nacionales y Regionales de la UE. </w:t>
      </w:r>
      <w:hyperlink r:id="rId24" w:history="1">
        <w:r w:rsidRPr="008C4AF0">
          <w:rPr>
            <w:rStyle w:val="Hipervnculo"/>
            <w:i w:val="0"/>
            <w:iCs/>
          </w:rPr>
          <w:t>https://www.boe.es/doue/2013/174/L00001-00727.pdf</w:t>
        </w:r>
      </w:hyperlink>
    </w:p>
    <w:p w14:paraId="0C6759C4" w14:textId="62949101" w:rsidR="00C401EE" w:rsidRPr="007F0415" w:rsidRDefault="00C401EE" w:rsidP="00C401EE">
      <w:pPr>
        <w:pStyle w:val="Nivel2SM"/>
        <w:rPr>
          <w:spacing w:val="-3"/>
        </w:rPr>
      </w:pPr>
      <w:r w:rsidRPr="007F0415">
        <w:rPr>
          <w:spacing w:val="-3"/>
        </w:rPr>
        <w:t xml:space="preserve">La clasificación funcional de los PGE y la clasificación del COFOG tienen sus similitudes, pero esta última es especialmente útil para las </w:t>
      </w:r>
      <w:r w:rsidRPr="007F0415">
        <w:rPr>
          <w:i/>
          <w:iCs/>
          <w:spacing w:val="-3"/>
        </w:rPr>
        <w:t>comparaciones internacionales</w:t>
      </w:r>
      <w:r w:rsidRPr="007F0415">
        <w:rPr>
          <w:spacing w:val="-3"/>
        </w:rPr>
        <w:t xml:space="preserve"> (no depende de clasificación funcional de los presupuestos de cada país y además evita el problema de las descentralización).</w:t>
      </w:r>
    </w:p>
    <w:p w14:paraId="2F44D50F" w14:textId="77777777" w:rsidR="00A0416A" w:rsidRDefault="00A0416A" w:rsidP="00031503">
      <w:pPr>
        <w:pStyle w:val="Ttulo1"/>
      </w:pPr>
      <w:bookmarkStart w:id="18" w:name="_Toc150975415"/>
      <w:r>
        <w:t>EL DEBATE SOBRE EL TAMAÑO DEL SECTOR PÚBLICO</w:t>
      </w:r>
      <w:bookmarkEnd w:id="18"/>
    </w:p>
    <w:p w14:paraId="7EAE6E12" w14:textId="77777777" w:rsidR="00A0416A" w:rsidRPr="00FC3534" w:rsidRDefault="00A0416A" w:rsidP="00A0416A">
      <w:pPr>
        <w:pStyle w:val="Nivel1SM"/>
        <w:spacing w:before="0"/>
        <w:rPr>
          <w:b/>
        </w:rPr>
      </w:pPr>
      <w:r>
        <w:t xml:space="preserve">Antes de entrar en el análisis del debate sobre el </w:t>
      </w:r>
      <w:r w:rsidRPr="0038163A">
        <w:t xml:space="preserve">tamaño óptimo del </w:t>
      </w:r>
      <w:r>
        <w:t>sector público introducir algunos indicadores para medir su</w:t>
      </w:r>
      <w:r w:rsidRPr="0038163A">
        <w:t xml:space="preserve"> tamaño</w:t>
      </w:r>
      <w:r>
        <w:t xml:space="preserve"> y posteriormente analizaremos la evolución a lo largo de la historia de la dimensión del sector público.</w:t>
      </w:r>
    </w:p>
    <w:p w14:paraId="04C1AFA4" w14:textId="77777777" w:rsidR="00A0416A" w:rsidRDefault="00A0416A" w:rsidP="00A0416A">
      <w:pPr>
        <w:pStyle w:val="Ttulo2"/>
      </w:pPr>
      <w:bookmarkStart w:id="19" w:name="_Toc150975416"/>
      <w:r w:rsidRPr="00314C6B">
        <w:t xml:space="preserve">La medición del tamaño del </w:t>
      </w:r>
      <w:r>
        <w:t>sector público</w:t>
      </w:r>
      <w:bookmarkEnd w:id="19"/>
    </w:p>
    <w:p w14:paraId="157BC6E0" w14:textId="77777777" w:rsidR="00A0416A" w:rsidRDefault="00A0416A" w:rsidP="00A0416A">
      <w:pPr>
        <w:pStyle w:val="Nivel2SM"/>
        <w:keepNext/>
        <w:spacing w:after="0"/>
      </w:pPr>
      <w:r>
        <w:t xml:space="preserve">El </w:t>
      </w:r>
      <w:r w:rsidRPr="00A762AF">
        <w:rPr>
          <w:b/>
          <w:bCs/>
        </w:rPr>
        <w:t>peso del sector público</w:t>
      </w:r>
      <w:r w:rsidRPr="00A762AF">
        <w:t xml:space="preserve"> dentro de la economía es una cuestión importante</w:t>
      </w:r>
      <w:r>
        <w:t xml:space="preserve"> para valorar el papel de la actividad pública. Dicho peso podría medirse mediante indicadores que pueden dividirse en 3 tipos:</w:t>
      </w:r>
    </w:p>
    <w:p w14:paraId="48893DDD" w14:textId="77777777" w:rsidR="00A0416A" w:rsidRDefault="00A0416A" w:rsidP="00A0416A">
      <w:pPr>
        <w:pStyle w:val="Prrafodelista"/>
        <w:numPr>
          <w:ilvl w:val="0"/>
          <w:numId w:val="49"/>
        </w:numPr>
        <w:spacing w:after="0"/>
        <w:ind w:left="1134" w:hanging="113"/>
      </w:pPr>
      <w:r w:rsidRPr="00A762AF">
        <w:rPr>
          <w:i/>
          <w:iCs/>
        </w:rPr>
        <w:t>Indicadores por el lado del gasto</w:t>
      </w:r>
      <w:r>
        <w:t>.</w:t>
      </w:r>
    </w:p>
    <w:p w14:paraId="541733DB" w14:textId="77777777" w:rsidR="00A0416A" w:rsidRDefault="00A0416A" w:rsidP="00A0416A">
      <w:pPr>
        <w:pStyle w:val="Prrafodelista"/>
        <w:numPr>
          <w:ilvl w:val="0"/>
          <w:numId w:val="49"/>
        </w:numPr>
        <w:spacing w:after="0"/>
        <w:ind w:left="1134" w:hanging="113"/>
      </w:pPr>
      <w:r w:rsidRPr="00A762AF">
        <w:rPr>
          <w:i/>
          <w:iCs/>
        </w:rPr>
        <w:t>Indicadores por el lado de los ingresos</w:t>
      </w:r>
      <w:r>
        <w:t>.</w:t>
      </w:r>
    </w:p>
    <w:p w14:paraId="192D39F8" w14:textId="77777777" w:rsidR="00A0416A" w:rsidRDefault="00A0416A" w:rsidP="00A0416A">
      <w:pPr>
        <w:pStyle w:val="Prrafodelista"/>
        <w:numPr>
          <w:ilvl w:val="0"/>
          <w:numId w:val="49"/>
        </w:numPr>
        <w:spacing w:after="0"/>
        <w:ind w:left="1134" w:hanging="113"/>
      </w:pPr>
      <w:r w:rsidRPr="00A762AF">
        <w:rPr>
          <w:i/>
          <w:iCs/>
        </w:rPr>
        <w:t>Otros indicadores</w:t>
      </w:r>
      <w:r>
        <w:t>.</w:t>
      </w:r>
    </w:p>
    <w:p w14:paraId="771597A9" w14:textId="77777777" w:rsidR="00A0416A" w:rsidRPr="00D02B16" w:rsidRDefault="00A0416A" w:rsidP="00A0416A">
      <w:pPr>
        <w:pStyle w:val="Ttulo3"/>
      </w:pPr>
      <w:bookmarkStart w:id="20" w:name="_Toc146266671"/>
      <w:bookmarkStart w:id="21" w:name="_Toc150975417"/>
      <w:r>
        <w:t>Indicadores por el lado de los gastos</w:t>
      </w:r>
      <w:bookmarkEnd w:id="20"/>
      <w:bookmarkEnd w:id="21"/>
    </w:p>
    <w:p w14:paraId="126833EB" w14:textId="6BA1E1AD" w:rsidR="00A0416A" w:rsidRDefault="00A0416A" w:rsidP="00070DD0">
      <w:pPr>
        <w:pStyle w:val="Ttulo6"/>
        <w:numPr>
          <w:ilvl w:val="0"/>
          <w:numId w:val="62"/>
        </w:numPr>
        <w:spacing w:before="0"/>
        <w:ind w:left="0" w:hanging="284"/>
      </w:pPr>
      <w:bookmarkStart w:id="22" w:name="_Toc150975418"/>
      <w:r>
        <w:t>Tamaño presupuestario</w:t>
      </w:r>
      <w:bookmarkEnd w:id="22"/>
    </w:p>
    <w:p w14:paraId="429C8C39" w14:textId="77777777" w:rsidR="00A0416A" w:rsidRDefault="00A0416A" w:rsidP="00A0416A">
      <w:pPr>
        <w:pStyle w:val="Nivel2SM"/>
        <w:keepNext/>
        <w:spacing w:after="0"/>
      </w:pPr>
      <w:r w:rsidRPr="00103C9A">
        <w:t xml:space="preserve">Una </w:t>
      </w:r>
      <w:r>
        <w:t xml:space="preserve">primera </w:t>
      </w:r>
      <w:r w:rsidRPr="00103C9A">
        <w:t xml:space="preserve">medida intuitiva </w:t>
      </w:r>
      <w:r>
        <w:t>es la que relaciona el</w:t>
      </w:r>
      <w:r w:rsidRPr="00103C9A">
        <w:t xml:space="preserve"> </w:t>
      </w:r>
      <w:r>
        <w:rPr>
          <w:u w:val="single"/>
        </w:rPr>
        <w:t>gasto</w:t>
      </w:r>
      <w:r w:rsidRPr="00F054D1">
        <w:rPr>
          <w:u w:val="single"/>
        </w:rPr>
        <w:t xml:space="preserve"> público</w:t>
      </w:r>
      <w:r>
        <w:rPr>
          <w:u w:val="single"/>
        </w:rPr>
        <w:t xml:space="preserve"> total</w:t>
      </w:r>
      <w:r>
        <w:t xml:space="preserve"> </w:t>
      </w:r>
      <w:r w:rsidRPr="00103C9A">
        <w:t>con el nivel de</w:t>
      </w:r>
      <w:r>
        <w:t xml:space="preserve"> producción del país. Es decir:</w:t>
      </w:r>
    </w:p>
    <w:p w14:paraId="0ABC35FC" w14:textId="77777777" w:rsidR="00A0416A" w:rsidRDefault="00A0416A" w:rsidP="00A0416A">
      <w:pPr>
        <w:spacing w:after="0"/>
        <w:jc w:val="center"/>
      </w:pPr>
      <w:r>
        <w:rPr>
          <w:noProof/>
        </w:rPr>
        <w:drawing>
          <wp:inline distT="0" distB="0" distL="0" distR="0" wp14:anchorId="65AC25E5" wp14:editId="1836A673">
            <wp:extent cx="2135398" cy="391099"/>
            <wp:effectExtent l="0" t="0" r="0" b="9525"/>
            <wp:docPr id="767611053" name="Imagen 767611053"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11053" name="Imagen 767611053" descr="Texto&#10;&#10;Descripción generada automáticamente con confianza baj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66216" cy="396743"/>
                    </a:xfrm>
                    <a:prstGeom prst="rect">
                      <a:avLst/>
                    </a:prstGeom>
                    <a:noFill/>
                    <a:ln>
                      <a:noFill/>
                    </a:ln>
                  </pic:spPr>
                </pic:pic>
              </a:graphicData>
            </a:graphic>
          </wp:inline>
        </w:drawing>
      </w:r>
    </w:p>
    <w:p w14:paraId="716FBEC3" w14:textId="77777777" w:rsidR="00A0416A" w:rsidRDefault="00A0416A" w:rsidP="00A0416A">
      <w:pPr>
        <w:pStyle w:val="Nivel3SM"/>
      </w:pPr>
      <w:r>
        <w:t>D</w:t>
      </w:r>
      <w:r w:rsidRPr="00103C9A">
        <w:t xml:space="preserve">onde </w:t>
      </w:r>
      <w:r w:rsidRPr="00B23483">
        <w:rPr>
          <w:i/>
          <w:iCs/>
        </w:rPr>
        <w:t>P</w:t>
      </w:r>
      <w:r w:rsidRPr="00103C9A">
        <w:t xml:space="preserve"> representa la suma de todas las partidas de gasto</w:t>
      </w:r>
      <w:r>
        <w:t>.</w:t>
      </w:r>
    </w:p>
    <w:p w14:paraId="66F64436" w14:textId="77777777" w:rsidR="00A0416A" w:rsidRDefault="00A0416A" w:rsidP="00A0416A">
      <w:pPr>
        <w:pStyle w:val="Nivel2SM"/>
        <w:keepNext/>
        <w:spacing w:after="0"/>
      </w:pPr>
      <w:r w:rsidRPr="00D0760D">
        <w:rPr>
          <w:b/>
          <w:bCs/>
        </w:rPr>
        <w:t>Críticas</w:t>
      </w:r>
      <w:r>
        <w:t>:</w:t>
      </w:r>
    </w:p>
    <w:p w14:paraId="10A3B1BF" w14:textId="77777777" w:rsidR="00A0416A" w:rsidRDefault="00A0416A" w:rsidP="00A0416A">
      <w:pPr>
        <w:pStyle w:val="Nivel3SM"/>
      </w:pPr>
      <w:r>
        <w:t>E</w:t>
      </w:r>
      <w:r w:rsidRPr="00103C9A">
        <w:t xml:space="preserve">stá </w:t>
      </w:r>
      <w:r w:rsidRPr="00D0760D">
        <w:rPr>
          <w:i/>
          <w:iCs/>
        </w:rPr>
        <w:t>muy afectado por las cuentas de endeudamiento</w:t>
      </w:r>
      <w:r>
        <w:t xml:space="preserve">, que no son </w:t>
      </w:r>
      <w:r w:rsidRPr="00103C9A">
        <w:t>propiamente medidas de gasto público.</w:t>
      </w:r>
    </w:p>
    <w:p w14:paraId="72E6B5F7" w14:textId="3325056F" w:rsidR="00A0416A" w:rsidRPr="000F6281" w:rsidRDefault="00A0416A" w:rsidP="00070DD0">
      <w:pPr>
        <w:pStyle w:val="Ttulo6"/>
        <w:numPr>
          <w:ilvl w:val="0"/>
          <w:numId w:val="62"/>
        </w:numPr>
        <w:ind w:left="0" w:hanging="284"/>
      </w:pPr>
      <w:bookmarkStart w:id="23" w:name="_Toc150975419"/>
      <w:r>
        <w:t>Tamaño presupuestario no financiero</w:t>
      </w:r>
      <w:bookmarkEnd w:id="23"/>
    </w:p>
    <w:p w14:paraId="17DFACCF" w14:textId="77777777" w:rsidR="00A0416A" w:rsidRDefault="00A0416A" w:rsidP="00A0416A">
      <w:pPr>
        <w:pStyle w:val="Nivel2SM"/>
        <w:keepNext/>
        <w:spacing w:after="0"/>
      </w:pPr>
      <w:r>
        <w:t xml:space="preserve">Por ello, un segundo indicador, más extendido, es el que se basa en el gasto público </w:t>
      </w:r>
      <w:r w:rsidRPr="00894F73">
        <w:rPr>
          <w:u w:val="single"/>
        </w:rPr>
        <w:t>no</w:t>
      </w:r>
      <w:r>
        <w:rPr>
          <w:u w:val="single"/>
        </w:rPr>
        <w:t> </w:t>
      </w:r>
      <w:r w:rsidRPr="00894F73">
        <w:rPr>
          <w:u w:val="single"/>
        </w:rPr>
        <w:t>financiero</w:t>
      </w:r>
      <w:r>
        <w:rPr>
          <w:u w:val="single"/>
        </w:rPr>
        <w:t xml:space="preserve"> (corrientes y de capital)</w:t>
      </w:r>
      <w:r>
        <w:t>:</w:t>
      </w:r>
    </w:p>
    <w:p w14:paraId="7AF54036" w14:textId="77777777" w:rsidR="00A0416A" w:rsidRDefault="00A0416A" w:rsidP="00A0416A">
      <w:pPr>
        <w:spacing w:after="0"/>
        <w:jc w:val="center"/>
      </w:pPr>
      <w:r>
        <w:rPr>
          <w:noProof/>
        </w:rPr>
        <w:drawing>
          <wp:inline distT="0" distB="0" distL="0" distR="0" wp14:anchorId="039C3E9B" wp14:editId="1C1A75F6">
            <wp:extent cx="3032760" cy="467819"/>
            <wp:effectExtent l="0" t="0" r="0" b="8890"/>
            <wp:docPr id="570879977" name="Imagen 570879977"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79977" name="Imagen 570879977" descr="Imagen que contiene Logotipo&#10;&#10;Descripción generada automáticamen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99520" cy="478117"/>
                    </a:xfrm>
                    <a:prstGeom prst="rect">
                      <a:avLst/>
                    </a:prstGeom>
                    <a:noFill/>
                    <a:ln>
                      <a:noFill/>
                    </a:ln>
                  </pic:spPr>
                </pic:pic>
              </a:graphicData>
            </a:graphic>
          </wp:inline>
        </w:drawing>
      </w:r>
    </w:p>
    <w:p w14:paraId="2DAD4E9B" w14:textId="77777777" w:rsidR="00A0416A" w:rsidRDefault="00A0416A" w:rsidP="00A0416A">
      <w:pPr>
        <w:pStyle w:val="Nivel3SM"/>
      </w:pPr>
      <w:r>
        <w:t>Representa la “</w:t>
      </w:r>
      <w:r w:rsidRPr="00627FD3">
        <w:rPr>
          <w:b/>
        </w:rPr>
        <w:t>cifra de negocio</w:t>
      </w:r>
      <w:r>
        <w:t>” de las AAPP.</w:t>
      </w:r>
    </w:p>
    <w:p w14:paraId="6CAD54DE" w14:textId="77777777" w:rsidR="00A0416A" w:rsidRDefault="00A0416A" w:rsidP="00A0416A">
      <w:pPr>
        <w:pStyle w:val="Nivel3SM"/>
      </w:pPr>
      <w:r>
        <w:lastRenderedPageBreak/>
        <w:t xml:space="preserve">Por tanto, un valor elevado de este índice reflejará una </w:t>
      </w:r>
      <w:r w:rsidRPr="004F3B5A">
        <w:rPr>
          <w:u w:val="single"/>
        </w:rPr>
        <w:t>elevada capacidad de las AAPP para influir en la asignación de recursos</w:t>
      </w:r>
      <w:r>
        <w:t xml:space="preserve"> de la sociedad en la que intervienen.</w:t>
      </w:r>
    </w:p>
    <w:p w14:paraId="509DAA34" w14:textId="77777777" w:rsidR="00A0416A" w:rsidRDefault="00A0416A" w:rsidP="00A0416A">
      <w:pPr>
        <w:pStyle w:val="Nivel2SM"/>
        <w:keepNext/>
        <w:spacing w:after="0"/>
      </w:pPr>
      <w:r w:rsidRPr="00D0760D">
        <w:rPr>
          <w:b/>
          <w:bCs/>
        </w:rPr>
        <w:t>Críticas</w:t>
      </w:r>
      <w:r>
        <w:t>:</w:t>
      </w:r>
    </w:p>
    <w:p w14:paraId="4B9779E9" w14:textId="77777777" w:rsidR="00A0416A" w:rsidRPr="00AB32F2" w:rsidRDefault="00A0416A" w:rsidP="00A0416A">
      <w:pPr>
        <w:pStyle w:val="Nivel3SM"/>
      </w:pPr>
      <w:r w:rsidRPr="00AB32F2">
        <w:rPr>
          <w:i/>
          <w:iCs/>
        </w:rPr>
        <w:t>Variable stock vs. variable flujo</w:t>
      </w:r>
      <w:r>
        <w:t xml:space="preserve">: El gasto público es una variable flujo, pero la </w:t>
      </w:r>
      <w:r w:rsidRPr="00AB32F2">
        <w:t>dimensión del sector público es una variable stock.</w:t>
      </w:r>
    </w:p>
    <w:p w14:paraId="0D2CC480" w14:textId="77777777" w:rsidR="00A0416A" w:rsidRPr="00AB32F2" w:rsidRDefault="00A0416A" w:rsidP="00A0416A">
      <w:pPr>
        <w:pStyle w:val="Nivel3SM"/>
      </w:pPr>
      <w:r w:rsidRPr="00F225F8">
        <w:rPr>
          <w:i/>
          <w:iCs/>
        </w:rPr>
        <w:t>No refleja el efecto económico del gasto</w:t>
      </w:r>
      <w:r w:rsidRPr="00AB32F2">
        <w:t xml:space="preserve"> (porque este efecto no sólo depende de su volumen, sino también de su estructura y eficiencia).</w:t>
      </w:r>
    </w:p>
    <w:p w14:paraId="097B28B6" w14:textId="77777777" w:rsidR="00A0416A" w:rsidRPr="00AB32F2" w:rsidRDefault="00A0416A" w:rsidP="00A0416A">
      <w:pPr>
        <w:pStyle w:val="Nivel3SM"/>
      </w:pPr>
      <w:r w:rsidRPr="00F225F8">
        <w:rPr>
          <w:i/>
          <w:iCs/>
        </w:rPr>
        <w:t>Se ve afectado por los estabilizadores automáticos</w:t>
      </w:r>
      <w:r w:rsidRPr="00AB32F2">
        <w:t>.</w:t>
      </w:r>
    </w:p>
    <w:p w14:paraId="54D58929" w14:textId="77777777" w:rsidR="00A0416A" w:rsidRDefault="00A0416A" w:rsidP="00A0416A">
      <w:pPr>
        <w:pStyle w:val="Nivel3SM"/>
        <w:keepNext/>
      </w:pPr>
      <w:r w:rsidRPr="00024F9E">
        <w:rPr>
          <w:i/>
          <w:iCs/>
        </w:rPr>
        <w:t>Incluye las transferencias</w:t>
      </w:r>
      <w:r w:rsidRPr="00AB32F2">
        <w:t>, cuyo destino final no controla directamente el sector público, sino que son utilizadas por individuos o instituciones, por lo que</w:t>
      </w:r>
      <w:r w:rsidRPr="00D65F24">
        <w:t xml:space="preserve"> este índice tiend</w:t>
      </w:r>
      <w:r>
        <w:t>e a sobre</w:t>
      </w:r>
      <w:r w:rsidRPr="00D65F24">
        <w:t>valorar el tamaño del sector público.</w:t>
      </w:r>
    </w:p>
    <w:p w14:paraId="1EFBC8D5" w14:textId="77777777" w:rsidR="00A0416A" w:rsidRPr="00DD1F7C" w:rsidRDefault="00A0416A" w:rsidP="00A0416A">
      <w:pPr>
        <w:pStyle w:val="Nivel4"/>
        <w:keepNext/>
        <w:ind w:left="1474"/>
        <w:rPr>
          <w:spacing w:val="-2"/>
        </w:rPr>
      </w:pPr>
      <w:r w:rsidRPr="00DD1F7C">
        <w:rPr>
          <w:spacing w:val="-2"/>
        </w:rPr>
        <w:t>Para solventar este problema se puede utilizar otro indicador que sólo incluya el gasto:</w:t>
      </w:r>
    </w:p>
    <w:p w14:paraId="3C544C2D" w14:textId="77777777" w:rsidR="00A0416A" w:rsidRDefault="00A0416A" w:rsidP="00A0416A">
      <w:pPr>
        <w:pStyle w:val="Nivel3SM"/>
        <w:numPr>
          <w:ilvl w:val="0"/>
          <w:numId w:val="0"/>
        </w:numPr>
        <w:ind w:left="1474" w:hanging="198"/>
        <w:jc w:val="center"/>
      </w:pPr>
      <w:r>
        <w:rPr>
          <w:noProof/>
        </w:rPr>
        <w:drawing>
          <wp:inline distT="0" distB="0" distL="0" distR="0" wp14:anchorId="3E2C13F1" wp14:editId="3C05D985">
            <wp:extent cx="2263140" cy="395151"/>
            <wp:effectExtent l="0" t="0" r="3810" b="5080"/>
            <wp:docPr id="1593942387" name="Imagen 1593942387"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42387" name="Imagen 1593942387" descr="Logotipo&#10;&#10;Descripción generada automáticamente con confianza baj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07873" cy="402962"/>
                    </a:xfrm>
                    <a:prstGeom prst="rect">
                      <a:avLst/>
                    </a:prstGeom>
                    <a:noFill/>
                    <a:ln>
                      <a:noFill/>
                    </a:ln>
                  </pic:spPr>
                </pic:pic>
              </a:graphicData>
            </a:graphic>
          </wp:inline>
        </w:drawing>
      </w:r>
    </w:p>
    <w:p w14:paraId="08FB280D" w14:textId="77777777" w:rsidR="00A0416A" w:rsidRDefault="00A0416A" w:rsidP="00A0416A">
      <w:pPr>
        <w:pStyle w:val="Nivel4"/>
        <w:ind w:left="1474"/>
      </w:pPr>
      <w:r>
        <w:t>Además, este indicador tiene la ventaja de que compara 2 magnitudes homogéneas (porque el PIB no incluye las transferencias).</w:t>
      </w:r>
    </w:p>
    <w:p w14:paraId="263C3C10" w14:textId="1911A679" w:rsidR="00A0416A" w:rsidRPr="00C75DC0" w:rsidRDefault="00A0416A" w:rsidP="00A0416A">
      <w:pPr>
        <w:pStyle w:val="Ttuloimagen"/>
        <w:rPr>
          <w:smallCaps w:val="0"/>
        </w:rPr>
      </w:pPr>
      <w:r>
        <w:t>Imagen </w:t>
      </w:r>
      <w:r>
        <w:fldChar w:fldCharType="begin"/>
      </w:r>
      <w:r>
        <w:instrText xml:space="preserve"> SEQ Ilustración \* ARABIC </w:instrText>
      </w:r>
      <w:r>
        <w:fldChar w:fldCharType="separate"/>
      </w:r>
      <w:r w:rsidR="000E5443">
        <w:t>6</w:t>
      </w:r>
      <w:r>
        <w:fldChar w:fldCharType="end"/>
      </w:r>
      <w:r>
        <w:rPr>
          <w:smallCaps w:val="0"/>
        </w:rPr>
        <w:t xml:space="preserve">.– </w:t>
      </w:r>
      <w:r>
        <w:rPr>
          <w:i/>
          <w:iCs/>
          <w:smallCaps w:val="0"/>
        </w:rPr>
        <w:t>Comparación internacional del peso del sector público en la economía</w:t>
      </w:r>
    </w:p>
    <w:p w14:paraId="6FD8F445" w14:textId="77777777" w:rsidR="00A0416A" w:rsidRPr="00F96F5E" w:rsidRDefault="00A0416A" w:rsidP="00A0416A">
      <w:pPr>
        <w:pStyle w:val="Imagen"/>
        <w:rPr>
          <w:lang w:val="en-US"/>
        </w:rPr>
      </w:pPr>
      <w:r w:rsidRPr="00A11F7B">
        <w:rPr>
          <w:lang w:val="en-US"/>
        </w:rPr>
        <w:drawing>
          <wp:inline distT="0" distB="0" distL="0" distR="0" wp14:anchorId="47769C68" wp14:editId="2C5B1A7F">
            <wp:extent cx="4868273" cy="1947208"/>
            <wp:effectExtent l="0" t="0" r="8890" b="0"/>
            <wp:docPr id="774086821"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86821" name="Imagen 1" descr="Gráfico&#10;&#10;Descripción generada automáticamente"/>
                    <pic:cNvPicPr/>
                  </pic:nvPicPr>
                  <pic:blipFill>
                    <a:blip r:embed="rId28"/>
                    <a:stretch>
                      <a:fillRect/>
                    </a:stretch>
                  </pic:blipFill>
                  <pic:spPr>
                    <a:xfrm>
                      <a:off x="0" y="0"/>
                      <a:ext cx="4882606" cy="1952941"/>
                    </a:xfrm>
                    <a:prstGeom prst="rect">
                      <a:avLst/>
                    </a:prstGeom>
                  </pic:spPr>
                </pic:pic>
              </a:graphicData>
            </a:graphic>
          </wp:inline>
        </w:drawing>
      </w:r>
      <w:r w:rsidRPr="00F96F5E">
        <w:rPr>
          <w:lang w:val="en-US"/>
        </w:rPr>
        <w:t xml:space="preserve"> </w:t>
      </w:r>
      <w:r w:rsidRPr="00912373">
        <w:rPr>
          <w:lang w:val="en-US"/>
        </w:rPr>
        <w:drawing>
          <wp:inline distT="0" distB="0" distL="0" distR="0" wp14:anchorId="3E145660" wp14:editId="2D426B5B">
            <wp:extent cx="3337560" cy="1630687"/>
            <wp:effectExtent l="0" t="0" r="0" b="7620"/>
            <wp:docPr id="1473763718" name="Imagen 1"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63718" name="Imagen 1" descr="Gráfico, Gráfico de dispersión&#10;&#10;Descripción generada automáticamente"/>
                    <pic:cNvPicPr/>
                  </pic:nvPicPr>
                  <pic:blipFill>
                    <a:blip r:embed="rId29"/>
                    <a:stretch>
                      <a:fillRect/>
                    </a:stretch>
                  </pic:blipFill>
                  <pic:spPr>
                    <a:xfrm>
                      <a:off x="0" y="0"/>
                      <a:ext cx="3345882" cy="1634753"/>
                    </a:xfrm>
                    <a:prstGeom prst="rect">
                      <a:avLst/>
                    </a:prstGeom>
                  </pic:spPr>
                </pic:pic>
              </a:graphicData>
            </a:graphic>
          </wp:inline>
        </w:drawing>
      </w:r>
      <w:r w:rsidRPr="00ED71B5">
        <w:drawing>
          <wp:inline distT="0" distB="0" distL="0" distR="0" wp14:anchorId="681D4AA9" wp14:editId="46C635F9">
            <wp:extent cx="4411073" cy="1747404"/>
            <wp:effectExtent l="0" t="0" r="0" b="5715"/>
            <wp:docPr id="1617449909"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49909" name="Imagen 1" descr="Gráfico, Gráfico de barras&#10;&#10;Descripción generada automáticamente"/>
                    <pic:cNvPicPr/>
                  </pic:nvPicPr>
                  <pic:blipFill>
                    <a:blip r:embed="rId30"/>
                    <a:stretch>
                      <a:fillRect/>
                    </a:stretch>
                  </pic:blipFill>
                  <pic:spPr>
                    <a:xfrm>
                      <a:off x="0" y="0"/>
                      <a:ext cx="4445414" cy="1761008"/>
                    </a:xfrm>
                    <a:prstGeom prst="rect">
                      <a:avLst/>
                    </a:prstGeom>
                  </pic:spPr>
                </pic:pic>
              </a:graphicData>
            </a:graphic>
          </wp:inline>
        </w:drawing>
      </w:r>
    </w:p>
    <w:p w14:paraId="711FFFB0" w14:textId="2344A520" w:rsidR="00A0416A" w:rsidRPr="00F96F5E" w:rsidRDefault="00A0416A" w:rsidP="00A0416A">
      <w:pPr>
        <w:pStyle w:val="PiedeImagen"/>
        <w:rPr>
          <w:i w:val="0"/>
          <w:iCs/>
          <w:spacing w:val="-2"/>
        </w:rPr>
      </w:pPr>
      <w:r w:rsidRPr="00114FE8">
        <w:rPr>
          <w:spacing w:val="-2"/>
          <w:lang w:val="en-US"/>
        </w:rPr>
        <w:t>Fuente</w:t>
      </w:r>
      <w:r w:rsidRPr="00114FE8">
        <w:rPr>
          <w:i w:val="0"/>
          <w:iCs/>
          <w:spacing w:val="-2"/>
          <w:lang w:val="en-US"/>
        </w:rPr>
        <w:t xml:space="preserve">: </w:t>
      </w:r>
      <w:r w:rsidRPr="00A11F7B">
        <w:rPr>
          <w:i w:val="0"/>
          <w:iCs/>
          <w:spacing w:val="-2"/>
          <w:lang w:val="en-US"/>
        </w:rPr>
        <w:t xml:space="preserve">OECD. (2023). </w:t>
      </w:r>
      <w:r w:rsidRPr="00A11F7B">
        <w:rPr>
          <w:spacing w:val="-2"/>
          <w:lang w:val="en-US"/>
        </w:rPr>
        <w:t>Government at a Glance 2023</w:t>
      </w:r>
      <w:r w:rsidRPr="00A11F7B">
        <w:rPr>
          <w:i w:val="0"/>
          <w:iCs/>
          <w:spacing w:val="-2"/>
          <w:lang w:val="en-US"/>
        </w:rPr>
        <w:t xml:space="preserve">. </w:t>
      </w:r>
      <w:r w:rsidRPr="00A11F7B">
        <w:rPr>
          <w:i w:val="0"/>
          <w:iCs/>
          <w:spacing w:val="-2"/>
        </w:rPr>
        <w:t xml:space="preserve">OECD. </w:t>
      </w:r>
      <w:hyperlink r:id="rId31" w:history="1">
        <w:r w:rsidRPr="00A11F7B">
          <w:rPr>
            <w:rStyle w:val="Hipervnculo"/>
            <w:i w:val="0"/>
            <w:iCs/>
            <w:spacing w:val="-2"/>
          </w:rPr>
          <w:t>https://doi.org/10.1787/3d5c5d31-en</w:t>
        </w:r>
      </w:hyperlink>
    </w:p>
    <w:p w14:paraId="73A0F041" w14:textId="77777777" w:rsidR="00A0416A" w:rsidRPr="000F6281" w:rsidRDefault="00A0416A" w:rsidP="00A0416A">
      <w:pPr>
        <w:pStyle w:val="Ttulo6"/>
      </w:pPr>
      <w:bookmarkStart w:id="24" w:name="_Toc146266674"/>
      <w:bookmarkStart w:id="25" w:name="_Toc150975420"/>
      <w:r w:rsidRPr="00A101B0">
        <w:t>Comparativas internacionales</w:t>
      </w:r>
      <w:bookmarkEnd w:id="24"/>
      <w:bookmarkEnd w:id="25"/>
    </w:p>
    <w:p w14:paraId="002DEE6B" w14:textId="77777777" w:rsidR="00A0416A" w:rsidRDefault="00A0416A" w:rsidP="00A0416A">
      <w:pPr>
        <w:pStyle w:val="Nivel2SM"/>
        <w:keepNext/>
        <w:spacing w:after="0"/>
      </w:pPr>
      <w:r w:rsidRPr="007F49FE">
        <w:rPr>
          <w:u w:val="single"/>
        </w:rPr>
        <w:t>Comparativa internacional (G / PIB)</w:t>
      </w:r>
      <w:r>
        <w:t>:</w:t>
      </w:r>
    </w:p>
    <w:p w14:paraId="7D203BA2" w14:textId="77777777" w:rsidR="00A0416A" w:rsidRDefault="00A0416A" w:rsidP="00A0416A">
      <w:pPr>
        <w:pStyle w:val="Nivel3SM"/>
      </w:pPr>
      <w:r>
        <w:t>España: 50,6 %.</w:t>
      </w:r>
    </w:p>
    <w:p w14:paraId="589CC1F8" w14:textId="77777777" w:rsidR="00A0416A" w:rsidRDefault="00A0416A" w:rsidP="00A0416A">
      <w:pPr>
        <w:pStyle w:val="Nivel3SM"/>
      </w:pPr>
      <w:r>
        <w:t>OCDE: Algo inferior a España.</w:t>
      </w:r>
    </w:p>
    <w:p w14:paraId="10CA2296" w14:textId="77777777" w:rsidR="00A0416A" w:rsidRDefault="00A0416A" w:rsidP="00A0416A">
      <w:pPr>
        <w:pStyle w:val="Nivel3SM"/>
      </w:pPr>
      <w:r>
        <w:lastRenderedPageBreak/>
        <w:t>UE: Superior a España (51,5 %).</w:t>
      </w:r>
    </w:p>
    <w:p w14:paraId="359D7FA7" w14:textId="7AAB9E47" w:rsidR="00A0416A" w:rsidRPr="00F6604F" w:rsidRDefault="00A0416A" w:rsidP="00A0416A">
      <w:pPr>
        <w:pStyle w:val="Ttuloimagen"/>
        <w:rPr>
          <w:smallCaps w:val="0"/>
          <w:spacing w:val="-3"/>
        </w:rPr>
      </w:pPr>
      <w:bookmarkStart w:id="26" w:name="_Hlk148267740"/>
      <w:r>
        <w:t>Imagen </w:t>
      </w:r>
      <w:r>
        <w:fldChar w:fldCharType="begin"/>
      </w:r>
      <w:r>
        <w:instrText xml:space="preserve"> SEQ Ilustración \* ARABIC </w:instrText>
      </w:r>
      <w:r>
        <w:fldChar w:fldCharType="separate"/>
      </w:r>
      <w:r w:rsidR="000E5443">
        <w:t>7</w:t>
      </w:r>
      <w:r>
        <w:fldChar w:fldCharType="end"/>
      </w:r>
      <w:r>
        <w:rPr>
          <w:smallCaps w:val="0"/>
        </w:rPr>
        <w:t xml:space="preserve">.– </w:t>
      </w:r>
      <w:r>
        <w:rPr>
          <w:i/>
          <w:iCs/>
          <w:smallCaps w:val="0"/>
        </w:rPr>
        <w:t>COFOG, las 10 funciones de las AAPP</w:t>
      </w:r>
    </w:p>
    <w:p w14:paraId="7636F51E" w14:textId="77777777" w:rsidR="00A0416A" w:rsidRDefault="00A0416A" w:rsidP="00A0416A">
      <w:pPr>
        <w:pStyle w:val="Imagen"/>
        <w:rPr>
          <w:spacing w:val="-3"/>
        </w:rPr>
      </w:pPr>
      <w:r>
        <w:drawing>
          <wp:inline distT="0" distB="0" distL="0" distR="0" wp14:anchorId="3D115F9C" wp14:editId="5E8DA874">
            <wp:extent cx="3503930" cy="1790700"/>
            <wp:effectExtent l="0" t="0" r="1270" b="0"/>
            <wp:docPr id="1635339895" name="Imagen 1" descr="Gráfico, Gráfico de proyección so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39895" name="Imagen 1" descr="Gráfico, Gráfico de proyección solar&#10;&#10;Descripción generada automáticamente"/>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9146"/>
                    <a:stretch/>
                  </pic:blipFill>
                  <pic:spPr bwMode="auto">
                    <a:xfrm>
                      <a:off x="0" y="0"/>
                      <a:ext cx="3513426" cy="1795553"/>
                    </a:xfrm>
                    <a:prstGeom prst="rect">
                      <a:avLst/>
                    </a:prstGeom>
                    <a:noFill/>
                    <a:ln>
                      <a:noFill/>
                    </a:ln>
                    <a:extLst>
                      <a:ext uri="{53640926-AAD7-44D8-BBD7-CCE9431645EC}">
                        <a14:shadowObscured xmlns:a14="http://schemas.microsoft.com/office/drawing/2010/main"/>
                      </a:ext>
                    </a:extLst>
                  </pic:spPr>
                </pic:pic>
              </a:graphicData>
            </a:graphic>
          </wp:inline>
        </w:drawing>
      </w:r>
      <w:r>
        <w:drawing>
          <wp:inline distT="0" distB="0" distL="0" distR="0" wp14:anchorId="7B846099" wp14:editId="207AD475">
            <wp:extent cx="6120130" cy="3352800"/>
            <wp:effectExtent l="0" t="0" r="0" b="0"/>
            <wp:docPr id="87405898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58982" name="Imagen 2" descr="Tabla&#10;&#10;Descripción generada automáticamente"/>
                    <pic:cNvPicPr>
                      <a:picLocks noChangeAspect="1" noChangeArrowheads="1"/>
                    </pic:cNvPicPr>
                  </pic:nvPicPr>
                  <pic:blipFill rotWithShape="1">
                    <a:blip r:embed="rId33">
                      <a:extLst>
                        <a:ext uri="{28A0092B-C50C-407E-A947-70E740481C1C}">
                          <a14:useLocalDpi xmlns:a14="http://schemas.microsoft.com/office/drawing/2010/main" val="0"/>
                        </a:ext>
                      </a:extLst>
                    </a:blip>
                    <a:srcRect b="12626"/>
                    <a:stretch/>
                  </pic:blipFill>
                  <pic:spPr bwMode="auto">
                    <a:xfrm>
                      <a:off x="0" y="0"/>
                      <a:ext cx="6120130" cy="3352800"/>
                    </a:xfrm>
                    <a:prstGeom prst="rect">
                      <a:avLst/>
                    </a:prstGeom>
                    <a:noFill/>
                    <a:ln>
                      <a:noFill/>
                    </a:ln>
                    <a:extLst>
                      <a:ext uri="{53640926-AAD7-44D8-BBD7-CCE9431645EC}">
                        <a14:shadowObscured xmlns:a14="http://schemas.microsoft.com/office/drawing/2010/main"/>
                      </a:ext>
                    </a:extLst>
                  </pic:spPr>
                </pic:pic>
              </a:graphicData>
            </a:graphic>
          </wp:inline>
        </w:drawing>
      </w:r>
    </w:p>
    <w:p w14:paraId="35667CBB" w14:textId="7FABA252" w:rsidR="00A0416A" w:rsidRPr="00F6604F" w:rsidRDefault="00A0416A" w:rsidP="00A0416A">
      <w:pPr>
        <w:pStyle w:val="PiedeImagen"/>
      </w:pPr>
      <w:r>
        <w:t>Fuente</w:t>
      </w:r>
      <w:r>
        <w:rPr>
          <w:i w:val="0"/>
          <w:iCs/>
        </w:rPr>
        <w:t xml:space="preserve">: </w:t>
      </w:r>
      <w:hyperlink r:id="rId34" w:anchor="General_government_expenditure_by_function" w:history="1">
        <w:r w:rsidRPr="00515B8A">
          <w:rPr>
            <w:rStyle w:val="Hipervnculo"/>
            <w:i w:val="0"/>
            <w:iCs/>
          </w:rPr>
          <w:t>https://ec.europa.eu/eurostat/statistics-explained/index.php/Government_expenditure_by_function_%E2%80%93_COFOG#General_government_expenditure_by_function</w:t>
        </w:r>
      </w:hyperlink>
    </w:p>
    <w:bookmarkEnd w:id="26"/>
    <w:p w14:paraId="37CBDD16" w14:textId="77777777" w:rsidR="00A0416A" w:rsidRPr="007F49FE" w:rsidRDefault="00A0416A" w:rsidP="00A0416A">
      <w:pPr>
        <w:pStyle w:val="Nivel2SM"/>
        <w:keepNext/>
        <w:spacing w:after="0"/>
        <w:rPr>
          <w:u w:val="single"/>
        </w:rPr>
      </w:pPr>
      <w:r w:rsidRPr="007F49FE">
        <w:rPr>
          <w:u w:val="single"/>
        </w:rPr>
        <w:t>¿Qué elemento del gasto público marca la diferencia con la UE?</w:t>
      </w:r>
    </w:p>
    <w:p w14:paraId="22ED75F4" w14:textId="77777777" w:rsidR="00A0416A" w:rsidRDefault="00A0416A" w:rsidP="00A0416A">
      <w:pPr>
        <w:pStyle w:val="Nivel3SM"/>
      </w:pPr>
      <w:r w:rsidRPr="001C3E91">
        <w:rPr>
          <w:i/>
          <w:iCs/>
        </w:rPr>
        <w:t>Consumo público</w:t>
      </w:r>
      <w:r w:rsidRPr="00B107F2">
        <w:t>:</w:t>
      </w:r>
      <w:r>
        <w:t xml:space="preserve"> </w:t>
      </w:r>
      <w:r w:rsidRPr="005F66B5">
        <w:t>El consumo público es comparable entre España y la UE (19-20</w:t>
      </w:r>
      <w:r>
        <w:t> </w:t>
      </w:r>
      <w:r w:rsidRPr="005F66B5">
        <w:t>%</w:t>
      </w:r>
      <w:r>
        <w:t xml:space="preserve"> </w:t>
      </w:r>
      <w:r w:rsidRPr="005F66B5">
        <w:t>PIB).</w:t>
      </w:r>
    </w:p>
    <w:p w14:paraId="0AD2C6C5" w14:textId="77777777" w:rsidR="00A0416A" w:rsidRDefault="00A0416A" w:rsidP="00A0416A">
      <w:pPr>
        <w:pStyle w:val="Nivel3SM"/>
      </w:pPr>
      <w:r w:rsidRPr="001C3E91">
        <w:rPr>
          <w:i/>
          <w:iCs/>
        </w:rPr>
        <w:t>Gastos en transferencias</w:t>
      </w:r>
      <w:r>
        <w:t xml:space="preserve">: Son menores en España. </w:t>
      </w:r>
      <w:r w:rsidRPr="00A101B0">
        <w:t>Y concretamente, son las transferencias a los hogares las que en última instancia crean la diferencia.</w:t>
      </w:r>
    </w:p>
    <w:p w14:paraId="53201EB9" w14:textId="77777777" w:rsidR="00A0416A" w:rsidRPr="00240A1E" w:rsidRDefault="00A0416A" w:rsidP="00A0416A">
      <w:pPr>
        <w:pStyle w:val="Nivel2SM"/>
        <w:keepNext/>
        <w:spacing w:after="0"/>
      </w:pPr>
      <w:r w:rsidRPr="00240A1E">
        <w:t xml:space="preserve">Por partidas del </w:t>
      </w:r>
      <w:r>
        <w:t>gasto público:</w:t>
      </w:r>
    </w:p>
    <w:p w14:paraId="12479107" w14:textId="77777777" w:rsidR="00A0416A" w:rsidRDefault="00A0416A" w:rsidP="00A0416A">
      <w:pPr>
        <w:pStyle w:val="Nivel3SM"/>
        <w:keepNext/>
      </w:pPr>
      <w:r w:rsidRPr="00240A1E">
        <w:t xml:space="preserve">El peso del </w:t>
      </w:r>
      <w:r>
        <w:t>gasto público</w:t>
      </w:r>
      <w:r w:rsidRPr="00240A1E">
        <w:t xml:space="preserve"> español es menor en</w:t>
      </w:r>
      <w:r>
        <w:t>:</w:t>
      </w:r>
    </w:p>
    <w:p w14:paraId="5E9369A5" w14:textId="77777777" w:rsidR="00A0416A" w:rsidRDefault="00A0416A" w:rsidP="00A0416A">
      <w:pPr>
        <w:pStyle w:val="Nivel4"/>
        <w:ind w:left="1474"/>
      </w:pPr>
      <w:r>
        <w:t>Defensa.</w:t>
      </w:r>
    </w:p>
    <w:p w14:paraId="5848D04F" w14:textId="77777777" w:rsidR="00A0416A" w:rsidRDefault="00A0416A" w:rsidP="00A0416A">
      <w:pPr>
        <w:pStyle w:val="Nivel4"/>
        <w:ind w:left="1474"/>
      </w:pPr>
      <w:r>
        <w:t>Salud.</w:t>
      </w:r>
    </w:p>
    <w:p w14:paraId="7C6C39B7" w14:textId="77777777" w:rsidR="00A0416A" w:rsidRDefault="00A0416A" w:rsidP="00A0416A">
      <w:pPr>
        <w:pStyle w:val="Nivel4"/>
        <w:ind w:left="1474"/>
      </w:pPr>
      <w:r>
        <w:t>Educación.</w:t>
      </w:r>
    </w:p>
    <w:p w14:paraId="5EEF2B92" w14:textId="5341DA59" w:rsidR="00A0416A" w:rsidRDefault="00A0416A" w:rsidP="00A0416A">
      <w:pPr>
        <w:pStyle w:val="Nivel3SM"/>
        <w:keepNext/>
      </w:pPr>
      <w:r w:rsidRPr="00240A1E">
        <w:t xml:space="preserve">El </w:t>
      </w:r>
      <w:r w:rsidR="00E40826">
        <w:t>gasto público</w:t>
      </w:r>
      <w:r w:rsidRPr="00240A1E">
        <w:t xml:space="preserve"> español con respecto al PIB es mayor en</w:t>
      </w:r>
      <w:r>
        <w:t>:</w:t>
      </w:r>
    </w:p>
    <w:p w14:paraId="18677741" w14:textId="77777777" w:rsidR="00A0416A" w:rsidRDefault="00A0416A" w:rsidP="00A0416A">
      <w:pPr>
        <w:pStyle w:val="Nivel4"/>
        <w:ind w:left="1474"/>
      </w:pPr>
      <w:r>
        <w:t>Orden público y seguridad.</w:t>
      </w:r>
    </w:p>
    <w:p w14:paraId="5456ABB7" w14:textId="77777777" w:rsidR="00A0416A" w:rsidRPr="000F6281" w:rsidRDefault="00A0416A" w:rsidP="00A0416A">
      <w:pPr>
        <w:pStyle w:val="Nivel4"/>
        <w:ind w:left="1474"/>
      </w:pPr>
      <w:r>
        <w:t>Protección del medioambiente.</w:t>
      </w:r>
    </w:p>
    <w:p w14:paraId="1C0660AD" w14:textId="77777777" w:rsidR="00A0416A" w:rsidRPr="000F6281" w:rsidRDefault="00A0416A" w:rsidP="00A0416A">
      <w:pPr>
        <w:pStyle w:val="Ttulo3"/>
      </w:pPr>
      <w:bookmarkStart w:id="27" w:name="_Toc146266675"/>
      <w:bookmarkStart w:id="28" w:name="_Toc150975421"/>
      <w:r>
        <w:t>Indicadores por el lado de los ingresos</w:t>
      </w:r>
      <w:bookmarkEnd w:id="27"/>
      <w:bookmarkEnd w:id="28"/>
    </w:p>
    <w:p w14:paraId="3BB7947B" w14:textId="56A2F400" w:rsidR="00A0416A" w:rsidRPr="00BB6775" w:rsidRDefault="00A0416A" w:rsidP="00070DD0">
      <w:pPr>
        <w:pStyle w:val="Ttulo6"/>
        <w:numPr>
          <w:ilvl w:val="0"/>
          <w:numId w:val="63"/>
        </w:numPr>
        <w:spacing w:before="0"/>
        <w:ind w:left="0" w:hanging="284"/>
      </w:pPr>
      <w:bookmarkStart w:id="29" w:name="_Toc146266680"/>
      <w:bookmarkStart w:id="30" w:name="_Toc150975422"/>
      <w:bookmarkStart w:id="31" w:name="_Toc146266676"/>
      <w:r>
        <w:t>Ingresos totales</w:t>
      </w:r>
      <w:bookmarkEnd w:id="29"/>
      <w:r>
        <w:t>/PIB</w:t>
      </w:r>
      <w:bookmarkEnd w:id="30"/>
    </w:p>
    <w:p w14:paraId="0CC7FF0A" w14:textId="77777777" w:rsidR="00A0416A" w:rsidRPr="00F27A55" w:rsidRDefault="00A0416A" w:rsidP="00A0416A">
      <w:pPr>
        <w:pStyle w:val="Nivel2SM"/>
        <w:keepNext/>
        <w:spacing w:after="0"/>
        <w:rPr>
          <w:u w:val="single"/>
        </w:rPr>
      </w:pPr>
      <w:r>
        <w:t>Consiste en utilizar como numerador el total de ingresos, en vez de sólo los coactivos.</w:t>
      </w:r>
    </w:p>
    <w:p w14:paraId="6F8FD9A1" w14:textId="22260E9E" w:rsidR="00A0416A" w:rsidRPr="00307366" w:rsidRDefault="00000000" w:rsidP="00A0416A">
      <w:pPr>
        <w:keepNext/>
        <w:spacing w:after="0"/>
        <w:jc w:val="center"/>
        <w:rPr>
          <w:i/>
          <w:iCs/>
        </w:rPr>
      </w:pPr>
      <m:oMathPara>
        <m:oMath>
          <m:d>
            <m:dPr>
              <m:ctrlPr>
                <w:rPr>
                  <w:rFonts w:ascii="Cambria Math" w:hAnsi="Cambria Math"/>
                  <w:i/>
                  <w:iCs/>
                </w:rPr>
              </m:ctrlPr>
            </m:dPr>
            <m:e>
              <m:f>
                <m:fPr>
                  <m:type m:val="lin"/>
                  <m:ctrlPr>
                    <w:rPr>
                      <w:rFonts w:ascii="Cambria Math" w:hAnsi="Cambria Math"/>
                      <w:i/>
                      <w:iCs/>
                    </w:rPr>
                  </m:ctrlPr>
                </m:fPr>
                <m:num>
                  <m:r>
                    <m:rPr>
                      <m:nor/>
                    </m:rPr>
                    <w:rPr>
                      <w:i/>
                      <w:iCs/>
                    </w:rPr>
                    <m:t>Ingresos totales</m:t>
                  </m:r>
                </m:num>
                <m:den>
                  <m:r>
                    <m:rPr>
                      <m:nor/>
                    </m:rPr>
                    <w:rPr>
                      <w:i/>
                      <w:iCs/>
                    </w:rPr>
                    <m:t>PIB</m:t>
                  </m:r>
                </m:den>
              </m:f>
            </m:e>
          </m:d>
          <m:r>
            <w:rPr>
              <w:rFonts w:ascii="Cambria Math" w:hAnsi="Cambria Math"/>
            </w:rPr>
            <m:t>·</m:t>
          </m:r>
          <m:r>
            <m:rPr>
              <m:nor/>
            </m:rPr>
            <w:rPr>
              <w:i/>
              <w:iCs/>
            </w:rPr>
            <m:t>100</m:t>
          </m:r>
        </m:oMath>
      </m:oMathPara>
    </w:p>
    <w:p w14:paraId="7C9CDBC3" w14:textId="16B37759" w:rsidR="00A0416A" w:rsidRDefault="00A0416A" w:rsidP="00A0416A">
      <w:pPr>
        <w:pStyle w:val="Nivel3SM"/>
        <w:rPr>
          <w:u w:val="single"/>
        </w:rPr>
      </w:pPr>
      <w:r>
        <w:t xml:space="preserve">De nuevo tiene problemas parecidos a los indicadores anteriores. El </w:t>
      </w:r>
      <w:r w:rsidR="00516785">
        <w:t>sector público</w:t>
      </w:r>
      <w:r>
        <w:t xml:space="preserve"> podría también financiarse mediante deuda pública por lo que muestra una idea insuficiente del </w:t>
      </w:r>
      <w:r w:rsidR="00516785">
        <w:t>sector público</w:t>
      </w:r>
      <w:r>
        <w:t>.</w:t>
      </w:r>
    </w:p>
    <w:p w14:paraId="28A7C5CC" w14:textId="1C1BACFB" w:rsidR="00A0416A" w:rsidRDefault="00A0416A" w:rsidP="00070DD0">
      <w:pPr>
        <w:pStyle w:val="Ttulo6"/>
        <w:numPr>
          <w:ilvl w:val="0"/>
          <w:numId w:val="63"/>
        </w:numPr>
        <w:spacing w:before="0"/>
        <w:ind w:left="0" w:hanging="284"/>
      </w:pPr>
      <w:bookmarkStart w:id="32" w:name="_Toc150975423"/>
      <w:r>
        <w:lastRenderedPageBreak/>
        <w:t>Ingresos no financieros/PIB</w:t>
      </w:r>
      <w:bookmarkEnd w:id="32"/>
    </w:p>
    <w:p w14:paraId="475BE39F" w14:textId="77777777" w:rsidR="00A0416A" w:rsidRDefault="00A0416A" w:rsidP="00A0416A">
      <w:pPr>
        <w:pStyle w:val="Nivel2SM"/>
        <w:keepNext/>
        <w:spacing w:after="0"/>
      </w:pPr>
      <w:r>
        <w:t>Cociente de los ingresos no financieros sobre el PIB.</w:t>
      </w:r>
    </w:p>
    <w:p w14:paraId="2B3833AA" w14:textId="77777777" w:rsidR="00A0416A" w:rsidRPr="00912373" w:rsidRDefault="00A0416A" w:rsidP="00A0416A">
      <w:pPr>
        <w:pStyle w:val="Nivel3SM"/>
      </w:pPr>
      <w:r>
        <w:t>Nos da una idea insuficiente sobre la actividad pública en la economía ya que esta podría financiarse emitiendo deuda pública (que está excluida en este indicador por ser un ingreso financiero).</w:t>
      </w:r>
    </w:p>
    <w:p w14:paraId="2622BFA0" w14:textId="080A4BBD" w:rsidR="00A0416A" w:rsidRDefault="00A0416A" w:rsidP="00070DD0">
      <w:pPr>
        <w:pStyle w:val="Ttulo6"/>
        <w:numPr>
          <w:ilvl w:val="0"/>
          <w:numId w:val="63"/>
        </w:numPr>
        <w:spacing w:before="0"/>
        <w:ind w:left="0" w:hanging="284"/>
      </w:pPr>
      <w:bookmarkStart w:id="33" w:name="_Toc150975424"/>
      <w:r>
        <w:t>Presión fiscal</w:t>
      </w:r>
      <w:bookmarkEnd w:id="31"/>
      <w:bookmarkEnd w:id="33"/>
    </w:p>
    <w:p w14:paraId="1E1E1FD0" w14:textId="77777777" w:rsidR="00A0416A" w:rsidRPr="007F3200" w:rsidRDefault="00A0416A" w:rsidP="00A0416A">
      <w:pPr>
        <w:pStyle w:val="Nivel2SM"/>
        <w:keepNext/>
        <w:spacing w:after="0"/>
        <w:rPr>
          <w:u w:val="single"/>
        </w:rPr>
      </w:pPr>
      <w:r>
        <w:t>Es el indicador más popular por el lado de los ingresos.</w:t>
      </w:r>
    </w:p>
    <w:p w14:paraId="04B73B5E" w14:textId="77777777" w:rsidR="00A0416A" w:rsidRPr="000F6281" w:rsidRDefault="00A0416A" w:rsidP="00A0416A">
      <w:pPr>
        <w:pStyle w:val="Nivel3SM"/>
        <w:keepNext/>
        <w:rPr>
          <w:u w:val="single"/>
        </w:rPr>
      </w:pPr>
      <w:r>
        <w:t>Se define del siguiente modo:</w:t>
      </w:r>
    </w:p>
    <w:p w14:paraId="046D3F99" w14:textId="77777777" w:rsidR="00A0416A" w:rsidRPr="004F3B5A" w:rsidRDefault="00000000" w:rsidP="00A0416A">
      <w:pPr>
        <w:spacing w:after="0"/>
        <w:ind w:left="963" w:hanging="198"/>
      </w:pPr>
      <m:oMathPara>
        <m:oMath>
          <m:d>
            <m:dPr>
              <m:ctrlPr>
                <w:rPr>
                  <w:rFonts w:ascii="Cambria Math" w:hAnsi="Cambria Math"/>
                  <w:i/>
                  <w:iCs/>
                </w:rPr>
              </m:ctrlPr>
            </m:dPr>
            <m:e>
              <m:f>
                <m:fPr>
                  <m:type m:val="lin"/>
                  <m:ctrlPr>
                    <w:rPr>
                      <w:rFonts w:ascii="Cambria Math" w:hAnsi="Cambria Math"/>
                      <w:i/>
                      <w:iCs/>
                    </w:rPr>
                  </m:ctrlPr>
                </m:fPr>
                <m:num>
                  <m:r>
                    <m:rPr>
                      <m:nor/>
                    </m:rPr>
                    <w:rPr>
                      <w:i/>
                      <w:iCs/>
                    </w:rPr>
                    <m:t>T</m:t>
                  </m:r>
                </m:num>
                <m:den>
                  <m:r>
                    <m:rPr>
                      <m:nor/>
                    </m:rPr>
                    <w:rPr>
                      <w:i/>
                      <w:iCs/>
                    </w:rPr>
                    <m:t>PIB</m:t>
                  </m:r>
                </m:den>
              </m:f>
            </m:e>
          </m:d>
          <m:r>
            <w:rPr>
              <w:rFonts w:ascii="Cambria Math" w:hAnsi="Cambria Math"/>
            </w:rPr>
            <m:t>·</m:t>
          </m:r>
          <m:r>
            <m:rPr>
              <m:nor/>
            </m:rPr>
            <w:rPr>
              <w:i/>
              <w:iCs/>
            </w:rPr>
            <m:t>100</m:t>
          </m:r>
          <m:r>
            <m:rPr>
              <m:sty m:val="p"/>
            </m:rPr>
            <w:rPr>
              <w:rFonts w:ascii="Cambria Math" w:hAnsi="Cambria Math"/>
            </w:rPr>
            <w:br/>
          </m:r>
        </m:oMath>
      </m:oMathPara>
      <w:r w:rsidR="00A0416A">
        <w:t xml:space="preserve">donde </w:t>
      </w:r>
      <w:r w:rsidR="00A0416A" w:rsidRPr="00E67002">
        <w:rPr>
          <w:i/>
          <w:iCs/>
        </w:rPr>
        <w:t>T</w:t>
      </w:r>
      <w:r w:rsidR="00A0416A">
        <w:t xml:space="preserve"> es la recaudación de </w:t>
      </w:r>
      <w:r w:rsidR="00A0416A" w:rsidRPr="004F3B5A">
        <w:t>ingresos coactivos</w:t>
      </w:r>
      <w:r w:rsidR="00A0416A">
        <w:t>.</w:t>
      </w:r>
    </w:p>
    <w:p w14:paraId="6E2D77C4" w14:textId="77777777" w:rsidR="00A0416A" w:rsidRDefault="00A0416A" w:rsidP="00A0416A">
      <w:pPr>
        <w:pStyle w:val="Nivel3SM"/>
      </w:pPr>
      <w:r>
        <w:t xml:space="preserve">El hecho de centrarse en los ingresos coactivos (ingresos tributarios + cotizaciones sociales) es que esto nos da una especie de </w:t>
      </w:r>
      <w:r w:rsidRPr="004F3B5A">
        <w:t xml:space="preserve">medida de en qué </w:t>
      </w:r>
      <w:r w:rsidRPr="00627FD3">
        <w:rPr>
          <w:b/>
        </w:rPr>
        <w:t>grado controla el sector público los recursos de una economía</w:t>
      </w:r>
      <w:r>
        <w:t>.</w:t>
      </w:r>
    </w:p>
    <w:p w14:paraId="61589A54" w14:textId="77777777" w:rsidR="00A0416A" w:rsidRDefault="00A0416A" w:rsidP="00A0416A">
      <w:pPr>
        <w:pStyle w:val="Nivel2SM"/>
        <w:keepNext/>
        <w:spacing w:after="0"/>
      </w:pPr>
      <w:r w:rsidRPr="007F49FE">
        <w:rPr>
          <w:u w:val="single"/>
        </w:rPr>
        <w:t>Críticas</w:t>
      </w:r>
      <w:r>
        <w:t>:</w:t>
      </w:r>
    </w:p>
    <w:p w14:paraId="1F2579BC" w14:textId="77777777" w:rsidR="00A0416A" w:rsidRPr="00935FBF" w:rsidRDefault="00A0416A" w:rsidP="00A0416A">
      <w:pPr>
        <w:pStyle w:val="Nivel3SM"/>
      </w:pPr>
      <w:r w:rsidRPr="00935FBF">
        <w:rPr>
          <w:i/>
          <w:iCs/>
        </w:rPr>
        <w:t>Visión incompleta de la intervención pública</w:t>
      </w:r>
      <w:r>
        <w:t>: Al elegir como referencia los ingresos fiscales en vez del gasto, estamos obteniendo sólo una visión parcial de la influencia del sector público, porque éste puede realizar gasto que se financie con deuda (o incluso con otros ing</w:t>
      </w:r>
      <w:r w:rsidRPr="00935FBF">
        <w:t>resos públicos no impositivos).</w:t>
      </w:r>
    </w:p>
    <w:p w14:paraId="7BBBE661" w14:textId="77777777" w:rsidR="00A0416A" w:rsidRDefault="00A0416A" w:rsidP="00A0416A">
      <w:pPr>
        <w:pStyle w:val="Nivel3SM"/>
      </w:pPr>
      <w:r w:rsidRPr="00935FBF">
        <w:rPr>
          <w:i/>
          <w:iCs/>
        </w:rPr>
        <w:t>Stock vs. Flujo</w:t>
      </w:r>
      <w:r w:rsidRPr="00935FBF">
        <w:t>:</w:t>
      </w:r>
      <w:r>
        <w:t xml:space="preserve"> </w:t>
      </w:r>
      <w:r w:rsidRPr="00935FBF">
        <w:t>Los ingresos corrientes son una variable flujo, pero la dimensión del sector público es una variable</w:t>
      </w:r>
      <w:r>
        <w:t xml:space="preserve"> stock.</w:t>
      </w:r>
    </w:p>
    <w:p w14:paraId="72820335" w14:textId="77777777" w:rsidR="00A0416A" w:rsidRDefault="00A0416A" w:rsidP="00A0416A">
      <w:pPr>
        <w:pStyle w:val="Nivel2SM"/>
        <w:keepNext/>
        <w:spacing w:after="0"/>
      </w:pPr>
      <w:r w:rsidRPr="007F49FE">
        <w:rPr>
          <w:u w:val="single"/>
        </w:rPr>
        <w:t>Comparación internacional</w:t>
      </w:r>
      <w:r w:rsidRPr="004F3B5A">
        <w:t>:</w:t>
      </w:r>
    </w:p>
    <w:p w14:paraId="00C1FEB8" w14:textId="77777777" w:rsidR="00A0416A" w:rsidRDefault="00A0416A" w:rsidP="00A0416A">
      <w:pPr>
        <w:pStyle w:val="Nivel3SM"/>
        <w:keepNext/>
      </w:pPr>
      <w:r>
        <w:t>España: 35 %.</w:t>
      </w:r>
    </w:p>
    <w:p w14:paraId="2D559311" w14:textId="77777777" w:rsidR="00A0416A" w:rsidRDefault="00A0416A" w:rsidP="00A0416A">
      <w:pPr>
        <w:pStyle w:val="Nivel4"/>
        <w:ind w:left="1474"/>
      </w:pPr>
      <w:r>
        <w:t>En España la ratio de ingresos/PIB está muy por debajo de la de la UE y la Eurozona (sin embargo, niveles similares a los países de la OCDE). En los años previos a la crisis, la brecha estaba cerca de 2 puntos porcentuales. En cualquier caso, como consecuencia de la crisis, la recaudación como porcentaje del PIB cató en más de 6 puntos (una reducción no observada en ningún otro país de nuestro entorno). Esto provoca que la brecha aumentara significativamente alcanzándose cotas de hasta 7 puntos porcentuales que siguen manteniéndose.</w:t>
      </w:r>
    </w:p>
    <w:p w14:paraId="46F7ABD3" w14:textId="77777777" w:rsidR="00A0416A" w:rsidRDefault="00A0416A" w:rsidP="00A0416A">
      <w:pPr>
        <w:pStyle w:val="Nivel4"/>
        <w:ind w:left="1474"/>
      </w:pPr>
      <w:r>
        <w:t>Se prevé que la presión fiscal aumente hasta un 37 % en 2022 debido a la implementación de nuevos impuestos y reformas de los actuales de acuerdo al último Plan de Estabilidad emitido por el gobierno.</w:t>
      </w:r>
    </w:p>
    <w:p w14:paraId="268788EB" w14:textId="77777777" w:rsidR="00A0416A" w:rsidRDefault="00A0416A" w:rsidP="00A0416A">
      <w:pPr>
        <w:pStyle w:val="Nivel3SM"/>
      </w:pPr>
      <w:r>
        <w:t>OCDE: Cifra similar</w:t>
      </w:r>
    </w:p>
    <w:p w14:paraId="389C77A3" w14:textId="77777777" w:rsidR="00A0416A" w:rsidRDefault="00A0416A" w:rsidP="00A0416A">
      <w:pPr>
        <w:pStyle w:val="Nivel3SM"/>
        <w:keepNext/>
      </w:pPr>
      <w:r>
        <w:t>UE: Muy inferior a la media Europea (40 %)</w:t>
      </w:r>
    </w:p>
    <w:p w14:paraId="65A68101" w14:textId="77777777" w:rsidR="00A0416A" w:rsidRDefault="00A0416A" w:rsidP="00A0416A">
      <w:pPr>
        <w:pStyle w:val="Nivel4"/>
        <w:ind w:left="1474"/>
      </w:pPr>
      <w:r>
        <w:t>Ahora bien, a pesar de las diferencias en los principales impuestos, un factor adicional que explica la gran diferencia en términos de presión fiscal reside en la importante disminución de los ingresos vía Impuesto de Transmisiones Patrimoniales y Actos Jurídicos Documentados (ITPAJD) post estallido de la burbuja. Concretamente l</w:t>
      </w:r>
      <w:r w:rsidRPr="00231DAB">
        <w:t xml:space="preserve">a caída de los ingresos provenientes de </w:t>
      </w:r>
      <w:r>
        <w:t xml:space="preserve">ésta entre </w:t>
      </w:r>
      <w:r w:rsidRPr="00231DAB">
        <w:t>los años 2007 y 2012 se estima</w:t>
      </w:r>
      <w:r>
        <w:t>ron</w:t>
      </w:r>
      <w:r w:rsidRPr="00231DAB">
        <w:t xml:space="preserve"> en 4</w:t>
      </w:r>
      <w:r>
        <w:t> </w:t>
      </w:r>
      <w:r w:rsidRPr="00231DAB">
        <w:t>puntos</w:t>
      </w:r>
      <w:r>
        <w:t xml:space="preserve"> porcentuales</w:t>
      </w:r>
      <w:r w:rsidRPr="00231DAB">
        <w:t xml:space="preserve"> de PIB.</w:t>
      </w:r>
    </w:p>
    <w:p w14:paraId="3FAFE692" w14:textId="1486B95B" w:rsidR="00A0416A" w:rsidRPr="004D13C0" w:rsidRDefault="00A0416A" w:rsidP="00070DD0">
      <w:pPr>
        <w:pStyle w:val="Ttulo6"/>
        <w:numPr>
          <w:ilvl w:val="0"/>
          <w:numId w:val="63"/>
        </w:numPr>
        <w:ind w:left="0" w:hanging="284"/>
        <w:rPr>
          <w:spacing w:val="-5"/>
          <w:u w:val="none"/>
        </w:rPr>
      </w:pPr>
      <w:bookmarkStart w:id="34" w:name="_Toc146266677"/>
      <w:bookmarkStart w:id="35" w:name="_Toc150975425"/>
      <w:r w:rsidRPr="004D13C0">
        <w:rPr>
          <w:spacing w:val="-5"/>
        </w:rPr>
        <w:lastRenderedPageBreak/>
        <w:t>Esfuerzo fiscal</w:t>
      </w:r>
      <w:r w:rsidRPr="004D13C0">
        <w:rPr>
          <w:spacing w:val="-5"/>
          <w:u w:val="none"/>
        </w:rPr>
        <w:t xml:space="preserve"> (también llamado “Índice de Frank”</w:t>
      </w:r>
      <w:r w:rsidRPr="004D13C0">
        <w:rPr>
          <w:b w:val="0"/>
          <w:bCs/>
          <w:spacing w:val="-5"/>
          <w:sz w:val="19"/>
          <w:szCs w:val="19"/>
          <w:u w:val="none"/>
        </w:rPr>
        <w:t xml:space="preserve">, </w:t>
      </w:r>
      <w:r w:rsidRPr="004D13C0">
        <w:rPr>
          <w:b w:val="0"/>
          <w:bCs/>
          <w:i/>
          <w:iCs/>
          <w:spacing w:val="-5"/>
          <w:sz w:val="19"/>
          <w:szCs w:val="19"/>
          <w:u w:val="none"/>
        </w:rPr>
        <w:t xml:space="preserve">en honor al economista inglés </w:t>
      </w:r>
      <w:r w:rsidRPr="004D13C0">
        <w:rPr>
          <w:b w:val="0"/>
          <w:bCs/>
          <w:i/>
          <w:iCs/>
          <w:smallCaps/>
          <w:spacing w:val="-5"/>
          <w:sz w:val="19"/>
          <w:szCs w:val="19"/>
          <w:u w:val="none"/>
        </w:rPr>
        <w:t>Frank Ramsey</w:t>
      </w:r>
      <w:r w:rsidRPr="004D13C0">
        <w:rPr>
          <w:spacing w:val="-5"/>
          <w:u w:val="none"/>
        </w:rPr>
        <w:t>)</w:t>
      </w:r>
      <w:bookmarkEnd w:id="34"/>
      <w:bookmarkEnd w:id="35"/>
    </w:p>
    <w:p w14:paraId="5A2D3565" w14:textId="77777777" w:rsidR="00A0416A" w:rsidRDefault="00A0416A" w:rsidP="00A0416A">
      <w:pPr>
        <w:pStyle w:val="Nivel2SM"/>
        <w:keepNext/>
        <w:spacing w:after="0"/>
      </w:pPr>
      <w:r>
        <w:t>Analíticamente el esfuerzo fiscal se calcula como:</w:t>
      </w:r>
    </w:p>
    <w:p w14:paraId="1366530A" w14:textId="58CFFE40" w:rsidR="00A0416A" w:rsidRDefault="00097B34" w:rsidP="00321D81">
      <w:pPr>
        <w:keepNext/>
        <w:spacing w:after="0"/>
        <w:jc w:val="center"/>
      </w:pPr>
      <m:oMathPara>
        <m:oMath>
          <m:r>
            <m:rPr>
              <m:nor/>
            </m:rPr>
            <w:rPr>
              <w:rFonts w:ascii="Cambria Math"/>
            </w:rPr>
            <m:t xml:space="preserve"> </m:t>
          </m:r>
          <m:r>
            <m:rPr>
              <m:nor/>
            </m:rPr>
            <w:rPr>
              <w:i/>
              <w:iCs/>
            </w:rPr>
            <m:t>Esfuerzo fiscal</m:t>
          </m:r>
          <m:r>
            <w:rPr>
              <w:rFonts w:ascii="Cambria Math" w:hAnsi="Cambria Math"/>
            </w:rPr>
            <m:t>=</m:t>
          </m:r>
          <m:f>
            <m:fPr>
              <m:ctrlPr>
                <w:rPr>
                  <w:rFonts w:ascii="Cambria Math" w:hAnsi="Cambria Math"/>
                  <w:i/>
                  <w:iCs/>
                </w:rPr>
              </m:ctrlPr>
            </m:fPr>
            <m:num>
              <m:limUpp>
                <m:limUppPr>
                  <m:ctrlPr>
                    <w:rPr>
                      <w:rFonts w:ascii="Cambria Math" w:hAnsi="Cambria Math"/>
                      <w:i/>
                      <w:iCs/>
                    </w:rPr>
                  </m:ctrlPr>
                </m:limUppPr>
                <m:e>
                  <m:groupChr>
                    <m:groupChrPr>
                      <m:chr m:val="⏞"/>
                      <m:pos m:val="top"/>
                      <m:vertJc m:val="bot"/>
                      <m:ctrlPr>
                        <w:rPr>
                          <w:rFonts w:ascii="Cambria Math" w:hAnsi="Cambria Math"/>
                          <w:i/>
                          <w:iCs/>
                        </w:rPr>
                      </m:ctrlPr>
                    </m:groupChrPr>
                    <m:e>
                      <m:f>
                        <m:fPr>
                          <m:type m:val="lin"/>
                          <m:ctrlPr>
                            <w:rPr>
                              <w:rFonts w:ascii="Cambria Math" w:hAnsi="Cambria Math"/>
                              <w:i/>
                              <w:iCs/>
                            </w:rPr>
                          </m:ctrlPr>
                        </m:fPr>
                        <m:num>
                          <m:r>
                            <m:rPr>
                              <m:nor/>
                            </m:rPr>
                            <w:rPr>
                              <w:i/>
                              <w:iCs/>
                            </w:rPr>
                            <m:t>T</m:t>
                          </m:r>
                        </m:num>
                        <m:den>
                          <m:r>
                            <m:rPr>
                              <m:nor/>
                            </m:rPr>
                            <w:rPr>
                              <w:i/>
                              <w:iCs/>
                            </w:rPr>
                            <m:t>PIB</m:t>
                          </m:r>
                        </m:den>
                      </m:f>
                    </m:e>
                  </m:groupChr>
                </m:e>
                <m:lim>
                  <m:r>
                    <m:rPr>
                      <m:nor/>
                    </m:rPr>
                    <w:rPr>
                      <w:i/>
                    </w:rPr>
                    <m:t>Presión fiscal</m:t>
                  </m:r>
                </m:lim>
              </m:limUpp>
            </m:num>
            <m:den>
              <m:limLow>
                <m:limLowPr>
                  <m:ctrlPr>
                    <w:rPr>
                      <w:rFonts w:ascii="Cambria Math" w:hAnsi="Cambria Math"/>
                      <w:i/>
                      <w:iCs/>
                    </w:rPr>
                  </m:ctrlPr>
                </m:limLowPr>
                <m:e>
                  <m:groupChr>
                    <m:groupChrPr>
                      <m:ctrlPr>
                        <w:rPr>
                          <w:rFonts w:ascii="Cambria Math" w:hAnsi="Cambria Math"/>
                          <w:i/>
                          <w:iCs/>
                        </w:rPr>
                      </m:ctrlPr>
                    </m:groupChrPr>
                    <m:e>
                      <m:f>
                        <m:fPr>
                          <m:type m:val="lin"/>
                          <m:ctrlPr>
                            <w:rPr>
                              <w:rFonts w:ascii="Cambria Math" w:hAnsi="Cambria Math"/>
                              <w:i/>
                              <w:iCs/>
                            </w:rPr>
                          </m:ctrlPr>
                        </m:fPr>
                        <m:num>
                          <m:r>
                            <m:rPr>
                              <m:nor/>
                            </m:rPr>
                            <w:rPr>
                              <w:i/>
                              <w:iCs/>
                            </w:rPr>
                            <m:t>PIB</m:t>
                          </m:r>
                        </m:num>
                        <m:den>
                          <m:r>
                            <m:rPr>
                              <m:nor/>
                            </m:rPr>
                            <w:rPr>
                              <w:i/>
                              <w:iCs/>
                            </w:rPr>
                            <m:t>L</m:t>
                          </m:r>
                        </m:den>
                      </m:f>
                    </m:e>
                  </m:groupChr>
                </m:e>
                <m:lim>
                  <m:r>
                    <m:rPr>
                      <m:nor/>
                    </m:rPr>
                    <w:rPr>
                      <w:i/>
                    </w:rPr>
                    <m:t>PIB per cápita</m:t>
                  </m:r>
                </m:lim>
              </m:limLow>
            </m:den>
          </m:f>
          <m:r>
            <w:rPr>
              <w:rFonts w:ascii="Cambria Math" w:hAnsi="Cambria Math"/>
            </w:rPr>
            <m:t>=</m:t>
          </m:r>
          <m:f>
            <m:fPr>
              <m:ctrlPr>
                <w:rPr>
                  <w:rFonts w:ascii="Cambria Math" w:hAnsi="Cambria Math"/>
                  <w:i/>
                  <w:iCs/>
                </w:rPr>
              </m:ctrlPr>
            </m:fPr>
            <m:num>
              <m:r>
                <m:rPr>
                  <m:nor/>
                </m:rPr>
                <w:rPr>
                  <w:i/>
                  <w:iCs/>
                </w:rPr>
                <m:t>T</m:t>
              </m:r>
              <m:r>
                <w:rPr>
                  <w:rFonts w:ascii="Cambria Math" w:hAnsi="Cambria Math"/>
                </w:rPr>
                <m:t>∙</m:t>
              </m:r>
              <m:r>
                <m:rPr>
                  <m:nor/>
                </m:rPr>
                <w:rPr>
                  <w:i/>
                  <w:iCs/>
                </w:rPr>
                <m:t>L</m:t>
              </m:r>
            </m:num>
            <m:den>
              <m:sSup>
                <m:sSupPr>
                  <m:ctrlPr>
                    <w:rPr>
                      <w:rFonts w:ascii="Cambria Math" w:hAnsi="Cambria Math"/>
                      <w:i/>
                      <w:iCs/>
                    </w:rPr>
                  </m:ctrlPr>
                </m:sSupPr>
                <m:e>
                  <m:r>
                    <m:rPr>
                      <m:nor/>
                    </m:rPr>
                    <w:rPr>
                      <w:i/>
                      <w:iCs/>
                    </w:rPr>
                    <m:t>PIB</m:t>
                  </m:r>
                </m:e>
                <m:sup>
                  <m:r>
                    <m:rPr>
                      <m:nor/>
                    </m:rPr>
                    <w:rPr>
                      <w:i/>
                      <w:iCs/>
                    </w:rPr>
                    <m:t>2</m:t>
                  </m:r>
                </m:sup>
              </m:sSup>
            </m:den>
          </m:f>
        </m:oMath>
      </m:oMathPara>
    </w:p>
    <w:p w14:paraId="578C56F6" w14:textId="77777777" w:rsidR="00A0416A" w:rsidRDefault="00A0416A" w:rsidP="00A0416A">
      <w:pPr>
        <w:pStyle w:val="Nivel3SM"/>
      </w:pPr>
      <w:r>
        <w:t xml:space="preserve">Si dos países tienen la misma presión fiscal (mismo numerador), el país que tenga una mayor renta per cápita (mayor denominador) los </w:t>
      </w:r>
      <w:r w:rsidRPr="00AE602D">
        <w:rPr>
          <w:u w:val="single"/>
        </w:rPr>
        <w:t>residentes realizarán un menor sacrificio en el pago de impuestos</w:t>
      </w:r>
      <w:r>
        <w:t>.</w:t>
      </w:r>
    </w:p>
    <w:p w14:paraId="3DF0FB47" w14:textId="77777777" w:rsidR="00A0416A" w:rsidRDefault="00A0416A" w:rsidP="00A0416A">
      <w:pPr>
        <w:pStyle w:val="Nivel2SM"/>
        <w:keepNext/>
        <w:spacing w:after="0"/>
      </w:pPr>
      <w:r>
        <w:t>Fijarnos en este indicador es interesante:</w:t>
      </w:r>
    </w:p>
    <w:p w14:paraId="60E49973" w14:textId="796CE29E" w:rsidR="00A0416A" w:rsidRDefault="00A0416A" w:rsidP="00A0416A">
      <w:pPr>
        <w:pStyle w:val="Nivel3SM"/>
      </w:pPr>
      <w:r w:rsidRPr="008F5A95">
        <w:t>Por ejemplo, en 2007, Alemania tenía una presión fiscal del 36 % y España, del 37 %. En cambio, en 2009 la presión fiscal se mantenía casi inalterada en Alemania (37 %) pero en España había caído hasta el 30 %. Esto nos puede llevar a pensar que sería una buena idea subir los impuestos en España. No obstante</w:t>
      </w:r>
      <w:r w:rsidR="008F5A95" w:rsidRPr="008F5A95">
        <w:t>,</w:t>
      </w:r>
      <w:r w:rsidRPr="008F5A95">
        <w:t xml:space="preserve"> </w:t>
      </w:r>
      <w:r w:rsidRPr="008D6BEA">
        <w:rPr>
          <w:u w:val="single"/>
        </w:rPr>
        <w:t xml:space="preserve">pese a que la presión fiscal era ese año mucho menor en España que en Alemania, </w:t>
      </w:r>
      <w:r w:rsidRPr="008F5A95">
        <w:rPr>
          <w:i/>
          <w:iCs/>
          <w:u w:val="single"/>
        </w:rPr>
        <w:t>el esfuerzo fiscal era superior en nuestro país</w:t>
      </w:r>
      <w:r>
        <w:t>.</w:t>
      </w:r>
    </w:p>
    <w:p w14:paraId="3CDFB5A2" w14:textId="18A23E2E" w:rsidR="00A0416A" w:rsidRPr="000F6281" w:rsidRDefault="00A0416A" w:rsidP="00321D81">
      <w:pPr>
        <w:pStyle w:val="Ttulo6"/>
        <w:numPr>
          <w:ilvl w:val="0"/>
          <w:numId w:val="63"/>
        </w:numPr>
        <w:ind w:left="0" w:hanging="284"/>
      </w:pPr>
      <w:bookmarkStart w:id="36" w:name="_Toc146266678"/>
      <w:bookmarkStart w:id="37" w:name="_Toc150975426"/>
      <w:r w:rsidRPr="00156A36">
        <w:t>Carga Fiscal</w:t>
      </w:r>
      <w:bookmarkEnd w:id="36"/>
      <w:bookmarkEnd w:id="37"/>
    </w:p>
    <w:p w14:paraId="6D47CE0F" w14:textId="0729C77B" w:rsidR="00A0416A" w:rsidRPr="000F6281" w:rsidRDefault="00A0416A" w:rsidP="00A0416A">
      <w:pPr>
        <w:pStyle w:val="Nivel2SM"/>
        <w:keepNext/>
        <w:spacing w:after="0"/>
      </w:pPr>
      <w:r>
        <w:t xml:space="preserve">Un indicador adicional es la </w:t>
      </w:r>
      <w:r w:rsidR="00EE6F38" w:rsidRPr="00EE6F38">
        <w:rPr>
          <w:b/>
          <w:bCs/>
        </w:rPr>
        <w:t>c</w:t>
      </w:r>
      <w:r w:rsidRPr="00EE6F38">
        <w:rPr>
          <w:b/>
          <w:bCs/>
        </w:rPr>
        <w:t xml:space="preserve">arga </w:t>
      </w:r>
      <w:r w:rsidR="00EE6F38" w:rsidRPr="00EE6F38">
        <w:rPr>
          <w:b/>
          <w:bCs/>
        </w:rPr>
        <w:t>f</w:t>
      </w:r>
      <w:r w:rsidRPr="00EE6F38">
        <w:rPr>
          <w:b/>
          <w:bCs/>
        </w:rPr>
        <w:t>iscal</w:t>
      </w:r>
      <w:r w:rsidR="00EE6F38">
        <w:t>:</w:t>
      </w:r>
    </w:p>
    <w:p w14:paraId="76B8F6DA" w14:textId="43C330F8" w:rsidR="00A0416A" w:rsidRPr="00307366" w:rsidRDefault="00321D81" w:rsidP="00A0416A">
      <w:pPr>
        <w:keepNext/>
        <w:spacing w:after="0"/>
        <w:ind w:left="720"/>
        <w:jc w:val="center"/>
        <w:rPr>
          <w:i/>
          <w:iCs/>
        </w:rPr>
      </w:pPr>
      <m:oMathPara>
        <m:oMath>
          <m:r>
            <m:rPr>
              <m:nor/>
            </m:rPr>
            <w:rPr>
              <w:i/>
              <w:iCs/>
            </w:rPr>
            <m:t>Carga fiscal</m:t>
          </m:r>
          <m:r>
            <w:rPr>
              <w:rFonts w:ascii="Cambria Math" w:hAnsi="Cambria Math"/>
            </w:rPr>
            <m:t>=</m:t>
          </m:r>
          <m:f>
            <m:fPr>
              <m:ctrlPr>
                <w:rPr>
                  <w:rFonts w:ascii="Cambria Math" w:hAnsi="Cambria Math"/>
                  <w:i/>
                  <w:iCs/>
                </w:rPr>
              </m:ctrlPr>
            </m:fPr>
            <m:num>
              <m:r>
                <m:rPr>
                  <m:nor/>
                </m:rPr>
                <w:rPr>
                  <w:i/>
                </w:rPr>
                <m:t>Impuestos</m:t>
              </m:r>
            </m:num>
            <m:den>
              <m:r>
                <m:rPr>
                  <m:nor/>
                </m:rPr>
                <w:rPr>
                  <w:i/>
                </w:rPr>
                <m:t>Renta media</m:t>
              </m:r>
              <m:r>
                <w:rPr>
                  <w:rFonts w:ascii="Cambria Math" w:hAnsi="Cambria Math"/>
                </w:rPr>
                <m:t>-</m:t>
              </m:r>
              <m:r>
                <m:rPr>
                  <m:nor/>
                </m:rPr>
                <w:rPr>
                  <w:i/>
                </w:rPr>
                <m:t>Mínimo vital</m:t>
              </m:r>
            </m:den>
          </m:f>
        </m:oMath>
      </m:oMathPara>
    </w:p>
    <w:p w14:paraId="30E30E7E" w14:textId="77777777" w:rsidR="00A0416A" w:rsidRPr="00156A36" w:rsidRDefault="00A0416A" w:rsidP="00A0416A">
      <w:pPr>
        <w:pStyle w:val="Nivel3SM"/>
      </w:pPr>
      <w:r>
        <w:t>Para una renta cercana al mínimo vital la carga fiscal sería insoportable, justificando la introducción de exenciones fiscales hasta un determinado nivel de ingresos.</w:t>
      </w:r>
    </w:p>
    <w:p w14:paraId="11AFD703" w14:textId="77777777" w:rsidR="00A0416A" w:rsidRDefault="00A0416A" w:rsidP="00A0416A">
      <w:pPr>
        <w:pStyle w:val="Ttulo3"/>
      </w:pPr>
      <w:bookmarkStart w:id="38" w:name="_Toc146266679"/>
      <w:bookmarkStart w:id="39" w:name="_Toc150975427"/>
      <w:r>
        <w:t>Otros indicadores utilizados</w:t>
      </w:r>
      <w:bookmarkEnd w:id="38"/>
      <w:bookmarkEnd w:id="39"/>
    </w:p>
    <w:p w14:paraId="21D83C66" w14:textId="77777777" w:rsidR="00A0416A" w:rsidRPr="00405E72" w:rsidRDefault="00A0416A" w:rsidP="008F5A95">
      <w:pPr>
        <w:pStyle w:val="Ttulo6"/>
        <w:spacing w:before="0"/>
      </w:pPr>
      <w:bookmarkStart w:id="40" w:name="_Toc146266681"/>
      <w:bookmarkStart w:id="41" w:name="_Toc150975428"/>
      <w:r w:rsidRPr="00405E72">
        <w:t xml:space="preserve">Proporción del empleo </w:t>
      </w:r>
      <w:r>
        <w:t>de las AAPP en el empleo total</w:t>
      </w:r>
      <w:bookmarkEnd w:id="40"/>
      <w:bookmarkEnd w:id="41"/>
    </w:p>
    <w:p w14:paraId="7F91D244" w14:textId="77777777" w:rsidR="00A0416A" w:rsidRDefault="00A0416A" w:rsidP="00A0416A">
      <w:pPr>
        <w:pStyle w:val="Nivel2SM"/>
        <w:keepNext/>
        <w:spacing w:after="0"/>
      </w:pPr>
      <w:r>
        <w:t>Datos nacionales:</w:t>
      </w:r>
    </w:p>
    <w:p w14:paraId="183C8A45" w14:textId="77777777" w:rsidR="00A0416A" w:rsidRDefault="00A0416A" w:rsidP="00A0416A">
      <w:pPr>
        <w:pStyle w:val="Nivel3SM"/>
      </w:pPr>
      <w:r>
        <w:t>Aproximadamente 2,5 millones de empleados públicos de los cuales cerca de 500 mil de la CCLL, 500 mil de Administración Central y casi 1,5 millones de las CCAA.</w:t>
      </w:r>
    </w:p>
    <w:p w14:paraId="65912D70" w14:textId="77777777" w:rsidR="00A0416A" w:rsidRDefault="00A0416A" w:rsidP="00A0416A">
      <w:pPr>
        <w:pStyle w:val="Nivel2SM"/>
        <w:keepNext/>
        <w:spacing w:after="0"/>
      </w:pPr>
      <w:r w:rsidRPr="00860D07">
        <w:t>Esto equivale a</w:t>
      </w:r>
      <w:r>
        <w:t>:</w:t>
      </w:r>
    </w:p>
    <w:p w14:paraId="0D89209F" w14:textId="484C2081" w:rsidR="00A0416A" w:rsidRPr="003F526F" w:rsidRDefault="00A0416A" w:rsidP="00A0416A">
      <w:pPr>
        <w:pStyle w:val="Nivel3SM"/>
        <w:keepNext/>
      </w:pPr>
      <w:r w:rsidRPr="003F526F">
        <w:t>Número de habitantes por funcionario</w:t>
      </w:r>
      <w:r w:rsidR="00A1108E">
        <w:t>.</w:t>
      </w:r>
    </w:p>
    <w:p w14:paraId="60B51BB2" w14:textId="77777777" w:rsidR="00A0416A" w:rsidRDefault="00A0416A" w:rsidP="00A0416A">
      <w:pPr>
        <w:pStyle w:val="Nivel4"/>
        <w:ind w:left="1474"/>
      </w:pPr>
      <w:r>
        <w:t>1 funcionario por cada 16 habitantes.</w:t>
      </w:r>
    </w:p>
    <w:p w14:paraId="1EF474C0" w14:textId="77777777" w:rsidR="00A0416A" w:rsidRDefault="00A0416A" w:rsidP="00A0416A">
      <w:pPr>
        <w:pStyle w:val="Nivel4"/>
        <w:ind w:left="1474"/>
      </w:pPr>
      <w:r>
        <w:t xml:space="preserve">España es el </w:t>
      </w:r>
      <w:r w:rsidRPr="001134C9">
        <w:t>4º</w:t>
      </w:r>
      <w:r>
        <w:t> </w:t>
      </w:r>
      <w:r w:rsidRPr="001134C9">
        <w:t xml:space="preserve">país </w:t>
      </w:r>
      <w:r>
        <w:t xml:space="preserve">de la UE </w:t>
      </w:r>
      <w:r w:rsidRPr="00860D07">
        <w:rPr>
          <w:b/>
        </w:rPr>
        <w:t>con menos</w:t>
      </w:r>
      <w:r w:rsidRPr="001134C9">
        <w:t xml:space="preserve"> funcionarios después de Italia, Austria y Portugal</w:t>
      </w:r>
      <w:r>
        <w:t>.</w:t>
      </w:r>
    </w:p>
    <w:p w14:paraId="232FB19C" w14:textId="77777777" w:rsidR="00A0416A" w:rsidRDefault="00A0416A" w:rsidP="00A0416A">
      <w:pPr>
        <w:pStyle w:val="Nivel3SM"/>
        <w:keepNext/>
      </w:pPr>
      <w:r>
        <w:t>P</w:t>
      </w:r>
      <w:r w:rsidRPr="003F526F">
        <w:t>orcentaje sobre el total de la fuerza laboral</w:t>
      </w:r>
      <w:r>
        <w:t>:</w:t>
      </w:r>
    </w:p>
    <w:p w14:paraId="77BD6890" w14:textId="77777777" w:rsidR="00A0416A" w:rsidRDefault="00A0416A" w:rsidP="00A0416A">
      <w:pPr>
        <w:pStyle w:val="Nivel4"/>
        <w:ind w:left="1474"/>
      </w:pPr>
      <w:r w:rsidRPr="008D6BEA">
        <w:t>España</w:t>
      </w:r>
      <w:r>
        <w:t>: 13 %, menor que Italia, Francia, Reino Unido y los países nórdicos, aunque mayor que Alemania.</w:t>
      </w:r>
    </w:p>
    <w:p w14:paraId="386153AD" w14:textId="77777777" w:rsidR="00A0416A" w:rsidRDefault="00A0416A" w:rsidP="00A0416A">
      <w:pPr>
        <w:pStyle w:val="Nivel4"/>
        <w:ind w:left="1474"/>
      </w:pPr>
      <w:r w:rsidRPr="008D6BEA">
        <w:t>OCDE:</w:t>
      </w:r>
      <w:r>
        <w:t xml:space="preserve"> 16 %.</w:t>
      </w:r>
    </w:p>
    <w:p w14:paraId="08D3D4F7" w14:textId="77777777" w:rsidR="00A0416A" w:rsidRPr="00885352" w:rsidRDefault="00A0416A" w:rsidP="00A0416A">
      <w:pPr>
        <w:pStyle w:val="Nivel2SM"/>
      </w:pPr>
      <w:r w:rsidRPr="00985F21">
        <w:t xml:space="preserve">Crítica: </w:t>
      </w:r>
      <w:r>
        <w:t>Este indicador puede ser cada vez más distorsionante, ya que, con el fin de ahorrar costes, el sector público cada vez recurre más a modelos de sector público con gestión privada, subcontratación… Esto implica que el peso del sector público en términos de empleo puede ir reduciéndose sin que esto implique una menor influencia del sector público sobre la actividad económica.</w:t>
      </w:r>
    </w:p>
    <w:p w14:paraId="419DB549" w14:textId="77777777" w:rsidR="00A0416A" w:rsidRDefault="00A0416A" w:rsidP="00A0416A">
      <w:pPr>
        <w:pStyle w:val="Ttulo6"/>
      </w:pPr>
      <w:bookmarkStart w:id="42" w:name="_Toc150975429"/>
      <w:r w:rsidRPr="00307366">
        <w:t>Déficit Público</w:t>
      </w:r>
      <w:r>
        <w:t xml:space="preserve"> y Deuda Pública</w:t>
      </w:r>
      <w:bookmarkEnd w:id="42"/>
    </w:p>
    <w:p w14:paraId="5A409C24" w14:textId="77777777" w:rsidR="00A0416A" w:rsidRDefault="00A0416A" w:rsidP="00A0416A">
      <w:pPr>
        <w:pStyle w:val="Nivel2SM"/>
        <w:keepNext/>
        <w:spacing w:after="0"/>
      </w:pPr>
      <w:r>
        <w:t>Hay otros 2 indicadores que son fundamentales en el análisis del sector público, aunque no son necesariamente representativos de su tamaño: se trata del déficit público y de la deuda pública (ambos como porcentaje del PIB).</w:t>
      </w:r>
    </w:p>
    <w:p w14:paraId="7BB2FD1F" w14:textId="77777777" w:rsidR="00A0416A" w:rsidRDefault="00A0416A" w:rsidP="00A0416A">
      <w:pPr>
        <w:pStyle w:val="Nivel3SM"/>
      </w:pPr>
      <w:r>
        <w:t xml:space="preserve">Estos indicadores </w:t>
      </w:r>
      <w:r w:rsidRPr="00F45155">
        <w:rPr>
          <w:u w:val="single"/>
        </w:rPr>
        <w:t>ofrecen además información sobre las operaciones financieras del sector público</w:t>
      </w:r>
      <w:r>
        <w:t xml:space="preserve"> (a diferencia de los indicadores de gastos e ingresos) y por ello suelen presentarse como un complemento a los indicadores de tamaño.</w:t>
      </w:r>
    </w:p>
    <w:p w14:paraId="1CA58B9F" w14:textId="77777777" w:rsidR="00A0416A" w:rsidRPr="004D13C0" w:rsidRDefault="00A0416A" w:rsidP="00A0416A">
      <w:pPr>
        <w:pStyle w:val="Ttulo7"/>
      </w:pPr>
      <w:bookmarkStart w:id="43" w:name="_Toc150975430"/>
      <w:r>
        <w:lastRenderedPageBreak/>
        <w:t>Déficit público</w:t>
      </w:r>
      <w:bookmarkEnd w:id="43"/>
    </w:p>
    <w:p w14:paraId="15EA01E5" w14:textId="77777777" w:rsidR="00A0416A" w:rsidRPr="00914D37" w:rsidRDefault="00A0416A" w:rsidP="00A0416A">
      <w:pPr>
        <w:keepNext/>
        <w:spacing w:after="0"/>
        <w:jc w:val="center"/>
        <w:rPr>
          <w:i/>
          <w:iCs/>
        </w:rPr>
      </w:pPr>
      <w:r w:rsidRPr="00914D37">
        <w:rPr>
          <w:i/>
          <w:iCs/>
        </w:rPr>
        <w:t>(Déficit público / PIB)·100</w:t>
      </w:r>
    </w:p>
    <w:p w14:paraId="4D576B55" w14:textId="77777777" w:rsidR="00A0416A" w:rsidRDefault="00A0416A" w:rsidP="00A0416A">
      <w:pPr>
        <w:pStyle w:val="Nivel2SM"/>
        <w:keepNext/>
        <w:spacing w:after="0"/>
      </w:pPr>
      <w:r>
        <w:t>Un déficit público refleja que las AAPP están viviendo por encima de sus capacidades actuales, pero esto no será un problema siempre que el déficit se emplee en actividades que permitan registrar un mayor crecimiento de la renta en el futuro (“regla de oro”).</w:t>
      </w:r>
    </w:p>
    <w:p w14:paraId="2DBD7E1D" w14:textId="364203C1" w:rsidR="00A0416A" w:rsidRDefault="00A0416A" w:rsidP="00A0416A">
      <w:pPr>
        <w:pStyle w:val="Nivel3SM"/>
      </w:pPr>
      <w:r>
        <w:t>En 20</w:t>
      </w:r>
      <w:r w:rsidR="005A6623">
        <w:t>22</w:t>
      </w:r>
      <w:r>
        <w:t xml:space="preserve">, España registró un déficit del </w:t>
      </w:r>
      <w:r w:rsidR="005A6623">
        <w:t>4</w:t>
      </w:r>
      <w:r>
        <w:t>,</w:t>
      </w:r>
      <w:r w:rsidR="005A6623">
        <w:t>7</w:t>
      </w:r>
      <w:r>
        <w:t> %</w:t>
      </w:r>
      <w:r w:rsidR="004C21D2">
        <w:t xml:space="preserve"> (en 2020, España registró el déficit público más elevado de la Unión Europea (10,1 %))</w:t>
      </w:r>
      <w:r>
        <w:t>.</w:t>
      </w:r>
    </w:p>
    <w:p w14:paraId="599BD708" w14:textId="4BE86459" w:rsidR="00A0416A" w:rsidRPr="00885352" w:rsidRDefault="00A0416A" w:rsidP="00A0416A">
      <w:pPr>
        <w:pStyle w:val="Nivel3SM"/>
      </w:pPr>
      <w:r>
        <w:t xml:space="preserve">La media europea se sitúa, en el </w:t>
      </w:r>
      <w:r w:rsidR="004C21D2">
        <w:t>3,3</w:t>
      </w:r>
      <w:r>
        <w:t> %.</w:t>
      </w:r>
    </w:p>
    <w:p w14:paraId="4A952619" w14:textId="77777777" w:rsidR="00A0416A" w:rsidRDefault="00A0416A" w:rsidP="00A0416A">
      <w:pPr>
        <w:pStyle w:val="Ttulo7"/>
      </w:pPr>
      <w:bookmarkStart w:id="44" w:name="_Toc150975431"/>
      <w:r w:rsidRPr="00307366">
        <w:t>Deuda pública</w:t>
      </w:r>
      <w:bookmarkEnd w:id="44"/>
    </w:p>
    <w:p w14:paraId="56E35EE7" w14:textId="77777777" w:rsidR="00A0416A" w:rsidRPr="008E0E0F" w:rsidRDefault="00A0416A" w:rsidP="00A0416A">
      <w:pPr>
        <w:keepNext/>
        <w:spacing w:after="0"/>
        <w:jc w:val="center"/>
        <w:rPr>
          <w:i/>
          <w:iCs/>
        </w:rPr>
      </w:pPr>
      <w:r w:rsidRPr="008E0E0F">
        <w:rPr>
          <w:i/>
          <w:iCs/>
        </w:rPr>
        <w:t>(Deuda pública / PIB)·100</w:t>
      </w:r>
    </w:p>
    <w:p w14:paraId="6BBCAB3E" w14:textId="77777777" w:rsidR="00A0416A" w:rsidRDefault="00A0416A" w:rsidP="00A0416A">
      <w:pPr>
        <w:pStyle w:val="Nivel2SM"/>
        <w:keepNext/>
        <w:spacing w:after="0"/>
      </w:pPr>
      <w:r>
        <w:t>El déficit público es una variable flujo que se transforma en deuda (variable stock).</w:t>
      </w:r>
    </w:p>
    <w:p w14:paraId="400255DF" w14:textId="77777777" w:rsidR="00A0416A" w:rsidRDefault="00A0416A" w:rsidP="00A0416A">
      <w:pPr>
        <w:pStyle w:val="Nivel3SM"/>
      </w:pPr>
      <w:r>
        <w:t>La deuda pública puede permitir que un país vea incrementarse su bienestar a largo plazo, pero también puede ocurrir lo contrario si la deuda pública alcanza niveles insostenibles.</w:t>
      </w:r>
    </w:p>
    <w:p w14:paraId="34A518AA" w14:textId="7304AD51" w:rsidR="00A0416A" w:rsidRDefault="00A0416A" w:rsidP="00A0416A">
      <w:pPr>
        <w:pStyle w:val="Nivel3SM"/>
      </w:pPr>
      <w:r>
        <w:t>En 20</w:t>
      </w:r>
      <w:r w:rsidR="001213BA">
        <w:t>22</w:t>
      </w:r>
      <w:r>
        <w:t xml:space="preserve">, España registró un nivel de deuda del </w:t>
      </w:r>
      <w:r w:rsidR="001213BA">
        <w:t>111,6</w:t>
      </w:r>
      <w:r>
        <w:t> %.</w:t>
      </w:r>
    </w:p>
    <w:p w14:paraId="3CB004A1" w14:textId="7D440048" w:rsidR="00A0416A" w:rsidRDefault="00A0416A" w:rsidP="00A0416A">
      <w:pPr>
        <w:pStyle w:val="Nivel3SM"/>
      </w:pPr>
      <w:r>
        <w:t>La media europea se sitúa en el 8</w:t>
      </w:r>
      <w:r w:rsidR="001213BA">
        <w:t>3,5</w:t>
      </w:r>
      <w:r>
        <w:t> %.</w:t>
      </w:r>
    </w:p>
    <w:p w14:paraId="47AE6A48" w14:textId="77777777" w:rsidR="00A0416A" w:rsidRPr="00156A36" w:rsidRDefault="00A0416A" w:rsidP="00A0416A">
      <w:pPr>
        <w:pStyle w:val="Nivel1SM"/>
      </w:pPr>
      <w:r>
        <w:t>Una vez tenemos unos indicadores para medir el tamaño del sector público, podemos pasar a analizar el debate sobre su tamaño óptimo. Para ello vamos a comenzar analizando los beneficios y costes de un sector público grande. Posteriormente presentaremos varios modelos que determinan el tamaño óptimo del sector público para finalizar con un recorrido hasta la actualidad de las diferentes escuelas de pensamiento económico.</w:t>
      </w:r>
    </w:p>
    <w:p w14:paraId="779B2FCD" w14:textId="77777777" w:rsidR="00A0416A" w:rsidRDefault="00A0416A" w:rsidP="00A0416A">
      <w:pPr>
        <w:pStyle w:val="Ttulo2"/>
      </w:pPr>
      <w:bookmarkStart w:id="45" w:name="_Toc150975432"/>
      <w:r>
        <w:t>La dimensión óptima del sector público</w:t>
      </w:r>
      <w:bookmarkEnd w:id="45"/>
    </w:p>
    <w:p w14:paraId="2E1289B9" w14:textId="77777777" w:rsidR="00C8488C" w:rsidRDefault="00A0416A" w:rsidP="00C8488C">
      <w:pPr>
        <w:pStyle w:val="Nivel1SM"/>
        <w:keepNext/>
        <w:spacing w:before="0" w:after="0"/>
      </w:pPr>
      <w:r w:rsidRPr="00770C03">
        <w:t>¿Cómo se determina la dimensión óptima del sector público?</w:t>
      </w:r>
    </w:p>
    <w:p w14:paraId="0C567911" w14:textId="0309E7E9" w:rsidR="00C8488C" w:rsidRDefault="00A0416A" w:rsidP="00C8488C">
      <w:pPr>
        <w:pStyle w:val="Nivel2SM"/>
      </w:pPr>
      <w:r w:rsidRPr="00770C03">
        <w:t>Se trata de una tarea enormemente compleja en la práctica (pues requiere contar con mucha información difícilmente observable y cuantificable).</w:t>
      </w:r>
    </w:p>
    <w:p w14:paraId="019EAC4A" w14:textId="6F96EEDD" w:rsidR="00A0416A" w:rsidRPr="00770C03" w:rsidRDefault="00A0416A" w:rsidP="00C8488C">
      <w:pPr>
        <w:pStyle w:val="Nivel2SM"/>
      </w:pPr>
      <w:r w:rsidRPr="00770C03">
        <w:t>A continuación presentamos algunos modelos muy simplificadores de la realidad pero que otorgan al menos indicios de dicha aproximación.</w:t>
      </w:r>
    </w:p>
    <w:p w14:paraId="3F4432CD" w14:textId="055ED6FB" w:rsidR="00A0416A" w:rsidRDefault="00A0416A" w:rsidP="00A0416A">
      <w:pPr>
        <w:pStyle w:val="Ttulo6"/>
        <w:spacing w:before="0"/>
      </w:pPr>
      <w:bookmarkStart w:id="46" w:name="_Toc150975433"/>
      <w:r>
        <w:t>Igualación del Coste marginal social al Beneficio marginal social</w:t>
      </w:r>
      <w:bookmarkEnd w:id="46"/>
    </w:p>
    <w:p w14:paraId="7DA7E18C" w14:textId="32CC4D12" w:rsidR="00A0416A" w:rsidRPr="00A0416A" w:rsidRDefault="00A0416A" w:rsidP="00A0416A">
      <w:pPr>
        <w:pStyle w:val="Ttulo7"/>
        <w:spacing w:before="0"/>
      </w:pPr>
      <w:bookmarkStart w:id="47" w:name="_Toc150975434"/>
      <w:r>
        <w:t>Idea</w:t>
      </w:r>
      <w:bookmarkEnd w:id="47"/>
    </w:p>
    <w:p w14:paraId="5C3882B0" w14:textId="77777777" w:rsidR="00A0416A" w:rsidRDefault="00A0416A" w:rsidP="00A0416A">
      <w:pPr>
        <w:pStyle w:val="Nivel2SM"/>
        <w:spacing w:after="0"/>
      </w:pPr>
      <w:r>
        <w:t xml:space="preserve">El tamaño óptimo del sector público será aquel que iguale el </w:t>
      </w:r>
      <w:proofErr w:type="spellStart"/>
      <w:r>
        <w:t>CMg</w:t>
      </w:r>
      <w:proofErr w:type="spellEnd"/>
      <w:r>
        <w:t xml:space="preserve"> social al </w:t>
      </w:r>
      <w:proofErr w:type="spellStart"/>
      <w:r>
        <w:t>BMg</w:t>
      </w:r>
      <w:proofErr w:type="spellEnd"/>
      <w:r>
        <w:t xml:space="preserve"> social.</w:t>
      </w:r>
    </w:p>
    <w:p w14:paraId="7EFA79C4" w14:textId="77777777" w:rsidR="00A0416A" w:rsidRDefault="00A0416A" w:rsidP="00A0416A">
      <w:pPr>
        <w:pStyle w:val="Nivel3SM"/>
        <w:numPr>
          <w:ilvl w:val="0"/>
          <w:numId w:val="0"/>
        </w:numPr>
        <w:ind w:left="963"/>
        <w:jc w:val="center"/>
      </w:pPr>
      <w:r>
        <w:rPr>
          <w:noProof/>
        </w:rPr>
        <w:drawing>
          <wp:inline distT="0" distB="0" distL="0" distR="0" wp14:anchorId="655E4C2F" wp14:editId="6D9D9BCF">
            <wp:extent cx="2744161" cy="1927860"/>
            <wp:effectExtent l="0" t="0" r="0" b="0"/>
            <wp:docPr id="1900501122" name="Imagen 1900501122"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01122" name="Imagen 1900501122" descr="Gráfico, Gráfico radial&#10;&#10;Descripción generada automáticamente"/>
                    <pic:cNvPicPr>
                      <a:picLocks noChangeAspect="1" noChangeArrowheads="1"/>
                    </pic:cNvPicPr>
                  </pic:nvPicPr>
                  <pic:blipFill>
                    <a:blip r:embed="rId35">
                      <a:extLst>
                        <a:ext uri="{BEBA8EAE-BF5A-486C-A8C5-ECC9F3942E4B}">
                          <a14:imgProps xmlns:a14="http://schemas.microsoft.com/office/drawing/2010/main">
                            <a14:imgLayer r:embed="rId36">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745339" cy="1928688"/>
                    </a:xfrm>
                    <a:prstGeom prst="rect">
                      <a:avLst/>
                    </a:prstGeom>
                    <a:noFill/>
                    <a:ln>
                      <a:noFill/>
                    </a:ln>
                  </pic:spPr>
                </pic:pic>
              </a:graphicData>
            </a:graphic>
          </wp:inline>
        </w:drawing>
      </w:r>
    </w:p>
    <w:p w14:paraId="6A1E609E" w14:textId="77777777" w:rsidR="00A0416A" w:rsidRDefault="00A0416A" w:rsidP="00A0416A">
      <w:pPr>
        <w:pStyle w:val="Nivel3SM"/>
      </w:pPr>
      <w:r>
        <w:t xml:space="preserve">Por ejemplo, imaginemos que estamos midiendo el tamaño del sector público en términos de gasto público. El </w:t>
      </w:r>
      <w:proofErr w:type="spellStart"/>
      <w:r>
        <w:t>BMg</w:t>
      </w:r>
      <w:proofErr w:type="spellEnd"/>
      <w:r>
        <w:t xml:space="preserve"> social será decreciente (gasto público adicional será más valorado cuando sea más escaso). El CMg social será creciente (derivado de ineficiencias, freno a la actividad privada, mayores impuestos…). Por tanto, habrá un nivel de gasto público óptimo.</w:t>
      </w:r>
    </w:p>
    <w:p w14:paraId="2A6D7686" w14:textId="77777777" w:rsidR="00A0416A" w:rsidRDefault="00A0416A" w:rsidP="00A0416A">
      <w:pPr>
        <w:pStyle w:val="Nivel3SM"/>
        <w:keepNext/>
      </w:pPr>
      <w:r>
        <w:t xml:space="preserve">Limitación: Dificultad para estimar correctamente el </w:t>
      </w:r>
      <w:proofErr w:type="spellStart"/>
      <w:r>
        <w:t>BMg</w:t>
      </w:r>
      <w:proofErr w:type="spellEnd"/>
      <w:r>
        <w:t xml:space="preserve"> y el </w:t>
      </w:r>
      <w:proofErr w:type="spellStart"/>
      <w:r>
        <w:t>CMg</w:t>
      </w:r>
      <w:proofErr w:type="spellEnd"/>
      <w:r>
        <w:t>.</w:t>
      </w:r>
    </w:p>
    <w:p w14:paraId="4468C673" w14:textId="77777777" w:rsidR="00A0416A" w:rsidRPr="00F35596" w:rsidRDefault="00A0416A" w:rsidP="00A0416A">
      <w:pPr>
        <w:pStyle w:val="Nivel4"/>
        <w:ind w:left="1474"/>
        <w:rPr>
          <w:spacing w:val="-4"/>
        </w:rPr>
      </w:pPr>
      <w:r w:rsidRPr="00F35596">
        <w:rPr>
          <w:spacing w:val="-4"/>
        </w:rPr>
        <w:t>Los intervencionistas tenderán a subestimar los costes y sobrestimar los beneficios, mientras que los defensores de un sector público pequeño tenderán a hacer lo contrario.</w:t>
      </w:r>
    </w:p>
    <w:p w14:paraId="7EF59313" w14:textId="77777777" w:rsidR="00A0416A" w:rsidRDefault="00A0416A" w:rsidP="00A0416A">
      <w:pPr>
        <w:pStyle w:val="Ttulo7"/>
      </w:pPr>
      <w:bookmarkStart w:id="48" w:name="_Toc150975435"/>
      <w:bookmarkStart w:id="49" w:name="_Toc146266685"/>
      <w:r w:rsidRPr="00E976A0">
        <w:lastRenderedPageBreak/>
        <w:t xml:space="preserve">Beneficios y costes </w:t>
      </w:r>
      <w:r>
        <w:t>de un sector público grande</w:t>
      </w:r>
      <w:bookmarkEnd w:id="48"/>
    </w:p>
    <w:p w14:paraId="2E1830AC" w14:textId="77777777" w:rsidR="00A0416A" w:rsidRPr="00E976A0" w:rsidRDefault="00A0416A" w:rsidP="00A0416A">
      <w:pPr>
        <w:pStyle w:val="Ttulo8"/>
        <w:spacing w:before="0"/>
        <w:rPr>
          <w:rFonts w:eastAsia="Times New Roman"/>
        </w:rPr>
      </w:pPr>
      <w:r w:rsidRPr="00E976A0">
        <w:rPr>
          <w:rFonts w:eastAsia="Times New Roman"/>
        </w:rPr>
        <w:t>Beneficios</w:t>
      </w:r>
    </w:p>
    <w:p w14:paraId="710FF832" w14:textId="77777777" w:rsidR="00A0416A" w:rsidRPr="00504979" w:rsidRDefault="00A0416A" w:rsidP="00A0416A">
      <w:pPr>
        <w:pStyle w:val="Nivel2SM"/>
      </w:pPr>
      <w:r>
        <w:t>Como mencionamos en la introducción e</w:t>
      </w:r>
      <w:r w:rsidRPr="00E976A0">
        <w:t>l sector público cumple importantes funciones relacionadas con la actividad económica</w:t>
      </w:r>
      <w:r>
        <w:t xml:space="preserve">: </w:t>
      </w:r>
      <w:r w:rsidRPr="00684E3C">
        <w:rPr>
          <w:i/>
          <w:iCs/>
        </w:rPr>
        <w:t>Eficiencia</w:t>
      </w:r>
      <w:r>
        <w:t xml:space="preserve">, </w:t>
      </w:r>
      <w:r w:rsidRPr="00684E3C">
        <w:rPr>
          <w:i/>
          <w:iCs/>
        </w:rPr>
        <w:t>Equidad</w:t>
      </w:r>
      <w:r>
        <w:t xml:space="preserve"> y </w:t>
      </w:r>
      <w:r>
        <w:rPr>
          <w:i/>
          <w:iCs/>
        </w:rPr>
        <w:t>Estabilidad</w:t>
      </w:r>
      <w:r>
        <w:t xml:space="preserve">. Por tanto, un primer razonamiento podría ser: </w:t>
      </w:r>
      <w:r w:rsidRPr="00504979">
        <w:rPr>
          <w:u w:val="single"/>
        </w:rPr>
        <w:t>Cuanto más grande sea el sector público, en principio más fácilmente podrá cumplir dichas funciones</w:t>
      </w:r>
      <w:r w:rsidRPr="00504979">
        <w:t>.</w:t>
      </w:r>
    </w:p>
    <w:p w14:paraId="0CB17B78" w14:textId="77777777" w:rsidR="00A0416A" w:rsidRPr="00E976A0" w:rsidRDefault="00A0416A" w:rsidP="00A0416A">
      <w:pPr>
        <w:pStyle w:val="Ttulo8"/>
        <w:rPr>
          <w:rFonts w:eastAsia="Times New Roman"/>
        </w:rPr>
      </w:pPr>
      <w:r w:rsidRPr="00E976A0">
        <w:rPr>
          <w:rFonts w:eastAsia="Times New Roman"/>
        </w:rPr>
        <w:t>Costes</w:t>
      </w:r>
    </w:p>
    <w:p w14:paraId="0FDA7440" w14:textId="77777777" w:rsidR="00A0416A" w:rsidRPr="00F35596" w:rsidRDefault="00A0416A" w:rsidP="00A0416A">
      <w:pPr>
        <w:pStyle w:val="Nivel2SM"/>
        <w:keepNext/>
        <w:spacing w:after="0"/>
        <w:rPr>
          <w:spacing w:val="-2"/>
        </w:rPr>
      </w:pPr>
      <w:r w:rsidRPr="00F35596">
        <w:rPr>
          <w:spacing w:val="-2"/>
        </w:rPr>
        <w:t xml:space="preserve">Sin embargo, la teoría económica también identifica un gran número de </w:t>
      </w:r>
      <w:r w:rsidRPr="00F35596">
        <w:rPr>
          <w:i/>
          <w:iCs/>
          <w:spacing w:val="-2"/>
          <w:u w:val="single"/>
        </w:rPr>
        <w:t>problemas que aumentan conforme aumenta el tamaño del sector público</w:t>
      </w:r>
      <w:r w:rsidRPr="00F35596">
        <w:rPr>
          <w:spacing w:val="-2"/>
        </w:rPr>
        <w:t xml:space="preserve"> algunos de los cuales los hemos comentado ya anteriormente y pertenecen a los denominados fallos del sector público. Pero existen adicionales.</w:t>
      </w:r>
    </w:p>
    <w:p w14:paraId="4AAA83EE" w14:textId="77777777" w:rsidR="00A0416A" w:rsidRPr="00E976A0" w:rsidRDefault="00A0416A" w:rsidP="00A0416A">
      <w:pPr>
        <w:pStyle w:val="Nivel3SM"/>
        <w:keepNext/>
      </w:pPr>
      <w:r w:rsidRPr="00684E3C">
        <w:rPr>
          <w:b/>
          <w:bCs/>
        </w:rPr>
        <w:t>Problemas microeconómicos</w:t>
      </w:r>
      <w:r w:rsidRPr="00E976A0">
        <w:t>:</w:t>
      </w:r>
    </w:p>
    <w:p w14:paraId="0A9422A6" w14:textId="77777777" w:rsidR="00A0416A" w:rsidRPr="00684E3C" w:rsidRDefault="00A0416A" w:rsidP="00A0416A">
      <w:pPr>
        <w:pStyle w:val="Nivel4"/>
        <w:ind w:left="1474"/>
      </w:pPr>
      <w:r w:rsidRPr="00684E3C">
        <w:rPr>
          <w:i/>
          <w:iCs/>
          <w:u w:val="single"/>
        </w:rPr>
        <w:t>Ineficiencia</w:t>
      </w:r>
      <w:r>
        <w:rPr>
          <w:i/>
          <w:iCs/>
          <w:u w:val="single"/>
        </w:rPr>
        <w:t> </w:t>
      </w:r>
      <w:r w:rsidRPr="00684E3C">
        <w:rPr>
          <w:i/>
          <w:iCs/>
          <w:u w:val="single"/>
        </w:rPr>
        <w:t>X</w:t>
      </w:r>
      <w:r>
        <w:t xml:space="preserve">: </w:t>
      </w:r>
      <w:r w:rsidRPr="00684E3C">
        <w:t xml:space="preserve">Al no estar sujetas a la disciplina del mercado, se generan ineficiencias en las Administraciones Públicas, especialmente en las empresas públicas, lo que puede dar lugar a productos y servicios más caros y de menor calidad. </w:t>
      </w:r>
    </w:p>
    <w:p w14:paraId="7001DDF8" w14:textId="77777777" w:rsidR="00A0416A" w:rsidRPr="00684E3C" w:rsidRDefault="00A0416A" w:rsidP="00A0416A">
      <w:pPr>
        <w:pStyle w:val="Nivel4"/>
        <w:ind w:left="1474"/>
      </w:pPr>
      <w:r w:rsidRPr="00684E3C">
        <w:rPr>
          <w:i/>
          <w:iCs/>
          <w:u w:val="single"/>
        </w:rPr>
        <w:t>Distorsiones sobre la actividad privada</w:t>
      </w:r>
      <w:r w:rsidRPr="00684E3C">
        <w:t>:</w:t>
      </w:r>
      <w:r>
        <w:t xml:space="preserve"> </w:t>
      </w:r>
      <w:r w:rsidRPr="00684E3C">
        <w:t>Los impuestos necesarios para financiar el gasto producen distorsiones en las decisiones económicas del sector privado pues suelen adoptar la forma de impuestos proporcionales (i.e. que generan efecto sustitución, afectando a los precios relativos).</w:t>
      </w:r>
    </w:p>
    <w:p w14:paraId="12AD5E9E" w14:textId="77777777" w:rsidR="00A0416A" w:rsidRPr="00E976A0" w:rsidRDefault="00A0416A" w:rsidP="00A0416A">
      <w:pPr>
        <w:pStyle w:val="Nivel3SM"/>
        <w:keepNext/>
      </w:pPr>
      <w:r w:rsidRPr="00684E3C">
        <w:rPr>
          <w:b/>
          <w:bCs/>
        </w:rPr>
        <w:t>Problemas macroeconómicos</w:t>
      </w:r>
      <w:r w:rsidRPr="00E976A0">
        <w:t>:</w:t>
      </w:r>
    </w:p>
    <w:p w14:paraId="2013A00D" w14:textId="77777777" w:rsidR="00A0416A" w:rsidRPr="00684E3C" w:rsidRDefault="00A0416A" w:rsidP="00A0416A">
      <w:pPr>
        <w:pStyle w:val="Nivel4"/>
        <w:ind w:left="1474"/>
        <w:rPr>
          <w:spacing w:val="-2"/>
        </w:rPr>
      </w:pPr>
      <w:r w:rsidRPr="00684E3C">
        <w:rPr>
          <w:i/>
          <w:iCs/>
          <w:spacing w:val="-2"/>
          <w:u w:val="single"/>
        </w:rPr>
        <w:t>Crowding-out</w:t>
      </w:r>
      <w:r w:rsidRPr="00684E3C">
        <w:rPr>
          <w:spacing w:val="-2"/>
        </w:rPr>
        <w:t xml:space="preserve">: El gasto público puede producir efectos crowding-out sobre el </w:t>
      </w:r>
      <w:proofErr w:type="gramStart"/>
      <w:r w:rsidRPr="00684E3C">
        <w:rPr>
          <w:spacing w:val="-2"/>
        </w:rPr>
        <w:t>consumo privado y la inversión privada</w:t>
      </w:r>
      <w:proofErr w:type="gramEnd"/>
      <w:r w:rsidRPr="00684E3C">
        <w:rPr>
          <w:spacing w:val="-2"/>
        </w:rPr>
        <w:t>, de modo que la demanda agregada no varíe.</w:t>
      </w:r>
    </w:p>
    <w:p w14:paraId="2BEFE598" w14:textId="77777777" w:rsidR="00A0416A" w:rsidRPr="00E976A0" w:rsidRDefault="00A0416A" w:rsidP="00A0416A">
      <w:pPr>
        <w:pStyle w:val="Standard"/>
        <w:ind w:left="1080"/>
        <w:jc w:val="center"/>
        <w:rPr>
          <w:rFonts w:eastAsia="Times New Roman" w:cs="Times New Roman"/>
        </w:rPr>
      </w:pPr>
      <w:r>
        <w:rPr>
          <w:noProof/>
        </w:rPr>
        <w:drawing>
          <wp:inline distT="0" distB="0" distL="0" distR="0" wp14:anchorId="395D5EFB" wp14:editId="76706F92">
            <wp:extent cx="1730696" cy="1676400"/>
            <wp:effectExtent l="0" t="0" r="3175" b="0"/>
            <wp:docPr id="10" name="Imagen 1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1" descr="Diagrama&#10;&#10;Descripción generada automáticament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33523" cy="1679138"/>
                    </a:xfrm>
                    <a:prstGeom prst="rect">
                      <a:avLst/>
                    </a:prstGeom>
                    <a:noFill/>
                    <a:ln>
                      <a:noFill/>
                    </a:ln>
                  </pic:spPr>
                </pic:pic>
              </a:graphicData>
            </a:graphic>
          </wp:inline>
        </w:drawing>
      </w:r>
    </w:p>
    <w:p w14:paraId="2D47CE03" w14:textId="77777777" w:rsidR="00A0416A" w:rsidRPr="00F35596" w:rsidRDefault="00A0416A" w:rsidP="00A0416A">
      <w:pPr>
        <w:pStyle w:val="Nivel4"/>
        <w:ind w:left="1474"/>
        <w:rPr>
          <w:spacing w:val="-4"/>
        </w:rPr>
      </w:pPr>
      <w:r w:rsidRPr="00F35596">
        <w:rPr>
          <w:i/>
          <w:iCs/>
          <w:spacing w:val="-4"/>
          <w:u w:val="single"/>
        </w:rPr>
        <w:t>Inflación</w:t>
      </w:r>
      <w:r w:rsidRPr="00F35596">
        <w:rPr>
          <w:spacing w:val="-4"/>
        </w:rPr>
        <w:t>: El gasto público estimula la demanda agregada, lo que puede generar inflación.</w:t>
      </w:r>
    </w:p>
    <w:p w14:paraId="36B7221B" w14:textId="77777777" w:rsidR="00A0416A" w:rsidRDefault="00A0416A" w:rsidP="00A0416A">
      <w:pPr>
        <w:pStyle w:val="Nivel4"/>
        <w:keepNext/>
        <w:ind w:left="1474"/>
      </w:pPr>
      <w:r w:rsidRPr="00684E3C">
        <w:rPr>
          <w:i/>
          <w:iCs/>
          <w:u w:val="single"/>
        </w:rPr>
        <w:t>Multiplicador negativo del gasto</w:t>
      </w:r>
      <w:r>
        <w:rPr>
          <w:i/>
          <w:iCs/>
        </w:rPr>
        <w:t xml:space="preserve"> (efectos no keynesianos de la política fiscal)</w:t>
      </w:r>
      <w:r w:rsidRPr="00E976A0">
        <w:t>.</w:t>
      </w:r>
    </w:p>
    <w:p w14:paraId="2AA4378F" w14:textId="77777777" w:rsidR="00A0416A" w:rsidRPr="009477FB" w:rsidRDefault="00A0416A" w:rsidP="00A0416A">
      <w:pPr>
        <w:pStyle w:val="Nivel5"/>
        <w:keepNext/>
        <w:ind w:left="1871"/>
        <w:rPr>
          <w:rFonts w:eastAsia="Times New Roman" w:cs="Times New Roman"/>
        </w:rPr>
      </w:pPr>
      <w:r w:rsidRPr="00684E3C">
        <w:t>En momentos de elevada inestabilidad</w:t>
      </w:r>
      <w:r>
        <w:t xml:space="preserve"> e incertidumbre, el efecto contractivo puede verse más que compensado por otros efectos expansivos, debido a:</w:t>
      </w:r>
    </w:p>
    <w:p w14:paraId="78F422F1" w14:textId="77777777" w:rsidR="00A0416A" w:rsidRPr="00684E3C" w:rsidRDefault="00A0416A" w:rsidP="00A0416A">
      <w:pPr>
        <w:pStyle w:val="Nivel6"/>
        <w:ind w:left="2212"/>
        <w:rPr>
          <w:spacing w:val="-2"/>
        </w:rPr>
      </w:pPr>
      <w:r w:rsidRPr="00684E3C">
        <w:rPr>
          <w:i/>
          <w:iCs/>
          <w:spacing w:val="-2"/>
        </w:rPr>
        <w:t>Expectativas de los agentes</w:t>
      </w:r>
      <w:r w:rsidRPr="00684E3C">
        <w:rPr>
          <w:spacing w:val="-2"/>
        </w:rPr>
        <w:t>: Mejora de las expectativas de agentes racionales, que en sus decisiones de consumo e inversión no sólo responden a su renta actual, sino también a las rentas futuras previstas. Así, si la reducción del déficit es percibida como una forma de evitar correcciones mayores en el futuro o como una forma de prevenir futuras crisis financieras, esta medida podría tener un efecto positivo sobre la inversión y el consumo privado presentes.</w:t>
      </w:r>
    </w:p>
    <w:p w14:paraId="48ED6805" w14:textId="77777777" w:rsidR="00A0416A" w:rsidRPr="00684E3C" w:rsidRDefault="00A0416A" w:rsidP="00A0416A">
      <w:pPr>
        <w:pStyle w:val="Nivel6"/>
        <w:ind w:left="2212"/>
        <w:rPr>
          <w:rFonts w:eastAsia="Times New Roman" w:cs="Times New Roman"/>
        </w:rPr>
      </w:pPr>
      <w:r w:rsidRPr="00684E3C">
        <w:rPr>
          <w:i/>
          <w:iCs/>
        </w:rPr>
        <w:t>Inversión</w:t>
      </w:r>
      <w:r>
        <w:t>: La reducción del déficit disminuye el tipo de interés, estimulando la inversión.</w:t>
      </w:r>
    </w:p>
    <w:p w14:paraId="56BC5404" w14:textId="77777777" w:rsidR="00A0416A" w:rsidRPr="00684E3C" w:rsidRDefault="00A0416A" w:rsidP="00A0416A">
      <w:pPr>
        <w:pStyle w:val="Nivel4"/>
        <w:ind w:left="1474"/>
      </w:pPr>
      <w:r w:rsidRPr="00684E3C">
        <w:rPr>
          <w:i/>
          <w:iCs/>
          <w:u w:val="single"/>
        </w:rPr>
        <w:t>Retardos</w:t>
      </w:r>
      <w:r w:rsidRPr="00684E3C">
        <w:t>:</w:t>
      </w:r>
      <w:r>
        <w:t xml:space="preserve"> </w:t>
      </w:r>
      <w:r w:rsidRPr="00684E3C">
        <w:t>La política fiscal discrecional, como cualquier otra política estabilizadora discrecional, está sujeta a retardos (de identificación, de decisión, de implementación, etc.), que pueden hacer que una política inicialmente diseñada como contracíclica acabe siendo procíclica y acentúe el ciclo.</w:t>
      </w:r>
    </w:p>
    <w:p w14:paraId="11F0133E" w14:textId="77777777" w:rsidR="00A0416A" w:rsidRPr="00F35596" w:rsidRDefault="00A0416A" w:rsidP="00A0416A">
      <w:pPr>
        <w:pStyle w:val="Nivel4"/>
        <w:ind w:left="1474"/>
        <w:rPr>
          <w:spacing w:val="-5"/>
          <w:u w:val="single"/>
        </w:rPr>
      </w:pPr>
      <w:r w:rsidRPr="00F35596">
        <w:rPr>
          <w:i/>
          <w:iCs/>
          <w:spacing w:val="-5"/>
          <w:u w:val="single"/>
        </w:rPr>
        <w:t>Sostenibilidad de la deuda pública</w:t>
      </w:r>
      <w:r w:rsidRPr="00F35596">
        <w:rPr>
          <w:spacing w:val="-5"/>
        </w:rPr>
        <w:t>: Un déficit excesivo podría llevar a una deuda insostenible.</w:t>
      </w:r>
    </w:p>
    <w:p w14:paraId="421EF9AE" w14:textId="677467D2" w:rsidR="00A0416A" w:rsidRPr="00E976A0" w:rsidRDefault="00A0416A" w:rsidP="00A0416A">
      <w:pPr>
        <w:pStyle w:val="Nivel2SM"/>
      </w:pPr>
      <w:r>
        <w:t>Dada la presencia tanto de beneficios como de costes de la presencia del sector público existe un nivel óptimo del mismo.</w:t>
      </w:r>
    </w:p>
    <w:p w14:paraId="55528CF7" w14:textId="2021541D" w:rsidR="00A0416A" w:rsidRDefault="00A0416A" w:rsidP="00A0416A">
      <w:pPr>
        <w:pStyle w:val="Ttulo6"/>
      </w:pPr>
      <w:bookmarkStart w:id="50" w:name="_Toc150975436"/>
      <w:r>
        <w:lastRenderedPageBreak/>
        <w:t>Mediante curvas de indiferencia social (nivel de provisión óptima del bien público)</w:t>
      </w:r>
      <w:bookmarkEnd w:id="50"/>
    </w:p>
    <w:p w14:paraId="5AF6BE4A" w14:textId="77777777" w:rsidR="00A0416A" w:rsidRDefault="00A0416A" w:rsidP="00A0416A">
      <w:pPr>
        <w:pStyle w:val="Nivel2SM"/>
      </w:pPr>
      <w:r>
        <w:t>Partiendo de los recursos disponibles en un país, se puede construir una frontera de posibilidades de producción que dependa de cómo se asignen estos recursos entre el sector público y el privado. Construyendo curvas de indiferencia social, se puede encontrar el punto socialmente óptimo.</w:t>
      </w:r>
    </w:p>
    <w:p w14:paraId="46EEFF90" w14:textId="77777777" w:rsidR="00A0416A" w:rsidRDefault="00A0416A" w:rsidP="00A0416A">
      <w:pPr>
        <w:ind w:left="1440"/>
        <w:jc w:val="center"/>
      </w:pPr>
      <w:r>
        <w:rPr>
          <w:noProof/>
        </w:rPr>
        <w:drawing>
          <wp:inline distT="0" distB="0" distL="0" distR="0" wp14:anchorId="7916A839" wp14:editId="75408D23">
            <wp:extent cx="2466975" cy="2143125"/>
            <wp:effectExtent l="0" t="0" r="9525" b="9525"/>
            <wp:docPr id="1019081951" name="Imagen 1019081951" descr="Mapa de colore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81951" name="Imagen 1019081951" descr="Mapa de colores&#10;&#10;Descripción generada automáticamente con confianza media"/>
                    <pic:cNvPicPr>
                      <a:picLocks noChangeAspect="1" noChangeArrowheads="1"/>
                    </pic:cNvPicPr>
                  </pic:nvPicPr>
                  <pic:blipFill>
                    <a:blip r:embed="rId38">
                      <a:extLst>
                        <a:ext uri="{BEBA8EAE-BF5A-486C-A8C5-ECC9F3942E4B}">
                          <a14:imgProps xmlns:a14="http://schemas.microsoft.com/office/drawing/2010/main">
                            <a14:imgLayer r:embed="rId39">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466975" cy="2143125"/>
                    </a:xfrm>
                    <a:prstGeom prst="rect">
                      <a:avLst/>
                    </a:prstGeom>
                    <a:noFill/>
                    <a:ln>
                      <a:noFill/>
                    </a:ln>
                  </pic:spPr>
                </pic:pic>
              </a:graphicData>
            </a:graphic>
          </wp:inline>
        </w:drawing>
      </w:r>
    </w:p>
    <w:p w14:paraId="59CF199E" w14:textId="77777777" w:rsidR="00A0416A" w:rsidRPr="007C08BC" w:rsidRDefault="00A0416A" w:rsidP="00A0416A">
      <w:pPr>
        <w:pStyle w:val="Nivel3SM"/>
      </w:pPr>
      <w:r>
        <w:t>Limitación: De nuevo dificultades para calcularlo en la práctica.</w:t>
      </w:r>
    </w:p>
    <w:p w14:paraId="0B104503" w14:textId="6F95C49F" w:rsidR="00A0416A" w:rsidRPr="00D32322" w:rsidRDefault="00A0416A" w:rsidP="00A0416A">
      <w:pPr>
        <w:pStyle w:val="Ttulo6"/>
      </w:pPr>
      <w:bookmarkStart w:id="51" w:name="_Toc150975437"/>
      <w:r w:rsidRPr="00D32322">
        <w:t>Modelo AK con gasto público productivo (</w:t>
      </w:r>
      <w:r w:rsidRPr="00D32322">
        <w:rPr>
          <w:smallCaps/>
        </w:rPr>
        <w:t>Barro</w:t>
      </w:r>
      <w:r w:rsidRPr="00D32322">
        <w:t>, 1990)</w:t>
      </w:r>
      <w:bookmarkEnd w:id="49"/>
      <w:bookmarkEnd w:id="51"/>
    </w:p>
    <w:p w14:paraId="0A344129" w14:textId="77777777" w:rsidR="00A0416A" w:rsidRDefault="00A0416A" w:rsidP="00A0416A">
      <w:pPr>
        <w:pStyle w:val="Ttulo7"/>
        <w:spacing w:before="0"/>
        <w:rPr>
          <w:rFonts w:eastAsiaTheme="minorEastAsia"/>
        </w:rPr>
      </w:pPr>
      <w:bookmarkStart w:id="52" w:name="_Toc141368103"/>
      <w:bookmarkStart w:id="53" w:name="_Toc146266686"/>
      <w:bookmarkStart w:id="54" w:name="_Toc150975438"/>
      <w:r>
        <w:rPr>
          <w:rFonts w:eastAsiaTheme="minorEastAsia"/>
        </w:rPr>
        <w:t>Idea</w:t>
      </w:r>
      <w:bookmarkEnd w:id="52"/>
      <w:bookmarkEnd w:id="53"/>
      <w:bookmarkEnd w:id="54"/>
    </w:p>
    <w:p w14:paraId="11B476CC" w14:textId="77777777" w:rsidR="00A0416A" w:rsidRPr="003D2077" w:rsidRDefault="00A0416A" w:rsidP="00A0416A">
      <w:pPr>
        <w:pStyle w:val="Nivel1SM"/>
        <w:spacing w:before="0"/>
        <w:rPr>
          <w:spacing w:val="-2"/>
        </w:rPr>
      </w:pPr>
      <w:r w:rsidRPr="003D2077">
        <w:rPr>
          <w:spacing w:val="-2"/>
        </w:rPr>
        <w:t xml:space="preserve">Otro modelo que nos permite estudiar el </w:t>
      </w:r>
      <w:r w:rsidRPr="003D2077">
        <w:rPr>
          <w:i/>
          <w:iCs/>
          <w:spacing w:val="-2"/>
          <w:u w:val="single"/>
        </w:rPr>
        <w:t>tamaño óptimo del sector público</w:t>
      </w:r>
      <w:r w:rsidRPr="003D2077">
        <w:rPr>
          <w:spacing w:val="-2"/>
        </w:rPr>
        <w:t xml:space="preserve">, prestando especial atención a las </w:t>
      </w:r>
      <w:r w:rsidRPr="003D2077">
        <w:rPr>
          <w:i/>
          <w:iCs/>
          <w:spacing w:val="-2"/>
        </w:rPr>
        <w:t>implicaciones sobre el crecimiento económico en el largo plazo</w:t>
      </w:r>
      <w:r w:rsidRPr="003D2077">
        <w:rPr>
          <w:spacing w:val="-2"/>
        </w:rPr>
        <w:t xml:space="preserve">, fue propuesto por </w:t>
      </w:r>
      <w:r w:rsidRPr="003D2077">
        <w:rPr>
          <w:smallCaps/>
          <w:spacing w:val="-2"/>
        </w:rPr>
        <w:t>Robert</w:t>
      </w:r>
      <w:r w:rsidRPr="003D2077">
        <w:rPr>
          <w:spacing w:val="-2"/>
        </w:rPr>
        <w:t xml:space="preserve"> </w:t>
      </w:r>
      <w:r w:rsidRPr="003D2077">
        <w:rPr>
          <w:smallCaps/>
          <w:spacing w:val="-2"/>
        </w:rPr>
        <w:t>Barro</w:t>
      </w:r>
      <w:r w:rsidRPr="003D2077">
        <w:rPr>
          <w:spacing w:val="-2"/>
        </w:rPr>
        <w:t xml:space="preserve"> (1990).</w:t>
      </w:r>
    </w:p>
    <w:p w14:paraId="533E2CBA" w14:textId="77777777" w:rsidR="00A0416A" w:rsidRPr="00E755ED" w:rsidRDefault="00A0416A" w:rsidP="00A0416A">
      <w:pPr>
        <w:pStyle w:val="Nivel1SM"/>
        <w:keepNext/>
        <w:spacing w:before="0" w:after="0"/>
        <w:rPr>
          <w:rFonts w:eastAsiaTheme="minorEastAsia"/>
        </w:rPr>
      </w:pPr>
      <w:r>
        <w:t>En este apartado estudiaremos los efectos que el gasto público y los impuestos necesarios para financiar dicho gasto tienen en la economía y, en particular, en el crecimiento económico.</w:t>
      </w:r>
    </w:p>
    <w:p w14:paraId="1346B364" w14:textId="77777777" w:rsidR="00A0416A" w:rsidRPr="00E755ED" w:rsidRDefault="00A0416A" w:rsidP="00A0416A">
      <w:pPr>
        <w:pStyle w:val="Nivel2SM"/>
        <w:rPr>
          <w:rFonts w:eastAsiaTheme="minorEastAsia"/>
        </w:rPr>
      </w:pPr>
      <w:r>
        <w:t>Con este objetivo, compararemos los aspectos positivos de tener un gasto público elevado con los aspectos negativos que conlleva la financiación de dicho gasto a través de impuestos.</w:t>
      </w:r>
    </w:p>
    <w:p w14:paraId="1A5CB250" w14:textId="77777777" w:rsidR="00A0416A" w:rsidRPr="00326375" w:rsidRDefault="00A0416A" w:rsidP="00A0416A">
      <w:pPr>
        <w:pStyle w:val="Nivel2SM"/>
        <w:rPr>
          <w:rFonts w:eastAsiaTheme="minorEastAsia"/>
        </w:rPr>
      </w:pPr>
      <w:r>
        <w:t xml:space="preserve">Para ello, deberemos trabajar bajo el supuesto de que el gasto público es deseable (si no, la conclusión será inmediata: lo mejor sería reducir el tamaño del gasto público a cero, ya que no genera beneficios y su financiación comporta pérdidas). En términos de nuestros modelos de crecimiento, una manera de que el gasto público sea deseable es </w:t>
      </w:r>
      <w:r>
        <w:rPr>
          <w:i/>
          <w:iCs/>
        </w:rPr>
        <w:t>introducirlo como argumento en la función de producción</w:t>
      </w:r>
      <w:r w:rsidRPr="00E755ED">
        <w:rPr>
          <w:rStyle w:val="Refdenotaalpie"/>
        </w:rPr>
        <w:footnoteReference w:id="23"/>
      </w:r>
      <w:r>
        <w:t>.</w:t>
      </w:r>
    </w:p>
    <w:p w14:paraId="71315644" w14:textId="77777777" w:rsidR="00A0416A" w:rsidRDefault="00A0416A" w:rsidP="00A0416A">
      <w:pPr>
        <w:pStyle w:val="Ttulo7"/>
        <w:rPr>
          <w:rFonts w:eastAsiaTheme="minorEastAsia"/>
        </w:rPr>
      </w:pPr>
      <w:bookmarkStart w:id="55" w:name="_Toc141368104"/>
      <w:bookmarkStart w:id="56" w:name="_Toc146266687"/>
      <w:bookmarkStart w:id="57" w:name="_Toc150975439"/>
      <w:r>
        <w:rPr>
          <w:rFonts w:eastAsiaTheme="minorEastAsia"/>
        </w:rPr>
        <w:t>Modelo</w:t>
      </w:r>
      <w:bookmarkEnd w:id="55"/>
      <w:bookmarkEnd w:id="56"/>
      <w:bookmarkEnd w:id="57"/>
    </w:p>
    <w:p w14:paraId="0CC7592E" w14:textId="77777777" w:rsidR="00A0416A" w:rsidRDefault="00A0416A" w:rsidP="00A0416A">
      <w:pPr>
        <w:pStyle w:val="Ttulo8"/>
        <w:spacing w:before="0"/>
      </w:pPr>
      <w:bookmarkStart w:id="58" w:name="_Toc141368105"/>
      <w:bookmarkStart w:id="59" w:name="_Toc146266688"/>
      <w:r>
        <w:t>Supuestos</w:t>
      </w:r>
      <w:bookmarkEnd w:id="58"/>
      <w:bookmarkEnd w:id="59"/>
    </w:p>
    <w:p w14:paraId="56B4F188" w14:textId="77777777" w:rsidR="00A0416A" w:rsidRPr="00E755ED" w:rsidRDefault="00A0416A" w:rsidP="00A0416A">
      <w:pPr>
        <w:pStyle w:val="Nivel1SM"/>
        <w:keepNext/>
        <w:spacing w:before="0" w:after="0"/>
        <w:rPr>
          <w:rFonts w:eastAsiaTheme="minorEastAsia"/>
          <w:iCs/>
        </w:rPr>
      </w:pPr>
      <w:r>
        <w:t xml:space="preserve">Aquí, seguiremos a </w:t>
      </w:r>
      <w:r>
        <w:rPr>
          <w:smallCaps/>
        </w:rPr>
        <w:t>Barro</w:t>
      </w:r>
      <w:r>
        <w:t xml:space="preserve"> (1990) y partiremos de los siguientes supuestos:</w:t>
      </w:r>
    </w:p>
    <w:p w14:paraId="76A2D49B" w14:textId="77777777" w:rsidR="00A0416A" w:rsidRDefault="00A0416A" w:rsidP="00A0416A">
      <w:pPr>
        <w:pStyle w:val="Nivel2SM"/>
        <w:keepNext/>
        <w:spacing w:after="0"/>
        <w:rPr>
          <w:rFonts w:eastAsiaTheme="minorEastAsia"/>
          <w:iCs/>
        </w:rPr>
      </w:pPr>
      <w:r>
        <w:t xml:space="preserve">La producción de la economía es una función del stock de capital privado, </w:t>
      </w:r>
      <m:oMath>
        <m:sSub>
          <m:sSubPr>
            <m:ctrlPr>
              <w:rPr>
                <w:rFonts w:ascii="Cambria Math" w:hAnsi="Cambria Math"/>
                <w:i/>
                <w:iCs/>
              </w:rPr>
            </m:ctrlPr>
          </m:sSubPr>
          <m:e>
            <m:r>
              <m:rPr>
                <m:nor/>
              </m:rPr>
              <w:rPr>
                <w:i/>
                <w:iCs/>
              </w:rPr>
              <m:t>K</m:t>
            </m:r>
          </m:e>
          <m:sub>
            <m:r>
              <m:rPr>
                <m:nor/>
              </m:rPr>
              <w:rPr>
                <w:i/>
                <w:iCs/>
              </w:rPr>
              <m:t>t</m:t>
            </m:r>
          </m:sub>
        </m:sSub>
      </m:oMath>
      <w:r>
        <w:rPr>
          <w:rFonts w:eastAsiaTheme="minorEastAsia"/>
          <w:iCs/>
        </w:rPr>
        <w:t xml:space="preserve">, y del flujo de bienes suministrados por el gobierno, </w:t>
      </w:r>
      <m:oMath>
        <m:sSub>
          <m:sSubPr>
            <m:ctrlPr>
              <w:rPr>
                <w:rFonts w:ascii="Cambria Math" w:hAnsi="Cambria Math"/>
                <w:i/>
                <w:iCs/>
              </w:rPr>
            </m:ctrlPr>
          </m:sSubPr>
          <m:e>
            <m:r>
              <m:rPr>
                <m:nor/>
              </m:rPr>
              <w:rPr>
                <w:i/>
                <w:iCs/>
              </w:rPr>
              <m:t>G</m:t>
            </m:r>
          </m:e>
          <m:sub>
            <m:r>
              <m:rPr>
                <m:nor/>
              </m:rPr>
              <w:rPr>
                <w:i/>
                <w:iCs/>
              </w:rPr>
              <m:t>t</m:t>
            </m:r>
          </m:sub>
        </m:sSub>
      </m:oMath>
      <w:r>
        <w:rPr>
          <w:rFonts w:eastAsiaTheme="minorEastAsia"/>
          <w:iCs/>
        </w:rPr>
        <w:t>:</w:t>
      </w:r>
    </w:p>
    <w:p w14:paraId="5FC33538" w14:textId="77777777" w:rsidR="00A0416A" w:rsidRPr="00473303" w:rsidRDefault="00000000" w:rsidP="00A0416A">
      <w:pPr>
        <w:spacing w:after="0"/>
        <w:rPr>
          <w:rFonts w:eastAsiaTheme="minorEastAsia"/>
          <w:iCs/>
        </w:rPr>
      </w:pPr>
      <m:oMathPara>
        <m:oMath>
          <m:sSub>
            <m:sSubPr>
              <m:ctrlPr>
                <w:rPr>
                  <w:rFonts w:ascii="Cambria Math" w:hAnsi="Cambria Math"/>
                  <w:i/>
                  <w:iCs/>
                </w:rPr>
              </m:ctrlPr>
            </m:sSubPr>
            <m:e>
              <m:r>
                <m:rPr>
                  <m:nor/>
                </m:rPr>
                <w:rPr>
                  <w:i/>
                  <w:iCs/>
                </w:rPr>
                <m:t>Y</m:t>
              </m:r>
            </m:e>
            <m:sub>
              <m:r>
                <m:rPr>
                  <m:nor/>
                </m:rPr>
                <w:rPr>
                  <w:i/>
                  <w:iCs/>
                </w:rPr>
                <m:t>t</m:t>
              </m:r>
            </m:sub>
          </m:sSub>
          <m:r>
            <w:rPr>
              <w:rFonts w:ascii="Cambria Math" w:hAnsi="Cambria Math"/>
            </w:rPr>
            <m:t>=</m:t>
          </m:r>
          <m:r>
            <m:rPr>
              <m:nor/>
            </m:rPr>
            <w:rPr>
              <w:i/>
              <w:iCs/>
            </w:rPr>
            <m:t>A</m:t>
          </m:r>
          <m:r>
            <w:rPr>
              <w:rFonts w:ascii="Cambria Math" w:hAnsi="Cambria Math"/>
            </w:rPr>
            <m:t>∙</m:t>
          </m:r>
          <m:sSup>
            <m:sSupPr>
              <m:ctrlPr>
                <w:rPr>
                  <w:rFonts w:ascii="Cambria Math" w:hAnsi="Cambria Math"/>
                  <w:i/>
                  <w:iCs/>
                  <w:lang w:val="fr-FR"/>
                </w:rPr>
              </m:ctrlPr>
            </m:sSupPr>
            <m:e>
              <m:sSub>
                <m:sSubPr>
                  <m:ctrlPr>
                    <w:rPr>
                      <w:rFonts w:ascii="Cambria Math" w:hAnsi="Cambria Math"/>
                      <w:i/>
                      <w:iCs/>
                    </w:rPr>
                  </m:ctrlPr>
                </m:sSubPr>
                <m:e>
                  <m:r>
                    <m:rPr>
                      <m:nor/>
                    </m:rPr>
                    <w:rPr>
                      <w:i/>
                      <w:iCs/>
                    </w:rPr>
                    <m:t>K</m:t>
                  </m:r>
                </m:e>
                <m:sub>
                  <m:r>
                    <m:rPr>
                      <m:nor/>
                    </m:rPr>
                    <w:rPr>
                      <w:i/>
                      <w:iCs/>
                    </w:rPr>
                    <m:t>t</m:t>
                  </m:r>
                </m:sub>
              </m:sSub>
            </m:e>
            <m:sup>
              <m:r>
                <m:rPr>
                  <m:nor/>
                </m:rPr>
                <w:rPr>
                  <w:i/>
                </w:rPr>
                <m:t>α</m:t>
              </m:r>
            </m:sup>
          </m:sSup>
          <m:r>
            <w:rPr>
              <w:rFonts w:ascii="Cambria Math" w:hAnsi="Cambria Math"/>
            </w:rPr>
            <m:t>∙</m:t>
          </m:r>
          <m:sSup>
            <m:sSupPr>
              <m:ctrlPr>
                <w:rPr>
                  <w:rFonts w:ascii="Cambria Math" w:hAnsi="Cambria Math"/>
                  <w:i/>
                  <w:iCs/>
                  <w:lang w:val="fr-FR"/>
                </w:rPr>
              </m:ctrlPr>
            </m:sSupPr>
            <m:e>
              <m:sSub>
                <m:sSubPr>
                  <m:ctrlPr>
                    <w:rPr>
                      <w:rFonts w:ascii="Cambria Math" w:hAnsi="Cambria Math"/>
                      <w:i/>
                      <w:iCs/>
                    </w:rPr>
                  </m:ctrlPr>
                </m:sSubPr>
                <m:e>
                  <m:r>
                    <m:rPr>
                      <m:nor/>
                    </m:rPr>
                    <w:rPr>
                      <w:i/>
                      <w:iCs/>
                    </w:rPr>
                    <m:t>G</m:t>
                  </m:r>
                </m:e>
                <m:sub>
                  <m:r>
                    <m:rPr>
                      <m:nor/>
                    </m:rPr>
                    <w:rPr>
                      <w:i/>
                      <w:iCs/>
                    </w:rPr>
                    <m:t>t</m:t>
                  </m:r>
                </m:sub>
              </m:sSub>
            </m:e>
            <m:sup>
              <m:r>
                <m:rPr>
                  <m:nor/>
                </m:rPr>
                <w:rPr>
                  <w:i/>
                </w:rPr>
                <m:t>1</m:t>
              </m:r>
              <m:r>
                <w:rPr>
                  <w:rFonts w:ascii="Cambria Math" w:eastAsia="Times New Roman" w:hAnsi="Cambria Math"/>
                  <w:vertAlign w:val="superscript"/>
                </w:rPr>
                <m:t>-</m:t>
              </m:r>
              <m:r>
                <m:rPr>
                  <m:nor/>
                </m:rPr>
                <w:rPr>
                  <w:i/>
                </w:rPr>
                <m:t>α</m:t>
              </m:r>
            </m:sup>
          </m:sSup>
        </m:oMath>
      </m:oMathPara>
    </w:p>
    <w:p w14:paraId="5EDD895F" w14:textId="77777777" w:rsidR="00A0416A" w:rsidRDefault="00A0416A" w:rsidP="00A0416A">
      <w:pPr>
        <w:pStyle w:val="Nivel2SM"/>
        <w:keepNext/>
        <w:spacing w:after="0"/>
      </w:pPr>
      <w:r w:rsidRPr="00C458C8">
        <w:t>Para financiar el g</w:t>
      </w:r>
      <w:r>
        <w:t xml:space="preserve">asto público, </w:t>
      </w:r>
      <m:oMath>
        <m:sSub>
          <m:sSubPr>
            <m:ctrlPr>
              <w:rPr>
                <w:rFonts w:ascii="Cambria Math" w:hAnsi="Cambria Math"/>
                <w:i/>
              </w:rPr>
            </m:ctrlPr>
          </m:sSubPr>
          <m:e>
            <m:r>
              <m:rPr>
                <m:nor/>
              </m:rPr>
              <w:rPr>
                <w:i/>
              </w:rPr>
              <m:t>G</m:t>
            </m:r>
          </m:e>
          <m:sub>
            <m:r>
              <m:rPr>
                <m:nor/>
              </m:rPr>
              <w:rPr>
                <w:i/>
              </w:rPr>
              <m:t>t</m:t>
            </m:r>
          </m:sub>
        </m:sSub>
      </m:oMath>
      <w:r>
        <w:t xml:space="preserve">, el gobierno impone un impuesto sobre la renta (o, lo que es lo mismo, sobre la producción). Para simplificar el análisis, consideraremos que el impuesto es proporcional y el tipo impositivo es constante en el tiempo. Este tipo impositivo será denotado con la letra </w:t>
      </w:r>
      <m:oMath>
        <m:r>
          <m:rPr>
            <m:nor/>
          </m:rPr>
          <w:rPr>
            <w:i/>
          </w:rPr>
          <m:t>τ</m:t>
        </m:r>
      </m:oMath>
      <w:r>
        <w:t>. La renta disponible de los individuos es, pues:</w:t>
      </w:r>
    </w:p>
    <w:p w14:paraId="73EBEE28" w14:textId="77777777" w:rsidR="00A0416A" w:rsidRPr="00C458C8" w:rsidRDefault="00000000" w:rsidP="00A0416A">
      <w:pPr>
        <w:spacing w:after="0"/>
        <w:rPr>
          <w:rFonts w:eastAsiaTheme="minorEastAsia"/>
          <w:iCs/>
          <w:lang w:val="fr-FR"/>
        </w:rPr>
      </w:pPr>
      <m:oMathPara>
        <m:oMath>
          <m:sSubSup>
            <m:sSubSupPr>
              <m:ctrlPr>
                <w:rPr>
                  <w:rFonts w:ascii="Cambria Math" w:hAnsi="Cambria Math"/>
                  <w:i/>
                  <w:iCs/>
                </w:rPr>
              </m:ctrlPr>
            </m:sSubSupPr>
            <m:e>
              <m:r>
                <m:rPr>
                  <m:nor/>
                </m:rPr>
                <w:rPr>
                  <w:i/>
                  <w:iCs/>
                  <w:lang w:val="fr-FR"/>
                </w:rPr>
                <m:t>Y</m:t>
              </m:r>
            </m:e>
            <m:sub>
              <m:r>
                <m:rPr>
                  <m:nor/>
                </m:rPr>
                <w:rPr>
                  <w:i/>
                  <w:iCs/>
                  <w:lang w:val="fr-FR"/>
                </w:rPr>
                <m:t>t</m:t>
              </m:r>
            </m:sub>
            <m:sup>
              <m:r>
                <m:rPr>
                  <m:nor/>
                </m:rPr>
                <w:rPr>
                  <w:i/>
                  <w:iCs/>
                  <w:lang w:val="fr-FR"/>
                </w:rPr>
                <m:t>d</m:t>
              </m:r>
            </m:sup>
          </m:sSubSup>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d>
            <m:dPr>
              <m:ctrlPr>
                <w:rPr>
                  <w:rFonts w:ascii="Cambria Math" w:hAnsi="Cambria Math"/>
                  <w:i/>
                  <w:iCs/>
                </w:rPr>
              </m:ctrlPr>
            </m:dPr>
            <m:e>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G</m:t>
                      </m:r>
                    </m:e>
                    <m:sub>
                      <m:r>
                        <m:rPr>
                          <m:nor/>
                        </m:rPr>
                        <w:rPr>
                          <w:i/>
                          <w:iCs/>
                          <w:lang w:val="fr-FR"/>
                        </w:rPr>
                        <m:t>t</m:t>
                      </m:r>
                    </m:sub>
                  </m:sSub>
                </m:e>
                <m:sup>
                  <m:r>
                    <m:rPr>
                      <m:nor/>
                    </m:rPr>
                    <w:rPr>
                      <w:i/>
                      <w:lang w:val="fr-FR"/>
                    </w:rPr>
                    <m:t>1</m:t>
                  </m:r>
                  <m:r>
                    <w:rPr>
                      <w:rFonts w:ascii="Cambria Math" w:eastAsia="Times New Roman" w:hAnsi="Cambria Math"/>
                      <w:vertAlign w:val="superscript"/>
                      <w:lang w:val="fr-FR"/>
                    </w:rPr>
                    <m:t>-</m:t>
                  </m:r>
                  <m:r>
                    <m:rPr>
                      <m:nor/>
                    </m:rPr>
                    <w:rPr>
                      <w:i/>
                    </w:rPr>
                    <m:t>α</m:t>
                  </m:r>
                </m:sup>
              </m:sSup>
            </m:e>
          </m:d>
        </m:oMath>
      </m:oMathPara>
    </w:p>
    <w:p w14:paraId="3D1C5CE8" w14:textId="77777777" w:rsidR="00A0416A" w:rsidRPr="00E755ED" w:rsidRDefault="00A0416A" w:rsidP="00A0416A">
      <w:pPr>
        <w:pStyle w:val="Nivel3SM"/>
      </w:pPr>
      <w:r>
        <w:t xml:space="preserve">La parte de la renta que “no es disponible”, </w:t>
      </w:r>
      <m:oMath>
        <m:r>
          <m:rPr>
            <m:nor/>
          </m:rPr>
          <w:rPr>
            <w:i/>
          </w:rPr>
          <m:t>τ</m:t>
        </m:r>
        <m:r>
          <w:rPr>
            <w:rFonts w:ascii="Cambria Math" w:hAnsi="Cambria Math"/>
          </w:rPr>
          <m:t>∙</m:t>
        </m:r>
        <m:sSub>
          <m:sSubPr>
            <m:ctrlPr>
              <w:rPr>
                <w:rFonts w:ascii="Cambria Math" w:hAnsi="Cambria Math"/>
                <w:i/>
                <w:iCs/>
              </w:rPr>
            </m:ctrlPr>
          </m:sSubPr>
          <m:e>
            <m:r>
              <m:rPr>
                <m:nor/>
              </m:rPr>
              <w:rPr>
                <w:i/>
                <w:iCs/>
              </w:rPr>
              <m:t>Y</m:t>
            </m:r>
          </m:e>
          <m:sub>
            <m:r>
              <m:rPr>
                <m:nor/>
              </m:rPr>
              <w:rPr>
                <w:i/>
                <w:iCs/>
              </w:rPr>
              <m:t>t</m:t>
            </m:r>
          </m:sub>
        </m:sSub>
      </m:oMath>
      <w:r>
        <w:rPr>
          <w:iCs/>
        </w:rPr>
        <w:t>, es la que se apropia el gobierno como recaudación impositiva.</w:t>
      </w:r>
    </w:p>
    <w:p w14:paraId="04250B2C" w14:textId="77777777" w:rsidR="00A0416A" w:rsidRDefault="00A0416A" w:rsidP="00A0416A">
      <w:pPr>
        <w:pStyle w:val="Nivel3SM"/>
        <w:keepNext/>
      </w:pPr>
      <w:r>
        <w:rPr>
          <w:iCs/>
        </w:rPr>
        <w:lastRenderedPageBreak/>
        <w:t xml:space="preserve">Si denotamos con </w:t>
      </w:r>
      <m:oMath>
        <m:r>
          <m:rPr>
            <m:nor/>
          </m:rPr>
          <w:rPr>
            <w:i/>
          </w:rPr>
          <m:t>g</m:t>
        </m:r>
      </m:oMath>
      <w:r>
        <w:t xml:space="preserve"> minúscula el gasto público por persona,</w:t>
      </w:r>
      <m:oMath>
        <m:r>
          <w:rPr>
            <w:rFonts w:ascii="Cambria Math" w:hAnsi="Cambria Math"/>
          </w:rPr>
          <m:t xml:space="preserve"> </m:t>
        </m:r>
        <m:r>
          <m:rPr>
            <m:nor/>
          </m:rPr>
          <w:rPr>
            <w:i/>
          </w:rPr>
          <m:t>g</m:t>
        </m:r>
        <m:r>
          <w:rPr>
            <w:rFonts w:ascii="Cambria Math" w:hAnsi="Cambria Math"/>
          </w:rPr>
          <m:t>=</m:t>
        </m:r>
        <m:f>
          <m:fPr>
            <m:type m:val="lin"/>
            <m:ctrlPr>
              <w:rPr>
                <w:rFonts w:ascii="Cambria Math" w:hAnsi="Cambria Math"/>
                <w:i/>
              </w:rPr>
            </m:ctrlPr>
          </m:fPr>
          <m:num>
            <m:r>
              <m:rPr>
                <m:nor/>
              </m:rPr>
              <w:rPr>
                <w:i/>
              </w:rPr>
              <m:t>G</m:t>
            </m:r>
          </m:num>
          <m:den>
            <m:r>
              <m:rPr>
                <m:nor/>
              </m:rPr>
              <w:rPr>
                <w:i/>
              </w:rPr>
              <m:t>L</m:t>
            </m:r>
          </m:den>
        </m:f>
      </m:oMath>
      <w:r>
        <w:t>, entonces la renta disponible por persona se puede escribir como:</w:t>
      </w:r>
    </w:p>
    <w:p w14:paraId="1C2A5720" w14:textId="77777777" w:rsidR="00A0416A" w:rsidRPr="00C458C8" w:rsidRDefault="00000000" w:rsidP="00A0416A">
      <w:pPr>
        <w:spacing w:after="0"/>
        <w:rPr>
          <w:rFonts w:eastAsiaTheme="minorEastAsia"/>
          <w:iCs/>
          <w:lang w:val="fr-FR"/>
        </w:rPr>
      </w:pPr>
      <m:oMathPara>
        <m:oMath>
          <m:sSubSup>
            <m:sSubSupPr>
              <m:ctrlPr>
                <w:rPr>
                  <w:rFonts w:ascii="Cambria Math" w:hAnsi="Cambria Math"/>
                  <w:i/>
                  <w:iCs/>
                </w:rPr>
              </m:ctrlPr>
            </m:sSubSupPr>
            <m:e>
              <m:r>
                <m:rPr>
                  <m:nor/>
                </m:rPr>
                <w:rPr>
                  <w:i/>
                  <w:iCs/>
                  <w:lang w:val="fr-FR"/>
                </w:rPr>
                <m:t>y</m:t>
              </m:r>
            </m:e>
            <m:sub>
              <m:r>
                <m:rPr>
                  <m:nor/>
                </m:rPr>
                <w:rPr>
                  <w:i/>
                  <w:iCs/>
                  <w:lang w:val="fr-FR"/>
                </w:rPr>
                <m:t>t</m:t>
              </m:r>
            </m:sub>
            <m:sup>
              <m:r>
                <m:rPr>
                  <m:nor/>
                </m:rPr>
                <w:rPr>
                  <w:i/>
                  <w:iCs/>
                  <w:lang w:val="fr-FR"/>
                </w:rPr>
                <m:t>d</m:t>
              </m:r>
            </m:sup>
          </m:sSubSup>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d>
            <m:dPr>
              <m:ctrlPr>
                <w:rPr>
                  <w:rFonts w:ascii="Cambria Math" w:hAnsi="Cambria Math"/>
                  <w:i/>
                  <w:iCs/>
                </w:rPr>
              </m:ctrlPr>
            </m:dPr>
            <m:e>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g</m:t>
                      </m:r>
                    </m:e>
                    <m:sub>
                      <m:r>
                        <m:rPr>
                          <m:nor/>
                        </m:rPr>
                        <w:rPr>
                          <w:i/>
                          <w:iCs/>
                          <w:lang w:val="fr-FR"/>
                        </w:rPr>
                        <m:t>t</m:t>
                      </m:r>
                    </m:sub>
                  </m:sSub>
                </m:e>
                <m:sup>
                  <m:r>
                    <m:rPr>
                      <m:nor/>
                    </m:rPr>
                    <w:rPr>
                      <w:i/>
                      <w:lang w:val="fr-FR"/>
                    </w:rPr>
                    <m:t>1</m:t>
                  </m:r>
                  <m:r>
                    <w:rPr>
                      <w:rFonts w:ascii="Cambria Math" w:eastAsia="Times New Roman" w:hAnsi="Cambria Math"/>
                      <w:vertAlign w:val="superscript"/>
                      <w:lang w:val="fr-FR"/>
                    </w:rPr>
                    <m:t>-</m:t>
                  </m:r>
                  <m:r>
                    <m:rPr>
                      <m:nor/>
                    </m:rPr>
                    <w:rPr>
                      <w:i/>
                    </w:rPr>
                    <m:t>α</m:t>
                  </m:r>
                </m:sup>
              </m:sSup>
            </m:e>
          </m:d>
        </m:oMath>
      </m:oMathPara>
    </w:p>
    <w:p w14:paraId="1F5D2CAF" w14:textId="77777777" w:rsidR="00A0416A" w:rsidRDefault="00A0416A" w:rsidP="00A0416A">
      <w:pPr>
        <w:pStyle w:val="Nivel2SM"/>
        <w:spacing w:after="0"/>
      </w:pPr>
      <w:r w:rsidRPr="00C458C8">
        <w:t>Al igual que e</w:t>
      </w:r>
      <w:r>
        <w:t>n el modelo de Solow-Swan, suponemos que los consumidores ahorran (e invierten) una fracción constante de la renta disponible. La ecuación fundamental de Solow-Swan nos dice que el aumento en el stock de capital es la diferencia entre el ahorro y la depreciación, por lo que en este modelo se puede escribir como:</w:t>
      </w:r>
    </w:p>
    <w:p w14:paraId="5488090B" w14:textId="77777777" w:rsidR="00A0416A" w:rsidRPr="00C458C8" w:rsidRDefault="00000000" w:rsidP="00A0416A">
      <w:pPr>
        <w:spacing w:after="100"/>
        <w:rPr>
          <w:rFonts w:eastAsiaTheme="minorEastAsia"/>
          <w:lang w:val="fr-FR"/>
        </w:rPr>
      </w:pPr>
      <m:oMathPara>
        <m:oMath>
          <m:borderBox>
            <m:borderBoxPr>
              <m:ctrlPr>
                <w:rPr>
                  <w:rFonts w:ascii="Cambria Math" w:hAnsi="Cambria Math"/>
                  <w:i/>
                  <w:iCs/>
                </w:rPr>
              </m:ctrlPr>
            </m:borderBoxPr>
            <m:e>
              <m:acc>
                <m:accPr>
                  <m:chr m:val="̇"/>
                  <m:ctrlPr>
                    <w:rPr>
                      <w:rFonts w:ascii="Cambria Math" w:hAnsi="Cambria Math"/>
                      <w:i/>
                      <w:iCs/>
                    </w:rPr>
                  </m:ctrlPr>
                </m:accPr>
                <m:e>
                  <m:sSub>
                    <m:sSubPr>
                      <m:ctrlPr>
                        <w:rPr>
                          <w:rFonts w:ascii="Cambria Math" w:hAnsi="Cambria Math"/>
                          <w:i/>
                          <w:iCs/>
                        </w:rPr>
                      </m:ctrlPr>
                    </m:sSubPr>
                    <m:e>
                      <m:r>
                        <m:rPr>
                          <m:nor/>
                        </m:rPr>
                        <w:rPr>
                          <w:i/>
                          <w:iCs/>
                          <w:lang w:val="fr-FR"/>
                        </w:rPr>
                        <m:t>k</m:t>
                      </m:r>
                    </m:e>
                    <m:sub>
                      <m:r>
                        <m:rPr>
                          <m:nor/>
                        </m:rPr>
                        <w:rPr>
                          <w:i/>
                          <w:iCs/>
                          <w:lang w:val="fr-FR"/>
                        </w:rPr>
                        <m:t>t</m:t>
                      </m:r>
                    </m:sub>
                  </m:sSub>
                </m:e>
              </m:acc>
              <m:r>
                <w:rPr>
                  <w:rFonts w:ascii="Cambria Math" w:eastAsiaTheme="minorEastAsia" w:hAnsi="Cambria Math"/>
                  <w:lang w:val="fr-FR"/>
                </w:rPr>
                <m:t>=</m:t>
              </m:r>
              <m:sSubSup>
                <m:sSubSupPr>
                  <m:ctrlPr>
                    <w:rPr>
                      <w:rFonts w:ascii="Cambria Math" w:hAnsi="Cambria Math"/>
                      <w:i/>
                      <w:iCs/>
                    </w:rPr>
                  </m:ctrlPr>
                </m:sSubSupPr>
                <m:e>
                  <m:r>
                    <m:rPr>
                      <m:nor/>
                    </m:rPr>
                    <w:rPr>
                      <w:i/>
                      <w:lang w:val="fr-FR"/>
                    </w:rPr>
                    <m:t>s</m:t>
                  </m:r>
                  <m:r>
                    <w:rPr>
                      <w:rFonts w:ascii="Cambria Math" w:hAnsi="Cambria Math"/>
                      <w:lang w:val="fr-FR"/>
                    </w:rPr>
                    <m:t>∙</m:t>
                  </m:r>
                  <m:r>
                    <m:rPr>
                      <m:nor/>
                    </m:rPr>
                    <w:rPr>
                      <w:i/>
                      <w:iCs/>
                      <w:lang w:val="fr-FR"/>
                    </w:rPr>
                    <m:t>y</m:t>
                  </m:r>
                </m:e>
                <m:sub>
                  <m:r>
                    <m:rPr>
                      <m:nor/>
                    </m:rPr>
                    <w:rPr>
                      <w:i/>
                      <w:iCs/>
                      <w:lang w:val="fr-FR"/>
                    </w:rPr>
                    <m:t>t</m:t>
                  </m:r>
                </m:sub>
                <m:sup>
                  <m:r>
                    <m:rPr>
                      <m:nor/>
                    </m:rPr>
                    <w:rPr>
                      <w:i/>
                      <w:iCs/>
                      <w:lang w:val="fr-FR"/>
                    </w:rPr>
                    <m:t>d</m:t>
                  </m:r>
                </m:sup>
              </m:sSubSup>
              <m:r>
                <w:rPr>
                  <w:rFonts w:ascii="Cambria Math" w:hAnsi="Cambria Math"/>
                  <w:lang w:val="fr-FR"/>
                </w:rPr>
                <m:t>-</m:t>
              </m:r>
              <m:d>
                <m:dPr>
                  <m:ctrlPr>
                    <w:rPr>
                      <w:rFonts w:ascii="Cambria Math" w:hAnsi="Cambria Math"/>
                      <w:i/>
                      <w:iCs/>
                      <w:lang w:val="fr-FR"/>
                    </w:rPr>
                  </m:ctrlPr>
                </m:dPr>
                <m:e>
                  <m:r>
                    <m:rPr>
                      <m:nor/>
                    </m:rPr>
                    <w:rPr>
                      <w:i/>
                      <w:lang w:val="fr-FR"/>
                    </w:rPr>
                    <m:t>δ</m:t>
                  </m:r>
                  <m:r>
                    <w:rPr>
                      <w:rFonts w:ascii="Cambria Math" w:hAnsi="Cambria Math"/>
                      <w:lang w:val="fr-FR"/>
                    </w:rPr>
                    <m:t>+</m:t>
                  </m:r>
                  <m:r>
                    <m:rPr>
                      <m:nor/>
                    </m:rPr>
                    <w:rPr>
                      <w:i/>
                      <w:iCs/>
                      <w:lang w:val="fr-FR"/>
                    </w:rPr>
                    <m:t>n</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borderBox>
          <m:r>
            <w:rPr>
              <w:rFonts w:ascii="Cambria Math" w:hAnsi="Cambria Math"/>
              <w:lang w:val="fr-FR"/>
            </w:rPr>
            <m:t>=</m:t>
          </m:r>
          <m:r>
            <m:rPr>
              <m:nor/>
            </m:rPr>
            <w:rPr>
              <w:i/>
              <w:lang w:val="fr-FR"/>
            </w:rPr>
            <m:t>s</m:t>
          </m:r>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d>
            <m:dPr>
              <m:ctrlPr>
                <w:rPr>
                  <w:rFonts w:ascii="Cambria Math" w:hAnsi="Cambria Math"/>
                  <w:i/>
                  <w:iCs/>
                  <w:lang w:val="fr-FR"/>
                </w:rPr>
              </m:ctrlPr>
            </m:dPr>
            <m:e>
              <m:r>
                <m:rPr>
                  <m:nor/>
                </m:rPr>
                <w:rPr>
                  <w:i/>
                  <w:lang w:val="fr-FR"/>
                </w:rPr>
                <m:t>δ</m:t>
              </m:r>
              <m:r>
                <w:rPr>
                  <w:rFonts w:ascii="Cambria Math" w:hAnsi="Cambria Math"/>
                  <w:lang w:val="fr-FR"/>
                </w:rPr>
                <m:t>+</m:t>
              </m:r>
              <m:r>
                <m:rPr>
                  <m:nor/>
                </m:rPr>
                <w:rPr>
                  <w:i/>
                  <w:iCs/>
                  <w:lang w:val="fr-FR"/>
                </w:rPr>
                <m:t>n</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lang w:val="fr-FR"/>
            </w:rPr>
            <m:t>=</m:t>
          </m:r>
          <m:r>
            <m:rPr>
              <m:nor/>
            </m:rPr>
            <w:rPr>
              <w:i/>
              <w:lang w:val="fr-FR"/>
            </w:rPr>
            <m:t>s</m:t>
          </m:r>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d>
            <m:dPr>
              <m:ctrlPr>
                <w:rPr>
                  <w:rFonts w:ascii="Cambria Math" w:hAnsi="Cambria Math"/>
                  <w:i/>
                  <w:iCs/>
                </w:rPr>
              </m:ctrlPr>
            </m:dPr>
            <m:e>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g</m:t>
                      </m:r>
                    </m:e>
                    <m:sub>
                      <m:r>
                        <m:rPr>
                          <m:nor/>
                        </m:rPr>
                        <w:rPr>
                          <w:i/>
                          <w:iCs/>
                          <w:lang w:val="fr-FR"/>
                        </w:rPr>
                        <m:t>t</m:t>
                      </m:r>
                    </m:sub>
                  </m:sSub>
                </m:e>
                <m:sup>
                  <m:r>
                    <m:rPr>
                      <m:nor/>
                    </m:rPr>
                    <w:rPr>
                      <w:i/>
                      <w:lang w:val="fr-FR"/>
                    </w:rPr>
                    <m:t>1</m:t>
                  </m:r>
                  <m:r>
                    <w:rPr>
                      <w:rFonts w:ascii="Cambria Math" w:eastAsia="Times New Roman" w:hAnsi="Cambria Math"/>
                      <w:vertAlign w:val="superscript"/>
                      <w:lang w:val="fr-FR"/>
                    </w:rPr>
                    <m:t>-</m:t>
                  </m:r>
                  <m:r>
                    <m:rPr>
                      <m:nor/>
                    </m:rPr>
                    <w:rPr>
                      <w:i/>
                    </w:rPr>
                    <m:t>α</m:t>
                  </m:r>
                </m:sup>
              </m:sSup>
            </m:e>
          </m:d>
          <m:r>
            <w:rPr>
              <w:rFonts w:ascii="Cambria Math" w:hAnsi="Cambria Math"/>
              <w:lang w:val="fr-FR"/>
            </w:rPr>
            <m:t>-</m:t>
          </m:r>
          <m:d>
            <m:dPr>
              <m:ctrlPr>
                <w:rPr>
                  <w:rFonts w:ascii="Cambria Math" w:hAnsi="Cambria Math"/>
                  <w:i/>
                  <w:iCs/>
                  <w:lang w:val="fr-FR"/>
                </w:rPr>
              </m:ctrlPr>
            </m:dPr>
            <m:e>
              <m:r>
                <m:rPr>
                  <m:nor/>
                </m:rPr>
                <w:rPr>
                  <w:i/>
                  <w:lang w:val="fr-FR"/>
                </w:rPr>
                <m:t>δ</m:t>
              </m:r>
              <m:r>
                <w:rPr>
                  <w:rFonts w:ascii="Cambria Math" w:hAnsi="Cambria Math"/>
                  <w:lang w:val="fr-FR"/>
                </w:rPr>
                <m:t>+</m:t>
              </m:r>
              <m:r>
                <m:rPr>
                  <m:nor/>
                </m:rPr>
                <w:rPr>
                  <w:i/>
                  <w:iCs/>
                  <w:lang w:val="fr-FR"/>
                </w:rPr>
                <m:t>n</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oMath>
      </m:oMathPara>
    </w:p>
    <w:p w14:paraId="01CFD22D" w14:textId="77777777" w:rsidR="00A0416A" w:rsidRDefault="00A0416A" w:rsidP="00A0416A">
      <w:pPr>
        <w:pStyle w:val="Ttulo8"/>
      </w:pPr>
      <w:bookmarkStart w:id="60" w:name="_Toc141368106"/>
      <w:bookmarkStart w:id="61" w:name="_Toc146266689"/>
      <w:r>
        <w:t>Desarrollo</w:t>
      </w:r>
      <w:bookmarkEnd w:id="60"/>
      <w:bookmarkEnd w:id="61"/>
    </w:p>
    <w:p w14:paraId="1CBEC066" w14:textId="77777777" w:rsidR="00A0416A" w:rsidRDefault="00A0416A" w:rsidP="00A0416A">
      <w:pPr>
        <w:pStyle w:val="Nivel1SM"/>
        <w:keepNext/>
        <w:spacing w:before="0" w:after="0"/>
      </w:pPr>
      <w:r w:rsidRPr="00C458C8">
        <w:t>Dividiendo los dos lados d</w:t>
      </w:r>
      <w:r>
        <w:t xml:space="preserve">e la expresión anterior por </w:t>
      </w:r>
      <m:oMath>
        <m:sSub>
          <m:sSubPr>
            <m:ctrlPr>
              <w:rPr>
                <w:rFonts w:ascii="Cambria Math" w:hAnsi="Cambria Math"/>
                <w:i/>
              </w:rPr>
            </m:ctrlPr>
          </m:sSubPr>
          <m:e>
            <m:r>
              <m:rPr>
                <m:nor/>
              </m:rPr>
              <w:rPr>
                <w:i/>
              </w:rPr>
              <m:t>k</m:t>
            </m:r>
          </m:e>
          <m:sub>
            <m:r>
              <m:rPr>
                <m:nor/>
              </m:rPr>
              <w:rPr>
                <w:i/>
              </w:rPr>
              <m:t>t</m:t>
            </m:r>
          </m:sub>
        </m:sSub>
      </m:oMath>
      <w:r>
        <w:t xml:space="preserve"> obtenemos una expresión para la tasa de crecimiento del capital por persona:</w:t>
      </w:r>
    </w:p>
    <w:p w14:paraId="5CE7B770" w14:textId="77777777" w:rsidR="00A0416A" w:rsidRPr="00C458C8" w:rsidRDefault="00000000" w:rsidP="00A0416A">
      <w:pPr>
        <w:keepNext/>
        <w:spacing w:after="0"/>
        <w:rPr>
          <w:rFonts w:eastAsiaTheme="minorEastAsia"/>
          <w:lang w:val="fr-FR"/>
        </w:rPr>
      </w:pPr>
      <m:oMathPara>
        <m:oMath>
          <m:f>
            <m:fPr>
              <m:ctrlPr>
                <w:rPr>
                  <w:rFonts w:ascii="Cambria Math" w:eastAsiaTheme="minorEastAsia" w:hAnsi="Cambria Math"/>
                  <w:i/>
                  <w:iCs/>
                  <w:lang w:val="fr-FR"/>
                </w:rPr>
              </m:ctrlPr>
            </m:fPr>
            <m:num>
              <m:acc>
                <m:accPr>
                  <m:chr m:val="̇"/>
                  <m:ctrlPr>
                    <w:rPr>
                      <w:rFonts w:ascii="Cambria Math" w:hAnsi="Cambria Math"/>
                      <w:i/>
                      <w:iCs/>
                    </w:rPr>
                  </m:ctrlPr>
                </m:accPr>
                <m:e>
                  <m:sSub>
                    <m:sSubPr>
                      <m:ctrlPr>
                        <w:rPr>
                          <w:rFonts w:ascii="Cambria Math" w:hAnsi="Cambria Math"/>
                          <w:i/>
                          <w:iCs/>
                        </w:rPr>
                      </m:ctrlPr>
                    </m:sSubPr>
                    <m:e>
                      <m:r>
                        <m:rPr>
                          <m:nor/>
                        </m:rPr>
                        <w:rPr>
                          <w:i/>
                          <w:iCs/>
                          <w:lang w:val="fr-FR"/>
                        </w:rPr>
                        <m:t>k</m:t>
                      </m:r>
                    </m:e>
                    <m:sub>
                      <m:r>
                        <m:rPr>
                          <m:nor/>
                        </m:rPr>
                        <w:rPr>
                          <w:i/>
                          <w:iCs/>
                          <w:lang w:val="fr-FR"/>
                        </w:rPr>
                        <m:t>t</m:t>
                      </m:r>
                    </m:sub>
                  </m:sSub>
                </m:e>
              </m:acc>
            </m:num>
            <m:den>
              <m:sSub>
                <m:sSubPr>
                  <m:ctrlPr>
                    <w:rPr>
                      <w:rFonts w:ascii="Cambria Math" w:hAnsi="Cambria Math"/>
                      <w:i/>
                      <w:iCs/>
                    </w:rPr>
                  </m:ctrlPr>
                </m:sSubPr>
                <m:e>
                  <m:r>
                    <m:rPr>
                      <m:nor/>
                    </m:rPr>
                    <w:rPr>
                      <w:i/>
                      <w:iCs/>
                      <w:lang w:val="fr-FR"/>
                    </w:rPr>
                    <m:t>k</m:t>
                  </m:r>
                </m:e>
                <m:sub>
                  <m:r>
                    <m:rPr>
                      <m:nor/>
                    </m:rPr>
                    <w:rPr>
                      <w:i/>
                      <w:iCs/>
                      <w:lang w:val="fr-FR"/>
                    </w:rPr>
                    <m:t>t</m:t>
                  </m:r>
                </m:sub>
              </m:sSub>
            </m:den>
          </m:f>
          <m:r>
            <w:rPr>
              <w:rFonts w:ascii="Cambria Math" w:eastAsiaTheme="minorEastAsia" w:hAnsi="Cambria Math"/>
              <w:lang w:val="fr-FR"/>
            </w:rPr>
            <m:t>=</m:t>
          </m:r>
          <m:f>
            <m:fPr>
              <m:ctrlPr>
                <w:rPr>
                  <w:rFonts w:ascii="Cambria Math" w:eastAsiaTheme="minorEastAsia" w:hAnsi="Cambria Math"/>
                  <w:i/>
                  <w:iCs/>
                  <w:lang w:val="fr-FR"/>
                </w:rPr>
              </m:ctrlPr>
            </m:fPr>
            <m:num>
              <m:r>
                <m:rPr>
                  <m:nor/>
                </m:rPr>
                <w:rPr>
                  <w:i/>
                  <w:lang w:val="fr-FR"/>
                </w:rPr>
                <m:t>s</m:t>
              </m:r>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d>
                <m:dPr>
                  <m:ctrlPr>
                    <w:rPr>
                      <w:rFonts w:ascii="Cambria Math" w:hAnsi="Cambria Math"/>
                      <w:i/>
                      <w:iCs/>
                    </w:rPr>
                  </m:ctrlPr>
                </m:dPr>
                <m:e>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g</m:t>
                          </m:r>
                        </m:e>
                        <m:sub>
                          <m:r>
                            <m:rPr>
                              <m:nor/>
                            </m:rPr>
                            <w:rPr>
                              <w:i/>
                              <w:iCs/>
                              <w:lang w:val="fr-FR"/>
                            </w:rPr>
                            <m:t>t</m:t>
                          </m:r>
                        </m:sub>
                      </m:sSub>
                    </m:e>
                    <m:sup>
                      <m:r>
                        <m:rPr>
                          <m:nor/>
                        </m:rPr>
                        <w:rPr>
                          <w:i/>
                          <w:lang w:val="fr-FR"/>
                        </w:rPr>
                        <m:t>1</m:t>
                      </m:r>
                      <m:r>
                        <w:rPr>
                          <w:rFonts w:ascii="Cambria Math" w:eastAsia="Times New Roman" w:hAnsi="Cambria Math"/>
                          <w:vertAlign w:val="superscript"/>
                          <w:lang w:val="fr-FR"/>
                        </w:rPr>
                        <m:t>-</m:t>
                      </m:r>
                      <m:r>
                        <m:rPr>
                          <m:nor/>
                        </m:rPr>
                        <w:rPr>
                          <w:i/>
                        </w:rPr>
                        <m:t>α</m:t>
                      </m:r>
                    </m:sup>
                  </m:sSup>
                </m:e>
              </m:d>
            </m:num>
            <m:den>
              <m:sSub>
                <m:sSubPr>
                  <m:ctrlPr>
                    <w:rPr>
                      <w:rFonts w:ascii="Cambria Math" w:hAnsi="Cambria Math"/>
                      <w:i/>
                      <w:iCs/>
                    </w:rPr>
                  </m:ctrlPr>
                </m:sSubPr>
                <m:e>
                  <m:r>
                    <m:rPr>
                      <m:nor/>
                    </m:rPr>
                    <w:rPr>
                      <w:i/>
                      <w:iCs/>
                      <w:lang w:val="fr-FR"/>
                    </w:rPr>
                    <m:t>k</m:t>
                  </m:r>
                </m:e>
                <m:sub>
                  <m:r>
                    <m:rPr>
                      <m:nor/>
                    </m:rPr>
                    <w:rPr>
                      <w:i/>
                      <w:iCs/>
                      <w:lang w:val="fr-FR"/>
                    </w:rPr>
                    <m:t>t</m:t>
                  </m:r>
                </m:sub>
              </m:sSub>
            </m:den>
          </m:f>
          <m:r>
            <w:rPr>
              <w:rFonts w:ascii="Cambria Math" w:hAnsi="Cambria Math"/>
              <w:lang w:val="fr-FR"/>
            </w:rPr>
            <m:t>-</m:t>
          </m:r>
          <m:f>
            <m:fPr>
              <m:ctrlPr>
                <w:rPr>
                  <w:rFonts w:ascii="Cambria Math" w:eastAsiaTheme="minorEastAsia" w:hAnsi="Cambria Math"/>
                  <w:i/>
                  <w:iCs/>
                  <w:lang w:val="fr-FR"/>
                </w:rPr>
              </m:ctrlPr>
            </m:fPr>
            <m:num>
              <m:d>
                <m:dPr>
                  <m:ctrlPr>
                    <w:rPr>
                      <w:rFonts w:ascii="Cambria Math" w:hAnsi="Cambria Math"/>
                      <w:i/>
                      <w:iCs/>
                      <w:lang w:val="fr-FR"/>
                    </w:rPr>
                  </m:ctrlPr>
                </m:dPr>
                <m:e>
                  <m:r>
                    <m:rPr>
                      <m:nor/>
                    </m:rPr>
                    <w:rPr>
                      <w:i/>
                      <w:lang w:val="fr-FR"/>
                    </w:rPr>
                    <m:t>δ</m:t>
                  </m:r>
                  <m:r>
                    <w:rPr>
                      <w:rFonts w:ascii="Cambria Math" w:hAnsi="Cambria Math"/>
                      <w:lang w:val="fr-FR"/>
                    </w:rPr>
                    <m:t>+</m:t>
                  </m:r>
                  <m:r>
                    <m:rPr>
                      <m:nor/>
                    </m:rPr>
                    <w:rPr>
                      <w:i/>
                      <w:iCs/>
                      <w:lang w:val="fr-FR"/>
                    </w:rPr>
                    <m:t>n</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num>
            <m:den>
              <m:sSub>
                <m:sSubPr>
                  <m:ctrlPr>
                    <w:rPr>
                      <w:rFonts w:ascii="Cambria Math" w:hAnsi="Cambria Math"/>
                      <w:i/>
                      <w:iCs/>
                    </w:rPr>
                  </m:ctrlPr>
                </m:sSubPr>
                <m:e>
                  <m:r>
                    <m:rPr>
                      <m:nor/>
                    </m:rPr>
                    <w:rPr>
                      <w:i/>
                      <w:iCs/>
                      <w:lang w:val="fr-FR"/>
                    </w:rPr>
                    <m:t>k</m:t>
                  </m:r>
                </m:e>
                <m:sub>
                  <m:r>
                    <m:rPr>
                      <m:nor/>
                    </m:rPr>
                    <w:rPr>
                      <w:i/>
                      <w:iCs/>
                      <w:lang w:val="fr-FR"/>
                    </w:rPr>
                    <m:t>t</m:t>
                  </m:r>
                </m:sub>
              </m:sSub>
            </m:den>
          </m:f>
          <m:r>
            <w:rPr>
              <w:rFonts w:ascii="Cambria Math" w:hAnsi="Cambria Math"/>
              <w:lang w:val="fr-FR"/>
            </w:rPr>
            <m:t>⟹</m:t>
          </m:r>
          <m:borderBox>
            <m:borderBoxPr>
              <m:ctrlPr>
                <w:rPr>
                  <w:rFonts w:ascii="Cambria Math" w:hAnsi="Cambria Math"/>
                  <w:i/>
                  <w:iCs/>
                </w:rPr>
              </m:ctrlPr>
            </m:borderBoxPr>
            <m:e>
              <m:f>
                <m:fPr>
                  <m:ctrlPr>
                    <w:rPr>
                      <w:rFonts w:ascii="Cambria Math" w:eastAsiaTheme="minorEastAsia" w:hAnsi="Cambria Math"/>
                      <w:i/>
                      <w:iCs/>
                      <w:lang w:val="fr-FR"/>
                    </w:rPr>
                  </m:ctrlPr>
                </m:fPr>
                <m:num>
                  <m:acc>
                    <m:accPr>
                      <m:chr m:val="̇"/>
                      <m:ctrlPr>
                        <w:rPr>
                          <w:rFonts w:ascii="Cambria Math" w:hAnsi="Cambria Math"/>
                          <w:i/>
                          <w:iCs/>
                        </w:rPr>
                      </m:ctrlPr>
                    </m:accPr>
                    <m:e>
                      <m:sSub>
                        <m:sSubPr>
                          <m:ctrlPr>
                            <w:rPr>
                              <w:rFonts w:ascii="Cambria Math" w:hAnsi="Cambria Math"/>
                              <w:i/>
                              <w:iCs/>
                            </w:rPr>
                          </m:ctrlPr>
                        </m:sSubPr>
                        <m:e>
                          <m:r>
                            <m:rPr>
                              <m:nor/>
                            </m:rPr>
                            <w:rPr>
                              <w:i/>
                              <w:iCs/>
                              <w:lang w:val="fr-FR"/>
                            </w:rPr>
                            <m:t>k</m:t>
                          </m:r>
                        </m:e>
                        <m:sub>
                          <m:r>
                            <m:rPr>
                              <m:nor/>
                            </m:rPr>
                            <w:rPr>
                              <w:i/>
                              <w:iCs/>
                              <w:lang w:val="fr-FR"/>
                            </w:rPr>
                            <m:t>t</m:t>
                          </m:r>
                        </m:sub>
                      </m:sSub>
                    </m:e>
                  </m:acc>
                </m:num>
                <m:den>
                  <m:sSub>
                    <m:sSubPr>
                      <m:ctrlPr>
                        <w:rPr>
                          <w:rFonts w:ascii="Cambria Math" w:hAnsi="Cambria Math"/>
                          <w:i/>
                          <w:iCs/>
                        </w:rPr>
                      </m:ctrlPr>
                    </m:sSubPr>
                    <m:e>
                      <m:r>
                        <m:rPr>
                          <m:nor/>
                        </m:rPr>
                        <w:rPr>
                          <w:i/>
                          <w:iCs/>
                          <w:lang w:val="fr-FR"/>
                        </w:rPr>
                        <m:t>k</m:t>
                      </m:r>
                    </m:e>
                    <m:sub>
                      <m:r>
                        <m:rPr>
                          <m:nor/>
                        </m:rPr>
                        <w:rPr>
                          <w:i/>
                          <w:iCs/>
                          <w:lang w:val="fr-FR"/>
                        </w:rPr>
                        <m:t>t</m:t>
                      </m:r>
                    </m:sub>
                  </m:sSub>
                </m:den>
              </m:f>
              <m:r>
                <w:rPr>
                  <w:rFonts w:ascii="Cambria Math" w:eastAsiaTheme="minorEastAsia" w:hAnsi="Cambria Math"/>
                  <w:lang w:val="fr-FR"/>
                </w:rPr>
                <m:t>=</m:t>
              </m:r>
              <m:r>
                <m:rPr>
                  <m:nor/>
                </m:rPr>
                <w:rPr>
                  <w:i/>
                  <w:lang w:val="fr-FR"/>
                </w:rPr>
                <m:t>s</m:t>
              </m:r>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r>
                <m:rPr>
                  <m:nor/>
                </m:rPr>
                <w:rPr>
                  <w:i/>
                  <w:iCs/>
                  <w:lang w:val="fr-FR"/>
                </w:rPr>
                <m:t>A</m:t>
              </m:r>
              <m:r>
                <w:rPr>
                  <w:rFonts w:ascii="Cambria Math" w:hAnsi="Cambria Math"/>
                  <w:lang w:val="fr-FR"/>
                </w:rPr>
                <m:t>∙</m:t>
              </m:r>
              <m:sSup>
                <m:sSupPr>
                  <m:ctrlPr>
                    <w:rPr>
                      <w:rFonts w:ascii="Cambria Math" w:hAnsi="Cambria Math"/>
                      <w:i/>
                      <w:iCs/>
                      <w:lang w:val="fr-FR"/>
                    </w:rPr>
                  </m:ctrlPr>
                </m:sSupPr>
                <m:e>
                  <m:d>
                    <m:dPr>
                      <m:ctrlPr>
                        <w:rPr>
                          <w:rFonts w:ascii="Cambria Math" w:hAnsi="Cambria Math"/>
                          <w:i/>
                          <w:iCs/>
                          <w:lang w:val="fr-FR"/>
                        </w:rPr>
                      </m:ctrlPr>
                    </m:dPr>
                    <m:e>
                      <m:f>
                        <m:fPr>
                          <m:ctrlPr>
                            <w:rPr>
                              <w:rFonts w:ascii="Cambria Math" w:hAnsi="Cambria Math"/>
                              <w:i/>
                              <w:iCs/>
                            </w:rPr>
                          </m:ctrlPr>
                        </m:fPr>
                        <m:num>
                          <m:sSub>
                            <m:sSubPr>
                              <m:ctrlPr>
                                <w:rPr>
                                  <w:rFonts w:ascii="Cambria Math" w:hAnsi="Cambria Math"/>
                                  <w:i/>
                                  <w:iCs/>
                                </w:rPr>
                              </m:ctrlPr>
                            </m:sSubPr>
                            <m:e>
                              <m:r>
                                <m:rPr>
                                  <m:nor/>
                                </m:rPr>
                                <w:rPr>
                                  <w:i/>
                                  <w:iCs/>
                                  <w:lang w:val="fr-FR"/>
                                </w:rPr>
                                <m:t>g</m:t>
                              </m:r>
                            </m:e>
                            <m:sub>
                              <m:r>
                                <m:rPr>
                                  <m:nor/>
                                </m:rPr>
                                <w:rPr>
                                  <w:i/>
                                  <w:iCs/>
                                  <w:lang w:val="fr-FR"/>
                                </w:rPr>
                                <m:t>t</m:t>
                              </m:r>
                            </m:sub>
                          </m:sSub>
                        </m:num>
                        <m:den>
                          <m:sSub>
                            <m:sSubPr>
                              <m:ctrlPr>
                                <w:rPr>
                                  <w:rFonts w:ascii="Cambria Math" w:hAnsi="Cambria Math"/>
                                  <w:i/>
                                  <w:iCs/>
                                </w:rPr>
                              </m:ctrlPr>
                            </m:sSubPr>
                            <m:e>
                              <m:r>
                                <m:rPr>
                                  <m:nor/>
                                </m:rPr>
                                <w:rPr>
                                  <w:i/>
                                  <w:iCs/>
                                  <w:lang w:val="fr-FR"/>
                                </w:rPr>
                                <m:t>k</m:t>
                              </m:r>
                            </m:e>
                            <m:sub>
                              <m:r>
                                <m:rPr>
                                  <m:nor/>
                                </m:rPr>
                                <w:rPr>
                                  <w:i/>
                                  <w:iCs/>
                                  <w:lang w:val="fr-FR"/>
                                </w:rPr>
                                <m:t>t</m:t>
                              </m:r>
                            </m:sub>
                          </m:sSub>
                        </m:den>
                      </m:f>
                    </m:e>
                  </m:d>
                </m:e>
                <m:sup>
                  <m:r>
                    <m:rPr>
                      <m:nor/>
                    </m:rPr>
                    <w:rPr>
                      <w:i/>
                      <w:lang w:val="fr-FR"/>
                    </w:rPr>
                    <m:t>1</m:t>
                  </m:r>
                  <m:r>
                    <w:rPr>
                      <w:rFonts w:ascii="Cambria Math" w:eastAsia="Times New Roman" w:hAnsi="Cambria Math"/>
                      <w:vertAlign w:val="superscript"/>
                      <w:lang w:val="fr-FR"/>
                    </w:rPr>
                    <m:t>-</m:t>
                  </m:r>
                  <m:r>
                    <m:rPr>
                      <m:nor/>
                    </m:rPr>
                    <w:rPr>
                      <w:i/>
                    </w:rPr>
                    <m:t>α</m:t>
                  </m:r>
                </m:sup>
              </m:sSup>
              <m:r>
                <w:rPr>
                  <w:rFonts w:ascii="Cambria Math" w:hAnsi="Cambria Math"/>
                  <w:lang w:val="fr-FR"/>
                </w:rPr>
                <m:t>-</m:t>
              </m:r>
              <m:d>
                <m:dPr>
                  <m:ctrlPr>
                    <w:rPr>
                      <w:rFonts w:ascii="Cambria Math" w:hAnsi="Cambria Math"/>
                      <w:i/>
                      <w:iCs/>
                      <w:lang w:val="fr-FR"/>
                    </w:rPr>
                  </m:ctrlPr>
                </m:dPr>
                <m:e>
                  <m:r>
                    <m:rPr>
                      <m:nor/>
                    </m:rPr>
                    <w:rPr>
                      <w:i/>
                      <w:lang w:val="fr-FR"/>
                    </w:rPr>
                    <m:t>δ</m:t>
                  </m:r>
                  <m:r>
                    <w:rPr>
                      <w:rFonts w:ascii="Cambria Math" w:hAnsi="Cambria Math"/>
                      <w:lang w:val="fr-FR"/>
                    </w:rPr>
                    <m:t>+</m:t>
                  </m:r>
                  <m:r>
                    <m:rPr>
                      <m:nor/>
                    </m:rPr>
                    <w:rPr>
                      <w:i/>
                      <w:iCs/>
                      <w:lang w:val="fr-FR"/>
                    </w:rPr>
                    <m:t>n</m:t>
                  </m:r>
                </m:e>
              </m:d>
            </m:e>
          </m:borderBox>
        </m:oMath>
      </m:oMathPara>
    </w:p>
    <w:p w14:paraId="40751EE0" w14:textId="77777777" w:rsidR="00A0416A" w:rsidRDefault="00A0416A" w:rsidP="00A0416A">
      <w:pPr>
        <w:pStyle w:val="Nivel2SM"/>
        <w:keepNext/>
        <w:spacing w:after="0"/>
      </w:pPr>
      <w:r w:rsidRPr="00C458C8">
        <w:t>Esta ecuación indica q</w:t>
      </w:r>
      <w:r>
        <w:t xml:space="preserve">ue la tasa de crecimiento depende </w:t>
      </w:r>
      <w:r>
        <w:rPr>
          <w:i/>
        </w:rPr>
        <w:t xml:space="preserve">positivamente del gasto público, </w:t>
      </w:r>
      <m:oMath>
        <m:sSub>
          <m:sSubPr>
            <m:ctrlPr>
              <w:rPr>
                <w:rFonts w:ascii="Cambria Math" w:hAnsi="Cambria Math"/>
                <w:i/>
              </w:rPr>
            </m:ctrlPr>
          </m:sSubPr>
          <m:e>
            <m:r>
              <m:rPr>
                <m:nor/>
              </m:rPr>
              <w:rPr>
                <w:i/>
              </w:rPr>
              <m:t>g</m:t>
            </m:r>
          </m:e>
          <m:sub>
            <m:r>
              <m:rPr>
                <m:nor/>
              </m:rPr>
              <w:rPr>
                <w:i/>
              </w:rPr>
              <m:t>t</m:t>
            </m:r>
          </m:sub>
        </m:sSub>
      </m:oMath>
      <w:r>
        <w:rPr>
          <w:i/>
        </w:rPr>
        <w:t xml:space="preserve"> y negativamente del tipo impositivo, </w:t>
      </w:r>
      <m:oMath>
        <m:r>
          <m:rPr>
            <m:nor/>
          </m:rPr>
          <w:rPr>
            <w:i/>
          </w:rPr>
          <m:t>τ</m:t>
        </m:r>
      </m:oMath>
      <w:r>
        <w:t xml:space="preserve">. Ahora bien, el impuesto y el gasto público no son independientes, dado que, para poder gastar, el gobierno debe recaudar. Para obtener la relación entre gasto e impuestos basta con utilizar la </w:t>
      </w:r>
      <w:r w:rsidRPr="00EA18C9">
        <w:rPr>
          <w:i/>
          <w:iCs/>
        </w:rPr>
        <w:t>restricción presupuestaria del gobierno</w:t>
      </w:r>
      <w:r>
        <w:t>.</w:t>
      </w:r>
    </w:p>
    <w:p w14:paraId="682E5363" w14:textId="77777777" w:rsidR="00A0416A" w:rsidRDefault="00A0416A" w:rsidP="00A0416A">
      <w:pPr>
        <w:pStyle w:val="Nivel3SM"/>
      </w:pPr>
      <w:r>
        <w:t xml:space="preserve">Los gobiernos, en la vida real, pueden pedir prestado (tener un déficit), por lo que no debe ser necesariamente cierto que el gasto sea siempre igual al ingreso. Lo que sí debe ser cierto es que, a largo plazo, lo que se pide prestado se debe devolver o, dicho de otro modo, a largo plazo debe ser cierto que, más o menos, los gastos públicos sean iguales a los ingresos impositivos </w:t>
      </w:r>
      <w:r w:rsidRPr="000506CA">
        <w:rPr>
          <w:color w:val="767171" w:themeColor="background2" w:themeShade="80"/>
          <w:sz w:val="19"/>
          <w:szCs w:val="19"/>
        </w:rPr>
        <w:t>[ver tema 3.A.38]</w:t>
      </w:r>
      <w:r>
        <w:t>. Como estamos interesados en el crecimiento a largo plazo, omitiremos aquí la posibilidad de mantener déficit.</w:t>
      </w:r>
    </w:p>
    <w:p w14:paraId="5441D8E7" w14:textId="77777777" w:rsidR="00A0416A" w:rsidRDefault="00A0416A" w:rsidP="00A0416A">
      <w:pPr>
        <w:pStyle w:val="Nivel3SM"/>
        <w:keepNext/>
      </w:pPr>
      <w:r>
        <w:t xml:space="preserve">La restricción del gobierno será </w:t>
      </w:r>
      <m:oMath>
        <m:sSub>
          <m:sSubPr>
            <m:ctrlPr>
              <w:rPr>
                <w:rFonts w:ascii="Cambria Math" w:hAnsi="Cambria Math"/>
                <w:i/>
              </w:rPr>
            </m:ctrlPr>
          </m:sSubPr>
          <m:e>
            <m:r>
              <m:rPr>
                <m:nor/>
              </m:rPr>
              <w:rPr>
                <w:i/>
              </w:rPr>
              <m:t>G</m:t>
            </m:r>
          </m:e>
          <m:sub>
            <m:r>
              <m:rPr>
                <m:nor/>
              </m:rPr>
              <w:rPr>
                <w:i/>
              </w:rPr>
              <m:t>t</m:t>
            </m:r>
          </m:sub>
        </m:sSub>
        <m:r>
          <w:rPr>
            <w:rFonts w:ascii="Cambria Math" w:hAnsi="Cambria Math"/>
          </w:rPr>
          <m:t>=</m:t>
        </m:r>
        <m:r>
          <m:rPr>
            <m:nor/>
          </m:rPr>
          <w:rPr>
            <w:i/>
          </w:rPr>
          <m:t>τ</m:t>
        </m:r>
        <m:r>
          <w:rPr>
            <w:rFonts w:ascii="Cambria Math" w:hAnsi="Cambria Math"/>
          </w:rPr>
          <m:t>∙</m:t>
        </m:r>
        <m:sSub>
          <m:sSubPr>
            <m:ctrlPr>
              <w:rPr>
                <w:rFonts w:ascii="Cambria Math" w:hAnsi="Cambria Math"/>
                <w:i/>
              </w:rPr>
            </m:ctrlPr>
          </m:sSubPr>
          <m:e>
            <m:r>
              <m:rPr>
                <m:nor/>
              </m:rPr>
              <w:rPr>
                <w:i/>
              </w:rPr>
              <m:t>Y</m:t>
            </m:r>
          </m:e>
          <m:sub>
            <m:r>
              <m:rPr>
                <m:nor/>
              </m:rPr>
              <w:rPr>
                <w:i/>
              </w:rPr>
              <m:t>t</m:t>
            </m:r>
          </m:sub>
        </m:sSub>
      </m:oMath>
      <w:r>
        <w:t xml:space="preserve">. Dividiendo en los dos lados por </w:t>
      </w:r>
      <m:oMath>
        <m:sSub>
          <m:sSubPr>
            <m:ctrlPr>
              <w:rPr>
                <w:rFonts w:ascii="Cambria Math" w:hAnsi="Cambria Math"/>
                <w:i/>
              </w:rPr>
            </m:ctrlPr>
          </m:sSubPr>
          <m:e>
            <m:r>
              <m:rPr>
                <m:nor/>
              </m:rPr>
              <w:rPr>
                <w:i/>
              </w:rPr>
              <m:t>L</m:t>
            </m:r>
          </m:e>
          <m:sub>
            <m:r>
              <m:rPr>
                <m:nor/>
              </m:rPr>
              <w:rPr>
                <w:i/>
              </w:rPr>
              <m:t>t</m:t>
            </m:r>
          </m:sub>
        </m:sSub>
      </m:oMath>
      <w:r>
        <w:t xml:space="preserve"> para expresar la restricción en términos per cápita y utilizando la función de producción en términos per cápita, </w:t>
      </w:r>
      <m:oMath>
        <m:sSub>
          <m:sSubPr>
            <m:ctrlPr>
              <w:rPr>
                <w:rFonts w:ascii="Cambria Math" w:hAnsi="Cambria Math"/>
                <w:i/>
              </w:rPr>
            </m:ctrlPr>
          </m:sSubPr>
          <m:e>
            <m:r>
              <m:rPr>
                <m:nor/>
              </m:rPr>
              <w:rPr>
                <w:i/>
              </w:rPr>
              <m:t>y</m:t>
            </m:r>
          </m:e>
          <m:sub>
            <m:r>
              <m:rPr>
                <m:nor/>
              </m:rPr>
              <w:rPr>
                <w:i/>
              </w:rPr>
              <m:t>t</m:t>
            </m:r>
          </m:sub>
        </m:sSub>
        <m:r>
          <w:rPr>
            <w:rFonts w:ascii="Cambria Math" w:hAnsi="Cambria Math"/>
          </w:rPr>
          <m:t>=</m:t>
        </m:r>
        <m:r>
          <m:rPr>
            <m:nor/>
          </m:rPr>
          <w:rPr>
            <w:i/>
          </w:rPr>
          <m:t>A</m:t>
        </m:r>
        <m:r>
          <w:rPr>
            <w:rFonts w:ascii="Cambria Math" w:hAnsi="Cambria Math"/>
          </w:rPr>
          <m:t>∙</m:t>
        </m:r>
        <m:sSup>
          <m:sSupPr>
            <m:ctrlPr>
              <w:rPr>
                <w:rFonts w:ascii="Cambria Math" w:hAnsi="Cambria Math"/>
                <w:i/>
                <w:lang w:val="fr-FR"/>
              </w:rPr>
            </m:ctrlPr>
          </m:sSupPr>
          <m:e>
            <m:sSub>
              <m:sSubPr>
                <m:ctrlPr>
                  <w:rPr>
                    <w:rFonts w:ascii="Cambria Math" w:hAnsi="Cambria Math"/>
                    <w:i/>
                  </w:rPr>
                </m:ctrlPr>
              </m:sSubPr>
              <m:e>
                <m:r>
                  <m:rPr>
                    <m:nor/>
                  </m:rPr>
                  <w:rPr>
                    <w:i/>
                  </w:rPr>
                  <m:t>k</m:t>
                </m:r>
              </m:e>
              <m:sub>
                <m:r>
                  <m:rPr>
                    <m:nor/>
                  </m:rPr>
                  <w:rPr>
                    <w:i/>
                  </w:rPr>
                  <m:t>t</m:t>
                </m:r>
              </m:sub>
            </m:sSub>
          </m:e>
          <m:sup>
            <m:r>
              <m:rPr>
                <m:nor/>
              </m:rPr>
              <w:rPr>
                <w:i/>
              </w:rPr>
              <m:t>α</m:t>
            </m:r>
          </m:sup>
        </m:sSup>
        <m:r>
          <w:rPr>
            <w:rFonts w:ascii="Cambria Math" w:hAnsi="Cambria Math"/>
          </w:rPr>
          <m:t>∙</m:t>
        </m:r>
        <m:sSup>
          <m:sSupPr>
            <m:ctrlPr>
              <w:rPr>
                <w:rFonts w:ascii="Cambria Math" w:hAnsi="Cambria Math"/>
                <w:i/>
                <w:lang w:val="fr-FR"/>
              </w:rPr>
            </m:ctrlPr>
          </m:sSupPr>
          <m:e>
            <m:sSub>
              <m:sSubPr>
                <m:ctrlPr>
                  <w:rPr>
                    <w:rFonts w:ascii="Cambria Math" w:hAnsi="Cambria Math"/>
                    <w:i/>
                  </w:rPr>
                </m:ctrlPr>
              </m:sSubPr>
              <m:e>
                <m:r>
                  <m:rPr>
                    <m:nor/>
                  </m:rPr>
                  <w:rPr>
                    <w:i/>
                  </w:rPr>
                  <m:t>g</m:t>
                </m:r>
              </m:e>
              <m:sub>
                <m:r>
                  <m:rPr>
                    <m:nor/>
                  </m:rPr>
                  <w:rPr>
                    <w:i/>
                  </w:rPr>
                  <m:t>t</m:t>
                </m:r>
              </m:sub>
            </m:sSub>
          </m:e>
          <m:sup>
            <m:r>
              <m:rPr>
                <m:nor/>
              </m:rPr>
              <w:rPr>
                <w:i/>
              </w:rPr>
              <m:t>1</m:t>
            </m:r>
            <m:r>
              <w:rPr>
                <w:rFonts w:ascii="Cambria Math" w:eastAsia="Times New Roman" w:hAnsi="Cambria Math"/>
                <w:vertAlign w:val="superscript"/>
              </w:rPr>
              <m:t>-</m:t>
            </m:r>
            <m:r>
              <m:rPr>
                <m:nor/>
              </m:rPr>
              <w:rPr>
                <w:i/>
              </w:rPr>
              <m:t>α</m:t>
            </m:r>
          </m:sup>
        </m:sSup>
      </m:oMath>
      <w:r w:rsidRPr="000506CA">
        <w:t>,</w:t>
      </w:r>
      <w:r>
        <w:t xml:space="preserve"> podemos reescribir la restricción presupuestaria del gobierno como:</w:t>
      </w:r>
    </w:p>
    <w:p w14:paraId="7D2AEAE2" w14:textId="77777777" w:rsidR="00A0416A" w:rsidRPr="000506CA" w:rsidRDefault="00000000" w:rsidP="00A0416A">
      <w:pPr>
        <w:spacing w:after="0"/>
        <w:rPr>
          <w:rFonts w:eastAsiaTheme="minorEastAsia"/>
          <w:iCs/>
          <w:lang w:val="fr-FR"/>
        </w:rPr>
      </w:pPr>
      <m:oMathPara>
        <m:oMath>
          <m:sSub>
            <m:sSubPr>
              <m:ctrlPr>
                <w:rPr>
                  <w:rFonts w:ascii="Cambria Math" w:hAnsi="Cambria Math"/>
                  <w:i/>
                  <w:iCs/>
                </w:rPr>
              </m:ctrlPr>
            </m:sSubPr>
            <m:e>
              <m:r>
                <m:rPr>
                  <m:nor/>
                </m:rPr>
                <w:rPr>
                  <w:i/>
                  <w:iCs/>
                  <w:lang w:val="fr-FR"/>
                </w:rPr>
                <m:t>g</m:t>
              </m:r>
            </m:e>
            <m:sub>
              <m:r>
                <m:rPr>
                  <m:nor/>
                </m:rPr>
                <w:rPr>
                  <w:i/>
                  <w:iCs/>
                  <w:lang w:val="fr-FR"/>
                </w:rPr>
                <m:t>t</m:t>
              </m:r>
            </m:sub>
          </m:sSub>
          <m:r>
            <w:rPr>
              <w:rFonts w:ascii="Cambria Math" w:hAnsi="Cambria Math"/>
              <w:lang w:val="fr-FR"/>
            </w:rPr>
            <m:t>=</m:t>
          </m:r>
          <m:r>
            <m:rPr>
              <m:nor/>
            </m:rPr>
            <w:rPr>
              <w:i/>
            </w:rPr>
            <m:t>τ</m:t>
          </m:r>
          <m:r>
            <w:rPr>
              <w:rFonts w:ascii="Cambria Math" w:hAnsi="Cambria Math"/>
              <w:lang w:val="fr-FR"/>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d>
                    <m:dPr>
                      <m:ctrlPr>
                        <w:rPr>
                          <w:rFonts w:ascii="Cambria Math" w:hAnsi="Cambria Math"/>
                          <w:i/>
                          <w:iCs/>
                        </w:rPr>
                      </m:ctrlPr>
                    </m:dPr>
                    <m:e>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g</m:t>
                              </m:r>
                            </m:e>
                            <m:sub>
                              <m:r>
                                <m:rPr>
                                  <m:nor/>
                                </m:rPr>
                                <w:rPr>
                                  <w:i/>
                                  <w:iCs/>
                                  <w:lang w:val="fr-FR"/>
                                </w:rPr>
                                <m:t>t</m:t>
                              </m:r>
                            </m:sub>
                          </m:sSub>
                        </m:e>
                        <m:sup>
                          <m:r>
                            <m:rPr>
                              <m:nor/>
                            </m:rPr>
                            <w:rPr>
                              <w:i/>
                              <w:lang w:val="fr-FR"/>
                            </w:rPr>
                            <m:t>1</m:t>
                          </m:r>
                          <m:r>
                            <w:rPr>
                              <w:rFonts w:ascii="Cambria Math" w:eastAsia="Times New Roman" w:hAnsi="Cambria Math"/>
                              <w:vertAlign w:val="superscript"/>
                              <w:lang w:val="fr-FR"/>
                            </w:rPr>
                            <m:t>-</m:t>
                          </m:r>
                          <m:r>
                            <m:rPr>
                              <m:nor/>
                            </m:rPr>
                            <w:rPr>
                              <w:i/>
                            </w:rPr>
                            <m:t>α</m:t>
                          </m:r>
                        </m:sup>
                      </m:sSup>
                    </m:e>
                  </m:d>
                </m:e>
              </m:groupChr>
            </m:e>
            <m:lim>
              <m:sSub>
                <m:sSubPr>
                  <m:ctrlPr>
                    <w:rPr>
                      <w:rFonts w:ascii="Cambria Math" w:hAnsi="Cambria Math"/>
                      <w:i/>
                      <w:iCs/>
                    </w:rPr>
                  </m:ctrlPr>
                </m:sSubPr>
                <m:e>
                  <m:r>
                    <m:rPr>
                      <m:nor/>
                    </m:rPr>
                    <w:rPr>
                      <w:i/>
                      <w:iCs/>
                      <w:lang w:val="fr-FR"/>
                    </w:rPr>
                    <m:t>y</m:t>
                  </m:r>
                </m:e>
                <m:sub>
                  <m:r>
                    <m:rPr>
                      <m:nor/>
                    </m:rPr>
                    <w:rPr>
                      <w:i/>
                      <w:iCs/>
                      <w:lang w:val="fr-FR"/>
                    </w:rPr>
                    <m:t>t</m:t>
                  </m:r>
                </m:sub>
              </m:sSub>
            </m:lim>
          </m:limUpp>
          <m:r>
            <w:rPr>
              <w:rFonts w:ascii="Cambria Math" w:hAnsi="Cambria Math"/>
            </w:rPr>
            <m:t>⟹</m:t>
          </m:r>
          <m:r>
            <m:rPr>
              <m:sty m:val="p"/>
            </m:rPr>
            <w:rPr>
              <w:rFonts w:ascii="Cambria Math" w:hAnsi="Cambria Math"/>
              <w:lang w:val="fr-FR"/>
            </w:rPr>
            <w:br/>
          </m:r>
        </m:oMath>
        <m:oMath>
          <m:r>
            <w:rPr>
              <w:rFonts w:ascii="Cambria Math" w:hAnsi="Cambria Math"/>
            </w:rPr>
            <m:t>⟹</m:t>
          </m:r>
          <m:f>
            <m:fPr>
              <m:type m:val="lin"/>
              <m:ctrlPr>
                <w:rPr>
                  <w:rFonts w:ascii="Cambria Math" w:hAnsi="Cambria Math"/>
                  <w:i/>
                  <w:lang w:val="fr-FR"/>
                </w:rPr>
              </m:ctrlPr>
            </m:fPr>
            <m:num>
              <m:sSub>
                <m:sSubPr>
                  <m:ctrlPr>
                    <w:rPr>
                      <w:rFonts w:ascii="Cambria Math" w:hAnsi="Cambria Math"/>
                      <w:i/>
                      <w:iCs/>
                    </w:rPr>
                  </m:ctrlPr>
                </m:sSubPr>
                <m:e>
                  <m:r>
                    <m:rPr>
                      <m:nor/>
                    </m:rPr>
                    <w:rPr>
                      <w:i/>
                      <w:iCs/>
                      <w:lang w:val="fr-FR"/>
                    </w:rPr>
                    <m:t>g</m:t>
                  </m:r>
                </m:e>
                <m:sub>
                  <m:r>
                    <m:rPr>
                      <m:nor/>
                    </m:rPr>
                    <w:rPr>
                      <w:i/>
                      <w:iCs/>
                      <w:lang w:val="fr-FR"/>
                    </w:rPr>
                    <m:t>t</m:t>
                  </m:r>
                </m:sub>
              </m:sSub>
            </m:num>
            <m:den>
              <m:sSup>
                <m:sSupPr>
                  <m:ctrlPr>
                    <w:rPr>
                      <w:rFonts w:ascii="Cambria Math" w:hAnsi="Cambria Math"/>
                      <w:i/>
                      <w:iCs/>
                      <w:lang w:val="fr-FR"/>
                    </w:rPr>
                  </m:ctrlPr>
                </m:sSupPr>
                <m:e>
                  <m:sSub>
                    <m:sSubPr>
                      <m:ctrlPr>
                        <w:rPr>
                          <w:rFonts w:ascii="Cambria Math" w:hAnsi="Cambria Math"/>
                          <w:i/>
                          <w:iCs/>
                        </w:rPr>
                      </m:ctrlPr>
                    </m:sSubPr>
                    <m:e>
                      <m:r>
                        <m:rPr>
                          <m:nor/>
                        </m:rPr>
                        <w:rPr>
                          <w:i/>
                          <w:iCs/>
                          <w:lang w:val="fr-FR"/>
                        </w:rPr>
                        <m:t>g</m:t>
                      </m:r>
                    </m:e>
                    <m:sub>
                      <m:r>
                        <m:rPr>
                          <m:nor/>
                        </m:rPr>
                        <w:rPr>
                          <w:i/>
                          <w:iCs/>
                          <w:lang w:val="fr-FR"/>
                        </w:rPr>
                        <m:t>t</m:t>
                      </m:r>
                    </m:sub>
                  </m:sSub>
                </m:e>
                <m:sup>
                  <m:r>
                    <m:rPr>
                      <m:nor/>
                    </m:rPr>
                    <w:rPr>
                      <w:i/>
                      <w:lang w:val="fr-FR"/>
                    </w:rPr>
                    <m:t>1</m:t>
                  </m:r>
                  <m:r>
                    <w:rPr>
                      <w:rFonts w:ascii="Cambria Math" w:eastAsia="Times New Roman" w:hAnsi="Cambria Math"/>
                      <w:vertAlign w:val="superscript"/>
                      <w:lang w:val="fr-FR"/>
                    </w:rPr>
                    <m:t>-</m:t>
                  </m:r>
                  <m:r>
                    <m:rPr>
                      <m:nor/>
                    </m:rPr>
                    <w:rPr>
                      <w:i/>
                    </w:rPr>
                    <m:t>α</m:t>
                  </m:r>
                </m:sup>
              </m:sSup>
            </m:den>
          </m:f>
          <m:r>
            <w:rPr>
              <w:rFonts w:ascii="Cambria Math" w:hAnsi="Cambria Math"/>
              <w:lang w:val="fr-FR"/>
            </w:rPr>
            <m:t>=</m:t>
          </m:r>
          <m:r>
            <m:rPr>
              <m:nor/>
            </m:rPr>
            <w:rPr>
              <w:i/>
            </w:rPr>
            <m:t>τ</m:t>
          </m:r>
          <m:r>
            <w:rPr>
              <w:rFonts w:ascii="Cambria Math" w:hAnsi="Cambria Math"/>
              <w:lang w:val="fr-FR"/>
            </w:rPr>
            <m:t>∙</m:t>
          </m:r>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rPr>
            <m:t>⟹</m:t>
          </m:r>
          <m:r>
            <m:rPr>
              <m:sty m:val="p"/>
            </m:rPr>
            <w:rPr>
              <w:rFonts w:ascii="Cambria Math" w:hAnsi="Cambria Math"/>
              <w:lang w:val="fr-FR"/>
            </w:rPr>
            <w:br/>
          </m:r>
        </m:oMath>
        <m:oMath>
          <m:r>
            <w:rPr>
              <w:rFonts w:ascii="Cambria Math" w:hAnsi="Cambria Math"/>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g</m:t>
                  </m:r>
                </m:e>
                <m:sub>
                  <m:r>
                    <m:rPr>
                      <m:nor/>
                    </m:rPr>
                    <w:rPr>
                      <w:i/>
                      <w:iCs/>
                      <w:lang w:val="fr-FR"/>
                    </w:rPr>
                    <m:t>t</m:t>
                  </m:r>
                </m:sub>
              </m:sSub>
            </m:e>
            <m:sup>
              <m:r>
                <m:rPr>
                  <m:nor/>
                </m:rPr>
                <w:rPr>
                  <w:i/>
                </w:rPr>
                <m:t>α</m:t>
              </m:r>
            </m:sup>
          </m:sSup>
          <m:r>
            <w:rPr>
              <w:rFonts w:ascii="Cambria Math" w:hAnsi="Cambria Math"/>
              <w:lang w:val="fr-FR"/>
            </w:rPr>
            <m:t>=</m:t>
          </m:r>
          <m:r>
            <m:rPr>
              <m:nor/>
            </m:rPr>
            <w:rPr>
              <w:i/>
            </w:rPr>
            <m:t>τ</m:t>
          </m:r>
          <m:r>
            <w:rPr>
              <w:rFonts w:ascii="Cambria Math" w:hAnsi="Cambria Math"/>
              <w:lang w:val="fr-FR"/>
            </w:rPr>
            <m:t>∙</m:t>
          </m:r>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rPr>
            <m:t>⟹</m:t>
          </m:r>
          <m:r>
            <m:rPr>
              <m:sty m:val="p"/>
            </m:rPr>
            <w:rPr>
              <w:rFonts w:ascii="Cambria Math" w:hAnsi="Cambria Math"/>
              <w:lang w:val="fr-FR"/>
            </w:rPr>
            <w:br/>
          </m:r>
        </m:oMath>
        <m:oMath>
          <m:r>
            <w:rPr>
              <w:rFonts w:ascii="Cambria Math" w:hAnsi="Cambria Math"/>
            </w:rPr>
            <m:t>⟹</m:t>
          </m:r>
          <m:sSub>
            <m:sSubPr>
              <m:ctrlPr>
                <w:rPr>
                  <w:rFonts w:ascii="Cambria Math" w:hAnsi="Cambria Math"/>
                  <w:i/>
                  <w:iCs/>
                </w:rPr>
              </m:ctrlPr>
            </m:sSubPr>
            <m:e>
              <m:r>
                <m:rPr>
                  <m:nor/>
                </m:rPr>
                <w:rPr>
                  <w:i/>
                  <w:iCs/>
                  <w:lang w:val="fr-FR"/>
                </w:rPr>
                <m:t>g</m:t>
              </m:r>
            </m:e>
            <m:sub>
              <m:r>
                <m:rPr>
                  <m:nor/>
                </m:rPr>
                <w:rPr>
                  <w:i/>
                  <w:iCs/>
                  <w:lang w:val="fr-FR"/>
                </w:rPr>
                <m:t>t</m:t>
              </m:r>
            </m:sub>
          </m:sSub>
          <m:r>
            <w:rPr>
              <w:rFonts w:ascii="Cambria Math" w:hAnsi="Cambria Math"/>
              <w:lang w:val="fr-FR"/>
            </w:rPr>
            <m:t>=</m:t>
          </m:r>
          <m:sSup>
            <m:sSupPr>
              <m:ctrlPr>
                <w:rPr>
                  <w:rFonts w:ascii="Cambria Math" w:hAnsi="Cambria Math"/>
                  <w:i/>
                </w:rPr>
              </m:ctrlPr>
            </m:sSupPr>
            <m:e>
              <m:d>
                <m:dPr>
                  <m:ctrlPr>
                    <w:rPr>
                      <w:rFonts w:ascii="Cambria Math" w:hAnsi="Cambria Math"/>
                      <w:i/>
                    </w:rPr>
                  </m:ctrlPr>
                </m:dPr>
                <m:e>
                  <m:r>
                    <m:rPr>
                      <m:nor/>
                    </m:rPr>
                    <w:rPr>
                      <w:i/>
                    </w:rPr>
                    <m:t>τ</m:t>
                  </m:r>
                  <m:r>
                    <w:rPr>
                      <w:rFonts w:ascii="Cambria Math" w:hAnsi="Cambria Math"/>
                      <w:lang w:val="fr-FR"/>
                    </w:rPr>
                    <m:t>∙</m:t>
                  </m:r>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e>
              </m:d>
            </m:e>
            <m:sup>
              <m:f>
                <m:fPr>
                  <m:type m:val="lin"/>
                  <m:ctrlPr>
                    <w:rPr>
                      <w:rFonts w:ascii="Cambria Math" w:hAnsi="Cambria Math"/>
                      <w:i/>
                    </w:rPr>
                  </m:ctrlPr>
                </m:fPr>
                <m:num>
                  <m:r>
                    <m:rPr>
                      <m:nor/>
                    </m:rPr>
                    <w:rPr>
                      <w:i/>
                      <w:lang w:val="fr-FR"/>
                    </w:rPr>
                    <m:t>1</m:t>
                  </m:r>
                </m:num>
                <m:den>
                  <m:r>
                    <m:rPr>
                      <m:nor/>
                    </m:rPr>
                    <w:rPr>
                      <w:i/>
                    </w:rPr>
                    <m:t>α</m:t>
                  </m:r>
                </m:den>
              </m:f>
            </m:sup>
          </m:sSup>
          <m:r>
            <w:rPr>
              <w:rFonts w:ascii="Cambria Math" w:hAnsi="Cambria Math"/>
            </w:rPr>
            <m:t>⟹</m:t>
          </m:r>
          <m:r>
            <m:rPr>
              <m:sty m:val="p"/>
            </m:rPr>
            <w:rPr>
              <w:rFonts w:ascii="Cambria Math" w:hAnsi="Cambria Math"/>
              <w:lang w:val="fr-FR"/>
            </w:rPr>
            <w:br/>
          </m:r>
        </m:oMath>
        <m:oMath>
          <m:r>
            <w:rPr>
              <w:rFonts w:ascii="Cambria Math" w:hAnsi="Cambria Math"/>
            </w:rPr>
            <m:t>⟹</m:t>
          </m:r>
          <m:borderBox>
            <m:borderBoxPr>
              <m:ctrlPr>
                <w:rPr>
                  <w:rFonts w:ascii="Cambria Math" w:hAnsi="Cambria Math"/>
                  <w:i/>
                  <w:iCs/>
                </w:rPr>
              </m:ctrlPr>
            </m:borderBoxPr>
            <m:e>
              <m:sSub>
                <m:sSubPr>
                  <m:ctrlPr>
                    <w:rPr>
                      <w:rFonts w:ascii="Cambria Math" w:hAnsi="Cambria Math"/>
                      <w:i/>
                      <w:iCs/>
                    </w:rPr>
                  </m:ctrlPr>
                </m:sSubPr>
                <m:e>
                  <m:r>
                    <m:rPr>
                      <m:nor/>
                    </m:rPr>
                    <w:rPr>
                      <w:i/>
                      <w:iCs/>
                      <w:lang w:val="fr-FR"/>
                    </w:rPr>
                    <m:t>g</m:t>
                  </m:r>
                </m:e>
                <m:sub>
                  <m:r>
                    <m:rPr>
                      <m:nor/>
                    </m:rPr>
                    <w:rPr>
                      <w:i/>
                      <w:iCs/>
                      <w:lang w:val="fr-FR"/>
                    </w:rPr>
                    <m:t>t</m:t>
                  </m:r>
                </m:sub>
              </m:sSub>
              <m:r>
                <w:rPr>
                  <w:rFonts w:ascii="Cambria Math" w:hAnsi="Cambria Math"/>
                  <w:lang w:val="fr-FR"/>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r>
                        <m:rPr>
                          <m:nor/>
                        </m:rPr>
                        <w:rPr>
                          <w:i/>
                          <w:lang w:val="fr-FR"/>
                        </w:rPr>
                        <m:t>1</m:t>
                      </m:r>
                    </m:num>
                    <m:den>
                      <m:r>
                        <m:rPr>
                          <m:nor/>
                        </m:rPr>
                        <w:rPr>
                          <w:i/>
                        </w:rPr>
                        <m:t>α</m:t>
                      </m:r>
                    </m:den>
                  </m:f>
                </m:sup>
              </m:sSup>
              <m:r>
                <w:rPr>
                  <w:rFonts w:ascii="Cambria Math" w:hAnsi="Cambria Math"/>
                  <w:lang w:val="fr-FR"/>
                </w:rPr>
                <m:t>∙</m:t>
              </m:r>
              <m:sSup>
                <m:sSupPr>
                  <m:ctrlPr>
                    <w:rPr>
                      <w:rFonts w:ascii="Cambria Math" w:hAnsi="Cambria Math"/>
                      <w:i/>
                      <w:iCs/>
                      <w:lang w:val="fr-FR"/>
                    </w:rPr>
                  </m:ctrlPr>
                </m:sSupPr>
                <m:e>
                  <m:r>
                    <m:rPr>
                      <m:nor/>
                    </m:rPr>
                    <w:rPr>
                      <w:i/>
                      <w:iCs/>
                      <w:lang w:val="fr-FR"/>
                    </w:rPr>
                    <m:t>A</m:t>
                  </m:r>
                </m:e>
                <m:sup>
                  <m:f>
                    <m:fPr>
                      <m:type m:val="lin"/>
                      <m:ctrlPr>
                        <w:rPr>
                          <w:rFonts w:ascii="Cambria Math" w:hAnsi="Cambria Math"/>
                          <w:i/>
                          <w:lang w:val="fr-FR"/>
                        </w:rPr>
                      </m:ctrlPr>
                    </m:fPr>
                    <m:num>
                      <m:r>
                        <m:rPr>
                          <m:nor/>
                        </m:rPr>
                        <w:rPr>
                          <w:i/>
                          <w:lang w:val="fr-FR"/>
                        </w:rPr>
                        <m:t>1</m:t>
                      </m:r>
                    </m:num>
                    <m:den>
                      <m:r>
                        <m:rPr>
                          <m:nor/>
                        </m:rPr>
                        <w:rPr>
                          <w:i/>
                        </w:rPr>
                        <m:t>α</m:t>
                      </m:r>
                    </m:den>
                  </m:f>
                </m:sup>
              </m:sSup>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borderBox>
        </m:oMath>
      </m:oMathPara>
    </w:p>
    <w:p w14:paraId="7281DF8D" w14:textId="77777777" w:rsidR="00A0416A" w:rsidRPr="00ED698B" w:rsidRDefault="00A0416A" w:rsidP="00A0416A">
      <w:pPr>
        <w:pStyle w:val="Nivel2SM"/>
        <w:keepNext/>
        <w:spacing w:after="0"/>
        <w:rPr>
          <w:spacing w:val="-2"/>
        </w:rPr>
      </w:pPr>
      <w:r w:rsidRPr="00ED698B">
        <w:rPr>
          <w:spacing w:val="-2"/>
        </w:rPr>
        <w:t xml:space="preserve">Esta expresión se puede utilizar en nuestra </w:t>
      </w:r>
      <w:r w:rsidRPr="00ED698B">
        <w:rPr>
          <w:i/>
          <w:iCs/>
          <w:spacing w:val="-2"/>
        </w:rPr>
        <w:t>ecuación de la tasa de crecimiento del capital per cápita</w:t>
      </w:r>
      <w:r w:rsidRPr="00ED698B">
        <w:rPr>
          <w:spacing w:val="-2"/>
        </w:rPr>
        <w:t>:</w:t>
      </w:r>
    </w:p>
    <w:p w14:paraId="7B6A235F" w14:textId="77777777" w:rsidR="00A0416A" w:rsidRPr="000E5443" w:rsidRDefault="00000000" w:rsidP="00A0416A">
      <w:pPr>
        <w:spacing w:after="0"/>
        <w:rPr>
          <w:rFonts w:eastAsiaTheme="minorEastAsia"/>
          <w:iCs/>
          <w:lang w:val="en-US"/>
        </w:rPr>
      </w:pPr>
      <m:oMathPara>
        <m:oMath>
          <m:borderBox>
            <m:borderBoxPr>
              <m:ctrlPr>
                <w:rPr>
                  <w:rFonts w:ascii="Cambria Math" w:eastAsiaTheme="minorEastAsia" w:hAnsi="Cambria Math"/>
                  <w:i/>
                </w:rPr>
              </m:ctrlPr>
            </m:borderBoxPr>
            <m:e>
              <m:sSub>
                <m:sSubPr>
                  <m:ctrlPr>
                    <w:rPr>
                      <w:rFonts w:ascii="Cambria Math" w:eastAsiaTheme="minorEastAsia" w:hAnsi="Cambria Math"/>
                      <w:i/>
                    </w:rPr>
                  </m:ctrlPr>
                </m:sSubPr>
                <m:e>
                  <m:r>
                    <m:rPr>
                      <m:nor/>
                    </m:rPr>
                    <w:rPr>
                      <w:rFonts w:eastAsiaTheme="minorEastAsia"/>
                      <w:i/>
                    </w:rPr>
                    <m:t>γ</m:t>
                  </m:r>
                </m:e>
                <m:sub>
                  <m:r>
                    <m:rPr>
                      <m:nor/>
                    </m:rPr>
                    <w:rPr>
                      <w:rFonts w:eastAsiaTheme="minorEastAsia"/>
                      <w:i/>
                      <w:lang w:val="en-US"/>
                    </w:rPr>
                    <m:t>k</m:t>
                  </m:r>
                </m:sub>
              </m:sSub>
              <m:r>
                <w:rPr>
                  <w:rFonts w:ascii="Cambria Math" w:eastAsiaTheme="minorEastAsia" w:hAnsi="Cambria Math"/>
                  <w:lang w:val="en-US"/>
                </w:rPr>
                <m:t>=</m:t>
              </m:r>
              <m:f>
                <m:fPr>
                  <m:ctrlPr>
                    <w:rPr>
                      <w:rFonts w:ascii="Cambria Math" w:eastAsiaTheme="minorEastAsia" w:hAnsi="Cambria Math"/>
                      <w:i/>
                      <w:iCs/>
                      <w:lang w:val="fr-FR"/>
                    </w:rPr>
                  </m:ctrlPr>
                </m:fPr>
                <m:num>
                  <m:acc>
                    <m:accPr>
                      <m:chr m:val="̇"/>
                      <m:ctrlPr>
                        <w:rPr>
                          <w:rFonts w:ascii="Cambria Math" w:hAnsi="Cambria Math"/>
                          <w:i/>
                          <w:iCs/>
                        </w:rPr>
                      </m:ctrlPr>
                    </m:accPr>
                    <m:e>
                      <m:sSub>
                        <m:sSubPr>
                          <m:ctrlPr>
                            <w:rPr>
                              <w:rFonts w:ascii="Cambria Math" w:hAnsi="Cambria Math"/>
                              <w:i/>
                              <w:iCs/>
                            </w:rPr>
                          </m:ctrlPr>
                        </m:sSubPr>
                        <m:e>
                          <m:r>
                            <m:rPr>
                              <m:nor/>
                            </m:rPr>
                            <w:rPr>
                              <w:i/>
                              <w:iCs/>
                              <w:lang w:val="en-US"/>
                            </w:rPr>
                            <m:t>k</m:t>
                          </m:r>
                        </m:e>
                        <m:sub>
                          <m:r>
                            <m:rPr>
                              <m:nor/>
                            </m:rPr>
                            <w:rPr>
                              <w:i/>
                              <w:iCs/>
                              <w:lang w:val="en-US"/>
                            </w:rPr>
                            <m:t>t</m:t>
                          </m:r>
                        </m:sub>
                      </m:sSub>
                    </m:e>
                  </m:acc>
                </m:num>
                <m:den>
                  <m:sSub>
                    <m:sSubPr>
                      <m:ctrlPr>
                        <w:rPr>
                          <w:rFonts w:ascii="Cambria Math" w:hAnsi="Cambria Math"/>
                          <w:i/>
                          <w:iCs/>
                        </w:rPr>
                      </m:ctrlPr>
                    </m:sSubPr>
                    <m:e>
                      <m:r>
                        <m:rPr>
                          <m:nor/>
                        </m:rPr>
                        <w:rPr>
                          <w:i/>
                          <w:iCs/>
                          <w:lang w:val="en-US"/>
                        </w:rPr>
                        <m:t>k</m:t>
                      </m:r>
                    </m:e>
                    <m:sub>
                      <m:r>
                        <m:rPr>
                          <m:nor/>
                        </m:rPr>
                        <w:rPr>
                          <w:i/>
                          <w:iCs/>
                          <w:lang w:val="en-US"/>
                        </w:rPr>
                        <m:t>t</m:t>
                      </m:r>
                    </m:sub>
                  </m:sSub>
                </m:den>
              </m:f>
              <m:r>
                <w:rPr>
                  <w:rFonts w:ascii="Cambria Math" w:eastAsiaTheme="minorEastAsia" w:hAnsi="Cambria Math"/>
                  <w:lang w:val="en-US"/>
                </w:rPr>
                <m:t>=</m:t>
              </m:r>
              <m:r>
                <m:rPr>
                  <m:nor/>
                </m:rPr>
                <w:rPr>
                  <w:i/>
                  <w:lang w:val="en-US"/>
                </w:rPr>
                <m:t>s</m:t>
              </m:r>
              <m:r>
                <w:rPr>
                  <w:rFonts w:ascii="Cambria Math" w:hAnsi="Cambria Math"/>
                  <w:lang w:val="en-US"/>
                </w:rPr>
                <m:t>∙</m:t>
              </m:r>
              <m:d>
                <m:dPr>
                  <m:ctrlPr>
                    <w:rPr>
                      <w:rFonts w:ascii="Cambria Math" w:hAnsi="Cambria Math"/>
                      <w:i/>
                      <w:iCs/>
                      <w:lang w:val="fr-FR"/>
                    </w:rPr>
                  </m:ctrlPr>
                </m:dPr>
                <m:e>
                  <m:r>
                    <m:rPr>
                      <m:nor/>
                    </m:rPr>
                    <w:rPr>
                      <w:i/>
                      <w:lang w:val="en-US"/>
                    </w:rPr>
                    <m:t>1</m:t>
                  </m:r>
                  <m:r>
                    <w:rPr>
                      <w:rFonts w:ascii="Cambria Math" w:hAnsi="Cambria Math"/>
                      <w:lang w:val="en-US"/>
                    </w:rPr>
                    <m:t>-</m:t>
                  </m:r>
                  <m:r>
                    <m:rPr>
                      <m:nor/>
                    </m:rPr>
                    <w:rPr>
                      <w:i/>
                    </w:rPr>
                    <m:t>τ</m:t>
                  </m:r>
                </m:e>
              </m:d>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sup>
              </m:sSup>
              <m:r>
                <w:rPr>
                  <w:rFonts w:ascii="Cambria Math" w:hAnsi="Cambria Math"/>
                  <w:lang w:val="en-US"/>
                </w:rPr>
                <m:t>-</m:t>
              </m:r>
              <m:d>
                <m:dPr>
                  <m:ctrlPr>
                    <w:rPr>
                      <w:rFonts w:ascii="Cambria Math" w:hAnsi="Cambria Math"/>
                      <w:i/>
                      <w:iCs/>
                      <w:lang w:val="fr-FR"/>
                    </w:rPr>
                  </m:ctrlPr>
                </m:dPr>
                <m:e>
                  <m:r>
                    <m:rPr>
                      <m:nor/>
                    </m:rPr>
                    <w:rPr>
                      <w:i/>
                      <w:lang w:val="fr-FR"/>
                    </w:rPr>
                    <m:t>δ</m:t>
                  </m:r>
                  <m:r>
                    <w:rPr>
                      <w:rFonts w:ascii="Cambria Math" w:hAnsi="Cambria Math"/>
                      <w:lang w:val="en-US"/>
                    </w:rPr>
                    <m:t>+</m:t>
                  </m:r>
                  <m:r>
                    <m:rPr>
                      <m:nor/>
                    </m:rPr>
                    <w:rPr>
                      <w:i/>
                      <w:iCs/>
                      <w:lang w:val="en-US"/>
                    </w:rPr>
                    <m:t>n</m:t>
                  </m:r>
                </m:e>
              </m:d>
            </m:e>
          </m:borderBox>
        </m:oMath>
      </m:oMathPara>
    </w:p>
    <w:p w14:paraId="31DBFD28" w14:textId="77777777" w:rsidR="00A0416A" w:rsidRPr="0000494E" w:rsidRDefault="00A0416A" w:rsidP="00A0416A">
      <w:pPr>
        <w:pStyle w:val="Nivel3SM"/>
        <w:rPr>
          <w:spacing w:val="-1"/>
        </w:rPr>
      </w:pPr>
      <w:r w:rsidRPr="0000494E">
        <w:rPr>
          <w:spacing w:val="-1"/>
        </w:rPr>
        <w:t xml:space="preserve">La tasa de crecimiento del capital depende de factores como tasas de ahorro, depreciación, crecimiento de la población y el nivel tecnológico. La novedad respecto a otros modelos de crecimiento es que ahora el crecimiento también depende del impuesto sobre la renta, </w:t>
      </w:r>
      <m:oMath>
        <m:r>
          <m:rPr>
            <m:nor/>
          </m:rPr>
          <w:rPr>
            <w:i/>
            <w:spacing w:val="-1"/>
          </w:rPr>
          <m:t>τ</m:t>
        </m:r>
      </m:oMath>
      <w:r w:rsidRPr="0000494E">
        <w:rPr>
          <w:spacing w:val="-1"/>
        </w:rPr>
        <w:t>. Como este impuesto es constante, la tasa de crecimiento del capital es constante.</w:t>
      </w:r>
    </w:p>
    <w:p w14:paraId="5F8BB4EE" w14:textId="77777777" w:rsidR="00A0416A" w:rsidRDefault="00A0416A" w:rsidP="00A0416A">
      <w:pPr>
        <w:pStyle w:val="Nivel3SM"/>
      </w:pPr>
      <w:r>
        <w:t xml:space="preserve">Si tomamos logaritmos y derivamos en la restricción presupuestaria del gobierno en términos per cápita, </w:t>
      </w:r>
      <m:oMath>
        <m:sSub>
          <m:sSubPr>
            <m:ctrlPr>
              <w:rPr>
                <w:rFonts w:ascii="Cambria Math" w:hAnsi="Cambria Math"/>
                <w:i/>
                <w:iCs/>
              </w:rPr>
            </m:ctrlPr>
          </m:sSubPr>
          <m:e>
            <m:r>
              <m:rPr>
                <m:nor/>
              </m:rPr>
              <w:rPr>
                <w:i/>
                <w:iCs/>
              </w:rPr>
              <m:t>g</m:t>
            </m:r>
          </m:e>
          <m:sub>
            <m:r>
              <m:rPr>
                <m:nor/>
              </m:rPr>
              <w:rPr>
                <w:i/>
                <w:iCs/>
              </w:rPr>
              <m:t>t</m:t>
            </m:r>
          </m:sub>
        </m:sSub>
        <m:r>
          <w:rPr>
            <w:rFonts w:ascii="Cambria Math" w:hAnsi="Cambria Math"/>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p>
          <m:sSupPr>
            <m:ctrlPr>
              <w:rPr>
                <w:rFonts w:ascii="Cambria Math" w:hAnsi="Cambria Math"/>
                <w:i/>
                <w:iCs/>
                <w:lang w:val="fr-FR"/>
              </w:rPr>
            </m:ctrlPr>
          </m:sSupPr>
          <m:e>
            <m:r>
              <m:rPr>
                <m:nor/>
              </m:rPr>
              <w:rPr>
                <w:i/>
                <w:iCs/>
              </w:rPr>
              <m:t>A</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b>
          <m:sSubPr>
            <m:ctrlPr>
              <w:rPr>
                <w:rFonts w:ascii="Cambria Math" w:hAnsi="Cambria Math"/>
                <w:i/>
                <w:iCs/>
              </w:rPr>
            </m:ctrlPr>
          </m:sSubPr>
          <m:e>
            <m:r>
              <m:rPr>
                <m:nor/>
              </m:rPr>
              <w:rPr>
                <w:i/>
                <w:iCs/>
              </w:rPr>
              <m:t>k</m:t>
            </m:r>
          </m:e>
          <m:sub>
            <m:r>
              <m:rPr>
                <m:nor/>
              </m:rPr>
              <w:rPr>
                <w:i/>
                <w:iCs/>
              </w:rPr>
              <m:t>t</m:t>
            </m:r>
          </m:sub>
        </m:sSub>
      </m:oMath>
      <w:r>
        <w:t xml:space="preserve">, vemos que la tasa de crecimiento del gasto público es idéntica a la tasa de crecimiento del capital, </w:t>
      </w:r>
      <m:oMath>
        <m:sSub>
          <m:sSubPr>
            <m:ctrlPr>
              <w:rPr>
                <w:rFonts w:ascii="Cambria Math" w:hAnsi="Cambria Math"/>
                <w:i/>
              </w:rPr>
            </m:ctrlPr>
          </m:sSubPr>
          <m:e>
            <m:r>
              <m:rPr>
                <m:nor/>
              </m:rPr>
              <w:rPr>
                <w:i/>
              </w:rPr>
              <m:t>γ</m:t>
            </m:r>
          </m:e>
          <m:sub>
            <m:r>
              <m:rPr>
                <m:nor/>
              </m:rPr>
              <w:rPr>
                <w:i/>
              </w:rPr>
              <m:t>g</m:t>
            </m:r>
          </m:sub>
        </m:sSub>
        <m:r>
          <w:rPr>
            <w:rFonts w:ascii="Cambria Math" w:hAnsi="Cambria Math"/>
          </w:rPr>
          <m:t>=</m:t>
        </m:r>
        <m:sSub>
          <m:sSubPr>
            <m:ctrlPr>
              <w:rPr>
                <w:rFonts w:ascii="Cambria Math" w:hAnsi="Cambria Math"/>
                <w:i/>
              </w:rPr>
            </m:ctrlPr>
          </m:sSubPr>
          <m:e>
            <m:r>
              <m:rPr>
                <m:nor/>
              </m:rPr>
              <w:rPr>
                <w:i/>
              </w:rPr>
              <m:t>γ</m:t>
            </m:r>
          </m:e>
          <m:sub>
            <m:r>
              <m:rPr>
                <m:nor/>
              </m:rPr>
              <w:rPr>
                <w:i/>
              </w:rPr>
              <m:t>k</m:t>
            </m:r>
          </m:sub>
        </m:sSub>
      </m:oMath>
      <w:r>
        <w:t>:</w:t>
      </w:r>
    </w:p>
    <w:p w14:paraId="0DA900A8" w14:textId="77777777" w:rsidR="00A0416A" w:rsidRPr="00A833CD" w:rsidRDefault="00000000" w:rsidP="00A0416A">
      <w:pPr>
        <w:pStyle w:val="Nivel3SM"/>
        <w:numPr>
          <w:ilvl w:val="0"/>
          <w:numId w:val="0"/>
        </w:numPr>
        <w:ind w:left="963"/>
        <w:rPr>
          <w:lang w:val="fr-FR"/>
        </w:rPr>
      </w:pPr>
      <m:oMathPara>
        <m:oMath>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acc>
                        <m:accPr>
                          <m:chr m:val="̇"/>
                          <m:ctrlPr>
                            <w:rPr>
                              <w:rFonts w:ascii="Cambria Math" w:hAnsi="Cambria Math"/>
                              <w:i/>
                              <w:iCs/>
                            </w:rPr>
                          </m:ctrlPr>
                        </m:accPr>
                        <m:e>
                          <m:sSub>
                            <m:sSubPr>
                              <m:ctrlPr>
                                <w:rPr>
                                  <w:rFonts w:ascii="Cambria Math" w:hAnsi="Cambria Math"/>
                                  <w:i/>
                                  <w:iCs/>
                                </w:rPr>
                              </m:ctrlPr>
                            </m:sSubPr>
                            <m:e>
                              <m:r>
                                <m:rPr>
                                  <m:nor/>
                                </m:rPr>
                                <w:rPr>
                                  <w:i/>
                                  <w:iCs/>
                                  <w:lang w:val="fr-FR"/>
                                </w:rPr>
                                <m:t>g</m:t>
                              </m:r>
                            </m:e>
                            <m:sub>
                              <m:r>
                                <m:rPr>
                                  <m:nor/>
                                </m:rPr>
                                <w:rPr>
                                  <w:i/>
                                  <w:iCs/>
                                  <w:lang w:val="fr-FR"/>
                                </w:rPr>
                                <m:t>t</m:t>
                              </m:r>
                            </m:sub>
                          </m:sSub>
                        </m:e>
                      </m:acc>
                    </m:num>
                    <m:den>
                      <m:sSub>
                        <m:sSubPr>
                          <m:ctrlPr>
                            <w:rPr>
                              <w:rFonts w:ascii="Cambria Math" w:hAnsi="Cambria Math"/>
                              <w:i/>
                              <w:iCs/>
                            </w:rPr>
                          </m:ctrlPr>
                        </m:sSubPr>
                        <m:e>
                          <m:r>
                            <m:rPr>
                              <m:nor/>
                            </m:rPr>
                            <w:rPr>
                              <w:i/>
                              <w:iCs/>
                              <w:lang w:val="fr-FR"/>
                            </w:rPr>
                            <m:t>g</m:t>
                          </m:r>
                        </m:e>
                        <m:sub>
                          <m:r>
                            <m:rPr>
                              <m:nor/>
                            </m:rPr>
                            <w:rPr>
                              <w:i/>
                              <w:iCs/>
                              <w:lang w:val="fr-FR"/>
                            </w:rPr>
                            <m:t>t</m:t>
                          </m:r>
                        </m:sub>
                      </m:sSub>
                    </m:den>
                  </m:f>
                </m:e>
              </m:groupChr>
            </m:e>
            <m:lim>
              <m:sSub>
                <m:sSubPr>
                  <m:ctrlPr>
                    <w:rPr>
                      <w:rFonts w:ascii="Cambria Math" w:hAnsi="Cambria Math"/>
                      <w:i/>
                    </w:rPr>
                  </m:ctrlPr>
                </m:sSubPr>
                <m:e>
                  <m:r>
                    <m:rPr>
                      <m:nor/>
                    </m:rPr>
                    <w:rPr>
                      <w:i/>
                    </w:rPr>
                    <m:t>γ</m:t>
                  </m:r>
                </m:e>
                <m:sub>
                  <m:r>
                    <m:rPr>
                      <m:nor/>
                    </m:rPr>
                    <w:rPr>
                      <w:i/>
                      <w:lang w:val="fr-FR"/>
                    </w:rPr>
                    <m:t>g</m:t>
                  </m:r>
                </m:sub>
              </m:sSub>
            </m:lim>
          </m:limLow>
          <m:r>
            <w:rPr>
              <w:rFonts w:ascii="Cambria Math" w:hAnsi="Cambria Math"/>
              <w:lang w:val="fr-FR"/>
            </w:rPr>
            <m:t>=</m:t>
          </m:r>
          <m:f>
            <m:fPr>
              <m:ctrlPr>
                <w:rPr>
                  <w:rFonts w:ascii="Cambria Math" w:hAnsi="Cambria Math"/>
                  <w:i/>
                  <w:iCs/>
                </w:rPr>
              </m:ctrlPr>
            </m:fPr>
            <m:num>
              <m:r>
                <m:rPr>
                  <m:nor/>
                </m:rPr>
                <w:rPr>
                  <w:i/>
                  <w:lang w:val="fr-FR"/>
                </w:rPr>
                <m:t>1</m:t>
              </m:r>
            </m:num>
            <m:den>
              <m:r>
                <m:rPr>
                  <m:nor/>
                </m:rPr>
                <w:rPr>
                  <w:i/>
                </w:rPr>
                <m:t>α</m:t>
              </m:r>
            </m:den>
          </m:f>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acc>
                        <m:accPr>
                          <m:chr m:val="̇"/>
                          <m:ctrlPr>
                            <w:rPr>
                              <w:rFonts w:ascii="Cambria Math" w:hAnsi="Cambria Math"/>
                              <w:i/>
                              <w:iCs/>
                            </w:rPr>
                          </m:ctrlPr>
                        </m:accPr>
                        <m:e>
                          <m:r>
                            <m:rPr>
                              <m:nor/>
                            </m:rPr>
                            <w:rPr>
                              <w:i/>
                            </w:rPr>
                            <m:t>τ</m:t>
                          </m:r>
                        </m:e>
                      </m:acc>
                    </m:num>
                    <m:den>
                      <m:r>
                        <m:rPr>
                          <m:nor/>
                        </m:rPr>
                        <w:rPr>
                          <w:i/>
                        </w:rPr>
                        <m:t>τ</m:t>
                      </m:r>
                    </m:den>
                  </m:f>
                </m:e>
              </m:groupChr>
            </m:e>
            <m:lim>
              <m:r>
                <w:rPr>
                  <w:rFonts w:ascii="Cambria Math" w:hAnsi="Cambria Math"/>
                  <w:lang w:val="fr-FR"/>
                </w:rPr>
                <m:t>=</m:t>
              </m:r>
              <m:r>
                <m:rPr>
                  <m:nor/>
                </m:rPr>
                <w:rPr>
                  <w:i/>
                  <w:lang w:val="fr-FR"/>
                </w:rPr>
                <m:t>0</m:t>
              </m:r>
            </m:lim>
          </m:limLow>
          <m:r>
            <w:rPr>
              <w:rFonts w:ascii="Cambria Math" w:hAnsi="Cambria Math"/>
              <w:lang w:val="fr-FR"/>
            </w:rPr>
            <m:t>+</m:t>
          </m:r>
          <m:f>
            <m:fPr>
              <m:ctrlPr>
                <w:rPr>
                  <w:rFonts w:ascii="Cambria Math" w:hAnsi="Cambria Math"/>
                  <w:i/>
                  <w:iCs/>
                </w:rPr>
              </m:ctrlPr>
            </m:fPr>
            <m:num>
              <m:r>
                <m:rPr>
                  <m:nor/>
                </m:rPr>
                <w:rPr>
                  <w:i/>
                  <w:lang w:val="fr-FR"/>
                </w:rPr>
                <m:t>1</m:t>
              </m:r>
            </m:num>
            <m:den>
              <m:r>
                <m:rPr>
                  <m:nor/>
                </m:rPr>
                <w:rPr>
                  <w:i/>
                </w:rPr>
                <m:t>α</m:t>
              </m:r>
            </m:den>
          </m:f>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acc>
                        <m:accPr>
                          <m:chr m:val="̇"/>
                          <m:ctrlPr>
                            <w:rPr>
                              <w:rFonts w:ascii="Cambria Math" w:hAnsi="Cambria Math"/>
                              <w:i/>
                              <w:iCs/>
                            </w:rPr>
                          </m:ctrlPr>
                        </m:accPr>
                        <m:e>
                          <m:r>
                            <m:rPr>
                              <m:nor/>
                            </m:rPr>
                            <w:rPr>
                              <w:i/>
                              <w:lang w:val="fr-FR"/>
                            </w:rPr>
                            <m:t>A</m:t>
                          </m:r>
                        </m:e>
                      </m:acc>
                    </m:num>
                    <m:den>
                      <m:r>
                        <m:rPr>
                          <m:nor/>
                        </m:rPr>
                        <w:rPr>
                          <w:i/>
                          <w:lang w:val="fr-FR"/>
                        </w:rPr>
                        <m:t>A</m:t>
                      </m:r>
                    </m:den>
                  </m:f>
                </m:e>
              </m:groupChr>
            </m:e>
            <m:lim>
              <m:r>
                <w:rPr>
                  <w:rFonts w:ascii="Cambria Math" w:hAnsi="Cambria Math"/>
                  <w:lang w:val="fr-FR"/>
                </w:rPr>
                <m:t>=</m:t>
              </m:r>
              <m:r>
                <m:rPr>
                  <m:nor/>
                </m:rPr>
                <w:rPr>
                  <w:i/>
                  <w:lang w:val="fr-FR"/>
                </w:rPr>
                <m:t>0</m:t>
              </m:r>
            </m:lim>
          </m:limLow>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acc>
                        <m:accPr>
                          <m:chr m:val="̇"/>
                          <m:ctrlPr>
                            <w:rPr>
                              <w:rFonts w:ascii="Cambria Math" w:hAnsi="Cambria Math"/>
                              <w:i/>
                              <w:iCs/>
                            </w:rPr>
                          </m:ctrlPr>
                        </m:accPr>
                        <m:e>
                          <m:sSub>
                            <m:sSubPr>
                              <m:ctrlPr>
                                <w:rPr>
                                  <w:rFonts w:ascii="Cambria Math" w:hAnsi="Cambria Math"/>
                                  <w:i/>
                                  <w:iCs/>
                                </w:rPr>
                              </m:ctrlPr>
                            </m:sSubPr>
                            <m:e>
                              <m:r>
                                <m:rPr>
                                  <m:nor/>
                                </m:rPr>
                                <w:rPr>
                                  <w:i/>
                                  <w:iCs/>
                                  <w:lang w:val="fr-FR"/>
                                </w:rPr>
                                <m:t>k</m:t>
                              </m:r>
                            </m:e>
                            <m:sub>
                              <m:r>
                                <m:rPr>
                                  <m:nor/>
                                </m:rPr>
                                <w:rPr>
                                  <w:i/>
                                  <w:iCs/>
                                  <w:lang w:val="fr-FR"/>
                                </w:rPr>
                                <m:t>t</m:t>
                              </m:r>
                            </m:sub>
                          </m:sSub>
                        </m:e>
                      </m:acc>
                    </m:num>
                    <m:den>
                      <m:sSub>
                        <m:sSubPr>
                          <m:ctrlPr>
                            <w:rPr>
                              <w:rFonts w:ascii="Cambria Math" w:hAnsi="Cambria Math"/>
                              <w:i/>
                              <w:iCs/>
                            </w:rPr>
                          </m:ctrlPr>
                        </m:sSubPr>
                        <m:e>
                          <m:r>
                            <m:rPr>
                              <m:nor/>
                            </m:rPr>
                            <w:rPr>
                              <w:i/>
                              <w:iCs/>
                              <w:lang w:val="fr-FR"/>
                            </w:rPr>
                            <m:t>k</m:t>
                          </m:r>
                        </m:e>
                        <m:sub>
                          <m:r>
                            <m:rPr>
                              <m:nor/>
                            </m:rPr>
                            <w:rPr>
                              <w:i/>
                              <w:iCs/>
                              <w:lang w:val="fr-FR"/>
                            </w:rPr>
                            <m:t>t</m:t>
                          </m:r>
                        </m:sub>
                      </m:sSub>
                    </m:den>
                  </m:f>
                </m:e>
              </m:groupChr>
            </m:e>
            <m:lim>
              <m:sSub>
                <m:sSubPr>
                  <m:ctrlPr>
                    <w:rPr>
                      <w:rFonts w:ascii="Cambria Math" w:hAnsi="Cambria Math"/>
                      <w:i/>
                    </w:rPr>
                  </m:ctrlPr>
                </m:sSubPr>
                <m:e>
                  <m:r>
                    <m:rPr>
                      <m:nor/>
                    </m:rPr>
                    <w:rPr>
                      <w:i/>
                    </w:rPr>
                    <m:t>γ</m:t>
                  </m:r>
                </m:e>
                <m:sub>
                  <m:r>
                    <m:rPr>
                      <m:nor/>
                    </m:rPr>
                    <w:rPr>
                      <w:i/>
                      <w:iCs/>
                      <w:lang w:val="fr-FR"/>
                    </w:rPr>
                    <m:t>k</m:t>
                  </m:r>
                </m:sub>
              </m:sSub>
            </m:lim>
          </m:limLow>
          <m:r>
            <w:rPr>
              <w:rFonts w:ascii="Cambria Math" w:hAnsi="Cambria Math"/>
            </w:rPr>
            <m:t>⟹</m:t>
          </m:r>
          <m:sSub>
            <m:sSubPr>
              <m:ctrlPr>
                <w:rPr>
                  <w:rFonts w:ascii="Cambria Math" w:hAnsi="Cambria Math"/>
                  <w:i/>
                </w:rPr>
              </m:ctrlPr>
            </m:sSubPr>
            <m:e>
              <m:r>
                <m:rPr>
                  <m:nor/>
                </m:rPr>
                <w:rPr>
                  <w:i/>
                </w:rPr>
                <m:t>γ</m:t>
              </m:r>
            </m:e>
            <m:sub>
              <m:r>
                <m:rPr>
                  <m:nor/>
                </m:rPr>
                <w:rPr>
                  <w:i/>
                  <w:lang w:val="fr-FR"/>
                </w:rPr>
                <m:t>g</m:t>
              </m:r>
            </m:sub>
          </m:sSub>
          <m:r>
            <w:rPr>
              <w:rFonts w:ascii="Cambria Math" w:hAnsi="Cambria Math"/>
              <w:lang w:val="fr-FR"/>
            </w:rPr>
            <m:t>=</m:t>
          </m:r>
          <m:sSub>
            <m:sSubPr>
              <m:ctrlPr>
                <w:rPr>
                  <w:rFonts w:ascii="Cambria Math" w:hAnsi="Cambria Math"/>
                  <w:i/>
                </w:rPr>
              </m:ctrlPr>
            </m:sSubPr>
            <m:e>
              <m:r>
                <m:rPr>
                  <m:nor/>
                </m:rPr>
                <w:rPr>
                  <w:i/>
                </w:rPr>
                <m:t>γ</m:t>
              </m:r>
            </m:e>
            <m:sub>
              <m:r>
                <m:rPr>
                  <m:nor/>
                </m:rPr>
                <w:rPr>
                  <w:i/>
                  <w:lang w:val="fr-FR"/>
                </w:rPr>
                <m:t>k</m:t>
              </m:r>
            </m:sub>
          </m:sSub>
        </m:oMath>
      </m:oMathPara>
    </w:p>
    <w:p w14:paraId="278AD99E" w14:textId="77777777" w:rsidR="00A0416A" w:rsidRPr="0000494E" w:rsidRDefault="00A0416A" w:rsidP="00A0416A">
      <w:pPr>
        <w:pStyle w:val="Nivel3SM"/>
        <w:keepNext/>
      </w:pPr>
      <w:r>
        <w:lastRenderedPageBreak/>
        <w:t xml:space="preserve">Si tomamos logaritmos y derivadas de la función de producción respecto al tiempo, obtenemos </w:t>
      </w:r>
      <m:oMath>
        <m:sSub>
          <m:sSubPr>
            <m:ctrlPr>
              <w:rPr>
                <w:rFonts w:ascii="Cambria Math" w:hAnsi="Cambria Math"/>
                <w:i/>
              </w:rPr>
            </m:ctrlPr>
          </m:sSubPr>
          <m:e>
            <m:r>
              <m:rPr>
                <m:nor/>
              </m:rPr>
              <w:rPr>
                <w:i/>
              </w:rPr>
              <m:t>γ</m:t>
            </m:r>
          </m:e>
          <m:sub>
            <m:r>
              <m:rPr>
                <m:nor/>
              </m:rPr>
              <w:rPr>
                <w:i/>
              </w:rPr>
              <m:t>y</m:t>
            </m:r>
          </m:sub>
        </m:sSub>
        <m:r>
          <w:rPr>
            <w:rFonts w:ascii="Cambria Math" w:hAnsi="Cambria Math"/>
          </w:rPr>
          <m:t>=</m:t>
        </m:r>
        <m:r>
          <m:rPr>
            <m:nor/>
          </m:rPr>
          <w:rPr>
            <w:i/>
          </w:rPr>
          <m:t>α</m:t>
        </m:r>
        <m:r>
          <w:rPr>
            <w:rFonts w:ascii="Cambria Math" w:hAnsi="Cambria Math"/>
          </w:rPr>
          <m:t>∙</m:t>
        </m:r>
        <m:sSub>
          <m:sSubPr>
            <m:ctrlPr>
              <w:rPr>
                <w:rFonts w:ascii="Cambria Math" w:hAnsi="Cambria Math"/>
                <w:i/>
              </w:rPr>
            </m:ctrlPr>
          </m:sSubPr>
          <m:e>
            <m:r>
              <m:rPr>
                <m:nor/>
              </m:rPr>
              <w:rPr>
                <w:i/>
              </w:rPr>
              <m:t>γ</m:t>
            </m:r>
          </m:e>
          <m:sub>
            <m:r>
              <m:rPr>
                <m:nor/>
              </m:rPr>
              <w:rPr>
                <w:i/>
              </w:rPr>
              <m:t>k</m:t>
            </m:r>
          </m:sub>
        </m:sSub>
        <m:r>
          <w:rPr>
            <w:rFonts w:ascii="Cambria Math" w:hAnsi="Cambria Math"/>
          </w:rPr>
          <m:t>+</m:t>
        </m:r>
        <m:d>
          <m:dPr>
            <m:ctrlPr>
              <w:rPr>
                <w:rFonts w:ascii="Cambria Math" w:hAnsi="Cambria Math"/>
                <w:i/>
              </w:rPr>
            </m:ctrlPr>
          </m:dPr>
          <m:e>
            <m:r>
              <m:rPr>
                <m:nor/>
              </m:rPr>
              <w:rPr>
                <w:i/>
              </w:rPr>
              <m:t>1</m:t>
            </m:r>
            <m:r>
              <w:rPr>
                <w:rFonts w:ascii="Cambria Math" w:eastAsia="Times New Roman" w:hAnsi="Cambria Math"/>
                <w:vertAlign w:val="superscript"/>
              </w:rPr>
              <m:t>-</m:t>
            </m:r>
            <m:r>
              <m:rPr>
                <m:nor/>
              </m:rPr>
              <w:rPr>
                <w:i/>
              </w:rPr>
              <m:t>α</m:t>
            </m:r>
          </m:e>
        </m:d>
        <m:r>
          <w:rPr>
            <w:rFonts w:ascii="Cambria Math" w:hAnsi="Cambria Math"/>
          </w:rPr>
          <m:t>∙</m:t>
        </m:r>
        <m:sSub>
          <m:sSubPr>
            <m:ctrlPr>
              <w:rPr>
                <w:rFonts w:ascii="Cambria Math" w:hAnsi="Cambria Math"/>
                <w:i/>
              </w:rPr>
            </m:ctrlPr>
          </m:sSubPr>
          <m:e>
            <m:r>
              <m:rPr>
                <m:nor/>
              </m:rPr>
              <w:rPr>
                <w:i/>
              </w:rPr>
              <m:t>γ</m:t>
            </m:r>
          </m:e>
          <m:sub>
            <m:r>
              <m:rPr>
                <m:nor/>
              </m:rPr>
              <w:rPr>
                <w:i/>
              </w:rPr>
              <m:t>g</m:t>
            </m:r>
          </m:sub>
        </m:sSub>
        <m:r>
          <w:rPr>
            <w:rFonts w:ascii="Cambria Math" w:hAnsi="Cambria Math"/>
          </w:rPr>
          <m:t>⟹</m:t>
        </m:r>
        <m:sSub>
          <m:sSubPr>
            <m:ctrlPr>
              <w:rPr>
                <w:rFonts w:ascii="Cambria Math" w:hAnsi="Cambria Math"/>
                <w:i/>
              </w:rPr>
            </m:ctrlPr>
          </m:sSubPr>
          <m:e>
            <m:r>
              <m:rPr>
                <m:nor/>
              </m:rPr>
              <w:rPr>
                <w:i/>
              </w:rPr>
              <m:t>γ</m:t>
            </m:r>
          </m:e>
          <m:sub>
            <m:r>
              <m:rPr>
                <m:nor/>
              </m:rPr>
              <w:rPr>
                <w:i/>
              </w:rPr>
              <m:t>y</m:t>
            </m:r>
          </m:sub>
        </m:sSub>
        <m:r>
          <w:rPr>
            <w:rFonts w:ascii="Cambria Math" w:hAnsi="Cambria Math"/>
          </w:rPr>
          <m:t>=</m:t>
        </m:r>
        <m:sSub>
          <m:sSubPr>
            <m:ctrlPr>
              <w:rPr>
                <w:rFonts w:ascii="Cambria Math" w:hAnsi="Cambria Math"/>
                <w:i/>
              </w:rPr>
            </m:ctrlPr>
          </m:sSubPr>
          <m:e>
            <m:r>
              <m:rPr>
                <m:nor/>
              </m:rPr>
              <w:rPr>
                <w:i/>
              </w:rPr>
              <m:t>γ</m:t>
            </m:r>
          </m:e>
          <m:sub>
            <m:r>
              <m:rPr>
                <m:nor/>
              </m:rPr>
              <w:rPr>
                <w:i/>
              </w:rPr>
              <m:t>k</m:t>
            </m:r>
          </m:sub>
        </m:sSub>
        <m:r>
          <w:rPr>
            <w:rFonts w:ascii="Cambria Math" w:hAnsi="Cambria Math"/>
          </w:rPr>
          <m:t>=</m:t>
        </m:r>
        <m:sSub>
          <m:sSubPr>
            <m:ctrlPr>
              <w:rPr>
                <w:rFonts w:ascii="Cambria Math" w:hAnsi="Cambria Math"/>
                <w:i/>
              </w:rPr>
            </m:ctrlPr>
          </m:sSubPr>
          <m:e>
            <m:r>
              <m:rPr>
                <m:nor/>
              </m:rPr>
              <w:rPr>
                <w:i/>
              </w:rPr>
              <m:t>γ</m:t>
            </m:r>
          </m:e>
          <m:sub>
            <m:r>
              <m:rPr>
                <m:nor/>
              </m:rPr>
              <w:rPr>
                <w:i/>
              </w:rPr>
              <m:t>g</m:t>
            </m:r>
          </m:sub>
        </m:sSub>
      </m:oMath>
      <w:r>
        <w:t xml:space="preserve">. Finalmente, como el consumo es proporcional al PIB per cápita </w:t>
      </w:r>
      <m:oMath>
        <m:sSub>
          <m:sSubPr>
            <m:ctrlPr>
              <w:rPr>
                <w:rFonts w:ascii="Cambria Math" w:hAnsi="Cambria Math"/>
                <w:i/>
              </w:rPr>
            </m:ctrlPr>
          </m:sSubPr>
          <m:e>
            <m:r>
              <m:rPr>
                <m:nor/>
              </m:rPr>
              <w:rPr>
                <w:i/>
              </w:rPr>
              <m:t>γ</m:t>
            </m:r>
          </m:e>
          <m:sub>
            <m:r>
              <m:rPr>
                <m:nor/>
              </m:rPr>
              <w:rPr>
                <w:i/>
              </w:rPr>
              <m:t>c</m:t>
            </m:r>
          </m:sub>
        </m:sSub>
        <m:r>
          <w:rPr>
            <w:rFonts w:ascii="Cambria Math" w:hAnsi="Cambria Math"/>
          </w:rPr>
          <m:t>=</m:t>
        </m:r>
        <m:sSub>
          <m:sSubPr>
            <m:ctrlPr>
              <w:rPr>
                <w:rFonts w:ascii="Cambria Math" w:hAnsi="Cambria Math"/>
                <w:i/>
              </w:rPr>
            </m:ctrlPr>
          </m:sSubPr>
          <m:e>
            <m:r>
              <m:rPr>
                <m:nor/>
              </m:rPr>
              <w:rPr>
                <w:i/>
              </w:rPr>
              <m:t>γ</m:t>
            </m:r>
          </m:e>
          <m:sub>
            <m:r>
              <m:rPr>
                <m:nor/>
              </m:rPr>
              <w:rPr>
                <w:i/>
              </w:rPr>
              <m:t>y</m:t>
            </m:r>
          </m:sub>
        </m:sSub>
      </m:oMath>
      <w:r>
        <w:t>. En resumen:</w:t>
      </w:r>
    </w:p>
    <w:p w14:paraId="14CB38CD" w14:textId="77777777" w:rsidR="00A0416A" w:rsidRPr="0000494E" w:rsidRDefault="00000000" w:rsidP="00A0416A">
      <w:pPr>
        <w:keepNext/>
        <w:spacing w:after="0"/>
        <w:ind w:left="963" w:hanging="198"/>
        <w:rPr>
          <w:rFonts w:eastAsiaTheme="minorEastAsia"/>
        </w:rPr>
      </w:pPr>
      <m:oMathPara>
        <m:oMath>
          <m:borderBox>
            <m:borderBoxPr>
              <m:ctrlPr>
                <w:rPr>
                  <w:rFonts w:ascii="Cambria Math" w:eastAsiaTheme="minorEastAsia" w:hAnsi="Cambria Math"/>
                  <w:i/>
                </w:rPr>
              </m:ctrlPr>
            </m:borderBoxPr>
            <m:e>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c</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y</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k</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g</m:t>
                  </m:r>
                </m:sub>
              </m:sSub>
              <m:r>
                <w:rPr>
                  <w:rFonts w:ascii="Cambria Math" w:eastAsiaTheme="minorEastAsia" w:hAnsi="Cambria Math"/>
                </w:rPr>
                <m:t>=</m:t>
              </m:r>
              <m:r>
                <m:rPr>
                  <m:nor/>
                </m:rPr>
                <w:rPr>
                  <w:i/>
                </w:rPr>
                <m:t>s</m:t>
              </m:r>
              <m:r>
                <w:rPr>
                  <w:rFonts w:ascii="Cambria Math" w:hAnsi="Cambria Math"/>
                </w:rPr>
                <m:t>∙</m:t>
              </m:r>
              <m:d>
                <m:dPr>
                  <m:ctrlPr>
                    <w:rPr>
                      <w:rFonts w:ascii="Cambria Math" w:hAnsi="Cambria Math"/>
                      <w:i/>
                      <w:iCs/>
                      <w:color w:val="C00000"/>
                      <w:lang w:val="fr-FR"/>
                    </w:rPr>
                  </m:ctrlPr>
                </m:dPr>
                <m:e>
                  <m:r>
                    <m:rPr>
                      <m:nor/>
                    </m:rPr>
                    <w:rPr>
                      <w:i/>
                      <w:color w:val="C00000"/>
                    </w:rPr>
                    <m:t>1</m:t>
                  </m:r>
                  <m:r>
                    <w:rPr>
                      <w:rFonts w:ascii="Cambria Math" w:hAnsi="Cambria Math"/>
                      <w:color w:val="C00000"/>
                    </w:rPr>
                    <m:t>-</m:t>
                  </m:r>
                  <m:r>
                    <m:rPr>
                      <m:nor/>
                    </m:rPr>
                    <w:rPr>
                      <w:i/>
                      <w:color w:val="C00000"/>
                    </w:rPr>
                    <m:t>τ</m:t>
                  </m:r>
                </m:e>
              </m:d>
              <m:r>
                <w:rPr>
                  <w:rFonts w:ascii="Cambria Math" w:hAnsi="Cambria Math"/>
                </w:rPr>
                <m:t>∙</m:t>
              </m:r>
              <m:sSup>
                <m:sSupPr>
                  <m:ctrlPr>
                    <w:rPr>
                      <w:rFonts w:ascii="Cambria Math" w:hAnsi="Cambria Math"/>
                      <w:i/>
                      <w:iCs/>
                      <w:lang w:val="fr-FR"/>
                    </w:rPr>
                  </m:ctrlPr>
                </m:sSupPr>
                <m:e>
                  <m:r>
                    <m:rPr>
                      <m:nor/>
                    </m:rPr>
                    <w:rPr>
                      <w:i/>
                      <w:iCs/>
                    </w:rPr>
                    <m:t>A</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p>
                <m:sSupPr>
                  <m:ctrlPr>
                    <w:rPr>
                      <w:rFonts w:ascii="Cambria Math" w:hAnsi="Cambria Math"/>
                      <w:i/>
                      <w:iCs/>
                      <w:color w:val="00B050"/>
                      <w:lang w:val="fr-FR"/>
                    </w:rPr>
                  </m:ctrlPr>
                </m:sSupPr>
                <m:e>
                  <m:r>
                    <m:rPr>
                      <m:nor/>
                    </m:rPr>
                    <w:rPr>
                      <w:i/>
                      <w:color w:val="00B050"/>
                    </w:rPr>
                    <m:t>τ</m:t>
                  </m:r>
                </m:e>
                <m:sup>
                  <m:f>
                    <m:fPr>
                      <m:type m:val="lin"/>
                      <m:ctrlPr>
                        <w:rPr>
                          <w:rFonts w:ascii="Cambria Math" w:hAnsi="Cambria Math"/>
                          <w:i/>
                          <w:color w:val="00B050"/>
                          <w:lang w:val="fr-FR"/>
                        </w:rPr>
                      </m:ctrlPr>
                    </m:fPr>
                    <m:num>
                      <m:d>
                        <m:dPr>
                          <m:ctrlPr>
                            <w:rPr>
                              <w:rFonts w:ascii="Cambria Math" w:hAnsi="Cambria Math"/>
                              <w:i/>
                              <w:color w:val="00B050"/>
                              <w:lang w:val="fr-FR"/>
                            </w:rPr>
                          </m:ctrlPr>
                        </m:dPr>
                        <m:e>
                          <m:r>
                            <m:rPr>
                              <m:nor/>
                            </m:rPr>
                            <w:rPr>
                              <w:i/>
                              <w:color w:val="00B050"/>
                            </w:rPr>
                            <m:t>1</m:t>
                          </m:r>
                          <m:r>
                            <w:rPr>
                              <w:rFonts w:ascii="Cambria Math" w:eastAsia="Times New Roman" w:hAnsi="Cambria Math"/>
                              <w:color w:val="00B050"/>
                              <w:vertAlign w:val="superscript"/>
                            </w:rPr>
                            <m:t>-</m:t>
                          </m:r>
                          <m:r>
                            <m:rPr>
                              <m:nor/>
                            </m:rPr>
                            <w:rPr>
                              <w:i/>
                              <w:color w:val="00B050"/>
                            </w:rPr>
                            <m:t>α</m:t>
                          </m:r>
                        </m:e>
                      </m:d>
                    </m:num>
                    <m:den>
                      <m:r>
                        <m:rPr>
                          <m:nor/>
                        </m:rPr>
                        <w:rPr>
                          <w:i/>
                          <w:color w:val="00B050"/>
                        </w:rPr>
                        <m:t>α</m:t>
                      </m:r>
                    </m:den>
                  </m:f>
                </m:sup>
              </m:sSup>
              <m:r>
                <w:rPr>
                  <w:rFonts w:ascii="Cambria Math" w:hAnsi="Cambria Math"/>
                </w:rPr>
                <m:t>-</m:t>
              </m:r>
              <m:d>
                <m:dPr>
                  <m:ctrlPr>
                    <w:rPr>
                      <w:rFonts w:ascii="Cambria Math" w:hAnsi="Cambria Math"/>
                      <w:i/>
                      <w:iCs/>
                      <w:lang w:val="fr-FR"/>
                    </w:rPr>
                  </m:ctrlPr>
                </m:dPr>
                <m:e>
                  <m:r>
                    <m:rPr>
                      <m:nor/>
                    </m:rPr>
                    <w:rPr>
                      <w:i/>
                      <w:lang w:val="fr-FR"/>
                    </w:rPr>
                    <m:t>δ</m:t>
                  </m:r>
                  <m:r>
                    <w:rPr>
                      <w:rFonts w:ascii="Cambria Math" w:hAnsi="Cambria Math"/>
                    </w:rPr>
                    <m:t>+</m:t>
                  </m:r>
                  <m:r>
                    <m:rPr>
                      <m:nor/>
                    </m:rPr>
                    <w:rPr>
                      <w:i/>
                      <w:iCs/>
                    </w:rPr>
                    <m:t>n</m:t>
                  </m:r>
                </m:e>
              </m:d>
            </m:e>
          </m:borderBox>
        </m:oMath>
      </m:oMathPara>
    </w:p>
    <w:p w14:paraId="534EBF01" w14:textId="77777777" w:rsidR="00A0416A" w:rsidRDefault="00A0416A" w:rsidP="00A0416A">
      <w:pPr>
        <w:pStyle w:val="Nivel4"/>
        <w:keepNext/>
        <w:ind w:left="1474"/>
      </w:pPr>
      <w:r>
        <w:t>Las variables agregadas crecen todas a la misma tasa que las variables per cápita más la tasa de crecimiento de la población. Es decir,</w:t>
      </w:r>
    </w:p>
    <w:p w14:paraId="0F025B7D" w14:textId="77777777" w:rsidR="00A0416A" w:rsidRDefault="00000000" w:rsidP="00A0416A">
      <w:pPr>
        <w:pStyle w:val="Nivel4"/>
        <w:numPr>
          <w:ilvl w:val="0"/>
          <w:numId w:val="0"/>
        </w:numPr>
        <w:ind w:left="1474"/>
      </w:pPr>
      <m:oMathPara>
        <m:oMath>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C</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Y</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K</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G</m:t>
              </m:r>
            </m:sub>
          </m:sSub>
          <m:r>
            <w:rPr>
              <w:rFonts w:ascii="Cambria Math" w:eastAsiaTheme="minorEastAsia" w:hAnsi="Cambria Math"/>
            </w:rPr>
            <m:t>=</m:t>
          </m:r>
          <m:r>
            <m:rPr>
              <m:nor/>
            </m:rPr>
            <w:rPr>
              <w:i/>
            </w:rPr>
            <m:t>s</m:t>
          </m:r>
          <m:r>
            <w:rPr>
              <w:rFonts w:ascii="Cambria Math" w:hAnsi="Cambria Math"/>
            </w:rPr>
            <m:t>∙</m:t>
          </m:r>
          <m:d>
            <m:dPr>
              <m:ctrlPr>
                <w:rPr>
                  <w:rFonts w:ascii="Cambria Math" w:hAnsi="Cambria Math"/>
                  <w:i/>
                  <w:iCs/>
                  <w:lang w:val="fr-FR"/>
                </w:rPr>
              </m:ctrlPr>
            </m:dPr>
            <m:e>
              <m:r>
                <m:rPr>
                  <m:nor/>
                </m:rPr>
                <w:rPr>
                  <w:i/>
                </w:rPr>
                <m:t>1</m:t>
              </m:r>
              <m:r>
                <w:rPr>
                  <w:rFonts w:ascii="Cambria Math" w:hAnsi="Cambria Math"/>
                </w:rPr>
                <m:t>-</m:t>
              </m:r>
              <m:r>
                <m:rPr>
                  <m:nor/>
                </m:rPr>
                <w:rPr>
                  <w:i/>
                </w:rPr>
                <m:t>τ</m:t>
              </m:r>
            </m:e>
          </m:d>
          <m:r>
            <w:rPr>
              <w:rFonts w:ascii="Cambria Math" w:hAnsi="Cambria Math"/>
            </w:rPr>
            <m:t>∙</m:t>
          </m:r>
          <m:sSup>
            <m:sSupPr>
              <m:ctrlPr>
                <w:rPr>
                  <w:rFonts w:ascii="Cambria Math" w:hAnsi="Cambria Math"/>
                  <w:i/>
                  <w:iCs/>
                  <w:lang w:val="fr-FR"/>
                </w:rPr>
              </m:ctrlPr>
            </m:sSupPr>
            <m:e>
              <m:r>
                <m:rPr>
                  <m:nor/>
                </m:rPr>
                <w:rPr>
                  <w:i/>
                  <w:iCs/>
                </w:rPr>
                <m:t>A</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rPr>
                        <m:t>1</m:t>
                      </m:r>
                      <m:r>
                        <w:rPr>
                          <w:rFonts w:ascii="Cambria Math" w:eastAsia="Times New Roman" w:hAnsi="Cambria Math"/>
                          <w:vertAlign w:val="superscript"/>
                        </w:rPr>
                        <m:t>-</m:t>
                      </m:r>
                      <m:r>
                        <m:rPr>
                          <m:nor/>
                        </m:rPr>
                        <w:rPr>
                          <w:i/>
                        </w:rPr>
                        <m:t>α</m:t>
                      </m:r>
                    </m:e>
                  </m:d>
                </m:num>
                <m:den>
                  <m:r>
                    <m:rPr>
                      <m:nor/>
                    </m:rPr>
                    <w:rPr>
                      <w:i/>
                    </w:rPr>
                    <m:t>α</m:t>
                  </m:r>
                </m:den>
              </m:f>
            </m:sup>
          </m:sSup>
          <m:r>
            <w:rPr>
              <w:rFonts w:ascii="Cambria Math" w:hAnsi="Cambria Math"/>
            </w:rPr>
            <m:t>-</m:t>
          </m:r>
          <m:r>
            <m:rPr>
              <m:nor/>
            </m:rPr>
            <w:rPr>
              <w:i/>
              <w:lang w:val="fr-FR"/>
            </w:rPr>
            <m:t>δ</m:t>
          </m:r>
        </m:oMath>
      </m:oMathPara>
    </w:p>
    <w:p w14:paraId="687C80E2" w14:textId="77777777" w:rsidR="00A0416A" w:rsidRDefault="00A0416A" w:rsidP="00A0416A">
      <w:pPr>
        <w:pStyle w:val="Nivel4"/>
        <w:keepNext/>
        <w:ind w:left="1474"/>
      </w:pPr>
      <w:r>
        <w:t>Vemos, pues, que en este modelo, todas las tasas de crecimiento son constantes en todo momento (i.e. no hay transición hacia el estado estacionario), propiedad que comparten con el modelo </w:t>
      </w:r>
      <w:r>
        <w:rPr>
          <w:i/>
        </w:rPr>
        <w:t>AK</w:t>
      </w:r>
      <w:r>
        <w:t>.</w:t>
      </w:r>
    </w:p>
    <w:p w14:paraId="0B6939F8" w14:textId="77777777" w:rsidR="00A0416A" w:rsidRPr="0000494E" w:rsidRDefault="00A0416A" w:rsidP="00A0416A">
      <w:pPr>
        <w:pStyle w:val="Nivel5"/>
        <w:keepNext/>
        <w:ind w:left="1871"/>
        <w:rPr>
          <w:spacing w:val="-2"/>
        </w:rPr>
      </w:pPr>
      <w:r w:rsidRPr="0000494E">
        <w:rPr>
          <w:spacing w:val="-2"/>
        </w:rPr>
        <w:t xml:space="preserve">La explicación de esta similitud es que </w:t>
      </w:r>
      <w:r w:rsidRPr="003959C8">
        <w:rPr>
          <w:spacing w:val="-2"/>
          <w:u w:val="single"/>
        </w:rPr>
        <w:t>este modelo es, en realidad, el modelo</w:t>
      </w:r>
      <w:r>
        <w:rPr>
          <w:spacing w:val="-2"/>
          <w:u w:val="single"/>
        </w:rPr>
        <w:t> </w:t>
      </w:r>
      <w:r w:rsidRPr="003959C8">
        <w:rPr>
          <w:i/>
          <w:spacing w:val="-2"/>
          <w:u w:val="single"/>
        </w:rPr>
        <w:t>AK</w:t>
      </w:r>
      <w:r w:rsidRPr="0000494E">
        <w:rPr>
          <w:spacing w:val="-2"/>
        </w:rPr>
        <w:t>. Esto se puede ver en que si partimos de la ecuación de producción</w:t>
      </w:r>
      <w:r>
        <w:rPr>
          <w:spacing w:val="-2"/>
        </w:rPr>
        <w:t xml:space="preserve"> per cápita</w:t>
      </w:r>
      <w:r w:rsidRPr="0000494E">
        <w:rPr>
          <w:spacing w:val="-2"/>
        </w:rPr>
        <w:t xml:space="preserve"> y sustituimos haciendo uso de la restricción presupuestaria del gobierno obtenemos lo siguiente:</w:t>
      </w:r>
    </w:p>
    <w:p w14:paraId="5EE186BB" w14:textId="77777777" w:rsidR="00A0416A" w:rsidRDefault="00000000" w:rsidP="00A0416A">
      <w:pPr>
        <w:ind w:left="1871" w:hanging="170"/>
        <w:rPr>
          <w:rFonts w:eastAsiaTheme="minorEastAsia"/>
          <w:iCs/>
        </w:rPr>
      </w:pPr>
      <m:oMathPara>
        <m:oMath>
          <m:sSub>
            <m:sSubPr>
              <m:ctrlPr>
                <w:rPr>
                  <w:rFonts w:ascii="Cambria Math" w:hAnsi="Cambria Math"/>
                  <w:i/>
                  <w:iCs/>
                </w:rPr>
              </m:ctrlPr>
            </m:sSubPr>
            <m:e>
              <m:r>
                <m:rPr>
                  <m:nor/>
                </m:rPr>
                <w:rPr>
                  <w:i/>
                  <w:iCs/>
                </w:rPr>
                <m:t>y</m:t>
              </m:r>
            </m:e>
            <m:sub>
              <m:r>
                <m:rPr>
                  <m:nor/>
                </m:rPr>
                <w:rPr>
                  <w:i/>
                  <w:iCs/>
                </w:rPr>
                <m:t>t</m:t>
              </m:r>
            </m:sub>
          </m:sSub>
          <m:r>
            <w:rPr>
              <w:rFonts w:ascii="Cambria Math" w:hAnsi="Cambria Math"/>
            </w:rPr>
            <m:t>=</m:t>
          </m:r>
          <m:r>
            <m:rPr>
              <m:nor/>
            </m:rPr>
            <w:rPr>
              <w:i/>
              <w:iCs/>
            </w:rPr>
            <m:t>A</m:t>
          </m:r>
          <m:r>
            <w:rPr>
              <w:rFonts w:ascii="Cambria Math" w:hAnsi="Cambria Math"/>
            </w:rPr>
            <m:t>∙</m:t>
          </m:r>
          <m:sSup>
            <m:sSupPr>
              <m:ctrlPr>
                <w:rPr>
                  <w:rFonts w:ascii="Cambria Math" w:hAnsi="Cambria Math"/>
                  <w:i/>
                  <w:iCs/>
                  <w:lang w:val="fr-FR"/>
                </w:rPr>
              </m:ctrlPr>
            </m:sSupPr>
            <m:e>
              <m:sSub>
                <m:sSubPr>
                  <m:ctrlPr>
                    <w:rPr>
                      <w:rFonts w:ascii="Cambria Math" w:hAnsi="Cambria Math"/>
                      <w:i/>
                      <w:iCs/>
                    </w:rPr>
                  </m:ctrlPr>
                </m:sSubPr>
                <m:e>
                  <m:r>
                    <m:rPr>
                      <m:nor/>
                    </m:rPr>
                    <w:rPr>
                      <w:i/>
                      <w:iCs/>
                    </w:rPr>
                    <m:t>k</m:t>
                  </m:r>
                </m:e>
                <m:sub>
                  <m:r>
                    <m:rPr>
                      <m:nor/>
                    </m:rPr>
                    <w:rPr>
                      <w:i/>
                      <w:iCs/>
                    </w:rPr>
                    <m:t>t</m:t>
                  </m:r>
                </m:sub>
              </m:sSub>
            </m:e>
            <m:sup>
              <m:r>
                <m:rPr>
                  <m:nor/>
                </m:rPr>
                <w:rPr>
                  <w:i/>
                </w:rPr>
                <m:t>α</m:t>
              </m:r>
            </m:sup>
          </m:sSup>
          <m:r>
            <w:rPr>
              <w:rFonts w:ascii="Cambria Math" w:hAnsi="Cambria Math"/>
            </w:rPr>
            <m:t>∙</m:t>
          </m:r>
          <m:sSup>
            <m:sSupPr>
              <m:ctrlPr>
                <w:rPr>
                  <w:rFonts w:ascii="Cambria Math" w:hAnsi="Cambria Math"/>
                  <w:i/>
                  <w:iCs/>
                  <w:lang w:val="fr-FR"/>
                </w:rPr>
              </m:ctrlPr>
            </m:sSupPr>
            <m:e>
              <m:limLow>
                <m:limLowPr>
                  <m:ctrlPr>
                    <w:rPr>
                      <w:rFonts w:ascii="Cambria Math" w:hAnsi="Cambria Math"/>
                      <w:i/>
                      <w:iCs/>
                    </w:rPr>
                  </m:ctrlPr>
                </m:limLowPr>
                <m:e>
                  <m:groupChr>
                    <m:groupChrPr>
                      <m:ctrlPr>
                        <w:rPr>
                          <w:rFonts w:ascii="Cambria Math" w:hAnsi="Cambria Math"/>
                          <w:i/>
                          <w:iCs/>
                        </w:rPr>
                      </m:ctrlPr>
                    </m:groupChrPr>
                    <m:e>
                      <m:d>
                        <m:dPr>
                          <m:ctrlPr>
                            <w:rPr>
                              <w:rFonts w:ascii="Cambria Math" w:hAnsi="Cambria Math"/>
                              <w:i/>
                              <w:iCs/>
                            </w:rPr>
                          </m:ctrlPr>
                        </m:dPr>
                        <m:e>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p>
                            <m:sSupPr>
                              <m:ctrlPr>
                                <w:rPr>
                                  <w:rFonts w:ascii="Cambria Math" w:hAnsi="Cambria Math"/>
                                  <w:i/>
                                  <w:iCs/>
                                  <w:lang w:val="fr-FR"/>
                                </w:rPr>
                              </m:ctrlPr>
                            </m:sSupPr>
                            <m:e>
                              <m:r>
                                <m:rPr>
                                  <m:nor/>
                                </m:rPr>
                                <w:rPr>
                                  <w:i/>
                                  <w:iCs/>
                                </w:rPr>
                                <m:t>A</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b>
                            <m:sSubPr>
                              <m:ctrlPr>
                                <w:rPr>
                                  <w:rFonts w:ascii="Cambria Math" w:hAnsi="Cambria Math"/>
                                  <w:i/>
                                  <w:iCs/>
                                </w:rPr>
                              </m:ctrlPr>
                            </m:sSubPr>
                            <m:e>
                              <m:r>
                                <m:rPr>
                                  <m:nor/>
                                </m:rPr>
                                <w:rPr>
                                  <w:i/>
                                  <w:iCs/>
                                </w:rPr>
                                <m:t>k</m:t>
                              </m:r>
                            </m:e>
                            <m:sub>
                              <m:r>
                                <m:rPr>
                                  <m:nor/>
                                </m:rPr>
                                <w:rPr>
                                  <w:i/>
                                  <w:iCs/>
                                </w:rPr>
                                <m:t>t</m:t>
                              </m:r>
                            </m:sub>
                          </m:sSub>
                        </m:e>
                      </m:d>
                    </m:e>
                  </m:groupChr>
                </m:e>
                <m:lim>
                  <m:sSub>
                    <m:sSubPr>
                      <m:ctrlPr>
                        <w:rPr>
                          <w:rFonts w:ascii="Cambria Math" w:hAnsi="Cambria Math"/>
                          <w:i/>
                          <w:iCs/>
                        </w:rPr>
                      </m:ctrlPr>
                    </m:sSubPr>
                    <m:e>
                      <m:r>
                        <m:rPr>
                          <m:nor/>
                        </m:rPr>
                        <w:rPr>
                          <w:i/>
                          <w:iCs/>
                        </w:rPr>
                        <m:t>g</m:t>
                      </m:r>
                    </m:e>
                    <m:sub>
                      <m:r>
                        <m:rPr>
                          <m:nor/>
                        </m:rPr>
                        <w:rPr>
                          <w:i/>
                          <w:iCs/>
                        </w:rPr>
                        <m:t>t</m:t>
                      </m:r>
                    </m:sub>
                  </m:sSub>
                </m:lim>
              </m:limLow>
            </m:e>
            <m:sup>
              <m:r>
                <m:rPr>
                  <m:nor/>
                </m:rPr>
                <w:rPr>
                  <w:i/>
                </w:rPr>
                <m:t>1</m:t>
              </m:r>
              <m:r>
                <w:rPr>
                  <w:rFonts w:ascii="Cambria Math" w:eastAsia="Times New Roman" w:hAnsi="Cambria Math"/>
                  <w:vertAlign w:val="superscript"/>
                </w:rPr>
                <m:t>-</m:t>
              </m:r>
              <m:r>
                <m:rPr>
                  <m:nor/>
                </m:rPr>
                <w:rPr>
                  <w:i/>
                </w:rPr>
                <m:t>α</m:t>
              </m:r>
            </m:sup>
          </m:sSup>
          <m:r>
            <w:rPr>
              <w:rFonts w:ascii="Cambria Math" w:hAnsi="Cambria Math"/>
            </w:rPr>
            <m:t>=</m:t>
          </m:r>
          <m:limLow>
            <m:limLowPr>
              <m:ctrlPr>
                <w:rPr>
                  <w:rFonts w:ascii="Cambria Math" w:hAnsi="Cambria Math"/>
                  <w:i/>
                  <w:iCs/>
                  <w:lang w:val="fr-FR"/>
                </w:rPr>
              </m:ctrlPr>
            </m:limLowPr>
            <m:e>
              <m:groupChr>
                <m:groupChrPr>
                  <m:ctrlPr>
                    <w:rPr>
                      <w:rFonts w:ascii="Cambria Math" w:hAnsi="Cambria Math"/>
                      <w:i/>
                      <w:iCs/>
                      <w:lang w:val="fr-FR"/>
                    </w:rPr>
                  </m:ctrlPr>
                </m:groupChrPr>
                <m:e>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rPr>
                                <m:t>1</m:t>
                              </m:r>
                              <m:r>
                                <w:rPr>
                                  <w:rFonts w:ascii="Cambria Math" w:eastAsia="Times New Roman" w:hAnsi="Cambria Math"/>
                                  <w:vertAlign w:val="superscript"/>
                                </w:rPr>
                                <m:t>-</m:t>
                              </m:r>
                              <m:r>
                                <m:rPr>
                                  <m:nor/>
                                </m:rPr>
                                <w:rPr>
                                  <w:i/>
                                </w:rPr>
                                <m:t>α</m:t>
                              </m:r>
                            </m:e>
                          </m:d>
                        </m:num>
                        <m:den>
                          <m:r>
                            <m:rPr>
                              <m:nor/>
                            </m:rPr>
                            <w:rPr>
                              <w:i/>
                            </w:rPr>
                            <m:t>α</m:t>
                          </m:r>
                        </m:den>
                      </m:f>
                    </m:sup>
                  </m:sSup>
                  <m:r>
                    <w:rPr>
                      <w:rFonts w:ascii="Cambria Math" w:hAnsi="Cambria Math"/>
                    </w:rPr>
                    <m:t>∙</m:t>
                  </m:r>
                  <m:sSup>
                    <m:sSupPr>
                      <m:ctrlPr>
                        <w:rPr>
                          <w:rFonts w:ascii="Cambria Math" w:hAnsi="Cambria Math"/>
                          <w:i/>
                          <w:iCs/>
                          <w:lang w:val="fr-FR"/>
                        </w:rPr>
                      </m:ctrlPr>
                    </m:sSupPr>
                    <m:e>
                      <m:r>
                        <m:rPr>
                          <m:nor/>
                        </m:rPr>
                        <w:rPr>
                          <w:i/>
                          <w:iCs/>
                        </w:rPr>
                        <m:t>A</m:t>
                      </m:r>
                    </m:e>
                    <m:sup>
                      <m:f>
                        <m:fPr>
                          <m:type m:val="lin"/>
                          <m:ctrlPr>
                            <w:rPr>
                              <w:rFonts w:ascii="Cambria Math" w:hAnsi="Cambria Math"/>
                              <w:i/>
                              <w:lang w:val="fr-FR"/>
                            </w:rPr>
                          </m:ctrlPr>
                        </m:fPr>
                        <m:num>
                          <m:r>
                            <m:rPr>
                              <m:nor/>
                            </m:rPr>
                            <w:rPr>
                              <w:i/>
                            </w:rPr>
                            <m:t>1</m:t>
                          </m:r>
                        </m:num>
                        <m:den>
                          <m:r>
                            <m:rPr>
                              <m:nor/>
                            </m:rPr>
                            <w:rPr>
                              <w:i/>
                            </w:rPr>
                            <m:t>α</m:t>
                          </m:r>
                        </m:den>
                      </m:f>
                    </m:sup>
                  </m:sSup>
                </m:e>
              </m:groupChr>
            </m:e>
            <m:lim>
              <m:acc>
                <m:accPr>
                  <m:chr m:val="̅"/>
                  <m:ctrlPr>
                    <w:rPr>
                      <w:rFonts w:ascii="Cambria Math" w:hAnsi="Cambria Math"/>
                      <w:i/>
                      <w:iCs/>
                      <w:lang w:val="fr-FR"/>
                    </w:rPr>
                  </m:ctrlPr>
                </m:accPr>
                <m:e>
                  <m:r>
                    <m:rPr>
                      <m:nor/>
                    </m:rPr>
                    <w:rPr>
                      <w:i/>
                      <w:iCs/>
                    </w:rPr>
                    <m:t>A</m:t>
                  </m:r>
                </m:e>
              </m:acc>
            </m:lim>
          </m:limLow>
          <m:r>
            <w:rPr>
              <w:rFonts w:ascii="Cambria Math" w:hAnsi="Cambria Math"/>
            </w:rPr>
            <m:t>∙</m:t>
          </m:r>
          <m:sSub>
            <m:sSubPr>
              <m:ctrlPr>
                <w:rPr>
                  <w:rFonts w:ascii="Cambria Math" w:hAnsi="Cambria Math"/>
                  <w:i/>
                  <w:iCs/>
                </w:rPr>
              </m:ctrlPr>
            </m:sSubPr>
            <m:e>
              <m:r>
                <m:rPr>
                  <m:nor/>
                </m:rPr>
                <w:rPr>
                  <w:i/>
                  <w:iCs/>
                </w:rPr>
                <m:t>k</m:t>
              </m:r>
            </m:e>
            <m:sub>
              <m:r>
                <m:rPr>
                  <m:nor/>
                </m:rPr>
                <w:rPr>
                  <w:i/>
                  <w:iCs/>
                </w:rPr>
                <m:t>t</m:t>
              </m:r>
            </m:sub>
          </m:sSub>
          <m:r>
            <m:rPr>
              <m:sty m:val="p"/>
            </m:rPr>
            <w:rPr>
              <w:rFonts w:ascii="Cambria Math" w:eastAsiaTheme="minorEastAsia" w:hAnsi="Cambria Math"/>
            </w:rPr>
            <w:br/>
          </m:r>
        </m:oMath>
      </m:oMathPara>
      <w:r w:rsidR="00A0416A" w:rsidRPr="000506CA">
        <w:rPr>
          <w:rFonts w:eastAsiaTheme="minorEastAsia"/>
          <w:iCs/>
        </w:rPr>
        <w:t xml:space="preserve">donde </w:t>
      </w:r>
      <m:oMath>
        <m:acc>
          <m:accPr>
            <m:chr m:val="̅"/>
            <m:ctrlPr>
              <w:rPr>
                <w:rFonts w:ascii="Cambria Math" w:hAnsi="Cambria Math"/>
                <w:i/>
                <w:iCs/>
                <w:lang w:val="fr-FR"/>
              </w:rPr>
            </m:ctrlPr>
          </m:accPr>
          <m:e>
            <m:r>
              <m:rPr>
                <m:nor/>
              </m:rPr>
              <w:rPr>
                <w:i/>
                <w:iCs/>
              </w:rPr>
              <m:t>A</m:t>
            </m:r>
          </m:e>
        </m:acc>
      </m:oMath>
      <w:r w:rsidR="00A0416A" w:rsidRPr="000506CA">
        <w:rPr>
          <w:rFonts w:eastAsiaTheme="minorEastAsia"/>
          <w:iCs/>
        </w:rPr>
        <w:t xml:space="preserve"> es u</w:t>
      </w:r>
      <w:r w:rsidR="00A0416A">
        <w:rPr>
          <w:rFonts w:eastAsiaTheme="minorEastAsia"/>
          <w:iCs/>
        </w:rPr>
        <w:t>n</w:t>
      </w:r>
      <w:r w:rsidR="00A0416A" w:rsidRPr="000506CA">
        <w:rPr>
          <w:rFonts w:eastAsiaTheme="minorEastAsia"/>
          <w:iCs/>
        </w:rPr>
        <w:t>a co</w:t>
      </w:r>
      <w:r w:rsidR="00A0416A">
        <w:rPr>
          <w:rFonts w:eastAsiaTheme="minorEastAsia"/>
          <w:iCs/>
        </w:rPr>
        <w:t>nstante. Es decir, una vez incorporada la restricción presupuestaria en la función de producción, esta se convierte en una función lineal en el capital, en una función </w:t>
      </w:r>
      <w:r w:rsidR="00A0416A">
        <w:rPr>
          <w:rFonts w:eastAsiaTheme="minorEastAsia"/>
          <w:i/>
        </w:rPr>
        <w:t>AK</w:t>
      </w:r>
      <w:r w:rsidR="00A0416A">
        <w:rPr>
          <w:rFonts w:eastAsiaTheme="minorEastAsia"/>
          <w:iCs/>
        </w:rPr>
        <w:t>.</w:t>
      </w:r>
    </w:p>
    <w:p w14:paraId="0CFA9126" w14:textId="77777777" w:rsidR="00A0416A" w:rsidRPr="00616BCB" w:rsidRDefault="00A0416A" w:rsidP="00A0416A">
      <w:pPr>
        <w:pStyle w:val="Nivel1SM"/>
        <w:keepNext/>
        <w:spacing w:after="0"/>
      </w:pPr>
      <w:r>
        <w:t>Vamos como la expresión que determina el crecimiento de las variables del modelo en términos per cápita es la siguiente:</w:t>
      </w:r>
    </w:p>
    <w:p w14:paraId="039F10C9" w14:textId="77777777" w:rsidR="00A0416A" w:rsidRPr="00616BCB" w:rsidRDefault="00000000" w:rsidP="00A0416A">
      <w:pPr>
        <w:keepNext/>
        <w:spacing w:after="0"/>
        <w:rPr>
          <w:rFonts w:eastAsiaTheme="minorEastAsia"/>
        </w:rPr>
      </w:pPr>
      <m:oMathPara>
        <m:oMath>
          <m:borderBox>
            <m:borderBoxPr>
              <m:ctrlPr>
                <w:rPr>
                  <w:rFonts w:ascii="Cambria Math" w:eastAsiaTheme="minorEastAsia" w:hAnsi="Cambria Math"/>
                  <w:i/>
                </w:rPr>
              </m:ctrlPr>
            </m:borderBoxPr>
            <m:e>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c</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y</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k</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g</m:t>
                  </m:r>
                </m:sub>
              </m:sSub>
              <m:r>
                <w:rPr>
                  <w:rFonts w:ascii="Cambria Math" w:eastAsiaTheme="minorEastAsia" w:hAnsi="Cambria Math"/>
                </w:rPr>
                <m:t>=</m:t>
              </m:r>
              <m:r>
                <m:rPr>
                  <m:nor/>
                </m:rPr>
                <w:rPr>
                  <w:i/>
                </w:rPr>
                <m:t>s</m:t>
              </m:r>
              <m:r>
                <w:rPr>
                  <w:rFonts w:ascii="Cambria Math" w:hAnsi="Cambria Math"/>
                </w:rPr>
                <m:t>∙</m:t>
              </m:r>
              <m:d>
                <m:dPr>
                  <m:ctrlPr>
                    <w:rPr>
                      <w:rFonts w:ascii="Cambria Math" w:hAnsi="Cambria Math"/>
                      <w:i/>
                      <w:iCs/>
                      <w:color w:val="C00000"/>
                      <w:lang w:val="fr-FR"/>
                    </w:rPr>
                  </m:ctrlPr>
                </m:dPr>
                <m:e>
                  <m:r>
                    <m:rPr>
                      <m:nor/>
                    </m:rPr>
                    <w:rPr>
                      <w:i/>
                      <w:color w:val="C00000"/>
                    </w:rPr>
                    <m:t>1</m:t>
                  </m:r>
                  <m:r>
                    <w:rPr>
                      <w:rFonts w:ascii="Cambria Math" w:hAnsi="Cambria Math"/>
                      <w:color w:val="C00000"/>
                    </w:rPr>
                    <m:t>-</m:t>
                  </m:r>
                  <m:r>
                    <m:rPr>
                      <m:nor/>
                    </m:rPr>
                    <w:rPr>
                      <w:i/>
                      <w:color w:val="C00000"/>
                    </w:rPr>
                    <m:t>τ</m:t>
                  </m:r>
                </m:e>
              </m:d>
              <m:r>
                <w:rPr>
                  <w:rFonts w:ascii="Cambria Math" w:hAnsi="Cambria Math"/>
                </w:rPr>
                <m:t>∙</m:t>
              </m:r>
              <m:sSup>
                <m:sSupPr>
                  <m:ctrlPr>
                    <w:rPr>
                      <w:rFonts w:ascii="Cambria Math" w:hAnsi="Cambria Math"/>
                      <w:i/>
                      <w:iCs/>
                      <w:lang w:val="fr-FR"/>
                    </w:rPr>
                  </m:ctrlPr>
                </m:sSupPr>
                <m:e>
                  <m:r>
                    <m:rPr>
                      <m:nor/>
                    </m:rPr>
                    <w:rPr>
                      <w:i/>
                      <w:iCs/>
                    </w:rPr>
                    <m:t>A</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p>
                <m:sSupPr>
                  <m:ctrlPr>
                    <w:rPr>
                      <w:rFonts w:ascii="Cambria Math" w:hAnsi="Cambria Math"/>
                      <w:i/>
                      <w:iCs/>
                      <w:color w:val="00B050"/>
                      <w:lang w:val="fr-FR"/>
                    </w:rPr>
                  </m:ctrlPr>
                </m:sSupPr>
                <m:e>
                  <m:r>
                    <m:rPr>
                      <m:nor/>
                    </m:rPr>
                    <w:rPr>
                      <w:i/>
                      <w:color w:val="00B050"/>
                    </w:rPr>
                    <m:t>τ</m:t>
                  </m:r>
                </m:e>
                <m:sup>
                  <m:f>
                    <m:fPr>
                      <m:type m:val="lin"/>
                      <m:ctrlPr>
                        <w:rPr>
                          <w:rFonts w:ascii="Cambria Math" w:hAnsi="Cambria Math"/>
                          <w:i/>
                          <w:color w:val="00B050"/>
                          <w:lang w:val="fr-FR"/>
                        </w:rPr>
                      </m:ctrlPr>
                    </m:fPr>
                    <m:num>
                      <m:d>
                        <m:dPr>
                          <m:ctrlPr>
                            <w:rPr>
                              <w:rFonts w:ascii="Cambria Math" w:hAnsi="Cambria Math"/>
                              <w:i/>
                              <w:color w:val="00B050"/>
                              <w:lang w:val="fr-FR"/>
                            </w:rPr>
                          </m:ctrlPr>
                        </m:dPr>
                        <m:e>
                          <m:r>
                            <m:rPr>
                              <m:nor/>
                            </m:rPr>
                            <w:rPr>
                              <w:i/>
                              <w:color w:val="00B050"/>
                            </w:rPr>
                            <m:t>1</m:t>
                          </m:r>
                          <m:r>
                            <w:rPr>
                              <w:rFonts w:ascii="Cambria Math" w:eastAsia="Times New Roman" w:hAnsi="Cambria Math"/>
                              <w:color w:val="00B050"/>
                              <w:vertAlign w:val="superscript"/>
                            </w:rPr>
                            <m:t>-</m:t>
                          </m:r>
                          <m:r>
                            <m:rPr>
                              <m:nor/>
                            </m:rPr>
                            <w:rPr>
                              <w:i/>
                              <w:color w:val="00B050"/>
                            </w:rPr>
                            <m:t>α</m:t>
                          </m:r>
                        </m:e>
                      </m:d>
                    </m:num>
                    <m:den>
                      <m:r>
                        <m:rPr>
                          <m:nor/>
                        </m:rPr>
                        <w:rPr>
                          <w:i/>
                          <w:color w:val="00B050"/>
                        </w:rPr>
                        <m:t>α</m:t>
                      </m:r>
                    </m:den>
                  </m:f>
                </m:sup>
              </m:sSup>
              <m:r>
                <w:rPr>
                  <w:rFonts w:ascii="Cambria Math" w:hAnsi="Cambria Math"/>
                </w:rPr>
                <m:t>-</m:t>
              </m:r>
              <m:d>
                <m:dPr>
                  <m:ctrlPr>
                    <w:rPr>
                      <w:rFonts w:ascii="Cambria Math" w:hAnsi="Cambria Math"/>
                      <w:i/>
                      <w:iCs/>
                      <w:lang w:val="fr-FR"/>
                    </w:rPr>
                  </m:ctrlPr>
                </m:dPr>
                <m:e>
                  <m:r>
                    <m:rPr>
                      <m:nor/>
                    </m:rPr>
                    <w:rPr>
                      <w:i/>
                      <w:lang w:val="fr-FR"/>
                    </w:rPr>
                    <m:t>δ</m:t>
                  </m:r>
                  <m:r>
                    <w:rPr>
                      <w:rFonts w:ascii="Cambria Math" w:hAnsi="Cambria Math"/>
                    </w:rPr>
                    <m:t>+</m:t>
                  </m:r>
                  <m:r>
                    <m:rPr>
                      <m:nor/>
                    </m:rPr>
                    <w:rPr>
                      <w:i/>
                      <w:iCs/>
                    </w:rPr>
                    <m:t>n</m:t>
                  </m:r>
                </m:e>
              </m:d>
            </m:e>
          </m:borderBox>
        </m:oMath>
      </m:oMathPara>
    </w:p>
    <w:p w14:paraId="0853A86B" w14:textId="77777777" w:rsidR="00A0416A" w:rsidRDefault="00A0416A" w:rsidP="00A0416A">
      <w:pPr>
        <w:pStyle w:val="Nivel2SM"/>
        <w:keepNext/>
        <w:spacing w:after="0"/>
      </w:pPr>
      <w:r>
        <w:t>La novedad que caracteriza la tasa de crecimiento de la economía cuando existen bienes públicos productivos financiados con impuestos sobre la renta es que el tipo impositivo afecta al crecimiento económico. Y lo hace de dos maneras distintas:</w:t>
      </w:r>
    </w:p>
    <w:p w14:paraId="0C70C998" w14:textId="77777777" w:rsidR="00A0416A" w:rsidRPr="00616BCB" w:rsidRDefault="00A0416A" w:rsidP="00A0416A">
      <w:pPr>
        <w:pStyle w:val="Nivel3SM"/>
      </w:pPr>
      <w:r>
        <w:t xml:space="preserve">En primer lugar, lo hace de manera negativa a través del término, </w:t>
      </w:r>
      <m:oMath>
        <m:d>
          <m:dPr>
            <m:ctrlPr>
              <w:rPr>
                <w:rFonts w:ascii="Cambria Math" w:hAnsi="Cambria Math"/>
                <w:i/>
                <w:color w:val="C00000"/>
                <w:lang w:val="fr-FR"/>
              </w:rPr>
            </m:ctrlPr>
          </m:dPr>
          <m:e>
            <m:r>
              <m:rPr>
                <m:nor/>
              </m:rPr>
              <w:rPr>
                <w:i/>
                <w:color w:val="C00000"/>
              </w:rPr>
              <m:t>1</m:t>
            </m:r>
            <m:r>
              <w:rPr>
                <w:rFonts w:ascii="Cambria Math" w:hAnsi="Cambria Math"/>
                <w:color w:val="C00000"/>
              </w:rPr>
              <m:t>-</m:t>
            </m:r>
            <m:r>
              <m:rPr>
                <m:nor/>
              </m:rPr>
              <w:rPr>
                <w:i/>
                <w:color w:val="C00000"/>
              </w:rPr>
              <m:t>τ</m:t>
            </m:r>
          </m:e>
        </m:d>
      </m:oMath>
      <w:r>
        <w:t>. Este término refleja el hecho de que los impuestos reducen la renta disponible y, con ello el ahorro y la inversión de la economía. Esto reduce el crecimiento de la economía.</w:t>
      </w:r>
    </w:p>
    <w:p w14:paraId="5DF292F3" w14:textId="77777777" w:rsidR="00A0416A" w:rsidRDefault="00A0416A" w:rsidP="00A0416A">
      <w:pPr>
        <w:pStyle w:val="Nivel3SM"/>
      </w:pPr>
      <w:r>
        <w:t xml:space="preserve">En segundo lugar, lo hace de manera positiva a través de término, </w:t>
      </w:r>
      <m:oMath>
        <m:sSup>
          <m:sSupPr>
            <m:ctrlPr>
              <w:rPr>
                <w:rFonts w:ascii="Cambria Math" w:hAnsi="Cambria Math"/>
                <w:i/>
                <w:color w:val="00B050"/>
                <w:lang w:val="fr-FR"/>
              </w:rPr>
            </m:ctrlPr>
          </m:sSupPr>
          <m:e>
            <m:r>
              <m:rPr>
                <m:nor/>
              </m:rPr>
              <w:rPr>
                <w:i/>
                <w:color w:val="00B050"/>
              </w:rPr>
              <m:t>τ</m:t>
            </m:r>
          </m:e>
          <m:sup>
            <m:f>
              <m:fPr>
                <m:type m:val="lin"/>
                <m:ctrlPr>
                  <w:rPr>
                    <w:rFonts w:ascii="Cambria Math" w:hAnsi="Cambria Math"/>
                    <w:i/>
                    <w:color w:val="00B050"/>
                    <w:lang w:val="fr-FR"/>
                  </w:rPr>
                </m:ctrlPr>
              </m:fPr>
              <m:num>
                <m:d>
                  <m:dPr>
                    <m:ctrlPr>
                      <w:rPr>
                        <w:rFonts w:ascii="Cambria Math" w:hAnsi="Cambria Math"/>
                        <w:i/>
                        <w:color w:val="00B050"/>
                        <w:lang w:val="fr-FR"/>
                      </w:rPr>
                    </m:ctrlPr>
                  </m:dPr>
                  <m:e>
                    <m:r>
                      <m:rPr>
                        <m:nor/>
                      </m:rPr>
                      <w:rPr>
                        <w:i/>
                        <w:color w:val="00B050"/>
                      </w:rPr>
                      <m:t>1</m:t>
                    </m:r>
                    <m:r>
                      <w:rPr>
                        <w:rFonts w:ascii="Cambria Math" w:eastAsia="Times New Roman" w:hAnsi="Cambria Math"/>
                        <w:color w:val="00B050"/>
                        <w:vertAlign w:val="superscript"/>
                      </w:rPr>
                      <m:t>-</m:t>
                    </m:r>
                    <m:r>
                      <m:rPr>
                        <m:nor/>
                      </m:rPr>
                      <w:rPr>
                        <w:i/>
                        <w:color w:val="00B050"/>
                      </w:rPr>
                      <m:t>α</m:t>
                    </m:r>
                  </m:e>
                </m:d>
              </m:num>
              <m:den>
                <m:r>
                  <m:rPr>
                    <m:nor/>
                  </m:rPr>
                  <w:rPr>
                    <w:i/>
                    <w:color w:val="00B050"/>
                  </w:rPr>
                  <m:t>α</m:t>
                </m:r>
              </m:den>
            </m:f>
          </m:sup>
        </m:sSup>
      </m:oMath>
      <w:r>
        <w:t>. Este término refleja el hecho de que un mayor tipo impositivo permite al gobierno proporcionar un mayor nivel de gasto público productivo, lo que aumenta la producción y la capacidad de ahorrar e invertir. Esto afecta la tasa de crecimiento de manera positiva.</w:t>
      </w:r>
    </w:p>
    <w:p w14:paraId="3DFC6019" w14:textId="77777777" w:rsidR="00A0416A" w:rsidRDefault="00A0416A" w:rsidP="00A0416A">
      <w:pPr>
        <w:pStyle w:val="Nivel2SM"/>
        <w:keepNext/>
        <w:spacing w:after="0"/>
      </w:pPr>
      <w:r>
        <w:t>El efecto agregado de un aumento en el tipo impositivo es ambiguo, dependiendo de si el efecto positivo domina al negativo o viceversa</w:t>
      </w:r>
      <w:r>
        <w:rPr>
          <w:rStyle w:val="Refdenotaalpie"/>
        </w:rPr>
        <w:footnoteReference w:id="24"/>
      </w:r>
      <w:r>
        <w:t>.</w:t>
      </w:r>
    </w:p>
    <w:p w14:paraId="15FF8789" w14:textId="77777777" w:rsidR="00A0416A" w:rsidRDefault="00A0416A" w:rsidP="00A0416A">
      <w:pPr>
        <w:pStyle w:val="Nivel3SM"/>
      </w:pPr>
      <w:r>
        <w:t>Para niveles bajos de tipo impositivo, aumentarlo tendrá efectos positivos sobre la tasa de crecimiento económico, puesto que dominarán los efectos del gasto público sobre la productividad del capital privado.</w:t>
      </w:r>
    </w:p>
    <w:p w14:paraId="06FF4E31" w14:textId="77777777" w:rsidR="00A0416A" w:rsidRDefault="00A0416A" w:rsidP="00A0416A">
      <w:pPr>
        <w:pStyle w:val="Nivel3SM"/>
        <w:keepNext/>
      </w:pPr>
      <w:r>
        <w:lastRenderedPageBreak/>
        <w:t>A medida que el tipo impositivo va aumentando, el efecto positivo se ve compensado por los efectos negativos que genera una mayor presión fiscal.</w:t>
      </w:r>
    </w:p>
    <w:p w14:paraId="0B6762DB" w14:textId="77777777" w:rsidR="00A0416A" w:rsidRDefault="00A0416A" w:rsidP="00A0416A">
      <w:pPr>
        <w:pStyle w:val="Nivel4"/>
        <w:keepNext/>
        <w:ind w:left="1474"/>
      </w:pPr>
      <w:r>
        <w:t>De hecho, existe un tamaño óptimo que puede calcularse derivando la ecuación respecto al tipo impositivo, lo que da lugar a que el valor óptimo del tipo impositivo que maximiza la tasa de crecimiento del PIB sea</w:t>
      </w:r>
      <w:r>
        <w:rPr>
          <w:rStyle w:val="Refdenotaalpie"/>
        </w:rPr>
        <w:footnoteReference w:id="25"/>
      </w:r>
      <w:r>
        <w:t>:</w:t>
      </w:r>
    </w:p>
    <w:p w14:paraId="18480FC0" w14:textId="77777777" w:rsidR="00A0416A" w:rsidRPr="00A833CD" w:rsidRDefault="00A0416A" w:rsidP="00A0416A">
      <w:pPr>
        <w:pStyle w:val="Nivel3SM"/>
        <w:keepNext/>
        <w:numPr>
          <w:ilvl w:val="0"/>
          <w:numId w:val="0"/>
        </w:numPr>
        <w:ind w:left="1474" w:firstLine="720"/>
      </w:pPr>
      <m:oMathPara>
        <m:oMath>
          <m:r>
            <m:rPr>
              <m:nor/>
            </m:rPr>
            <w:rPr>
              <w:rFonts w:ascii="Cambria Math"/>
              <w:iCs/>
            </w:rPr>
            <m:t xml:space="preserve"> </m:t>
          </m:r>
          <m:r>
            <m:rPr>
              <m:nor/>
            </m:rPr>
            <w:rPr>
              <w:i/>
            </w:rPr>
            <m:t>τ*</m:t>
          </m:r>
          <m:r>
            <w:rPr>
              <w:rFonts w:ascii="Cambria Math" w:hAnsi="Cambria Math"/>
            </w:rPr>
            <m:t>=</m:t>
          </m:r>
          <m:d>
            <m:dPr>
              <m:ctrlPr>
                <w:rPr>
                  <w:rFonts w:ascii="Cambria Math" w:hAnsi="Cambria Math"/>
                  <w:i/>
                </w:rPr>
              </m:ctrlPr>
            </m:dPr>
            <m:e>
              <m:r>
                <m:rPr>
                  <m:nor/>
                </m:rPr>
                <w:rPr>
                  <w:i/>
                </w:rPr>
                <m:t>1</m:t>
              </m:r>
              <m:r>
                <w:rPr>
                  <w:rFonts w:ascii="Cambria Math" w:eastAsia="Times New Roman" w:hAnsi="Cambria Math"/>
                  <w:vertAlign w:val="superscript"/>
                </w:rPr>
                <m:t>-</m:t>
              </m:r>
              <m:r>
                <m:rPr>
                  <m:nor/>
                </m:rPr>
                <w:rPr>
                  <w:i/>
                </w:rPr>
                <m:t>α</m:t>
              </m:r>
            </m:e>
          </m:d>
        </m:oMath>
      </m:oMathPara>
    </w:p>
    <w:p w14:paraId="1F910853" w14:textId="77777777" w:rsidR="00A0416A" w:rsidRDefault="00A0416A" w:rsidP="00A0416A">
      <w:pPr>
        <w:pStyle w:val="Nivel3SM"/>
        <w:keepNext/>
        <w:numPr>
          <w:ilvl w:val="0"/>
          <w:numId w:val="0"/>
        </w:numPr>
        <w:ind w:left="1474"/>
      </w:pPr>
      <w:r>
        <w:t>Lo cual coincide con su contribución en la función de producción.</w:t>
      </w:r>
    </w:p>
    <w:p w14:paraId="19F92E3F" w14:textId="77777777" w:rsidR="00A0416A" w:rsidRDefault="00A0416A" w:rsidP="00A0416A">
      <w:pPr>
        <w:pStyle w:val="Nivel5"/>
        <w:ind w:left="1871"/>
      </w:pPr>
      <w:r>
        <w:t xml:space="preserve">Nótese que </w:t>
      </w:r>
      <m:oMath>
        <m:d>
          <m:dPr>
            <m:ctrlPr>
              <w:rPr>
                <w:rFonts w:ascii="Cambria Math" w:hAnsi="Cambria Math"/>
                <w:i/>
              </w:rPr>
            </m:ctrlPr>
          </m:dPr>
          <m:e>
            <m:r>
              <m:rPr>
                <m:nor/>
              </m:rPr>
              <w:rPr>
                <w:i/>
              </w:rPr>
              <m:t>1</m:t>
            </m:r>
            <m:r>
              <w:rPr>
                <w:rFonts w:ascii="Cambria Math" w:eastAsia="Times New Roman" w:hAnsi="Cambria Math"/>
                <w:vertAlign w:val="superscript"/>
              </w:rPr>
              <m:t>-</m:t>
            </m:r>
            <m:r>
              <m:rPr>
                <m:nor/>
              </m:rPr>
              <w:rPr>
                <w:i/>
              </w:rPr>
              <m:t>α</m:t>
            </m:r>
          </m:e>
        </m:d>
      </m:oMath>
      <w:r>
        <w:rPr>
          <w:rFonts w:eastAsiaTheme="minorEastAsia"/>
        </w:rPr>
        <w:t xml:space="preserve"> no es más que la elasticidad de la producción con respecto al gasto público. Por tanto, la condición de optimización nos está indicando que el nivel impositivo tiene que ser aquel que se iguale a la contribución del gasto a la producción, lo cual es bastante intuitivo.</w:t>
      </w:r>
    </w:p>
    <w:p w14:paraId="076FF56A" w14:textId="77777777" w:rsidR="00A0416A" w:rsidRDefault="00A0416A" w:rsidP="00A0416A">
      <w:pPr>
        <w:pStyle w:val="Nivel1SM"/>
        <w:keepNext/>
        <w:spacing w:after="0"/>
        <w:rPr>
          <w:rFonts w:eastAsiaTheme="minorEastAsia"/>
        </w:rPr>
      </w:pPr>
      <w:r>
        <w:t xml:space="preserve">Podemos representar la relación existente entre </w:t>
      </w:r>
      <m:oMath>
        <m:r>
          <m:rPr>
            <m:nor/>
          </m:rPr>
          <w:rPr>
            <w:i/>
          </w:rPr>
          <m:t>τ</m:t>
        </m:r>
      </m:oMath>
      <w:r>
        <w:rPr>
          <w:rFonts w:eastAsiaTheme="minorEastAsia"/>
        </w:rPr>
        <w:t xml:space="preserve"> y la tasa de crecimiento:</w:t>
      </w:r>
    </w:p>
    <w:p w14:paraId="6D26A4C5" w14:textId="60738C1A" w:rsidR="00A0416A" w:rsidRPr="00C549C8" w:rsidRDefault="00A0416A" w:rsidP="00A0416A">
      <w:pPr>
        <w:pStyle w:val="Ttuloimagen"/>
        <w:rPr>
          <w:i/>
          <w:iCs/>
          <w:smallCaps w:val="0"/>
        </w:rPr>
      </w:pPr>
      <w:r>
        <w:t>Imagen</w:t>
      </w:r>
      <w:r>
        <w:rPr>
          <w:b/>
        </w:rPr>
        <w:t> </w:t>
      </w:r>
      <w:r>
        <w:fldChar w:fldCharType="begin"/>
      </w:r>
      <w:r>
        <w:instrText xml:space="preserve"> SEQ Ilustración \* ARABIC </w:instrText>
      </w:r>
      <w:r>
        <w:fldChar w:fldCharType="separate"/>
      </w:r>
      <w:r w:rsidR="000E5443">
        <w:t>8</w:t>
      </w:r>
      <w:r>
        <w:fldChar w:fldCharType="end"/>
      </w:r>
      <w:r>
        <w:rPr>
          <w:smallCaps w:val="0"/>
        </w:rPr>
        <w:t xml:space="preserve">.– </w:t>
      </w:r>
      <w:r>
        <w:rPr>
          <w:i/>
          <w:iCs/>
          <w:smallCaps w:val="0"/>
        </w:rPr>
        <w:t>Relación entre la tasa de crecimiento y el tipo impositivo</w:t>
      </w:r>
    </w:p>
    <w:p w14:paraId="7E8BFB6B" w14:textId="77777777" w:rsidR="00A0416A" w:rsidRDefault="00A0416A" w:rsidP="00A0416A">
      <w:pPr>
        <w:pStyle w:val="Imagen"/>
      </w:pPr>
      <w:r>
        <w:drawing>
          <wp:inline distT="0" distB="0" distL="0" distR="0" wp14:anchorId="5FDCE8D5" wp14:editId="38DD2319">
            <wp:extent cx="2109633" cy="1800000"/>
            <wp:effectExtent l="0" t="0" r="5080" b="0"/>
            <wp:docPr id="724638005" name="Imagen 72463800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Diagrama&#10;&#10;Descripción generada automáticamente"/>
                    <pic:cNvPicPr/>
                  </pic:nvPicPr>
                  <pic:blipFill>
                    <a:blip r:embed="rId40"/>
                    <a:stretch>
                      <a:fillRect/>
                    </a:stretch>
                  </pic:blipFill>
                  <pic:spPr>
                    <a:xfrm>
                      <a:off x="0" y="0"/>
                      <a:ext cx="2109633" cy="1800000"/>
                    </a:xfrm>
                    <a:prstGeom prst="rect">
                      <a:avLst/>
                    </a:prstGeom>
                  </pic:spPr>
                </pic:pic>
              </a:graphicData>
            </a:graphic>
          </wp:inline>
        </w:drawing>
      </w:r>
    </w:p>
    <w:p w14:paraId="5B3940C4" w14:textId="77777777" w:rsidR="00A0416A" w:rsidRDefault="00A0416A" w:rsidP="00A0416A">
      <w:pPr>
        <w:pStyle w:val="PiedeImagen"/>
        <w:rPr>
          <w:i w:val="0"/>
          <w:iCs/>
        </w:rPr>
      </w:pPr>
      <w:r>
        <w:t>Fuente</w:t>
      </w:r>
      <w:r>
        <w:rPr>
          <w:i w:val="0"/>
          <w:iCs/>
        </w:rPr>
        <w:t xml:space="preserve">: </w:t>
      </w:r>
      <w:r w:rsidRPr="00C549C8">
        <w:rPr>
          <w:i w:val="0"/>
          <w:iCs/>
        </w:rPr>
        <w:t xml:space="preserve">Sala i Martín, X. (1999). </w:t>
      </w:r>
      <w:r w:rsidRPr="00C549C8">
        <w:t>Apuntes de crecimiento económico</w:t>
      </w:r>
      <w:r w:rsidRPr="00C549C8">
        <w:rPr>
          <w:i w:val="0"/>
          <w:iCs/>
        </w:rPr>
        <w:t>. Antoni Bosch.</w:t>
      </w:r>
    </w:p>
    <w:p w14:paraId="3E7673A6" w14:textId="77777777" w:rsidR="00A0416A" w:rsidRDefault="00A0416A" w:rsidP="00A0416A">
      <w:pPr>
        <w:pStyle w:val="Ttulo8"/>
      </w:pPr>
      <w:bookmarkStart w:id="62" w:name="_Toc141368107"/>
      <w:bookmarkStart w:id="63" w:name="_Toc146266690"/>
      <w:r>
        <w:t>Implicaciones</w:t>
      </w:r>
      <w:bookmarkEnd w:id="62"/>
      <w:bookmarkEnd w:id="63"/>
    </w:p>
    <w:p w14:paraId="613F75FA" w14:textId="77777777" w:rsidR="00A0416A" w:rsidRDefault="00A0416A" w:rsidP="00A0416A">
      <w:pPr>
        <w:pStyle w:val="Nivel1SM"/>
        <w:keepNext/>
        <w:spacing w:before="0" w:after="0"/>
      </w:pPr>
      <w:r>
        <w:t>Este modelo implica que el sector público juega un papel importante en la tasa de crecimiento si el gasto público es productivo.</w:t>
      </w:r>
    </w:p>
    <w:p w14:paraId="5A9DED62" w14:textId="77777777" w:rsidR="00A0416A" w:rsidRDefault="00A0416A" w:rsidP="00A0416A">
      <w:pPr>
        <w:pStyle w:val="Nivel2SM"/>
      </w:pPr>
      <w:r>
        <w:t>En sentido amplio, la literatura ha considerado como gasto productivo el gasto en seguridad, justicia, defensa, sanidad, transporte, comunicaciones, infraestructura, subsidios a la investigación y el desarrollo, etc.</w:t>
      </w:r>
    </w:p>
    <w:p w14:paraId="77A8A236" w14:textId="77777777" w:rsidR="00A0416A" w:rsidRDefault="00A0416A" w:rsidP="00A0416A">
      <w:pPr>
        <w:pStyle w:val="Nivel2SM"/>
        <w:keepNext/>
        <w:spacing w:after="0"/>
      </w:pPr>
      <w:r>
        <w:t>Sin embargo, es necesario hacer algunas matizaciones:</w:t>
      </w:r>
    </w:p>
    <w:p w14:paraId="1B63FB1D" w14:textId="77777777" w:rsidR="00A0416A" w:rsidRDefault="00A0416A" w:rsidP="00A0416A">
      <w:pPr>
        <w:pStyle w:val="Nivel3SM"/>
      </w:pPr>
      <w:r>
        <w:t>Este gasto público adicional debe ser compaginado con reformas desde el lado de la oferta que permitan que los nuevos factores y tecnologías sean empleadas (p.ej. invertir en educación es menos rentable si existen rigideces considerables en el mercado de trabajo).</w:t>
      </w:r>
    </w:p>
    <w:p w14:paraId="65A546FF" w14:textId="77777777" w:rsidR="00A0416A" w:rsidRPr="00A833CD" w:rsidRDefault="00A0416A" w:rsidP="00A0416A">
      <w:pPr>
        <w:pStyle w:val="Nivel3SM"/>
        <w:rPr>
          <w:smallCaps/>
        </w:rPr>
      </w:pPr>
      <w:r>
        <w:rPr>
          <w:smallCaps/>
        </w:rPr>
        <w:t>Baxter</w:t>
      </w:r>
      <w:r>
        <w:t xml:space="preserve"> y </w:t>
      </w:r>
      <w:r>
        <w:rPr>
          <w:smallCaps/>
        </w:rPr>
        <w:t>King</w:t>
      </w:r>
      <w:r>
        <w:t xml:space="preserve"> muestran que los efectos del gasto público se hacen visibles a largo plazo.</w:t>
      </w:r>
    </w:p>
    <w:p w14:paraId="10A19F13" w14:textId="77777777" w:rsidR="00A0416A" w:rsidRPr="00A833CD" w:rsidRDefault="00A0416A" w:rsidP="00A0416A">
      <w:pPr>
        <w:pStyle w:val="Nivel3SM"/>
      </w:pPr>
      <w:r>
        <w:t>Hemos trabajado con tipo impositivo en general, pero no todos los impuestos tienen el mismo efecto sobre el crecimiento.</w:t>
      </w:r>
    </w:p>
    <w:p w14:paraId="7D4691DD" w14:textId="78B5018D" w:rsidR="00C8488C" w:rsidRDefault="00C8488C" w:rsidP="00A0416A">
      <w:pPr>
        <w:pStyle w:val="Ttulo7"/>
      </w:pPr>
      <w:bookmarkStart w:id="64" w:name="_Toc150975440"/>
      <w:bookmarkStart w:id="65" w:name="_Toc141368108"/>
      <w:bookmarkStart w:id="66" w:name="_Toc146266691"/>
      <w:r>
        <w:t>Evidencia empírica</w:t>
      </w:r>
      <w:bookmarkEnd w:id="64"/>
    </w:p>
    <w:p w14:paraId="2A97F790" w14:textId="77777777" w:rsidR="00C8488C" w:rsidRPr="00C8488C" w:rsidRDefault="00C8488C" w:rsidP="00C8488C">
      <w:pPr>
        <w:pStyle w:val="Nivel1SM"/>
        <w:spacing w:before="0"/>
      </w:pPr>
    </w:p>
    <w:p w14:paraId="236047BD" w14:textId="7162FB10" w:rsidR="00A0416A" w:rsidRPr="00C458C8" w:rsidRDefault="00A0416A" w:rsidP="00A0416A">
      <w:pPr>
        <w:pStyle w:val="Ttulo7"/>
      </w:pPr>
      <w:bookmarkStart w:id="67" w:name="_Toc150975441"/>
      <w:r w:rsidRPr="00C458C8">
        <w:t>Valoración</w:t>
      </w:r>
      <w:bookmarkEnd w:id="65"/>
      <w:bookmarkEnd w:id="66"/>
      <w:bookmarkEnd w:id="67"/>
    </w:p>
    <w:p w14:paraId="3FACDB1A" w14:textId="77777777" w:rsidR="00A0416A" w:rsidRDefault="00A0416A" w:rsidP="004462D6">
      <w:pPr>
        <w:pStyle w:val="Nivel1SM"/>
        <w:spacing w:before="0"/>
      </w:pPr>
    </w:p>
    <w:p w14:paraId="1BCB0DA0" w14:textId="77777777" w:rsidR="00E66765" w:rsidRDefault="00E66765" w:rsidP="00E66765">
      <w:pPr>
        <w:pStyle w:val="Ttulo2"/>
      </w:pPr>
      <w:bookmarkStart w:id="68" w:name="_Ref149647758"/>
      <w:bookmarkStart w:id="69" w:name="_Ref149647826"/>
      <w:bookmarkStart w:id="70" w:name="_Toc150975442"/>
      <w:r>
        <w:lastRenderedPageBreak/>
        <w:t>Debate histórico teórico sobre el tamaño del sector público</w:t>
      </w:r>
      <w:bookmarkEnd w:id="68"/>
      <w:bookmarkEnd w:id="69"/>
      <w:bookmarkEnd w:id="70"/>
    </w:p>
    <w:p w14:paraId="57D67729" w14:textId="77777777" w:rsidR="00E66765" w:rsidRPr="00D621EC" w:rsidRDefault="00E66765" w:rsidP="00A75476">
      <w:pPr>
        <w:pStyle w:val="Ttulo6"/>
        <w:spacing w:before="0"/>
      </w:pPr>
      <w:bookmarkStart w:id="71" w:name="_Toc150975443"/>
      <w:r w:rsidRPr="00D621EC">
        <w:t xml:space="preserve">Debate </w:t>
      </w:r>
      <w:r>
        <w:t>entre neoclásicos</w:t>
      </w:r>
      <w:r w:rsidRPr="00D621EC">
        <w:t xml:space="preserve"> y </w:t>
      </w:r>
      <w:r>
        <w:t>k</w:t>
      </w:r>
      <w:r w:rsidRPr="00D621EC">
        <w:t>eynesianos</w:t>
      </w:r>
      <w:bookmarkEnd w:id="71"/>
    </w:p>
    <w:p w14:paraId="59A63709" w14:textId="77777777" w:rsidR="00E66765" w:rsidRPr="00D621EC" w:rsidRDefault="00E66765" w:rsidP="00A75476">
      <w:pPr>
        <w:pStyle w:val="Nivel1SM"/>
        <w:keepNext/>
        <w:spacing w:before="0" w:after="0"/>
      </w:pPr>
      <w:r>
        <w:t xml:space="preserve">El debate con respecto al tamaño del sector público comienza a cobrar verdadera fuerza tras la publicación de la </w:t>
      </w:r>
      <w:r w:rsidRPr="002412DD">
        <w:rPr>
          <w:i/>
          <w:iCs/>
        </w:rPr>
        <w:t>Teoría General del</w:t>
      </w:r>
      <w:r>
        <w:rPr>
          <w:i/>
          <w:iCs/>
        </w:rPr>
        <w:t xml:space="preserve"> Empleo</w:t>
      </w:r>
      <w:r w:rsidRPr="002412DD">
        <w:rPr>
          <w:i/>
          <w:iCs/>
        </w:rPr>
        <w:t xml:space="preserve">, </w:t>
      </w:r>
      <w:r>
        <w:rPr>
          <w:i/>
          <w:iCs/>
        </w:rPr>
        <w:t>el Interés</w:t>
      </w:r>
      <w:r w:rsidRPr="002412DD">
        <w:rPr>
          <w:i/>
          <w:iCs/>
        </w:rPr>
        <w:t xml:space="preserve"> y </w:t>
      </w:r>
      <w:r>
        <w:rPr>
          <w:i/>
          <w:iCs/>
        </w:rPr>
        <w:t>el Dinero</w:t>
      </w:r>
      <w:r>
        <w:t xml:space="preserve"> de </w:t>
      </w:r>
      <w:r w:rsidRPr="002412DD">
        <w:rPr>
          <w:smallCaps/>
        </w:rPr>
        <w:t>Keynes</w:t>
      </w:r>
      <w:r>
        <w:t xml:space="preserve"> con 2 posturas separadas:</w:t>
      </w:r>
    </w:p>
    <w:p w14:paraId="589A37A0" w14:textId="77777777" w:rsidR="00E66765" w:rsidRPr="00A0416A" w:rsidRDefault="00E66765" w:rsidP="00E66765">
      <w:pPr>
        <w:pStyle w:val="Nivel2SM"/>
        <w:keepNext/>
        <w:spacing w:after="0"/>
      </w:pPr>
      <w:r w:rsidRPr="00A0416A">
        <w:rPr>
          <w:i/>
          <w:iCs/>
          <w:u w:val="single"/>
        </w:rPr>
        <w:t>Neoclásicos</w:t>
      </w:r>
      <w:r w:rsidRPr="00A0416A">
        <w:t>:</w:t>
      </w:r>
      <w:r>
        <w:t xml:space="preserve"> </w:t>
      </w:r>
      <w:r w:rsidRPr="00A0416A">
        <w:t>Continuando la línea de los fisiócratas y economistas clásicos, los neoclásicos también aceptan que existe un “</w:t>
      </w:r>
      <w:r w:rsidRPr="00A0416A">
        <w:rPr>
          <w:b/>
        </w:rPr>
        <w:t>orden natural</w:t>
      </w:r>
      <w:r w:rsidRPr="00A0416A">
        <w:t xml:space="preserve">” en el sistema económico que hace aconsejable que </w:t>
      </w:r>
      <w:r w:rsidRPr="00484245">
        <w:rPr>
          <w:i/>
          <w:iCs/>
        </w:rPr>
        <w:t>la actuación del sector público se limite a un rango reducido de tareas</w:t>
      </w:r>
      <w:r w:rsidRPr="00A0416A">
        <w:t xml:space="preserve"> (justicia, defensa, seguridad y obras públicas).</w:t>
      </w:r>
    </w:p>
    <w:p w14:paraId="2F54C96C" w14:textId="77777777" w:rsidR="00E66765" w:rsidRDefault="00E66765" w:rsidP="00E66765">
      <w:pPr>
        <w:pStyle w:val="Nivel3SM"/>
      </w:pPr>
      <w:r w:rsidRPr="00E976A0">
        <w:t xml:space="preserve">No obstante, otros autores clásicos como </w:t>
      </w:r>
      <w:r>
        <w:rPr>
          <w:smallCaps/>
        </w:rPr>
        <w:t>J</w:t>
      </w:r>
      <w:r w:rsidRPr="00A0416A">
        <w:rPr>
          <w:smallCaps/>
        </w:rPr>
        <w:t xml:space="preserve">ohn </w:t>
      </w:r>
      <w:r>
        <w:rPr>
          <w:smallCaps/>
        </w:rPr>
        <w:t>S</w:t>
      </w:r>
      <w:r w:rsidRPr="00A0416A">
        <w:rPr>
          <w:smallCaps/>
        </w:rPr>
        <w:t xml:space="preserve">tuart </w:t>
      </w:r>
      <w:r>
        <w:rPr>
          <w:smallCaps/>
        </w:rPr>
        <w:t>M</w:t>
      </w:r>
      <w:r w:rsidRPr="00A0416A">
        <w:rPr>
          <w:smallCaps/>
        </w:rPr>
        <w:t>ill</w:t>
      </w:r>
      <w:r w:rsidRPr="00E976A0">
        <w:t xml:space="preserve"> concedieron un papel más amplio al sector público, considerando elementos que después se integrarían en el Estado del Bienestar (regulación del trabajo infantil, determinadas prestaciones, etc.).</w:t>
      </w:r>
    </w:p>
    <w:p w14:paraId="62BFF4F8" w14:textId="77777777" w:rsidR="00E66765" w:rsidRPr="00E976A0" w:rsidRDefault="00E66765" w:rsidP="00E66765">
      <w:pPr>
        <w:pStyle w:val="Nivel3SM"/>
      </w:pPr>
      <w:r>
        <w:rPr>
          <w:smallCaps/>
        </w:rPr>
        <w:t>Marx</w:t>
      </w:r>
      <w:r>
        <w:t xml:space="preserve"> además achaca el “orden natural” económico a la sociedad capitalista en la que vivía pudiendo así cambiarlo en caso de cambiar el sistema económico. </w:t>
      </w:r>
    </w:p>
    <w:p w14:paraId="7925CBE5" w14:textId="77777777" w:rsidR="00E66765" w:rsidRPr="00A0416A" w:rsidRDefault="00E66765" w:rsidP="00E66765">
      <w:pPr>
        <w:pStyle w:val="Nivel2SM"/>
      </w:pPr>
      <w:r w:rsidRPr="00A0416A">
        <w:rPr>
          <w:i/>
          <w:iCs/>
          <w:u w:val="single"/>
        </w:rPr>
        <w:t>Keynesianos</w:t>
      </w:r>
      <w:r w:rsidRPr="00A0416A">
        <w:t xml:space="preserve">. El sector público debe tener un </w:t>
      </w:r>
      <w:r w:rsidRPr="003C7A60">
        <w:rPr>
          <w:i/>
          <w:iCs/>
        </w:rPr>
        <w:t>t</w:t>
      </w:r>
      <w:r w:rsidRPr="00FA1B61">
        <w:rPr>
          <w:i/>
          <w:iCs/>
        </w:rPr>
        <w:t>amaño significativo para poder desplegar su papel estabilizador de la actividad económica</w:t>
      </w:r>
      <w:r w:rsidRPr="00A0416A">
        <w:t>.</w:t>
      </w:r>
    </w:p>
    <w:p w14:paraId="3A0C0F6C" w14:textId="77777777" w:rsidR="00E66765" w:rsidRPr="00FC3534" w:rsidRDefault="00E66765" w:rsidP="00E66765">
      <w:pPr>
        <w:pStyle w:val="Nivel1SM"/>
      </w:pPr>
      <w:r>
        <w:t xml:space="preserve">Posteriormente el debate se ha ido </w:t>
      </w:r>
      <w:proofErr w:type="gramStart"/>
      <w:r>
        <w:t>refinando presentándose</w:t>
      </w:r>
      <w:proofErr w:type="gramEnd"/>
      <w:r>
        <w:t xml:space="preserve"> en la actualidad 2 posturas modernas: NMC y NEK.</w:t>
      </w:r>
    </w:p>
    <w:p w14:paraId="7BB86631" w14:textId="77777777" w:rsidR="00E66765" w:rsidRPr="00FC3534" w:rsidRDefault="00E66765" w:rsidP="00E66765">
      <w:pPr>
        <w:pStyle w:val="Ttulo6"/>
        <w:rPr>
          <w:lang w:eastAsia="zh-CN" w:bidi="hi-IN"/>
        </w:rPr>
      </w:pPr>
      <w:bookmarkStart w:id="72" w:name="_Toc150975444"/>
      <w:r>
        <w:rPr>
          <w:lang w:eastAsia="zh-CN" w:bidi="hi-IN"/>
        </w:rPr>
        <w:t>Debate entre la Nueva Macroeconomía Clásica y la Nueva Economía Keynesiana</w:t>
      </w:r>
      <w:bookmarkEnd w:id="72"/>
    </w:p>
    <w:p w14:paraId="6C355C56" w14:textId="77777777" w:rsidR="00E66765" w:rsidRDefault="00E66765" w:rsidP="00E66765">
      <w:pPr>
        <w:pStyle w:val="Nivel1SM"/>
        <w:keepNext/>
        <w:spacing w:before="0" w:after="0"/>
      </w:pPr>
      <w:r w:rsidRPr="009E1ED2">
        <w:t xml:space="preserve">Lo primero que hay que destacar es la existencia de un cierto consenso en torno a las </w:t>
      </w:r>
      <w:r>
        <w:t>3 </w:t>
      </w:r>
      <w:r w:rsidRPr="009E1ED2">
        <w:t xml:space="preserve">funciones básicas del </w:t>
      </w:r>
      <w:r>
        <w:t>sector público</w:t>
      </w:r>
      <w:r w:rsidRPr="009E1ED2">
        <w:t xml:space="preserve"> en la economía, que son las señaladas por </w:t>
      </w:r>
      <w:r w:rsidRPr="006A09A3">
        <w:rPr>
          <w:smallCaps/>
        </w:rPr>
        <w:t>Musgrave</w:t>
      </w:r>
      <w:r w:rsidRPr="009E1ED2">
        <w:t xml:space="preserve">: </w:t>
      </w:r>
      <w:r w:rsidRPr="006A09A3">
        <w:rPr>
          <w:i/>
          <w:iCs/>
        </w:rPr>
        <w:t>eficiencia</w:t>
      </w:r>
      <w:r w:rsidRPr="009E1ED2">
        <w:t xml:space="preserve">, </w:t>
      </w:r>
      <w:r w:rsidRPr="006A09A3">
        <w:rPr>
          <w:i/>
          <w:iCs/>
        </w:rPr>
        <w:t>equidad</w:t>
      </w:r>
      <w:r w:rsidRPr="009E1ED2">
        <w:t xml:space="preserve"> y </w:t>
      </w:r>
      <w:r w:rsidRPr="006A09A3">
        <w:rPr>
          <w:i/>
          <w:iCs/>
        </w:rPr>
        <w:t>estabilización</w:t>
      </w:r>
      <w:r w:rsidRPr="009E1ED2">
        <w:t>. Existe, no obstante, discrepancia en cuanto a su importancia relativa.</w:t>
      </w:r>
    </w:p>
    <w:p w14:paraId="562436DE" w14:textId="77777777" w:rsidR="00E66765" w:rsidRDefault="00E66765" w:rsidP="00E66765">
      <w:pPr>
        <w:pStyle w:val="Nivel2SM"/>
      </w:pPr>
      <w:r w:rsidRPr="009176AB">
        <w:rPr>
          <w:i/>
          <w:iCs/>
          <w:u w:val="single"/>
        </w:rPr>
        <w:t>Función de eficiencia</w:t>
      </w:r>
      <w:r w:rsidRPr="006A09A3">
        <w:t>:</w:t>
      </w:r>
      <w:r>
        <w:t xml:space="preserve"> D</w:t>
      </w:r>
      <w:r w:rsidRPr="009E1ED2">
        <w:t>esde los años</w:t>
      </w:r>
      <w:r>
        <w:t> </w:t>
      </w:r>
      <w:r w:rsidRPr="009E1ED2">
        <w:t xml:space="preserve">70, la toma de conciencia de la existencia de importantes fallos en la intervención del </w:t>
      </w:r>
      <w:r>
        <w:t>sector público</w:t>
      </w:r>
      <w:r w:rsidRPr="009E1ED2">
        <w:t xml:space="preserve"> en la economía obliga a que, incluso en presencia de fallos de mercado que justifiquen desde el punto de vista teórico la intervención, su deseabilidad deba decidirse en base a un análisis coste-beneficio llevado a cabo caso por caso.</w:t>
      </w:r>
    </w:p>
    <w:p w14:paraId="4659C494" w14:textId="77777777" w:rsidR="00E66765" w:rsidRPr="00D640B9" w:rsidRDefault="00E66765" w:rsidP="00E66765">
      <w:pPr>
        <w:pStyle w:val="Nivel2SM"/>
        <w:keepNext/>
        <w:spacing w:after="0"/>
      </w:pPr>
      <w:r w:rsidRPr="00EF1C11">
        <w:rPr>
          <w:i/>
          <w:iCs/>
          <w:u w:val="single"/>
        </w:rPr>
        <w:t>Función de equidad</w:t>
      </w:r>
      <w:r w:rsidRPr="006A09A3">
        <w:t>:</w:t>
      </w:r>
    </w:p>
    <w:p w14:paraId="7CD74B1D" w14:textId="77777777" w:rsidR="00E66765" w:rsidRDefault="00E66765" w:rsidP="00E66765">
      <w:pPr>
        <w:pStyle w:val="Nivel3SM"/>
        <w:keepNext/>
      </w:pPr>
      <w:r w:rsidRPr="00FD0790">
        <w:rPr>
          <w:i/>
          <w:iCs/>
        </w:rPr>
        <w:t>Pre-crisis económica</w:t>
      </w:r>
      <w:r>
        <w:t>:</w:t>
      </w:r>
    </w:p>
    <w:p w14:paraId="6A698035" w14:textId="77777777" w:rsidR="00E66765" w:rsidRDefault="00E66765" w:rsidP="00E66765">
      <w:pPr>
        <w:pStyle w:val="Nivel4"/>
        <w:keepNext/>
        <w:ind w:left="1474"/>
      </w:pPr>
      <w:r w:rsidRPr="00C756FC">
        <w:t>Existe consenso</w:t>
      </w:r>
      <w:r>
        <w:t>:</w:t>
      </w:r>
    </w:p>
    <w:p w14:paraId="6C686803" w14:textId="77777777" w:rsidR="00E66765" w:rsidRDefault="00E66765" w:rsidP="00E66765">
      <w:pPr>
        <w:pStyle w:val="Nivel5"/>
        <w:ind w:left="1871"/>
      </w:pPr>
      <w:r w:rsidRPr="00C756FC">
        <w:t>No hay un único g</w:t>
      </w:r>
      <w:r w:rsidRPr="009E1ED2">
        <w:t>rado de redistribución óptimo</w:t>
      </w:r>
      <w:r>
        <w:t>, sino que d</w:t>
      </w:r>
      <w:r w:rsidRPr="009E1ED2">
        <w:t>epende de las preferencias sociales</w:t>
      </w:r>
      <w:r>
        <w:t>.</w:t>
      </w:r>
    </w:p>
    <w:p w14:paraId="7C6B3778" w14:textId="77777777" w:rsidR="00E66765" w:rsidRDefault="00E66765" w:rsidP="00E66765">
      <w:pPr>
        <w:pStyle w:val="Nivel5"/>
        <w:keepNext/>
        <w:ind w:left="1871"/>
      </w:pPr>
      <w:r>
        <w:t>E</w:t>
      </w:r>
      <w:r w:rsidRPr="009E1ED2">
        <w:t>s necesario reformar el Estado de Bienestar</w:t>
      </w:r>
      <w:r>
        <w:t xml:space="preserve"> </w:t>
      </w:r>
      <w:r w:rsidRPr="009E1ED2">
        <w:t xml:space="preserve">en </w:t>
      </w:r>
      <w:r>
        <w:t>países desarrollados</w:t>
      </w:r>
      <w:r w:rsidRPr="009E1ED2">
        <w:t xml:space="preserve"> dado:</w:t>
      </w:r>
    </w:p>
    <w:p w14:paraId="383BE484" w14:textId="77777777" w:rsidR="00E66765" w:rsidRDefault="00E66765" w:rsidP="00E66765">
      <w:pPr>
        <w:pStyle w:val="Nivel6"/>
        <w:ind w:left="2212"/>
      </w:pPr>
      <w:r>
        <w:t>Su e</w:t>
      </w:r>
      <w:r w:rsidRPr="00872307">
        <w:t>levado coste y</w:t>
      </w:r>
      <w:r>
        <w:t xml:space="preserve"> la</w:t>
      </w:r>
      <w:r w:rsidRPr="00872307">
        <w:t xml:space="preserve"> previsión de que </w:t>
      </w:r>
      <w:r>
        <w:t>seguirá aumentando</w:t>
      </w:r>
      <w:r w:rsidRPr="00872307">
        <w:t xml:space="preserve"> en</w:t>
      </w:r>
      <w:r>
        <w:t xml:space="preserve"> el</w:t>
      </w:r>
      <w:r w:rsidRPr="00872307">
        <w:t xml:space="preserve"> futuro </w:t>
      </w:r>
      <w:r>
        <w:t>por</w:t>
      </w:r>
      <w:r w:rsidRPr="00872307">
        <w:t xml:space="preserve"> el envejecimiento de la población (menores ingresos y más gastos en pensiones, servicios sanitarios)</w:t>
      </w:r>
      <w:r>
        <w:t>.</w:t>
      </w:r>
    </w:p>
    <w:p w14:paraId="6CBA6169" w14:textId="77777777" w:rsidR="00E66765" w:rsidRPr="004D22FE" w:rsidRDefault="00E66765" w:rsidP="00E66765">
      <w:pPr>
        <w:pStyle w:val="Nivel6"/>
        <w:ind w:left="2212"/>
      </w:pPr>
      <w:r>
        <w:t>Sus p</w:t>
      </w:r>
      <w:r w:rsidRPr="004D22FE">
        <w:t xml:space="preserve">roblemas </w:t>
      </w:r>
      <w:r>
        <w:t>para</w:t>
      </w:r>
      <w:r w:rsidRPr="004D22FE">
        <w:t xml:space="preserve"> conseguir sus objetivos</w:t>
      </w:r>
      <w:r>
        <w:t>.</w:t>
      </w:r>
    </w:p>
    <w:p w14:paraId="4537E198" w14:textId="77777777" w:rsidR="00E66765" w:rsidRDefault="00E66765" w:rsidP="00E66765">
      <w:pPr>
        <w:pStyle w:val="Nivel4"/>
        <w:keepNext/>
        <w:ind w:left="1474"/>
      </w:pPr>
      <w:r w:rsidRPr="00C756FC">
        <w:t>Resultado</w:t>
      </w:r>
      <w:r>
        <w:t>:</w:t>
      </w:r>
    </w:p>
    <w:p w14:paraId="0BD66627" w14:textId="77777777" w:rsidR="00E66765" w:rsidRDefault="00E66765" w:rsidP="00E66765">
      <w:pPr>
        <w:pStyle w:val="Nivel5"/>
        <w:ind w:left="1871"/>
      </w:pPr>
      <w:r w:rsidRPr="009E1ED2">
        <w:t xml:space="preserve">En este sentido, las reformas que se realicen supondrán posiblemente la aceptación de una </w:t>
      </w:r>
      <w:r w:rsidRPr="00C756FC">
        <w:rPr>
          <w:b/>
        </w:rPr>
        <w:t>mayor participación del sector privado</w:t>
      </w:r>
      <w:r w:rsidRPr="009E1ED2">
        <w:t xml:space="preserve"> en parcelas hasta ahora reservadas exclusivamente a la actuación del </w:t>
      </w:r>
      <w:r>
        <w:t>sector público</w:t>
      </w:r>
      <w:r w:rsidRPr="009E1ED2">
        <w:t>.</w:t>
      </w:r>
    </w:p>
    <w:p w14:paraId="3B19A928" w14:textId="77777777" w:rsidR="00E66765" w:rsidRPr="00D640B9" w:rsidRDefault="00E66765" w:rsidP="00E66765">
      <w:pPr>
        <w:pStyle w:val="Nivel3SM"/>
        <w:keepNext/>
      </w:pPr>
      <w:r w:rsidRPr="00FD0790">
        <w:rPr>
          <w:i/>
          <w:iCs/>
        </w:rPr>
        <w:t>Desde la crisis económica</w:t>
      </w:r>
      <w:r>
        <w:t>:</w:t>
      </w:r>
    </w:p>
    <w:p w14:paraId="627B25D7" w14:textId="77777777" w:rsidR="00E66765" w:rsidRDefault="00E66765" w:rsidP="00E66765">
      <w:pPr>
        <w:pStyle w:val="Nivel4"/>
        <w:ind w:left="1474"/>
      </w:pPr>
      <w:r w:rsidRPr="009E1ED2">
        <w:t xml:space="preserve">Por otro lado, desde la crisis ha habido un </w:t>
      </w:r>
      <w:r w:rsidRPr="00C756FC">
        <w:rPr>
          <w:b/>
        </w:rPr>
        <w:t>gran aumento de la desigualdad</w:t>
      </w:r>
      <w:r w:rsidRPr="009E1ED2">
        <w:t xml:space="preserve"> en buena parte de los </w:t>
      </w:r>
      <w:r>
        <w:t>países desarrollados</w:t>
      </w:r>
      <w:r w:rsidRPr="009E1ED2">
        <w:t>, como consecuencia, entre otras cosas, de</w:t>
      </w:r>
      <w:r>
        <w:t xml:space="preserve"> la caída de los salarios reales y el aumento del desempleo.</w:t>
      </w:r>
    </w:p>
    <w:p w14:paraId="29679FCB" w14:textId="77777777" w:rsidR="00E66765" w:rsidRPr="00A75476" w:rsidRDefault="00E66765" w:rsidP="00E66765">
      <w:pPr>
        <w:pStyle w:val="Nivel4"/>
        <w:ind w:left="1474"/>
        <w:rPr>
          <w:spacing w:val="-4"/>
        </w:rPr>
      </w:pPr>
      <w:r w:rsidRPr="00A75476">
        <w:rPr>
          <w:spacing w:val="-4"/>
        </w:rPr>
        <w:t xml:space="preserve">Esto ha llevado a incluso dudar de la existencia del </w:t>
      </w:r>
      <w:r w:rsidRPr="00A75476">
        <w:rPr>
          <w:spacing w:val="-4"/>
          <w:u w:val="single"/>
        </w:rPr>
        <w:t>trade-off entre equidad y eficiencia a partir de niveles elevados de desigualdad</w:t>
      </w:r>
      <w:r w:rsidRPr="00A75476">
        <w:rPr>
          <w:spacing w:val="-4"/>
        </w:rPr>
        <w:t>, que perjudican per se la actividad económica.</w:t>
      </w:r>
    </w:p>
    <w:p w14:paraId="0769FDCD" w14:textId="77777777" w:rsidR="00E66765" w:rsidRPr="009E1ED2" w:rsidRDefault="00E66765" w:rsidP="00E66765">
      <w:pPr>
        <w:pStyle w:val="Nivel2SM"/>
        <w:keepNext/>
        <w:spacing w:after="0"/>
      </w:pPr>
      <w:r w:rsidRPr="00EF1C11">
        <w:rPr>
          <w:i/>
          <w:iCs/>
          <w:u w:val="single"/>
        </w:rPr>
        <w:lastRenderedPageBreak/>
        <w:t>Función estabilizadora</w:t>
      </w:r>
      <w:r w:rsidRPr="009E1ED2">
        <w:t>:</w:t>
      </w:r>
    </w:p>
    <w:p w14:paraId="083A46CA" w14:textId="77777777" w:rsidR="00E66765" w:rsidRPr="00553A85" w:rsidRDefault="00E66765" w:rsidP="00E66765">
      <w:pPr>
        <w:pStyle w:val="Nivel3SM"/>
        <w:keepNext/>
      </w:pPr>
      <w:r>
        <w:t>No consenso: Optimalidad de los ciclos</w:t>
      </w:r>
    </w:p>
    <w:p w14:paraId="3EBA7864" w14:textId="77777777" w:rsidR="00E66765" w:rsidRDefault="00E66765" w:rsidP="00E66765">
      <w:pPr>
        <w:pStyle w:val="Nivel4"/>
        <w:ind w:left="1474"/>
      </w:pPr>
      <w:r>
        <w:rPr>
          <w:bCs/>
        </w:rPr>
        <w:t xml:space="preserve">Los autores de la </w:t>
      </w:r>
      <w:r w:rsidRPr="00D640B9">
        <w:rPr>
          <w:bCs/>
          <w:u w:val="single"/>
        </w:rPr>
        <w:t>NMC</w:t>
      </w:r>
      <w:r>
        <w:rPr>
          <w:bCs/>
        </w:rPr>
        <w:t xml:space="preserve"> c</w:t>
      </w:r>
      <w:r w:rsidRPr="009E1ED2">
        <w:rPr>
          <w:bCs/>
        </w:rPr>
        <w:t>onsidera</w:t>
      </w:r>
      <w:r>
        <w:rPr>
          <w:bCs/>
        </w:rPr>
        <w:t>n</w:t>
      </w:r>
      <w:r w:rsidRPr="009E1ED2">
        <w:rPr>
          <w:bCs/>
        </w:rPr>
        <w:t xml:space="preserve"> </w:t>
      </w:r>
      <w:r w:rsidRPr="009E1ED2">
        <w:t>los ciclos como el resultado de la respuesta óptima de agentes racionales ante variaciones en las condiciones económicas, por lo que las políticas estabilizadoras son consideradas totalmente inefectivas.</w:t>
      </w:r>
    </w:p>
    <w:p w14:paraId="12A97956" w14:textId="77777777" w:rsidR="00E66765" w:rsidRPr="00FD0790" w:rsidRDefault="00E66765" w:rsidP="00E66765">
      <w:pPr>
        <w:pStyle w:val="Nivel4"/>
        <w:ind w:left="1474"/>
        <w:rPr>
          <w:spacing w:val="-5"/>
        </w:rPr>
      </w:pPr>
      <w:r w:rsidRPr="00FD0790">
        <w:rPr>
          <w:spacing w:val="-5"/>
        </w:rPr>
        <w:t xml:space="preserve">Para los autores de la </w:t>
      </w:r>
      <w:r w:rsidRPr="00FD0790">
        <w:rPr>
          <w:spacing w:val="-5"/>
          <w:u w:val="single"/>
        </w:rPr>
        <w:t>NEK</w:t>
      </w:r>
      <w:r w:rsidRPr="00FD0790">
        <w:rPr>
          <w:spacing w:val="-5"/>
        </w:rPr>
        <w:t xml:space="preserve"> los ciclos no son óptimos debido a las rigideces nominales que provocan un excesivo ajuste en cantidades. Abogarán por el uso de políticas económicas controladas y estabilizadores automáticos para reducir los impactos del ciclo.</w:t>
      </w:r>
    </w:p>
    <w:p w14:paraId="0AA08607" w14:textId="77777777" w:rsidR="00E66765" w:rsidRPr="00D640B9" w:rsidRDefault="00E66765" w:rsidP="00E66765">
      <w:pPr>
        <w:pStyle w:val="Nivel3SM"/>
        <w:keepNext/>
      </w:pPr>
      <w:r w:rsidRPr="00D640B9">
        <w:t>Consenso: Estabilizadores automáticos</w:t>
      </w:r>
    </w:p>
    <w:p w14:paraId="4B426D58" w14:textId="77777777" w:rsidR="00E66765" w:rsidRDefault="00E66765" w:rsidP="00E66765">
      <w:pPr>
        <w:pStyle w:val="Nivel4"/>
        <w:ind w:left="1474"/>
      </w:pPr>
      <w:r w:rsidRPr="009E1ED2">
        <w:t xml:space="preserve">En cualquier caso, existe un cierto </w:t>
      </w:r>
      <w:r w:rsidRPr="00C756FC">
        <w:rPr>
          <w:b/>
        </w:rPr>
        <w:t>consenso</w:t>
      </w:r>
      <w:r w:rsidRPr="009E1ED2">
        <w:t xml:space="preserve"> acerca de</w:t>
      </w:r>
      <w:r>
        <w:t xml:space="preserve"> ciertos </w:t>
      </w:r>
      <w:r w:rsidRPr="00C756FC">
        <w:rPr>
          <w:b/>
        </w:rPr>
        <w:t>problemas inherentes</w:t>
      </w:r>
      <w:r>
        <w:t xml:space="preserve"> de la </w:t>
      </w:r>
      <w:r w:rsidRPr="00C756FC">
        <w:rPr>
          <w:b/>
        </w:rPr>
        <w:t>política económica discrecional</w:t>
      </w:r>
      <w:r>
        <w:t xml:space="preserve">. </w:t>
      </w:r>
      <w:r w:rsidRPr="009E1ED2">
        <w:t xml:space="preserve">Por ello, se considera en general que la estabilización debe llevarse a cabo a través de </w:t>
      </w:r>
      <w:r w:rsidRPr="00C756FC">
        <w:rPr>
          <w:b/>
        </w:rPr>
        <w:t>estabilizadores automáticos</w:t>
      </w:r>
      <w:r w:rsidRPr="009E1ED2">
        <w:t>.</w:t>
      </w:r>
    </w:p>
    <w:p w14:paraId="4E69A8A7" w14:textId="77777777" w:rsidR="00E66765" w:rsidRPr="009E1ED2" w:rsidRDefault="00E66765" w:rsidP="00E66765">
      <w:pPr>
        <w:pStyle w:val="Nivel4"/>
        <w:keepNext/>
        <w:ind w:left="1474"/>
      </w:pPr>
      <w:r>
        <w:t>Los problemas son:</w:t>
      </w:r>
    </w:p>
    <w:p w14:paraId="4677E6C9" w14:textId="77777777" w:rsidR="00E66765" w:rsidRDefault="00E66765" w:rsidP="00E66765">
      <w:pPr>
        <w:pStyle w:val="Nivel5"/>
        <w:ind w:left="1871"/>
      </w:pPr>
      <w:r>
        <w:t>L</w:t>
      </w:r>
      <w:r w:rsidRPr="009E1ED2">
        <w:t>os errores en su instrumentación debidos a la existencia de información imperfecta</w:t>
      </w:r>
      <w:r>
        <w:t>.</w:t>
      </w:r>
    </w:p>
    <w:p w14:paraId="00DD77E1" w14:textId="77777777" w:rsidR="00E66765" w:rsidRDefault="00E66765" w:rsidP="00E66765">
      <w:pPr>
        <w:pStyle w:val="Nivel5"/>
        <w:ind w:left="1871"/>
      </w:pPr>
      <w:r>
        <w:t>L</w:t>
      </w:r>
      <w:r w:rsidRPr="009E1ED2">
        <w:t>a existencia de retardos en su puesta en marcha y efectos.</w:t>
      </w:r>
    </w:p>
    <w:p w14:paraId="4B4C9175" w14:textId="77777777" w:rsidR="00E66765" w:rsidRDefault="00E66765" w:rsidP="00E66765">
      <w:pPr>
        <w:pStyle w:val="Nivel5"/>
        <w:ind w:left="1871"/>
      </w:pPr>
      <w:r>
        <w:t>E</w:t>
      </w:r>
      <w:r w:rsidRPr="009E1ED2">
        <w:t>l tamaño reducido del efecto multiplicador</w:t>
      </w:r>
      <w:r>
        <w:t>.</w:t>
      </w:r>
    </w:p>
    <w:p w14:paraId="5375217A" w14:textId="77777777" w:rsidR="00E66765" w:rsidRPr="00C756FC" w:rsidRDefault="00E66765" w:rsidP="00E66765">
      <w:pPr>
        <w:pStyle w:val="Nivel3SM"/>
        <w:keepNext/>
      </w:pPr>
      <w:r w:rsidRPr="00C756FC">
        <w:t xml:space="preserve">Cambio de paradigma: Necesidad de </w:t>
      </w:r>
      <w:r>
        <w:t>política fiscal</w:t>
      </w:r>
      <w:r w:rsidRPr="00C756FC">
        <w:t xml:space="preserve"> discrecional</w:t>
      </w:r>
    </w:p>
    <w:p w14:paraId="4F9220CF" w14:textId="77777777" w:rsidR="00E66765" w:rsidRDefault="00E66765" w:rsidP="00E66765">
      <w:pPr>
        <w:pStyle w:val="Nivel4"/>
        <w:keepNext/>
        <w:ind w:left="1474"/>
      </w:pPr>
      <w:r w:rsidRPr="009E1ED2">
        <w:t xml:space="preserve">No obstante, la crisis ha reavivado el debate sobre el tamaño de los multiplicadores fiscales, y autores como </w:t>
      </w:r>
      <w:r w:rsidRPr="005D0932">
        <w:rPr>
          <w:smallCaps/>
        </w:rPr>
        <w:t>Blanchard</w:t>
      </w:r>
      <w:r w:rsidRPr="009E1ED2">
        <w:t xml:space="preserve"> (2013) señalan su mayor importancia en un contexto recesivo o de crecimiento débil debido a 2</w:t>
      </w:r>
      <w:r>
        <w:t> </w:t>
      </w:r>
      <w:r w:rsidRPr="009E1ED2">
        <w:t>factores:</w:t>
      </w:r>
    </w:p>
    <w:p w14:paraId="340176B9" w14:textId="77777777" w:rsidR="00E66765" w:rsidRDefault="00E66765" w:rsidP="00E66765">
      <w:pPr>
        <w:pStyle w:val="Nivel5"/>
        <w:ind w:left="1871"/>
      </w:pPr>
      <w:r w:rsidRPr="009E1ED2">
        <w:t>La aparición de restricciones crediticias.</w:t>
      </w:r>
    </w:p>
    <w:p w14:paraId="373462A9" w14:textId="77777777" w:rsidR="00E66765" w:rsidRDefault="00E66765" w:rsidP="00E66765">
      <w:pPr>
        <w:pStyle w:val="Nivel5"/>
        <w:ind w:left="1871"/>
      </w:pPr>
      <w:r w:rsidRPr="009E1ED2">
        <w:t xml:space="preserve">El hecho de que la </w:t>
      </w:r>
      <w:r>
        <w:t>política monetaria</w:t>
      </w:r>
      <w:r w:rsidRPr="009E1ED2">
        <w:t xml:space="preserve"> puede ver reducido su margen de actuación</w:t>
      </w:r>
      <w:r w:rsidRPr="009E1ED2">
        <w:rPr>
          <w:b/>
          <w:bCs/>
        </w:rPr>
        <w:t xml:space="preserve"> </w:t>
      </w:r>
      <w:r w:rsidRPr="009E1ED2">
        <w:t>(</w:t>
      </w:r>
      <w:proofErr w:type="spellStart"/>
      <w:r>
        <w:rPr>
          <w:i/>
          <w:iCs/>
        </w:rPr>
        <w:t>effective</w:t>
      </w:r>
      <w:proofErr w:type="spellEnd"/>
      <w:r>
        <w:rPr>
          <w:i/>
          <w:iCs/>
        </w:rPr>
        <w:t xml:space="preserve"> </w:t>
      </w:r>
      <w:proofErr w:type="spellStart"/>
      <w:r>
        <w:rPr>
          <w:i/>
          <w:iCs/>
        </w:rPr>
        <w:t>lower</w:t>
      </w:r>
      <w:proofErr w:type="spellEnd"/>
      <w:r>
        <w:rPr>
          <w:i/>
          <w:iCs/>
        </w:rPr>
        <w:t xml:space="preserve"> </w:t>
      </w:r>
      <w:proofErr w:type="spellStart"/>
      <w:r>
        <w:rPr>
          <w:i/>
          <w:iCs/>
        </w:rPr>
        <w:t>bound</w:t>
      </w:r>
      <w:proofErr w:type="spellEnd"/>
      <w:r w:rsidRPr="009E1ED2">
        <w:t>)</w:t>
      </w:r>
      <w:r>
        <w:t xml:space="preserve"> debido a la trampa de liquidez.</w:t>
      </w:r>
    </w:p>
    <w:p w14:paraId="6FB9C3DC" w14:textId="77777777" w:rsidR="00E66765" w:rsidRDefault="00E66765" w:rsidP="00E66765">
      <w:pPr>
        <w:pStyle w:val="Nivel4"/>
        <w:ind w:left="1474"/>
      </w:pPr>
      <w:r>
        <w:t xml:space="preserve">Este punto de vista es recuperado por la aportación de </w:t>
      </w:r>
      <w:r w:rsidRPr="00A92ED5">
        <w:rPr>
          <w:smallCaps/>
        </w:rPr>
        <w:t>Larry Summers</w:t>
      </w:r>
      <w:r>
        <w:t xml:space="preserve"> y </w:t>
      </w:r>
      <w:r w:rsidRPr="00A92ED5">
        <w:rPr>
          <w:smallCaps/>
        </w:rPr>
        <w:t>Lukasz Rachel</w:t>
      </w:r>
      <w:r>
        <w:t xml:space="preserve"> en marzo de 2019.</w:t>
      </w:r>
    </w:p>
    <w:p w14:paraId="449BC04A" w14:textId="77777777" w:rsidR="00E66765" w:rsidRPr="009530EF" w:rsidRDefault="00E66765" w:rsidP="00E66765">
      <w:pPr>
        <w:pStyle w:val="Ttulo6"/>
      </w:pPr>
      <w:bookmarkStart w:id="73" w:name="_Toc150975445"/>
      <w:r>
        <w:t>Comodín: La política fiscal y el estancamiento secular</w:t>
      </w:r>
      <w:bookmarkEnd w:id="73"/>
    </w:p>
    <w:p w14:paraId="262CA9FB" w14:textId="77777777" w:rsidR="00E66765" w:rsidRDefault="00E66765" w:rsidP="00E66765">
      <w:pPr>
        <w:pStyle w:val="Ttulo7"/>
        <w:spacing w:before="0"/>
      </w:pPr>
      <w:bookmarkStart w:id="74" w:name="_Toc146266693"/>
      <w:bookmarkStart w:id="75" w:name="_Toc150975446"/>
      <w:r>
        <w:t>Estancamiento secular y tipos de interés reales negativos</w:t>
      </w:r>
      <w:bookmarkEnd w:id="74"/>
      <w:bookmarkEnd w:id="75"/>
    </w:p>
    <w:p w14:paraId="1A81C685" w14:textId="77777777" w:rsidR="00E66765" w:rsidRDefault="00E66765" w:rsidP="00E66765">
      <w:pPr>
        <w:pStyle w:val="Nivel2SM"/>
        <w:keepNext/>
        <w:spacing w:after="0"/>
      </w:pPr>
      <w:r>
        <w:t xml:space="preserve">En marzo de 2019 </w:t>
      </w:r>
      <w:r w:rsidRPr="009530EF">
        <w:rPr>
          <w:smallCaps/>
        </w:rPr>
        <w:t>Larry Summers</w:t>
      </w:r>
      <w:r>
        <w:t xml:space="preserve"> y </w:t>
      </w:r>
      <w:r w:rsidRPr="009530EF">
        <w:rPr>
          <w:smallCaps/>
        </w:rPr>
        <w:t>Lukasz Rachel</w:t>
      </w:r>
      <w:r>
        <w:t xml:space="preserve"> publicaron un artículo donde han advertido de la </w:t>
      </w:r>
      <w:r w:rsidRPr="009530EF">
        <w:rPr>
          <w:i/>
          <w:iCs/>
          <w:u w:val="single"/>
        </w:rPr>
        <w:t>situación de estancamiento secular</w:t>
      </w:r>
      <w:r>
        <w:t xml:space="preserve"> en la que se encuentran las principales economías desarrolladas a raíz de un exceso de ahorro privado y una falta de inversión privada provocado por factores como:</w:t>
      </w:r>
    </w:p>
    <w:p w14:paraId="7FA9A8F7" w14:textId="77777777" w:rsidR="00E66765" w:rsidRDefault="00E66765" w:rsidP="00E66765">
      <w:pPr>
        <w:pStyle w:val="Nivel3SM"/>
        <w:keepNext/>
      </w:pPr>
      <w:r w:rsidRPr="000A384D">
        <w:t>Ahorro</w:t>
      </w:r>
    </w:p>
    <w:p w14:paraId="2AC404F7" w14:textId="77777777" w:rsidR="00E66765" w:rsidRDefault="00E66765" w:rsidP="00E66765">
      <w:pPr>
        <w:pStyle w:val="Nivel4"/>
        <w:ind w:left="1474"/>
      </w:pPr>
      <w:r>
        <w:t>Envejecimiento población y reducción de la natalidad (al tener menos hijos se ahorra más).</w:t>
      </w:r>
    </w:p>
    <w:p w14:paraId="3CFF4DAC" w14:textId="77777777" w:rsidR="00E66765" w:rsidRDefault="00E66765" w:rsidP="00E66765">
      <w:pPr>
        <w:pStyle w:val="Nivel4"/>
        <w:ind w:left="1474"/>
      </w:pPr>
      <w:r>
        <w:t>Incertidumbre: Ahorro precautorio.</w:t>
      </w:r>
    </w:p>
    <w:p w14:paraId="2953A670" w14:textId="77777777" w:rsidR="00E66765" w:rsidRPr="000A384D" w:rsidRDefault="00E66765" w:rsidP="00E66765">
      <w:pPr>
        <w:pStyle w:val="Nivel3SM"/>
        <w:keepNext/>
      </w:pPr>
      <w:r w:rsidRPr="00E63DC6">
        <w:t>Inversión</w:t>
      </w:r>
    </w:p>
    <w:p w14:paraId="0924E032" w14:textId="77777777" w:rsidR="00E66765" w:rsidRDefault="00E66765" w:rsidP="00E66765">
      <w:pPr>
        <w:pStyle w:val="Nivel4"/>
        <w:ind w:left="1474"/>
      </w:pPr>
      <w:r>
        <w:t>Incertidumbre: Afecta los animal spirits.</w:t>
      </w:r>
    </w:p>
    <w:p w14:paraId="66B998E8" w14:textId="77777777" w:rsidR="00E66765" w:rsidRDefault="00E66765" w:rsidP="00E66765">
      <w:pPr>
        <w:pStyle w:val="Nivel4"/>
        <w:ind w:left="1474"/>
      </w:pPr>
      <w:r>
        <w:t>Histéresis</w:t>
      </w:r>
    </w:p>
    <w:p w14:paraId="792BE5B4" w14:textId="77777777" w:rsidR="00E66765" w:rsidRDefault="00E66765" w:rsidP="00E66765">
      <w:pPr>
        <w:pStyle w:val="Nivel4"/>
        <w:ind w:left="1474"/>
      </w:pPr>
      <w:r>
        <w:t>Aumento del e-commerce (reduce la inversión real).</w:t>
      </w:r>
    </w:p>
    <w:p w14:paraId="24181A09" w14:textId="77777777" w:rsidR="00E66765" w:rsidRPr="009530EF" w:rsidRDefault="00E66765" w:rsidP="00E66765">
      <w:pPr>
        <w:pStyle w:val="Nivel2SM"/>
      </w:pPr>
      <w:r>
        <w:t>Estos aspectos han llevado a reducciones de hasta un 3 % en el tipo de interés real neutral, aquel que iguala el ahorro y la inversión en el mercado de fondos prestables, haciendo que se encuentre en niveles cercanos a cero o negativos en muchos países desarrollados.</w:t>
      </w:r>
    </w:p>
    <w:p w14:paraId="4BAB979F" w14:textId="77777777" w:rsidR="00E66765" w:rsidRPr="009530EF" w:rsidRDefault="00E66765" w:rsidP="00E66765">
      <w:pPr>
        <w:ind w:left="720"/>
        <w:jc w:val="center"/>
      </w:pPr>
      <w:r>
        <w:rPr>
          <w:noProof/>
        </w:rPr>
        <w:lastRenderedPageBreak/>
        <w:drawing>
          <wp:inline distT="0" distB="0" distL="0" distR="0" wp14:anchorId="3C741C29" wp14:editId="4D692171">
            <wp:extent cx="1362075" cy="1476375"/>
            <wp:effectExtent l="0" t="0" r="0" b="0"/>
            <wp:docPr id="25" name="Imagen 1"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1" descr="Imagen en blanco y negro&#10;&#10;Descripción generada automáticamente con confianza baja"/>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362075" cy="1476375"/>
                    </a:xfrm>
                    <a:prstGeom prst="rect">
                      <a:avLst/>
                    </a:prstGeom>
                    <a:noFill/>
                    <a:ln>
                      <a:noFill/>
                    </a:ln>
                  </pic:spPr>
                </pic:pic>
              </a:graphicData>
            </a:graphic>
          </wp:inline>
        </w:drawing>
      </w:r>
    </w:p>
    <w:p w14:paraId="10E48C20" w14:textId="77777777" w:rsidR="00E66765" w:rsidRDefault="00E66765" w:rsidP="00E66765">
      <w:pPr>
        <w:pStyle w:val="Nivel2SM"/>
        <w:keepNext/>
        <w:spacing w:after="0"/>
      </w:pPr>
      <w:r>
        <w:t>Por tanto, en caso de no implementarse soluciones no podrá asegurarse en el largo plazo que las economías por sí solas (mediante fuerzas de mercado) alcancen el pleno empleo:</w:t>
      </w:r>
    </w:p>
    <w:p w14:paraId="2AE0678A" w14:textId="77777777" w:rsidR="00E66765" w:rsidRDefault="00E66765" w:rsidP="00E66765">
      <w:pPr>
        <w:pStyle w:val="Nivel3SM"/>
      </w:pPr>
      <w:r>
        <w:t>Subyace en esta idea el pensamiento keynesiano, el cual postula que una depresión permanente es posible en caso de no intervención.</w:t>
      </w:r>
    </w:p>
    <w:p w14:paraId="7DF0F0A5" w14:textId="77777777" w:rsidR="00E66765" w:rsidRPr="009530EF" w:rsidRDefault="00E66765" w:rsidP="00E66765">
      <w:pPr>
        <w:pStyle w:val="Nivel3SM"/>
      </w:pPr>
      <w:r>
        <w:t>Además rechaza el pensamiento de la NEK, la cual se apoya en rigidices de precios temporales para justificar el desempleo involuntario.</w:t>
      </w:r>
    </w:p>
    <w:p w14:paraId="1F4CF024" w14:textId="77777777" w:rsidR="00E66765" w:rsidRDefault="00E66765" w:rsidP="00E66765">
      <w:pPr>
        <w:pStyle w:val="Ttulo7"/>
      </w:pPr>
      <w:bookmarkStart w:id="76" w:name="_Toc146266694"/>
      <w:bookmarkStart w:id="77" w:name="_Toc150975447"/>
      <w:r>
        <w:t>Soluciones iniciales: Política monetaria</w:t>
      </w:r>
      <w:bookmarkEnd w:id="76"/>
      <w:bookmarkEnd w:id="77"/>
    </w:p>
    <w:p w14:paraId="65A554D7" w14:textId="77777777" w:rsidR="00E66765" w:rsidRDefault="00E66765" w:rsidP="00E66765">
      <w:pPr>
        <w:pStyle w:val="Nivel2SM"/>
        <w:keepNext/>
        <w:spacing w:after="0"/>
      </w:pPr>
      <w:r>
        <w:t>La solución llevada a cabo en la mayoría de los países fue en el ámbito de la política monetaria con el objetivo de aumentar la inflación para reducir así los tipos de interés reales.</w:t>
      </w:r>
    </w:p>
    <w:p w14:paraId="12B4AC0D" w14:textId="77777777" w:rsidR="00E66765" w:rsidRPr="00954DB0" w:rsidRDefault="00E66765" w:rsidP="00E66765">
      <w:pPr>
        <w:pStyle w:val="Nivel3SM"/>
        <w:keepNext/>
      </w:pPr>
      <w:r>
        <w:t>Política monetaria convencional</w:t>
      </w:r>
    </w:p>
    <w:p w14:paraId="38393070" w14:textId="77777777" w:rsidR="00E66765" w:rsidRPr="009D1870" w:rsidRDefault="00E66765" w:rsidP="00E66765">
      <w:pPr>
        <w:pStyle w:val="Nivel4"/>
        <w:ind w:left="1474"/>
      </w:pPr>
      <w:r>
        <w:t>Los bancos centrales de los principales países desarrollados han reducido los tipos de interés de referencia (nominales) muy cercanos al 0 %.</w:t>
      </w:r>
    </w:p>
    <w:p w14:paraId="0503F7A2" w14:textId="77777777" w:rsidR="00E66765" w:rsidRDefault="00E66765" w:rsidP="00E66765">
      <w:pPr>
        <w:pStyle w:val="Nivel3SM"/>
        <w:keepNext/>
      </w:pPr>
      <w:r w:rsidRPr="00954DB0">
        <w:t>Política monetaria no</w:t>
      </w:r>
      <w:r>
        <w:t> </w:t>
      </w:r>
      <w:r w:rsidRPr="00954DB0">
        <w:t>convencional</w:t>
      </w:r>
    </w:p>
    <w:p w14:paraId="043FA526" w14:textId="77777777" w:rsidR="00E66765" w:rsidRPr="009530EF" w:rsidRDefault="00E66765" w:rsidP="00E66765">
      <w:pPr>
        <w:pStyle w:val="Nivel4"/>
        <w:ind w:left="1474"/>
      </w:pPr>
      <w:r>
        <w:t>Además se han llevado múltiples rondas de QE y otras políticas monetarias de tipo no convencional. No obstante tampoco han tenido el éxito esperado en términos de inflación.</w:t>
      </w:r>
    </w:p>
    <w:p w14:paraId="18AF4520" w14:textId="77777777" w:rsidR="00E66765" w:rsidRPr="009530EF" w:rsidRDefault="00E66765" w:rsidP="00E66765">
      <w:pPr>
        <w:pStyle w:val="Nivel2SM"/>
        <w:rPr>
          <w:u w:val="single"/>
        </w:rPr>
      </w:pPr>
      <w:r>
        <w:t>Además esta solución de reducción de tipos de interés podría no solo ser insuficiente para hacer despegar la inversión privada sino que además podría llevar a situaciones de sobrevaloración de activos.</w:t>
      </w:r>
    </w:p>
    <w:p w14:paraId="16FB9772" w14:textId="77777777" w:rsidR="00E66765" w:rsidRPr="009530EF" w:rsidRDefault="00E66765" w:rsidP="00E66765">
      <w:pPr>
        <w:pStyle w:val="Ttulo7"/>
        <w:rPr>
          <w:u w:val="none"/>
        </w:rPr>
      </w:pPr>
      <w:bookmarkStart w:id="78" w:name="_Toc146266695"/>
      <w:bookmarkStart w:id="79" w:name="_Toc150975448"/>
      <w:r>
        <w:t>Solución alternativa: Política fiscal</w:t>
      </w:r>
      <w:bookmarkEnd w:id="78"/>
      <w:bookmarkEnd w:id="79"/>
    </w:p>
    <w:p w14:paraId="4CEDBA71" w14:textId="77777777" w:rsidR="00E66765" w:rsidRPr="002B00DF" w:rsidRDefault="00E66765" w:rsidP="00E66765">
      <w:pPr>
        <w:pStyle w:val="Nivel2SM"/>
        <w:keepNext/>
        <w:spacing w:after="0"/>
        <w:rPr>
          <w:u w:val="single"/>
        </w:rPr>
      </w:pPr>
      <w:r w:rsidRPr="00017197">
        <w:rPr>
          <w:smallCaps/>
        </w:rPr>
        <w:t>Summers</w:t>
      </w:r>
      <w:r>
        <w:t xml:space="preserve"> urge a la implementación de políticas fiscales expansivas y presupuesto desequilibrado para salir de la situación del estancamiento secular. </w:t>
      </w:r>
    </w:p>
    <w:p w14:paraId="57166C92" w14:textId="77777777" w:rsidR="00E66765" w:rsidRPr="00254BC8" w:rsidRDefault="00E66765" w:rsidP="00E66765">
      <w:pPr>
        <w:pStyle w:val="Nivel3SM"/>
        <w:rPr>
          <w:u w:val="single"/>
        </w:rPr>
      </w:pPr>
      <w:r>
        <w:t>A nivel gráfico esto supondría desplazar la curva de demanda de fondos prestables hacia la derecha.</w:t>
      </w:r>
    </w:p>
    <w:p w14:paraId="12500FFB" w14:textId="77777777" w:rsidR="00E66765" w:rsidRPr="00017197" w:rsidRDefault="00E66765" w:rsidP="00E66765">
      <w:pPr>
        <w:pStyle w:val="Nivel3SM"/>
        <w:rPr>
          <w:u w:val="single"/>
        </w:rPr>
      </w:pPr>
      <w:r>
        <w:t>Pone como ejemplo a la economía de Estados Unidos y cómo ésta experimentó un freno en el crecimiento económico cuando dejó de implementar políticas fiscales expansivas.</w:t>
      </w:r>
    </w:p>
    <w:p w14:paraId="2481DC17" w14:textId="77777777" w:rsidR="00E66765" w:rsidRPr="00050981" w:rsidRDefault="00E66765" w:rsidP="00E66765">
      <w:pPr>
        <w:pStyle w:val="Nivel2SM"/>
        <w:rPr>
          <w:u w:val="single"/>
        </w:rPr>
      </w:pPr>
      <w:r>
        <w:t xml:space="preserve">Como respuesta a las críticas en términos de peligro de insostenibilidad de la deuda, </w:t>
      </w:r>
      <w:r w:rsidRPr="00050981">
        <w:rPr>
          <w:smallCaps/>
        </w:rPr>
        <w:t>Summers</w:t>
      </w:r>
      <w:r>
        <w:t xml:space="preserve"> aboga que en un mundo en donde el gobierno puede endeudarse a tipos de interés reales negativos o cercanos a cero, el peligro no reside en la sostenibilidad de la deuda total sino en la sostenibilidad en términos del servicio de la deuda.</w:t>
      </w:r>
    </w:p>
    <w:p w14:paraId="24E511E8" w14:textId="77777777" w:rsidR="00E66765" w:rsidRDefault="00E66765" w:rsidP="00E66765">
      <w:pPr>
        <w:pStyle w:val="Nivel2SM"/>
      </w:pPr>
      <w:r>
        <w:t>Sin embargo, no todos los autores están de acuerdo.</w:t>
      </w:r>
    </w:p>
    <w:p w14:paraId="02ECC9ED" w14:textId="77777777" w:rsidR="00E66765" w:rsidRPr="00050981" w:rsidRDefault="00E66765" w:rsidP="00DE2557">
      <w:pPr>
        <w:pStyle w:val="Ttulo7"/>
      </w:pPr>
      <w:bookmarkStart w:id="80" w:name="_Toc146266696"/>
      <w:bookmarkStart w:id="81" w:name="_Toc150975449"/>
      <w:r>
        <w:rPr>
          <w:smallCaps/>
        </w:rPr>
        <w:t>John Cochrane</w:t>
      </w:r>
      <w:r>
        <w:t>: No es un problema de demanda</w:t>
      </w:r>
      <w:bookmarkEnd w:id="80"/>
      <w:bookmarkEnd w:id="81"/>
    </w:p>
    <w:p w14:paraId="510B3801" w14:textId="77777777" w:rsidR="00E66765" w:rsidRDefault="00E66765" w:rsidP="00E66765">
      <w:pPr>
        <w:pStyle w:val="Nivel2SM"/>
      </w:pPr>
      <w:r>
        <w:t xml:space="preserve">En el momento en que </w:t>
      </w:r>
      <w:r w:rsidRPr="00193736">
        <w:rPr>
          <w:smallCaps/>
        </w:rPr>
        <w:t>Summers</w:t>
      </w:r>
      <w:r>
        <w:t xml:space="preserve"> recomendaba estímulos, la tasa desempleo de Estados Unidos estaba en niveles menores que el 4 %. No hay un problema de demanda.</w:t>
      </w:r>
    </w:p>
    <w:p w14:paraId="36704CF7" w14:textId="77777777" w:rsidR="00E66765" w:rsidRDefault="00E66765" w:rsidP="00E66765">
      <w:pPr>
        <w:pStyle w:val="Nivel2SM"/>
      </w:pPr>
      <w:r>
        <w:t>Recomienda ser más cautos en recomendar expansiones fiscales.</w:t>
      </w:r>
    </w:p>
    <w:p w14:paraId="0D457EF8" w14:textId="77777777" w:rsidR="00E66765" w:rsidRPr="00365C91" w:rsidRDefault="00E66765" w:rsidP="00DE2557">
      <w:pPr>
        <w:pStyle w:val="Ttulo7"/>
        <w:rPr>
          <w:lang w:val="en-US"/>
        </w:rPr>
      </w:pPr>
      <w:bookmarkStart w:id="82" w:name="_Toc145421446"/>
      <w:bookmarkStart w:id="83" w:name="_Toc146266697"/>
      <w:bookmarkStart w:id="84" w:name="_Toc150975450"/>
      <w:r w:rsidRPr="00365C91">
        <w:rPr>
          <w:smallCaps/>
          <w:lang w:val="en-US"/>
        </w:rPr>
        <w:lastRenderedPageBreak/>
        <w:t>Blanchard</w:t>
      </w:r>
      <w:r w:rsidRPr="00365C91">
        <w:rPr>
          <w:lang w:val="en-US"/>
        </w:rPr>
        <w:t xml:space="preserve"> vs </w:t>
      </w:r>
      <w:r w:rsidRPr="00365C91">
        <w:rPr>
          <w:smallCaps/>
          <w:lang w:val="en-US"/>
        </w:rPr>
        <w:t>Summers</w:t>
      </w:r>
      <w:r w:rsidRPr="00365C91">
        <w:rPr>
          <w:lang w:val="en-US"/>
        </w:rPr>
        <w:t>: Is secular stagnation over?</w:t>
      </w:r>
      <w:bookmarkEnd w:id="82"/>
      <w:bookmarkEnd w:id="83"/>
      <w:bookmarkEnd w:id="84"/>
    </w:p>
    <w:p w14:paraId="3E249E66" w14:textId="2554571C" w:rsidR="00E66765" w:rsidRPr="00616BBF" w:rsidRDefault="00E66765" w:rsidP="00DE2557">
      <w:pPr>
        <w:pStyle w:val="Cajadeanotaciones"/>
        <w:keepNext/>
        <w:spacing w:after="0"/>
        <w:rPr>
          <w:lang w:val="en-US"/>
        </w:rPr>
      </w:pPr>
      <w:hyperlink r:id="rId42" w:history="1">
        <w:r w:rsidRPr="00365C91">
          <w:rPr>
            <w:rStyle w:val="Hipervnculo"/>
            <w:lang w:val="en-US"/>
          </w:rPr>
          <w:t>https://www.piie.com/blogs/realtime-economics/secular-stagnation-not-over</w:t>
        </w:r>
      </w:hyperlink>
    </w:p>
    <w:p w14:paraId="1DDD92A3" w14:textId="6FBCE656" w:rsidR="00E66765" w:rsidRPr="005B0050" w:rsidRDefault="00E66765" w:rsidP="00DE2557">
      <w:pPr>
        <w:pStyle w:val="Cajadeanotaciones"/>
        <w:keepNext/>
        <w:spacing w:after="0"/>
        <w:rPr>
          <w:lang w:val="en-US"/>
        </w:rPr>
      </w:pPr>
      <w:hyperlink r:id="rId43" w:history="1">
        <w:r w:rsidRPr="005B0050">
          <w:rPr>
            <w:rStyle w:val="Hipervnculo"/>
            <w:lang w:val="en-US"/>
          </w:rPr>
          <w:t>https://www.piie.com/events/summers-and-blanchard-debate-future-interest-rates</w:t>
        </w:r>
      </w:hyperlink>
    </w:p>
    <w:p w14:paraId="584F3A0D" w14:textId="126DA12B" w:rsidR="00E66765" w:rsidRDefault="00E66765" w:rsidP="00DE2557">
      <w:pPr>
        <w:pStyle w:val="Cajadeanotaciones"/>
        <w:keepNext/>
        <w:spacing w:after="0"/>
        <w:rPr>
          <w:lang w:val="fr-FR"/>
        </w:rPr>
      </w:pPr>
      <w:hyperlink r:id="rId44" w:history="1">
        <w:r w:rsidRPr="00616BBF">
          <w:rPr>
            <w:rStyle w:val="Hipervnculo"/>
            <w:lang w:val="fr-FR"/>
          </w:rPr>
          <w:t>https://youtu.be/df5csVeBcrQ?t=538</w:t>
        </w:r>
      </w:hyperlink>
      <w:r w:rsidRPr="00616BBF">
        <w:rPr>
          <w:lang w:val="fr-FR"/>
        </w:rPr>
        <w:t xml:space="preserve"> </w:t>
      </w:r>
      <w:r>
        <w:rPr>
          <w:lang w:val="fr-FR"/>
        </w:rPr>
        <w:t>–</w:t>
      </w:r>
      <w:r w:rsidRPr="00616BBF">
        <w:rPr>
          <w:lang w:val="fr-FR"/>
        </w:rPr>
        <w:t xml:space="preserve"> </w:t>
      </w:r>
      <w:r w:rsidRPr="00616BBF">
        <w:rPr>
          <w:smallCaps/>
          <w:lang w:val="fr-FR"/>
        </w:rPr>
        <w:t>Blanchard</w:t>
      </w:r>
    </w:p>
    <w:p w14:paraId="7272DF75" w14:textId="52A0E627" w:rsidR="00E66765" w:rsidRPr="00616BBF" w:rsidRDefault="00E66765" w:rsidP="00DE2557">
      <w:pPr>
        <w:pStyle w:val="Cajadeanotaciones"/>
        <w:keepNext/>
        <w:rPr>
          <w:lang w:val="en-US"/>
        </w:rPr>
      </w:pPr>
      <w:hyperlink r:id="rId45" w:history="1">
        <w:r w:rsidRPr="003561D8">
          <w:rPr>
            <w:rStyle w:val="Hipervnculo"/>
            <w:lang w:val="en-US"/>
          </w:rPr>
          <w:t>https://youtu.be/df5csVeBcrQ?t=1140</w:t>
        </w:r>
      </w:hyperlink>
      <w:bookmarkStart w:id="85" w:name="_Ref149647756"/>
      <w:bookmarkStart w:id="86" w:name="_Ref149647820"/>
      <w:r w:rsidRPr="00616BBF">
        <w:rPr>
          <w:lang w:val="en-US"/>
        </w:rPr>
        <w:t xml:space="preserve"> </w:t>
      </w:r>
      <w:r>
        <w:rPr>
          <w:lang w:val="en-US"/>
        </w:rPr>
        <w:t>–</w:t>
      </w:r>
      <w:r w:rsidRPr="00616BBF">
        <w:rPr>
          <w:lang w:val="en-US"/>
        </w:rPr>
        <w:t xml:space="preserve"> </w:t>
      </w:r>
      <w:r w:rsidRPr="00616BBF">
        <w:rPr>
          <w:smallCaps/>
          <w:lang w:val="en-US"/>
        </w:rPr>
        <w:t>Summers</w:t>
      </w:r>
    </w:p>
    <w:p w14:paraId="3BF38A6F" w14:textId="77777777" w:rsidR="00E66765" w:rsidRDefault="00E66765" w:rsidP="00E66765">
      <w:pPr>
        <w:pStyle w:val="Nivel1SM"/>
        <w:keepNext/>
        <w:spacing w:before="0" w:after="0"/>
      </w:pPr>
      <w:r>
        <w:t>Idea principal:</w:t>
      </w:r>
    </w:p>
    <w:p w14:paraId="091292C7" w14:textId="77777777" w:rsidR="00E66765" w:rsidRDefault="00E66765" w:rsidP="00E66765">
      <w:pPr>
        <w:pStyle w:val="Nivel2SM"/>
        <w:keepNext/>
        <w:spacing w:after="0"/>
      </w:pPr>
      <w:r>
        <w:t xml:space="preserve">Paradójicamente, </w:t>
      </w:r>
      <w:r>
        <w:rPr>
          <w:smallCaps/>
        </w:rPr>
        <w:t>Larry Summers</w:t>
      </w:r>
      <w:r>
        <w:t xml:space="preserve"> </w:t>
      </w:r>
      <w:r w:rsidRPr="00365C91">
        <w:rPr>
          <w:sz w:val="19"/>
          <w:szCs w:val="19"/>
        </w:rPr>
        <w:t xml:space="preserve">(primer economista en rescatar el concepto introducido por </w:t>
      </w:r>
      <w:r w:rsidRPr="00365C91">
        <w:rPr>
          <w:smallCaps/>
          <w:sz w:val="19"/>
          <w:szCs w:val="19"/>
        </w:rPr>
        <w:t>Alvin Hansen</w:t>
      </w:r>
      <w:r w:rsidRPr="00365C91">
        <w:rPr>
          <w:sz w:val="19"/>
          <w:szCs w:val="19"/>
        </w:rPr>
        <w:t xml:space="preserve"> y considerar que la economía se encuentra ante un problema de estancamiento secular en 2013)</w:t>
      </w:r>
      <w:r>
        <w:t xml:space="preserve"> afirma en 2022 que el mundo ya no se encuentra en una situación de estancamiento secular. Por el contrario, </w:t>
      </w:r>
      <w:r>
        <w:rPr>
          <w:smallCaps/>
        </w:rPr>
        <w:t>Olivier Blanchard</w:t>
      </w:r>
      <w:r>
        <w:t xml:space="preserve"> considera que aún no se ha acabado dicho escenario y que son circunstancias excepcionales las que han llevado a mayores tipos de interés.</w:t>
      </w:r>
    </w:p>
    <w:p w14:paraId="28959697" w14:textId="77777777" w:rsidR="00E66765" w:rsidRDefault="00E66765" w:rsidP="00E66765">
      <w:pPr>
        <w:pStyle w:val="Nivel3SM"/>
        <w:keepNext/>
      </w:pPr>
      <w:r w:rsidRPr="00616BBF">
        <w:rPr>
          <w:smallCaps/>
        </w:rPr>
        <w:t>Blanchard</w:t>
      </w:r>
      <w:r>
        <w:t>:</w:t>
      </w:r>
    </w:p>
    <w:p w14:paraId="0DBEDE79" w14:textId="77777777" w:rsidR="00E66765" w:rsidRPr="00BA1A85" w:rsidRDefault="00E66765" w:rsidP="00E66765">
      <w:pPr>
        <w:pStyle w:val="Nivel4"/>
        <w:keepNext/>
        <w:ind w:left="1474"/>
        <w:rPr>
          <w:spacing w:val="-1"/>
        </w:rPr>
      </w:pPr>
      <w:r w:rsidRPr="00BA1A85">
        <w:rPr>
          <w:spacing w:val="-1"/>
        </w:rPr>
        <w:t>En los 35 años previos a la pandemia los tipos de interés reales caen en todo el mundo.</w:t>
      </w:r>
    </w:p>
    <w:p w14:paraId="6E698399" w14:textId="77777777" w:rsidR="00E66765" w:rsidRDefault="00E66765" w:rsidP="00E66765">
      <w:pPr>
        <w:pStyle w:val="Nivel5"/>
        <w:keepNext/>
        <w:ind w:left="1871"/>
      </w:pPr>
      <w:r>
        <w:t>Factores clave:</w:t>
      </w:r>
    </w:p>
    <w:p w14:paraId="60EA74E6" w14:textId="77777777" w:rsidR="00E66765" w:rsidRDefault="00E66765" w:rsidP="00E66765">
      <w:pPr>
        <w:pStyle w:val="Nivel6"/>
        <w:ind w:left="2212"/>
      </w:pPr>
      <w:r w:rsidRPr="00BF7ED9">
        <w:rPr>
          <w:i/>
          <w:iCs/>
        </w:rPr>
        <w:t xml:space="preserve">Demand </w:t>
      </w:r>
      <w:proofErr w:type="spellStart"/>
      <w:r w:rsidRPr="00BF7ED9">
        <w:rPr>
          <w:i/>
          <w:iCs/>
        </w:rPr>
        <w:t>for</w:t>
      </w:r>
      <w:proofErr w:type="spellEnd"/>
      <w:r w:rsidRPr="00BF7ED9">
        <w:rPr>
          <w:i/>
          <w:iCs/>
        </w:rPr>
        <w:t xml:space="preserve"> safety</w:t>
      </w:r>
      <w:r w:rsidRPr="00BF7ED9">
        <w:t>,</w:t>
      </w:r>
    </w:p>
    <w:p w14:paraId="1D938030" w14:textId="77777777" w:rsidR="00E66765" w:rsidRDefault="00E66765" w:rsidP="00E66765">
      <w:pPr>
        <w:pStyle w:val="Nivel6"/>
        <w:ind w:left="2212"/>
      </w:pPr>
      <w:r w:rsidRPr="00BF7ED9">
        <w:t>Envejecimiento de la población</w:t>
      </w:r>
      <w:r>
        <w:t>; y</w:t>
      </w:r>
    </w:p>
    <w:p w14:paraId="3EA962BE" w14:textId="77777777" w:rsidR="00E66765" w:rsidRDefault="00E66765" w:rsidP="00E66765">
      <w:pPr>
        <w:pStyle w:val="Nivel6"/>
        <w:keepNext/>
        <w:ind w:left="2212"/>
      </w:pPr>
      <w:r>
        <w:t>Demanda de inversión débil. Esto podría cambiar debido a:</w:t>
      </w:r>
    </w:p>
    <w:p w14:paraId="033DDA6F" w14:textId="77777777" w:rsidR="00E66765" w:rsidRDefault="00E66765" w:rsidP="00E66765">
      <w:pPr>
        <w:pStyle w:val="Nivel7"/>
        <w:ind w:left="2438"/>
      </w:pPr>
      <w:r>
        <w:t xml:space="preserve">Inteligencia artificial (que lleve a un mayor crecimiento de la PTF, </w:t>
      </w:r>
      <w:proofErr w:type="gramStart"/>
      <w:r>
        <w:t xml:space="preserve">mayor </w:t>
      </w:r>
      <w:r>
        <w:rPr>
          <w:i/>
          <w:iCs/>
        </w:rPr>
        <w:t>g</w:t>
      </w:r>
      <w:r>
        <w:t xml:space="preserve"> y mayor </w:t>
      </w:r>
      <w:r>
        <w:rPr>
          <w:i/>
          <w:iCs/>
        </w:rPr>
        <w:t>r</w:t>
      </w:r>
      <w:proofErr w:type="gramEnd"/>
      <w:r>
        <w:t xml:space="preserve"> y, por lo </w:t>
      </w:r>
      <w:proofErr w:type="gramStart"/>
      <w:r>
        <w:t>tanto</w:t>
      </w:r>
      <w:proofErr w:type="gramEnd"/>
      <w:r>
        <w:t xml:space="preserve"> generando efectos ambiguos)</w:t>
      </w:r>
      <w:r w:rsidRPr="00BF7ED9">
        <w:t>.</w:t>
      </w:r>
    </w:p>
    <w:p w14:paraId="76F18BC5" w14:textId="77777777" w:rsidR="00E66765" w:rsidRDefault="00E66765" w:rsidP="00E66765">
      <w:pPr>
        <w:pStyle w:val="Nivel7"/>
        <w:ind w:left="2438"/>
      </w:pPr>
      <w:proofErr w:type="spellStart"/>
      <w:r>
        <w:t>Re-shoring</w:t>
      </w:r>
      <w:proofErr w:type="spellEnd"/>
      <w:r>
        <w:t>.</w:t>
      </w:r>
    </w:p>
    <w:p w14:paraId="2B8BEE4B" w14:textId="77777777" w:rsidR="00E66765" w:rsidRPr="00BF7ED9" w:rsidRDefault="00E66765" w:rsidP="00E66765">
      <w:pPr>
        <w:pStyle w:val="Nivel7"/>
        <w:ind w:left="2438"/>
        <w:rPr>
          <w:spacing w:val="-2"/>
        </w:rPr>
      </w:pPr>
      <w:r w:rsidRPr="00BF7ED9">
        <w:rPr>
          <w:spacing w:val="-2"/>
        </w:rPr>
        <w:t xml:space="preserve">Gasto público en defensa y en adaptación al cambio climático </w:t>
      </w:r>
      <w:r w:rsidRPr="00BF7ED9">
        <w:rPr>
          <w:spacing w:val="-2"/>
          <w:sz w:val="19"/>
          <w:szCs w:val="19"/>
        </w:rPr>
        <w:t>(más inversión)</w:t>
      </w:r>
      <w:r w:rsidRPr="00BF7ED9">
        <w:rPr>
          <w:spacing w:val="-2"/>
        </w:rPr>
        <w:t>.</w:t>
      </w:r>
    </w:p>
    <w:p w14:paraId="3241890A" w14:textId="77777777" w:rsidR="00E66765" w:rsidRDefault="00E66765" w:rsidP="00E66765">
      <w:pPr>
        <w:pStyle w:val="Nivel4"/>
        <w:ind w:left="1474"/>
      </w:pPr>
      <w:r>
        <w:t xml:space="preserve">Incluso en el momento álgido de la lucha contra la inflación y las subidas de tipos de interés, </w:t>
      </w:r>
      <w:r w:rsidRPr="00F65165">
        <w:rPr>
          <w:i/>
          <w:iCs/>
        </w:rPr>
        <w:t>r</w:t>
      </w:r>
      <w:r>
        <w:rPr>
          <w:i/>
          <w:iCs/>
        </w:rPr>
        <w:t> </w:t>
      </w:r>
      <w:r>
        <w:rPr>
          <w:rFonts w:ascii="Times New Roman" w:hAnsi="Times New Roman" w:cs="Times New Roman"/>
          <w:i/>
          <w:iCs/>
        </w:rPr>
        <w:t>&lt; </w:t>
      </w:r>
      <w:r w:rsidRPr="00F65165">
        <w:rPr>
          <w:i/>
          <w:iCs/>
        </w:rPr>
        <w:t>g</w:t>
      </w:r>
      <w:r>
        <w:t xml:space="preserve"> </w:t>
      </w:r>
      <w:r w:rsidRPr="00616BBF">
        <w:rPr>
          <w:sz w:val="19"/>
          <w:szCs w:val="19"/>
        </w:rPr>
        <w:t>(aunque la diferencia se ha reducido y podría revertir en los próximos meses)</w:t>
      </w:r>
      <w:r>
        <w:t>.</w:t>
      </w:r>
    </w:p>
    <w:p w14:paraId="17331DA7" w14:textId="77777777" w:rsidR="00E66765" w:rsidRPr="00BF7ED9" w:rsidRDefault="00E66765" w:rsidP="00E66765">
      <w:pPr>
        <w:pStyle w:val="Nivel4"/>
        <w:ind w:left="1474"/>
      </w:pPr>
      <w:r>
        <w:t xml:space="preserve">Como consecuencia de todo lo anterior, </w:t>
      </w:r>
      <w:r>
        <w:rPr>
          <w:smallCaps/>
        </w:rPr>
        <w:t>Blanchard</w:t>
      </w:r>
      <w:r>
        <w:t xml:space="preserve"> anticipa que </w:t>
      </w:r>
      <w:r>
        <w:rPr>
          <w:i/>
          <w:iCs/>
        </w:rPr>
        <w:t>r</w:t>
      </w:r>
      <w:r>
        <w:t xml:space="preserve"> tenderá a valores reducidos e inferiores a </w:t>
      </w:r>
      <w:r>
        <w:rPr>
          <w:i/>
          <w:iCs/>
        </w:rPr>
        <w:t>g</w:t>
      </w:r>
      <w:r>
        <w:t xml:space="preserve"> (aunque mayores que tras la crisis financiera global debido a los factores que podrían llevar a una mayor demanda de inversión).</w:t>
      </w:r>
    </w:p>
    <w:p w14:paraId="1F053B0E" w14:textId="77777777" w:rsidR="00E66765" w:rsidRDefault="00E66765" w:rsidP="00E66765">
      <w:pPr>
        <w:pStyle w:val="Nivel3SM"/>
        <w:keepNext/>
      </w:pPr>
      <w:r>
        <w:rPr>
          <w:smallCaps/>
        </w:rPr>
        <w:t>Summers</w:t>
      </w:r>
      <w:r>
        <w:t>:</w:t>
      </w:r>
    </w:p>
    <w:p w14:paraId="26B74215" w14:textId="77777777" w:rsidR="00E66765" w:rsidRDefault="00E66765" w:rsidP="00E66765">
      <w:pPr>
        <w:pStyle w:val="Nivel4"/>
        <w:keepNext/>
        <w:ind w:left="1474"/>
      </w:pPr>
      <w:r>
        <w:t xml:space="preserve">Están de acuerdo en la manera de razonar, pero de acuerdo con </w:t>
      </w:r>
      <w:r>
        <w:rPr>
          <w:smallCaps/>
        </w:rPr>
        <w:t>Summers</w:t>
      </w:r>
      <w:r>
        <w:t xml:space="preserve"> hay una diferencia semántica:</w:t>
      </w:r>
    </w:p>
    <w:p w14:paraId="5F6EE9BB" w14:textId="77777777" w:rsidR="00E66765" w:rsidRDefault="00E66765" w:rsidP="00E66765">
      <w:pPr>
        <w:pStyle w:val="Nivel5"/>
        <w:ind w:left="1871"/>
      </w:pPr>
      <w:r>
        <w:t xml:space="preserve">Para </w:t>
      </w:r>
      <w:r>
        <w:rPr>
          <w:smallCaps/>
        </w:rPr>
        <w:t>Summers</w:t>
      </w:r>
      <w:r>
        <w:t xml:space="preserve"> la era de estancamiento secular ha concluido porque la Reserva Federal ha identificado el tipo de interés real neutral en 0,5 %, mientras que el tipo de interés real se encuentra en 1,5 % </w:t>
      </w:r>
      <w:r w:rsidRPr="00D373A7">
        <w:rPr>
          <w:sz w:val="19"/>
          <w:szCs w:val="19"/>
        </w:rPr>
        <w:t>(significativamente superior al nivel neutral)</w:t>
      </w:r>
      <w:r>
        <w:t>.</w:t>
      </w:r>
    </w:p>
    <w:p w14:paraId="3D099D6D" w14:textId="77777777" w:rsidR="00E66765" w:rsidRDefault="00E66765" w:rsidP="00E66765">
      <w:pPr>
        <w:pStyle w:val="Nivel5"/>
        <w:keepNext/>
        <w:ind w:left="1871"/>
      </w:pPr>
      <w:r>
        <w:t xml:space="preserve">Para </w:t>
      </w:r>
      <w:r>
        <w:rPr>
          <w:smallCaps/>
        </w:rPr>
        <w:t>Blanchard</w:t>
      </w:r>
      <w:r>
        <w:t xml:space="preserve">, en cambio, aún sigue en pie porque se cumple la condición </w:t>
      </w:r>
      <w:r w:rsidRPr="00F65165">
        <w:rPr>
          <w:i/>
          <w:iCs/>
        </w:rPr>
        <w:t>r</w:t>
      </w:r>
      <w:r>
        <w:rPr>
          <w:i/>
          <w:iCs/>
        </w:rPr>
        <w:t> </w:t>
      </w:r>
      <w:r>
        <w:rPr>
          <w:rFonts w:ascii="Times New Roman" w:hAnsi="Times New Roman" w:cs="Times New Roman"/>
          <w:i/>
          <w:iCs/>
        </w:rPr>
        <w:t>&lt; </w:t>
      </w:r>
      <w:r w:rsidRPr="00F65165">
        <w:rPr>
          <w:i/>
          <w:iCs/>
        </w:rPr>
        <w:t>g</w:t>
      </w:r>
      <w:r>
        <w:t>.</w:t>
      </w:r>
    </w:p>
    <w:p w14:paraId="34E9270E" w14:textId="77777777" w:rsidR="00E66765" w:rsidRDefault="00E66765" w:rsidP="00E66765">
      <w:pPr>
        <w:pStyle w:val="Nivel6"/>
        <w:ind w:left="2212"/>
      </w:pPr>
      <w:r>
        <w:t xml:space="preserve">Según </w:t>
      </w:r>
      <w:r>
        <w:rPr>
          <w:smallCaps/>
        </w:rPr>
        <w:t>Summers</w:t>
      </w:r>
      <w:r>
        <w:t xml:space="preserve">, si aplicamos el criterio de </w:t>
      </w:r>
      <w:r>
        <w:rPr>
          <w:smallCaps/>
        </w:rPr>
        <w:t>Blanchard</w:t>
      </w:r>
      <w:r>
        <w:t xml:space="preserve"> existiría estancamiento secular en la década de 1950 y 1960, cuando no parecía haber un problema de demanda (i.e. no había estancamiento secular).</w:t>
      </w:r>
    </w:p>
    <w:p w14:paraId="6F8C105C" w14:textId="77777777" w:rsidR="00E66765" w:rsidRPr="00F715C8" w:rsidRDefault="00E66765" w:rsidP="00E66765">
      <w:pPr>
        <w:pStyle w:val="Nivel4"/>
        <w:keepNext/>
        <w:ind w:left="1474"/>
        <w:rPr>
          <w:spacing w:val="-2"/>
        </w:rPr>
      </w:pPr>
      <w:r w:rsidRPr="00F715C8">
        <w:rPr>
          <w:spacing w:val="-2"/>
        </w:rPr>
        <w:t xml:space="preserve">Además </w:t>
      </w:r>
      <w:r w:rsidRPr="00F715C8">
        <w:rPr>
          <w:smallCaps/>
          <w:spacing w:val="-2"/>
        </w:rPr>
        <w:t>Summers</w:t>
      </w:r>
      <w:r w:rsidRPr="00F715C8">
        <w:rPr>
          <w:spacing w:val="-2"/>
        </w:rPr>
        <w:t xml:space="preserve"> pondera de distinta manera los factores señalados por </w:t>
      </w:r>
      <w:r w:rsidRPr="00F715C8">
        <w:rPr>
          <w:smallCaps/>
          <w:spacing w:val="-2"/>
        </w:rPr>
        <w:t>Blanchard</w:t>
      </w:r>
      <w:r w:rsidRPr="00F715C8">
        <w:rPr>
          <w:spacing w:val="-2"/>
        </w:rPr>
        <w:t>:</w:t>
      </w:r>
    </w:p>
    <w:p w14:paraId="6B5C962D" w14:textId="77777777" w:rsidR="00E66765" w:rsidRDefault="00E66765" w:rsidP="00E66765">
      <w:pPr>
        <w:pStyle w:val="Nivel5"/>
        <w:ind w:left="1871"/>
      </w:pPr>
      <w:r w:rsidRPr="00F715C8">
        <w:rPr>
          <w:smallCaps/>
        </w:rPr>
        <w:t>Summers</w:t>
      </w:r>
      <w:r>
        <w:t xml:space="preserve"> considera que </w:t>
      </w:r>
      <w:r w:rsidRPr="00F715C8">
        <w:t>hay</w:t>
      </w:r>
      <w:r>
        <w:t xml:space="preserve"> una mayor aversión al riesgo por parte de los inversores y no una mayor </w:t>
      </w:r>
      <w:proofErr w:type="spellStart"/>
      <w:r w:rsidRPr="00F715C8">
        <w:rPr>
          <w:i/>
          <w:iCs/>
        </w:rPr>
        <w:t>demand</w:t>
      </w:r>
      <w:proofErr w:type="spellEnd"/>
      <w:r w:rsidRPr="00F715C8">
        <w:rPr>
          <w:i/>
          <w:iCs/>
        </w:rPr>
        <w:t xml:space="preserve"> </w:t>
      </w:r>
      <w:proofErr w:type="spellStart"/>
      <w:r>
        <w:rPr>
          <w:i/>
          <w:iCs/>
        </w:rPr>
        <w:t>for</w:t>
      </w:r>
      <w:proofErr w:type="spellEnd"/>
      <w:r>
        <w:rPr>
          <w:i/>
          <w:iCs/>
        </w:rPr>
        <w:t xml:space="preserve"> safety</w:t>
      </w:r>
      <w:r>
        <w:t xml:space="preserve"> (lo que parece un fenómeno de largo plazo y lleva a aumentos del tipo de interés neutral).</w:t>
      </w:r>
    </w:p>
    <w:p w14:paraId="59FA26D2" w14:textId="77777777" w:rsidR="00E66765" w:rsidRDefault="00E66765" w:rsidP="00E66765">
      <w:pPr>
        <w:pStyle w:val="Nivel5"/>
        <w:ind w:left="1871"/>
      </w:pPr>
      <w:r>
        <w:t xml:space="preserve">La tendencia hacia el aumento de la esperanza de vida ha perdido fuerza. Además, </w:t>
      </w:r>
      <w:r>
        <w:rPr>
          <w:smallCaps/>
        </w:rPr>
        <w:t>Larry Summers</w:t>
      </w:r>
      <w:r>
        <w:t xml:space="preserve"> afirma que lo realmente relevante es la relación entre la esperanza de vida y la edad de jubilación (que también ha aumentado), pues es lo que marca la ratio entre ahorradores y demandantes de fondos prestables.</w:t>
      </w:r>
    </w:p>
    <w:p w14:paraId="6CB02479" w14:textId="77777777" w:rsidR="00E66765" w:rsidRDefault="00E66765" w:rsidP="00E66765">
      <w:pPr>
        <w:pStyle w:val="Nivel2SM"/>
      </w:pPr>
      <w:r>
        <w:lastRenderedPageBreak/>
        <w:t xml:space="preserve">Con respecto a la inversión, </w:t>
      </w:r>
      <w:r>
        <w:rPr>
          <w:smallCaps/>
        </w:rPr>
        <w:t>Summers</w:t>
      </w:r>
      <w:r>
        <w:t xml:space="preserve"> considera que la demanda de inversión aumentará</w:t>
      </w:r>
      <w:r>
        <w:rPr>
          <w:rStyle w:val="Refdenotaalpie"/>
        </w:rPr>
        <w:footnoteReference w:id="26"/>
      </w:r>
      <w:r>
        <w:t>.</w:t>
      </w:r>
    </w:p>
    <w:p w14:paraId="25BF8C76" w14:textId="77777777" w:rsidR="002D51F7" w:rsidRDefault="002D51F7" w:rsidP="002D51F7">
      <w:pPr>
        <w:pStyle w:val="Ttulo6"/>
      </w:pPr>
      <w:bookmarkStart w:id="87" w:name="_Toc150975451"/>
      <w:bookmarkEnd w:id="85"/>
      <w:bookmarkEnd w:id="86"/>
      <w:r>
        <w:t>Evolución reciente</w:t>
      </w:r>
      <w:bookmarkEnd w:id="87"/>
    </w:p>
    <w:p w14:paraId="407C4709" w14:textId="77777777" w:rsidR="002D51F7" w:rsidRDefault="002D51F7" w:rsidP="002D51F7">
      <w:pPr>
        <w:pStyle w:val="Nivel1SM"/>
        <w:keepNext/>
        <w:spacing w:before="0" w:after="0"/>
      </w:pPr>
      <w:r>
        <w:t xml:space="preserve">En la actualidad, se considera que </w:t>
      </w:r>
      <w:r w:rsidRPr="00B67D6A">
        <w:rPr>
          <w:b/>
          <w:bCs/>
        </w:rPr>
        <w:t>el tamaño del sector público depende de las preferencias redistributivas de los agentes</w:t>
      </w:r>
      <w:r>
        <w:t xml:space="preserve">. Evidentemente, existe un </w:t>
      </w:r>
      <w:r w:rsidRPr="009A4807">
        <w:rPr>
          <w:i/>
          <w:iCs/>
        </w:rPr>
        <w:t>debate</w:t>
      </w:r>
      <w:r>
        <w:t xml:space="preserve"> debido a la existencia de consideraciones normativas (i.e. juicios de valor):</w:t>
      </w:r>
    </w:p>
    <w:p w14:paraId="7ABDF8A3" w14:textId="77777777" w:rsidR="002D51F7" w:rsidRDefault="002D51F7" w:rsidP="002D51F7">
      <w:pPr>
        <w:pStyle w:val="Prrafodelista"/>
        <w:keepNext/>
        <w:numPr>
          <w:ilvl w:val="0"/>
          <w:numId w:val="64"/>
        </w:numPr>
        <w:spacing w:after="0"/>
        <w:ind w:left="567" w:hanging="113"/>
      </w:pPr>
      <w:r>
        <w:t xml:space="preserve">Por un lado, los pensadores </w:t>
      </w:r>
      <w:r w:rsidRPr="001D5476">
        <w:rPr>
          <w:b/>
          <w:bCs/>
        </w:rPr>
        <w:t>libertarios</w:t>
      </w:r>
      <w:r>
        <w:t xml:space="preserve">, como </w:t>
      </w:r>
      <w:r w:rsidRPr="001D5476">
        <w:rPr>
          <w:smallCaps/>
        </w:rPr>
        <w:t>Nozick</w:t>
      </w:r>
      <w:r>
        <w:t xml:space="preserve"> o </w:t>
      </w:r>
      <w:r w:rsidRPr="001D5476">
        <w:rPr>
          <w:smallCaps/>
        </w:rPr>
        <w:t>Hayek</w:t>
      </w:r>
      <w:r>
        <w:t>, sostienen que el sector público no tiene legitimidad moral para redistribuir rentas y riquezas legalmente adquiridas.</w:t>
      </w:r>
    </w:p>
    <w:p w14:paraId="64F87348" w14:textId="77777777" w:rsidR="002D51F7" w:rsidRDefault="002D51F7" w:rsidP="002D51F7">
      <w:pPr>
        <w:pStyle w:val="Nivel3SM"/>
      </w:pPr>
      <w:r>
        <w:t xml:space="preserve">En su argumentación se basan en el principio liberal </w:t>
      </w:r>
      <w:proofErr w:type="spellStart"/>
      <w:r w:rsidRPr="001D5476">
        <w:rPr>
          <w:i/>
          <w:iCs/>
        </w:rPr>
        <w:t>suum</w:t>
      </w:r>
      <w:proofErr w:type="spellEnd"/>
      <w:r w:rsidRPr="001D5476">
        <w:rPr>
          <w:i/>
          <w:iCs/>
        </w:rPr>
        <w:t xml:space="preserve"> cuique</w:t>
      </w:r>
      <w:r>
        <w:t xml:space="preserve">: </w:t>
      </w:r>
      <w:r w:rsidRPr="00F02E59">
        <w:rPr>
          <w:i/>
          <w:iCs/>
        </w:rPr>
        <w:t>“a cada uno lo suyo”</w:t>
      </w:r>
      <w:r>
        <w:t>. Los individuos son libres para disponer como quieran sus recursos pero rige el valor de la propiedad y el valor de la voluntariedad.</w:t>
      </w:r>
    </w:p>
    <w:p w14:paraId="2A6B8AEB" w14:textId="77777777" w:rsidR="002D51F7" w:rsidRDefault="002D51F7" w:rsidP="002D51F7">
      <w:pPr>
        <w:pStyle w:val="Prrafodelista"/>
        <w:keepNext/>
        <w:numPr>
          <w:ilvl w:val="0"/>
          <w:numId w:val="64"/>
        </w:numPr>
        <w:spacing w:after="0"/>
        <w:ind w:left="567" w:hanging="113"/>
        <w:rPr>
          <w:spacing w:val="-4"/>
        </w:rPr>
      </w:pPr>
      <w:r w:rsidRPr="00157576">
        <w:rPr>
          <w:spacing w:val="-4"/>
        </w:rPr>
        <w:t xml:space="preserve">Esto será criticado por pensadores de carácter más </w:t>
      </w:r>
      <w:r w:rsidRPr="00157576">
        <w:rPr>
          <w:b/>
          <w:bCs/>
          <w:spacing w:val="-4"/>
        </w:rPr>
        <w:t>socialista</w:t>
      </w:r>
      <w:r w:rsidRPr="00157576">
        <w:rPr>
          <w:spacing w:val="-4"/>
        </w:rPr>
        <w:t>, por la posibilidad de generar una redistribución desigual de la riqueza o incluso por la explotación de algunas clases sociales a otras.</w:t>
      </w:r>
    </w:p>
    <w:p w14:paraId="7ABD1336" w14:textId="77777777" w:rsidR="002D51F7" w:rsidRPr="00157576" w:rsidRDefault="002D51F7" w:rsidP="002D51F7">
      <w:pPr>
        <w:pStyle w:val="Nivel3SM"/>
      </w:pPr>
      <w:r w:rsidRPr="00157576">
        <w:t xml:space="preserve">Estos pensadores se basan en el principio </w:t>
      </w:r>
      <w:r w:rsidRPr="00157576">
        <w:rPr>
          <w:i/>
          <w:iCs/>
        </w:rPr>
        <w:t>socialista</w:t>
      </w:r>
      <w:r w:rsidRPr="00157576">
        <w:t xml:space="preserve">: </w:t>
      </w:r>
      <w:r w:rsidRPr="00157576">
        <w:rPr>
          <w:i/>
          <w:iCs/>
        </w:rPr>
        <w:t>“a cada cual según sus capacidades, a cada cual según sus necesidades”</w:t>
      </w:r>
      <w:r w:rsidRPr="00157576">
        <w:t>. Por tanto, estos pensadores se preocupan por una distribución igualitaria.</w:t>
      </w:r>
    </w:p>
    <w:p w14:paraId="42970783" w14:textId="77777777" w:rsidR="002D51F7" w:rsidRDefault="002D51F7" w:rsidP="002D51F7">
      <w:pPr>
        <w:pStyle w:val="Nivel3SM"/>
      </w:pPr>
      <w:r>
        <w:t xml:space="preserve">Este pensamiento se verá criticado por algunos pensadores como </w:t>
      </w:r>
      <w:r>
        <w:rPr>
          <w:smallCaps/>
        </w:rPr>
        <w:t>Bastiat</w:t>
      </w:r>
      <w:r>
        <w:t xml:space="preserve"> que subrayan la creación de incentivos perversos de los individuos para revelar unas necesidades personales exageradas y tratar de aportar lo mínimo posible a la sociedad, recibiendo lo máximo posible de ella. Incluso </w:t>
      </w:r>
      <w:r>
        <w:rPr>
          <w:smallCaps/>
        </w:rPr>
        <w:t>Bastiat</w:t>
      </w:r>
      <w:r>
        <w:t xml:space="preserve"> llega a escribir que el Estado es la </w:t>
      </w:r>
      <w:r w:rsidRPr="00A37ADB">
        <w:rPr>
          <w:i/>
          <w:iCs/>
        </w:rPr>
        <w:t>gran ficción</w:t>
      </w:r>
      <w:r>
        <w:t xml:space="preserve"> a través de la cual todo el mundo quiere vivir a costa de los demás.</w:t>
      </w:r>
    </w:p>
    <w:p w14:paraId="37080109" w14:textId="77777777" w:rsidR="002D51F7" w:rsidRDefault="002D51F7" w:rsidP="002D51F7">
      <w:pPr>
        <w:pStyle w:val="Prrafodelista"/>
        <w:keepNext/>
        <w:numPr>
          <w:ilvl w:val="0"/>
          <w:numId w:val="64"/>
        </w:numPr>
        <w:spacing w:after="0"/>
        <w:ind w:left="567" w:hanging="113"/>
      </w:pPr>
      <w:r>
        <w:t xml:space="preserve">Sin embargo, existe una tercera vía: las </w:t>
      </w:r>
      <w:r w:rsidRPr="001D5476">
        <w:rPr>
          <w:b/>
          <w:bCs/>
        </w:rPr>
        <w:t>teorías socio-liberales</w:t>
      </w:r>
      <w:r>
        <w:t>, que son las más extendidas hoy, subyacen a la moderna economía del bienestar y justifican la redistribución bajo determinadas circ</w:t>
      </w:r>
      <w:r w:rsidRPr="001D5476">
        <w:t>u</w:t>
      </w:r>
      <w:r>
        <w:t>nstancias.</w:t>
      </w:r>
    </w:p>
    <w:p w14:paraId="491C84F2" w14:textId="77777777" w:rsidR="002D51F7" w:rsidRDefault="002D51F7" w:rsidP="002D51F7">
      <w:pPr>
        <w:pStyle w:val="Nivel3SM"/>
        <w:keepNext/>
      </w:pPr>
      <w:r>
        <w:t xml:space="preserve">Una de las maneras para justificar esta redistribución es la concepción de un experimento mental (propuesto por autores como </w:t>
      </w:r>
      <w:r>
        <w:rPr>
          <w:smallCaps/>
        </w:rPr>
        <w:t>Harsanyi</w:t>
      </w:r>
      <w:r>
        <w:t xml:space="preserve"> y </w:t>
      </w:r>
      <w:r>
        <w:rPr>
          <w:smallCaps/>
        </w:rPr>
        <w:t>Rawls</w:t>
      </w:r>
      <w:r>
        <w:t xml:space="preserve">, inspirados en la concepción contractualista de la sociedad de </w:t>
      </w:r>
      <w:r>
        <w:rPr>
          <w:smallCaps/>
        </w:rPr>
        <w:t>Locke</w:t>
      </w:r>
      <w:r>
        <w:t xml:space="preserve"> y </w:t>
      </w:r>
      <w:r>
        <w:rPr>
          <w:smallCaps/>
        </w:rPr>
        <w:t>Rousseau</w:t>
      </w:r>
      <w:r>
        <w:t xml:space="preserve">), consistente en deducir qué principio básico de justicia social habrían pactado los fundadores de un sistema económico antes de saber el nivel relativo de renta que le correspondería en el futuro a cada uno (detrás del velo de la ignorancia en términos </w:t>
      </w:r>
      <w:proofErr w:type="spellStart"/>
      <w:r>
        <w:t>rawlsianos</w:t>
      </w:r>
      <w:proofErr w:type="spellEnd"/>
      <w:r>
        <w:t>).</w:t>
      </w:r>
    </w:p>
    <w:p w14:paraId="6625071C" w14:textId="77777777" w:rsidR="002D51F7" w:rsidRDefault="002D51F7" w:rsidP="002D51F7">
      <w:pPr>
        <w:pStyle w:val="Nivel4"/>
        <w:ind w:left="1474"/>
      </w:pPr>
      <w:r>
        <w:rPr>
          <w:smallCaps/>
        </w:rPr>
        <w:t>Rawls</w:t>
      </w:r>
      <w:r>
        <w:t xml:space="preserve"> sostuvo que dada una </w:t>
      </w:r>
      <w:r w:rsidRPr="00952C56">
        <w:rPr>
          <w:i/>
          <w:iCs/>
        </w:rPr>
        <w:t>aversión absoluta al riesgo</w:t>
      </w:r>
      <w:r>
        <w:t>, el principio pactado sería lograr la mejor situación posible para el miembro de la sociedad más desfavorecido. Es decir, detrás del velo de la ignorancia, los individuos elegirían una redistribución equitativa de la renta.</w:t>
      </w:r>
    </w:p>
    <w:p w14:paraId="358EBD26" w14:textId="77777777" w:rsidR="002D51F7" w:rsidRDefault="002D51F7" w:rsidP="002D51F7">
      <w:pPr>
        <w:pStyle w:val="Nivel4"/>
        <w:ind w:left="1474"/>
      </w:pPr>
      <w:r>
        <w:t xml:space="preserve">Siguiendo el principio de diferencia de </w:t>
      </w:r>
      <w:r>
        <w:rPr>
          <w:smallCaps/>
        </w:rPr>
        <w:t>Rawls</w:t>
      </w:r>
      <w:r>
        <w:t>, la desigualdad sólo sería legítima si viene derivada de un mayor esfuerzo realizado en condiciones de igualdad de oportunidades o si se beneficia la posición de los más desfavorecidos.</w:t>
      </w:r>
    </w:p>
    <w:p w14:paraId="3FFB3DEF" w14:textId="77777777" w:rsidR="002D51F7" w:rsidRDefault="002D51F7" w:rsidP="002D51F7">
      <w:pPr>
        <w:pStyle w:val="Nivel1SM"/>
        <w:keepNext/>
        <w:spacing w:after="0"/>
      </w:pPr>
      <w:r>
        <w:t>Por añadidura, diversos estudios empíricos muestran la existencia de los riesgos de la desigualdad sobre el crecimiento económico. En concreto, organismos internacionales como el FMI señalan que la desigualdad reduce el crecimiento tanto en países en desarrollo como en países desarrollados:</w:t>
      </w:r>
    </w:p>
    <w:p w14:paraId="2483DF94" w14:textId="77777777" w:rsidR="002D51F7" w:rsidRDefault="002D51F7" w:rsidP="002D51F7">
      <w:pPr>
        <w:pStyle w:val="Nivel2SM"/>
      </w:pPr>
      <w:r>
        <w:t xml:space="preserve">En el caso de los países en desarrollo esto sucede principalmente a través del </w:t>
      </w:r>
      <w:r w:rsidRPr="00DA59A0">
        <w:rPr>
          <w:i/>
          <w:iCs/>
        </w:rPr>
        <w:t>canal político</w:t>
      </w:r>
      <w:r>
        <w:t>.</w:t>
      </w:r>
    </w:p>
    <w:p w14:paraId="7224FDDD" w14:textId="77777777" w:rsidR="002D51F7" w:rsidRPr="00DA59A0" w:rsidRDefault="002D51F7" w:rsidP="002D51F7">
      <w:pPr>
        <w:pStyle w:val="Nivel2SM"/>
      </w:pPr>
      <w:r w:rsidRPr="00DA59A0">
        <w:rPr>
          <w:spacing w:val="-5"/>
        </w:rPr>
        <w:t xml:space="preserve">En el caso de los países desarrollados se produce a través del </w:t>
      </w:r>
      <w:r w:rsidRPr="00DA59A0">
        <w:rPr>
          <w:i/>
          <w:iCs/>
          <w:spacing w:val="-5"/>
        </w:rPr>
        <w:t>canal financiero</w:t>
      </w:r>
      <w:r w:rsidRPr="00DA59A0">
        <w:rPr>
          <w:spacing w:val="-5"/>
        </w:rPr>
        <w:t xml:space="preserve"> (sobreendeudamiento).</w:t>
      </w:r>
      <w:r w:rsidRPr="00DA59A0">
        <w:rPr>
          <w:spacing w:val="-3"/>
        </w:rPr>
        <w:t xml:space="preserve"> </w:t>
      </w:r>
      <w:r w:rsidRPr="00DA59A0">
        <w:t xml:space="preserve">Esta teoría es desarrollada por </w:t>
      </w:r>
      <w:r w:rsidRPr="00DA59A0">
        <w:rPr>
          <w:smallCaps/>
        </w:rPr>
        <w:t>Larry Summers</w:t>
      </w:r>
      <w:r w:rsidRPr="00DA59A0">
        <w:t xml:space="preserve">, quien explica que la acumulación de ahorro </w:t>
      </w:r>
      <w:r w:rsidRPr="00DA59A0">
        <w:lastRenderedPageBreak/>
        <w:t>presiona a la baja los tipos de interés, estimulando los precios de los activos y alentando el endeudamiento, lo que afecta en especial a los hogares de renta media y baja.</w:t>
      </w:r>
    </w:p>
    <w:p w14:paraId="17B57F62" w14:textId="7E80581D" w:rsidR="00A0416A" w:rsidRDefault="00E66765" w:rsidP="00A0416A">
      <w:pPr>
        <w:pStyle w:val="Ttulo2"/>
      </w:pPr>
      <w:bookmarkStart w:id="88" w:name="_Toc150975452"/>
      <w:r>
        <w:t>Influencia del debate sobre el gasto público en la práctica</w:t>
      </w:r>
      <w:bookmarkEnd w:id="88"/>
    </w:p>
    <w:p w14:paraId="28E49657" w14:textId="77777777" w:rsidR="00A0416A" w:rsidRDefault="00A0416A" w:rsidP="00A0416A">
      <w:pPr>
        <w:pStyle w:val="Ttulo3"/>
        <w:spacing w:before="0"/>
      </w:pPr>
      <w:bookmarkStart w:id="89" w:name="_Toc150975453"/>
      <w:r>
        <w:t>Hasta la 1ª Guerra Mundial</w:t>
      </w:r>
      <w:bookmarkEnd w:id="89"/>
    </w:p>
    <w:p w14:paraId="646842DF" w14:textId="77777777" w:rsidR="00A0416A" w:rsidRDefault="00A0416A" w:rsidP="00A0416A">
      <w:pPr>
        <w:pStyle w:val="Nivel1SM"/>
        <w:keepNext/>
        <w:spacing w:before="0" w:after="0"/>
      </w:pPr>
      <w:r>
        <w:t xml:space="preserve">La teoría clásica de la Hacienda Pública se basaba en los principios de </w:t>
      </w:r>
      <w:r w:rsidRPr="0013737F">
        <w:rPr>
          <w:i/>
          <w:iCs/>
        </w:rPr>
        <w:t>limitación del gasto público</w:t>
      </w:r>
      <w:r>
        <w:t xml:space="preserve">, el </w:t>
      </w:r>
      <w:r w:rsidRPr="0013737F">
        <w:rPr>
          <w:i/>
          <w:iCs/>
        </w:rPr>
        <w:t>equilibrio presupuestario</w:t>
      </w:r>
      <w:r>
        <w:t xml:space="preserve"> y </w:t>
      </w:r>
      <w:r w:rsidRPr="0013737F">
        <w:rPr>
          <w:i/>
          <w:iCs/>
        </w:rPr>
        <w:t xml:space="preserve">la deuda pública </w:t>
      </w:r>
      <w:proofErr w:type="spellStart"/>
      <w:r w:rsidRPr="0013737F">
        <w:rPr>
          <w:i/>
          <w:iCs/>
        </w:rPr>
        <w:t>autoliquidable</w:t>
      </w:r>
      <w:proofErr w:type="spellEnd"/>
      <w:r>
        <w:t>.</w:t>
      </w:r>
    </w:p>
    <w:p w14:paraId="0EDA58DB" w14:textId="77777777" w:rsidR="00A0416A" w:rsidRDefault="00A0416A" w:rsidP="00A0416A">
      <w:pPr>
        <w:pStyle w:val="Nivel2SM"/>
        <w:keepNext/>
        <w:spacing w:after="0"/>
      </w:pPr>
      <w:r>
        <w:t>Se considera que el gasto público se debe limitar exclusivamente a los llamados bienes públicos tradicionales: justicia, defensa e infraestructuras. Esta limitación es fundamental porque se considera el gasto público como un elemento que no contribuye a la acumulación de capital ni favorece el desarrollo económico.</w:t>
      </w:r>
    </w:p>
    <w:p w14:paraId="698F75FD" w14:textId="77777777" w:rsidR="00A0416A" w:rsidRDefault="00A0416A" w:rsidP="00A0416A">
      <w:pPr>
        <w:pStyle w:val="Nivel3SM"/>
      </w:pPr>
      <w:r>
        <w:t xml:space="preserve">En el siglo XIX, el rol más marginal del sector público era respaldado por algunos economistas clásicos como </w:t>
      </w:r>
      <w:r>
        <w:rPr>
          <w:smallCaps/>
        </w:rPr>
        <w:t>Say</w:t>
      </w:r>
      <w:r>
        <w:t xml:space="preserve">: </w:t>
      </w:r>
      <w:r>
        <w:rPr>
          <w:i/>
          <w:iCs/>
        </w:rPr>
        <w:t>“el mejor de todos los planes de Hacienda es gastar poco”</w:t>
      </w:r>
      <w:r w:rsidRPr="00DC59B6">
        <w:t>.</w:t>
      </w:r>
    </w:p>
    <w:p w14:paraId="3FAE6019" w14:textId="77777777" w:rsidR="00A0416A" w:rsidRDefault="00A0416A" w:rsidP="00A0416A">
      <w:pPr>
        <w:pStyle w:val="Nivel3SM"/>
      </w:pPr>
      <w:r>
        <w:t xml:space="preserve">No obstante, otros autores clásicos como </w:t>
      </w:r>
      <w:r w:rsidRPr="00DC59B6">
        <w:rPr>
          <w:smallCaps/>
        </w:rPr>
        <w:t>John</w:t>
      </w:r>
      <w:r>
        <w:rPr>
          <w:smallCaps/>
        </w:rPr>
        <w:t xml:space="preserve"> Stuart Mill</w:t>
      </w:r>
      <w:r>
        <w:t xml:space="preserve"> concedieron un papel más amplio al sector público, considerando elementos que después se integrarían en el Estado del Bienestar (regulación del trabajo infantil, determinadas prestaciones, etc.).</w:t>
      </w:r>
    </w:p>
    <w:p w14:paraId="1FA97C38" w14:textId="77777777" w:rsidR="00A0416A" w:rsidRPr="00DC59B6" w:rsidRDefault="00A0416A" w:rsidP="00A0416A">
      <w:pPr>
        <w:pStyle w:val="Nivel2SM"/>
      </w:pPr>
      <w:r>
        <w:t>De este modo, en la práctica, el papel del sector público en la economía es limitado y el gasto público representa en torno al 10 %-15 % del PIB.</w:t>
      </w:r>
    </w:p>
    <w:p w14:paraId="440F41B7" w14:textId="77777777" w:rsidR="00A0416A" w:rsidRDefault="00A0416A" w:rsidP="00A0416A">
      <w:pPr>
        <w:pStyle w:val="Ttulo3"/>
      </w:pPr>
      <w:bookmarkStart w:id="90" w:name="_Toc150975454"/>
      <w:r>
        <w:t>Después de las guerras mundiales y la Gran Depresión</w:t>
      </w:r>
      <w:bookmarkEnd w:id="90"/>
    </w:p>
    <w:p w14:paraId="1858ED5D" w14:textId="77777777" w:rsidR="00A0416A" w:rsidRDefault="00A0416A" w:rsidP="00A0416A">
      <w:pPr>
        <w:pStyle w:val="Nivel1SM"/>
        <w:keepNext/>
        <w:spacing w:before="0" w:after="0"/>
      </w:pPr>
      <w:r>
        <w:t xml:space="preserve">La Gran Depresión en los años 30 y el nuevo papel que adquirió la demanda supusieron un cambio radical en el paradigma de la </w:t>
      </w:r>
      <w:r w:rsidRPr="00CE7ED0">
        <w:rPr>
          <w:i/>
          <w:iCs/>
        </w:rPr>
        <w:t>política fiscal</w:t>
      </w:r>
      <w:r>
        <w:t>.</w:t>
      </w:r>
    </w:p>
    <w:p w14:paraId="2696C122" w14:textId="77777777" w:rsidR="00A0416A" w:rsidRDefault="00A0416A" w:rsidP="00A0416A">
      <w:pPr>
        <w:pStyle w:val="Nivel2SM"/>
      </w:pPr>
      <w:r>
        <w:t xml:space="preserve">Siguiendo las </w:t>
      </w:r>
      <w:r w:rsidRPr="00DF7644">
        <w:rPr>
          <w:i/>
          <w:iCs/>
          <w:u w:val="single"/>
        </w:rPr>
        <w:t>tesis keynesianas</w:t>
      </w:r>
      <w:r>
        <w:t>, se propugnaba la utilización de una política fiscal activa para estimular la economía. A este argumento se suman otros fundamentados en la existencia de fallos de mercado (</w:t>
      </w:r>
      <w:r>
        <w:rPr>
          <w:i/>
          <w:iCs/>
        </w:rPr>
        <w:t>eficiencia</w:t>
      </w:r>
      <w:r w:rsidRPr="00DC59B6">
        <w:rPr>
          <w:sz w:val="19"/>
          <w:szCs w:val="19"/>
        </w:rPr>
        <w:t xml:space="preserve">, argumento defendido por autores como </w:t>
      </w:r>
      <w:r w:rsidRPr="00DC59B6">
        <w:rPr>
          <w:smallCaps/>
          <w:sz w:val="19"/>
          <w:szCs w:val="19"/>
        </w:rPr>
        <w:t>Pigou</w:t>
      </w:r>
      <w:r>
        <w:t>), la inestabilidad del mercado (</w:t>
      </w:r>
      <w:r>
        <w:rPr>
          <w:i/>
          <w:iCs/>
        </w:rPr>
        <w:t>estabilidad</w:t>
      </w:r>
      <w:r>
        <w:t>) y la desigualdad (</w:t>
      </w:r>
      <w:r w:rsidRPr="00DC59B6">
        <w:rPr>
          <w:i/>
          <w:iCs/>
        </w:rPr>
        <w:t>equidad</w:t>
      </w:r>
      <w:r>
        <w:t>). Nace así el Estado de Bienestar.</w:t>
      </w:r>
    </w:p>
    <w:p w14:paraId="007BFF9C" w14:textId="77777777" w:rsidR="00A0416A" w:rsidRPr="00DC59B6" w:rsidRDefault="00A0416A" w:rsidP="00A0416A">
      <w:pPr>
        <w:pStyle w:val="Nivel2SM"/>
      </w:pPr>
      <w:r w:rsidRPr="00DF7644">
        <w:rPr>
          <w:i/>
          <w:iCs/>
          <w:u w:val="single"/>
        </w:rPr>
        <w:t>En la práctica</w:t>
      </w:r>
      <w:r>
        <w:t>, el desarrollo del Estado de Bienestar y el aumento de los gastos militares en algunos países se traduce en un fuerte aumento del gasto público hasta alcanzar el 45 % del PIB de media (e incluso más del 50 % en algunos países).</w:t>
      </w:r>
    </w:p>
    <w:p w14:paraId="3009B760" w14:textId="07525958" w:rsidR="00A0416A" w:rsidRDefault="00A0416A" w:rsidP="00A0416A">
      <w:pPr>
        <w:pStyle w:val="Ttulo3"/>
      </w:pPr>
      <w:bookmarkStart w:id="91" w:name="_Toc150975455"/>
      <w:r>
        <w:t>1980</w:t>
      </w:r>
      <w:r w:rsidR="00441035">
        <w:t>-</w:t>
      </w:r>
      <w:r>
        <w:t>2008</w:t>
      </w:r>
      <w:bookmarkEnd w:id="91"/>
    </w:p>
    <w:p w14:paraId="7FCC9E16" w14:textId="77777777" w:rsidR="00A0416A" w:rsidRDefault="00A0416A" w:rsidP="00A0416A">
      <w:pPr>
        <w:pStyle w:val="Nivel1SM"/>
        <w:keepNext/>
        <w:spacing w:before="0" w:after="0"/>
      </w:pPr>
      <w:r>
        <w:t xml:space="preserve">En la década de 1980 resurgen las </w:t>
      </w:r>
      <w:r w:rsidRPr="00CE7ED0">
        <w:rPr>
          <w:i/>
          <w:iCs/>
          <w:u w:val="single"/>
        </w:rPr>
        <w:t>ideas liberales</w:t>
      </w:r>
      <w:r>
        <w:t>:</w:t>
      </w:r>
    </w:p>
    <w:p w14:paraId="67D9B0E2" w14:textId="77777777" w:rsidR="00A0416A" w:rsidRDefault="00A0416A" w:rsidP="00A0416A">
      <w:pPr>
        <w:pStyle w:val="Nivel2SM"/>
        <w:keepNext/>
        <w:spacing w:after="0"/>
      </w:pPr>
      <w:r w:rsidRPr="00B67D6A">
        <w:rPr>
          <w:i/>
          <w:iCs/>
          <w:u w:val="single"/>
        </w:rPr>
        <w:t>En la teoría</w:t>
      </w:r>
      <w:r>
        <w:t xml:space="preserve"> económica:</w:t>
      </w:r>
    </w:p>
    <w:p w14:paraId="2563AC23" w14:textId="77777777" w:rsidR="00A0416A" w:rsidRDefault="00A0416A" w:rsidP="00A0416A">
      <w:pPr>
        <w:pStyle w:val="Nivel3SM"/>
      </w:pPr>
      <w:r>
        <w:t xml:space="preserve">En </w:t>
      </w:r>
      <w:r w:rsidRPr="00CE7ED0">
        <w:rPr>
          <w:i/>
          <w:iCs/>
        </w:rPr>
        <w:t>economía pública</w:t>
      </w:r>
      <w:r>
        <w:t xml:space="preserve"> triunfa la </w:t>
      </w:r>
      <w:r>
        <w:rPr>
          <w:i/>
          <w:iCs/>
        </w:rPr>
        <w:t>Public Choice</w:t>
      </w:r>
      <w:r>
        <w:t>, que se encarga de poner de manifiesto los fallos del sector público al no modelizar al sector público como un agente benevolente.</w:t>
      </w:r>
    </w:p>
    <w:p w14:paraId="7BCF92FA" w14:textId="77777777" w:rsidR="00A0416A" w:rsidRDefault="00A0416A" w:rsidP="00A0416A">
      <w:pPr>
        <w:pStyle w:val="Nivel3SM"/>
      </w:pPr>
      <w:r>
        <w:t xml:space="preserve">En </w:t>
      </w:r>
      <w:r w:rsidRPr="00CE7ED0">
        <w:rPr>
          <w:i/>
          <w:iCs/>
        </w:rPr>
        <w:t>macroeconomía</w:t>
      </w:r>
      <w:r>
        <w:t xml:space="preserve">, las implicaciones de los modelos de la NMC son de no intervención y se suele defender la limitación de la política fiscal discrecional en favor de dejar actuar a los estabilizadores automáticos y a no tener un déficit público excesivo en favor de un equilibrio presupuestario y de reglas </w:t>
      </w:r>
      <w:r w:rsidRPr="00CE7ED0">
        <w:t>fiscales</w:t>
      </w:r>
      <w:r>
        <w:t>.</w:t>
      </w:r>
    </w:p>
    <w:p w14:paraId="65467FF9" w14:textId="77777777" w:rsidR="00A0416A" w:rsidRDefault="00A0416A" w:rsidP="00A0416A">
      <w:pPr>
        <w:pStyle w:val="Nivel2SM"/>
      </w:pPr>
      <w:r>
        <w:t xml:space="preserve">Ello influye </w:t>
      </w:r>
      <w:r w:rsidRPr="00B67D6A">
        <w:rPr>
          <w:i/>
          <w:iCs/>
          <w:u w:val="single"/>
        </w:rPr>
        <w:t>en la práctica</w:t>
      </w:r>
      <w:r>
        <w:t xml:space="preserve"> con la </w:t>
      </w:r>
      <w:r w:rsidRPr="00CE7ED0">
        <w:rPr>
          <w:i/>
          <w:iCs/>
        </w:rPr>
        <w:t>firma en la UE del Tratado de Maastricht</w:t>
      </w:r>
      <w:r>
        <w:t xml:space="preserve"> (1992), que impone unos criterios de convergencia para poder acceder a la moneda única obligando a muchos países a acometer procesos de consolidación fiscal.</w:t>
      </w:r>
    </w:p>
    <w:p w14:paraId="5CA856BC" w14:textId="77777777" w:rsidR="00A0416A" w:rsidRDefault="00A0416A" w:rsidP="00A0416A">
      <w:pPr>
        <w:pStyle w:val="Nivel1SM"/>
      </w:pPr>
      <w:r>
        <w:t>Como consecuencia de todo ello, se revierte la tendencia al alza del gasto público (y, de hecho, en algunos países como Suecia se reduce), de modo que en términos medios el gasto público representa en torno al 40 %-45 % en los países de la OCDE.</w:t>
      </w:r>
    </w:p>
    <w:p w14:paraId="27286A80" w14:textId="77618DBD" w:rsidR="00787B00" w:rsidRPr="005F0299" w:rsidRDefault="00554869" w:rsidP="000B3014">
      <w:pPr>
        <w:pStyle w:val="Ttulo1"/>
      </w:pPr>
      <w:bookmarkStart w:id="92" w:name="_Toc150975456"/>
      <w:r>
        <w:lastRenderedPageBreak/>
        <w:t>CAUSAS DEL CRECIMIENTO DEL GASTO PÚBLICO</w:t>
      </w:r>
      <w:bookmarkEnd w:id="92"/>
    </w:p>
    <w:p w14:paraId="6F70D499" w14:textId="77777777" w:rsidR="0033790E" w:rsidRPr="0033735C" w:rsidRDefault="0033790E" w:rsidP="0033790E">
      <w:pPr>
        <w:pStyle w:val="Ttulo2"/>
      </w:pPr>
      <w:bookmarkStart w:id="93" w:name="_Ref149647762"/>
      <w:bookmarkStart w:id="94" w:name="_Ref149647831"/>
      <w:bookmarkStart w:id="95" w:name="_Toc150975457"/>
      <w:r w:rsidRPr="0033735C">
        <w:t>Evolución del gasto público</w:t>
      </w:r>
      <w:bookmarkEnd w:id="93"/>
      <w:bookmarkEnd w:id="94"/>
      <w:bookmarkEnd w:id="95"/>
    </w:p>
    <w:p w14:paraId="5698EDAA" w14:textId="47FAD583" w:rsidR="0033790E" w:rsidRPr="00CB5237" w:rsidRDefault="0033790E" w:rsidP="0033790E">
      <w:pPr>
        <w:pStyle w:val="Nivel1SM"/>
        <w:keepNext/>
        <w:spacing w:before="0" w:after="0"/>
        <w:rPr>
          <w:bCs/>
        </w:rPr>
      </w:pPr>
      <w:r>
        <w:rPr>
          <w:bCs/>
        </w:rPr>
        <w:t xml:space="preserve">En líneas generales, </w:t>
      </w:r>
      <w:r w:rsidR="00637C23">
        <w:rPr>
          <w:bCs/>
        </w:rPr>
        <w:t xml:space="preserve">como hemos visto, </w:t>
      </w:r>
      <w:r>
        <w:rPr>
          <w:bCs/>
        </w:rPr>
        <w:t>podemos dividir la evolución del gasto público en 3 etapas:</w:t>
      </w:r>
    </w:p>
    <w:p w14:paraId="43E264CE" w14:textId="77777777" w:rsidR="0033790E" w:rsidRPr="007939C3" w:rsidRDefault="0033790E" w:rsidP="0033790E">
      <w:pPr>
        <w:pStyle w:val="Nivel2SM"/>
        <w:rPr>
          <w:b/>
        </w:rPr>
      </w:pPr>
      <w:r w:rsidRPr="00CB5237">
        <w:rPr>
          <w:i/>
          <w:iCs/>
          <w:u w:val="single"/>
        </w:rPr>
        <w:t>Hasta la Gran Depresión</w:t>
      </w:r>
      <w:r>
        <w:t xml:space="preserve"> el gasto público permanece en niveles reducidos (en ningún país suponía más del 20 % del PIB).</w:t>
      </w:r>
    </w:p>
    <w:p w14:paraId="5F4208B4" w14:textId="77777777" w:rsidR="0033790E" w:rsidRPr="007939C3" w:rsidRDefault="0033790E" w:rsidP="0033790E">
      <w:pPr>
        <w:pStyle w:val="Nivel2SM"/>
        <w:rPr>
          <w:b/>
        </w:rPr>
      </w:pPr>
      <w:r>
        <w:t xml:space="preserve">No obstante, desde entonces y debido al surgimiento de las </w:t>
      </w:r>
      <w:r w:rsidRPr="00CB5237">
        <w:rPr>
          <w:i/>
          <w:iCs/>
        </w:rPr>
        <w:t>ideas keynesianas</w:t>
      </w:r>
      <w:r>
        <w:t xml:space="preserve"> (por las que la actuación del sector público en la economía adquiere una mayor relevancia), el gasto público aumenta considerablemente </w:t>
      </w:r>
      <w:r w:rsidRPr="00CB5237">
        <w:rPr>
          <w:i/>
          <w:iCs/>
          <w:u w:val="single"/>
        </w:rPr>
        <w:t>hasta los años 90</w:t>
      </w:r>
      <w:r>
        <w:t>. Esta evolución ha llevado a que el gasto público medio en los países de la OCDE sea de entre el 40 % y el 50 %.</w:t>
      </w:r>
    </w:p>
    <w:p w14:paraId="0354C161" w14:textId="77777777" w:rsidR="0033790E" w:rsidRPr="00CB5237" w:rsidRDefault="0033790E" w:rsidP="0033790E">
      <w:pPr>
        <w:pStyle w:val="Nivel2SM"/>
        <w:keepNext/>
        <w:spacing w:after="0"/>
        <w:rPr>
          <w:b/>
        </w:rPr>
      </w:pPr>
      <w:r w:rsidRPr="00CB5237">
        <w:rPr>
          <w:i/>
          <w:iCs/>
          <w:u w:val="single"/>
        </w:rPr>
        <w:t>Desde entonces y hasta la actualidad</w:t>
      </w:r>
      <w:r>
        <w:t xml:space="preserve"> el gasto público ha experimentado una importante contención pero no ha dejado un pilar fundamental de las economías desarrolladas.</w:t>
      </w:r>
    </w:p>
    <w:p w14:paraId="658B4D80" w14:textId="77777777" w:rsidR="0033790E" w:rsidRPr="00C62E67" w:rsidRDefault="0033790E" w:rsidP="0033790E">
      <w:pPr>
        <w:pStyle w:val="Nivel3SM"/>
        <w:rPr>
          <w:b/>
        </w:rPr>
      </w:pPr>
      <w:r>
        <w:t>Comentamos a continuación las posibles causas teóricas de dicho crecimiento.</w:t>
      </w:r>
    </w:p>
    <w:p w14:paraId="2C29083C" w14:textId="749EC728" w:rsidR="0033790E" w:rsidRPr="00C75DC0" w:rsidRDefault="0033790E" w:rsidP="0033790E">
      <w:pPr>
        <w:pStyle w:val="Ttuloimagen"/>
        <w:rPr>
          <w:smallCaps w:val="0"/>
        </w:rPr>
      </w:pPr>
      <w:bookmarkStart w:id="96" w:name="_Ref146538226"/>
      <w:bookmarkStart w:id="97" w:name="_Hlk146533009"/>
      <w:r>
        <w:t>Imagen </w:t>
      </w:r>
      <w:r>
        <w:fldChar w:fldCharType="begin"/>
      </w:r>
      <w:r>
        <w:instrText xml:space="preserve"> SEQ Ilustración \* ARABIC </w:instrText>
      </w:r>
      <w:r>
        <w:fldChar w:fldCharType="separate"/>
      </w:r>
      <w:r w:rsidR="000E5443">
        <w:t>9</w:t>
      </w:r>
      <w:r>
        <w:fldChar w:fldCharType="end"/>
      </w:r>
      <w:bookmarkEnd w:id="96"/>
      <w:r>
        <w:rPr>
          <w:smallCaps w:val="0"/>
        </w:rPr>
        <w:t xml:space="preserve">.– </w:t>
      </w:r>
      <w:r>
        <w:rPr>
          <w:i/>
          <w:iCs/>
          <w:smallCaps w:val="0"/>
        </w:rPr>
        <w:t>Comparación internacional del peso del sector público en la economía</w:t>
      </w:r>
    </w:p>
    <w:p w14:paraId="3D2DC362" w14:textId="77777777" w:rsidR="0033790E" w:rsidRDefault="0033790E" w:rsidP="0033790E">
      <w:pPr>
        <w:pStyle w:val="Imagen"/>
      </w:pPr>
      <w:r w:rsidRPr="00A37063">
        <w:drawing>
          <wp:inline distT="0" distB="0" distL="0" distR="0" wp14:anchorId="58990963" wp14:editId="0209FBED">
            <wp:extent cx="3600000" cy="2025235"/>
            <wp:effectExtent l="0" t="0" r="635" b="0"/>
            <wp:docPr id="1051458606"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58606" name="Imagen 1" descr="Gráfico, Gráfico de barras&#10;&#10;Descripción generada automáticamente"/>
                    <pic:cNvPicPr/>
                  </pic:nvPicPr>
                  <pic:blipFill>
                    <a:blip r:embed="rId46"/>
                    <a:stretch>
                      <a:fillRect/>
                    </a:stretch>
                  </pic:blipFill>
                  <pic:spPr>
                    <a:xfrm>
                      <a:off x="0" y="0"/>
                      <a:ext cx="3600000" cy="2025235"/>
                    </a:xfrm>
                    <a:prstGeom prst="rect">
                      <a:avLst/>
                    </a:prstGeom>
                  </pic:spPr>
                </pic:pic>
              </a:graphicData>
            </a:graphic>
          </wp:inline>
        </w:drawing>
      </w:r>
      <w:r w:rsidRPr="00A37063">
        <w:drawing>
          <wp:inline distT="0" distB="0" distL="0" distR="0" wp14:anchorId="54126839" wp14:editId="6135243B">
            <wp:extent cx="3600000" cy="2025235"/>
            <wp:effectExtent l="0" t="0" r="635" b="0"/>
            <wp:docPr id="364991650"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91650" name="Imagen 1" descr="Gráfico&#10;&#10;Descripción generada automáticamente"/>
                    <pic:cNvPicPr/>
                  </pic:nvPicPr>
                  <pic:blipFill>
                    <a:blip r:embed="rId47"/>
                    <a:stretch>
                      <a:fillRect/>
                    </a:stretch>
                  </pic:blipFill>
                  <pic:spPr>
                    <a:xfrm>
                      <a:off x="0" y="0"/>
                      <a:ext cx="3600000" cy="2025235"/>
                    </a:xfrm>
                    <a:prstGeom prst="rect">
                      <a:avLst/>
                    </a:prstGeom>
                  </pic:spPr>
                </pic:pic>
              </a:graphicData>
            </a:graphic>
          </wp:inline>
        </w:drawing>
      </w:r>
    </w:p>
    <w:p w14:paraId="1FAD5B6C" w14:textId="68EF0CDB" w:rsidR="0033790E" w:rsidRDefault="0033790E" w:rsidP="0033790E">
      <w:pPr>
        <w:pStyle w:val="PiedeImagen"/>
        <w:rPr>
          <w:bCs/>
          <w:i w:val="0"/>
          <w:iCs/>
          <w:spacing w:val="-2"/>
          <w:lang w:val="en-US"/>
        </w:rPr>
      </w:pPr>
      <w:r w:rsidRPr="00FC7DEE">
        <w:rPr>
          <w:spacing w:val="-2"/>
          <w:lang w:val="en-US"/>
        </w:rPr>
        <w:t>Fuente</w:t>
      </w:r>
      <w:r w:rsidRPr="00FC7DEE">
        <w:rPr>
          <w:i w:val="0"/>
          <w:iCs/>
          <w:spacing w:val="-2"/>
          <w:lang w:val="en-US"/>
        </w:rPr>
        <w:t xml:space="preserve">: </w:t>
      </w:r>
      <w:r w:rsidRPr="00FC7DEE">
        <w:rPr>
          <w:bCs/>
          <w:i w:val="0"/>
          <w:iCs/>
          <w:spacing w:val="-2"/>
          <w:lang w:val="en-US"/>
        </w:rPr>
        <w:t xml:space="preserve">OECD (2023). </w:t>
      </w:r>
      <w:r w:rsidRPr="00FC7DEE">
        <w:rPr>
          <w:bCs/>
          <w:spacing w:val="-2"/>
          <w:lang w:val="en-US"/>
        </w:rPr>
        <w:t>General government spending (indicator)</w:t>
      </w:r>
      <w:r w:rsidRPr="00FC7DEE">
        <w:rPr>
          <w:bCs/>
          <w:i w:val="0"/>
          <w:iCs/>
          <w:spacing w:val="-2"/>
          <w:lang w:val="en-US"/>
        </w:rPr>
        <w:t xml:space="preserve">. doi: 10.1787/a31cbf4d-en </w:t>
      </w:r>
      <w:hyperlink r:id="rId48" w:history="1">
        <w:r w:rsidRPr="00FC7DEE">
          <w:rPr>
            <w:rStyle w:val="Hipervnculo"/>
            <w:bCs/>
            <w:i w:val="0"/>
            <w:iCs/>
            <w:spacing w:val="-2"/>
            <w:lang w:val="en-US"/>
          </w:rPr>
          <w:t>https://data.oecd.org/gga/general-government-spending.htm</w:t>
        </w:r>
      </w:hyperlink>
      <w:bookmarkEnd w:id="97"/>
    </w:p>
    <w:p w14:paraId="53878D6F" w14:textId="776859C4" w:rsidR="00FE6031" w:rsidRDefault="00FE6031" w:rsidP="00FE6031">
      <w:pPr>
        <w:pStyle w:val="Ttulo2"/>
      </w:pPr>
      <w:bookmarkStart w:id="98" w:name="_Toc150975458"/>
      <w:r>
        <w:t>Teorías que explican el crecimiento del gasto público</w:t>
      </w:r>
      <w:bookmarkEnd w:id="98"/>
    </w:p>
    <w:p w14:paraId="0DFACC32" w14:textId="314C3485" w:rsidR="00281608" w:rsidRPr="005F0299" w:rsidRDefault="003E094E" w:rsidP="00FE6031">
      <w:pPr>
        <w:pStyle w:val="Ttulo3"/>
        <w:spacing w:before="0"/>
      </w:pPr>
      <w:bookmarkStart w:id="99" w:name="_Toc150975459"/>
      <w:r w:rsidRPr="005F0299">
        <w:t xml:space="preserve">Las leyes de </w:t>
      </w:r>
      <w:r w:rsidRPr="00FA1CE3">
        <w:rPr>
          <w:smallCaps/>
        </w:rPr>
        <w:t>Wagner</w:t>
      </w:r>
      <w:bookmarkEnd w:id="99"/>
    </w:p>
    <w:p w14:paraId="42C818E6" w14:textId="7F4D065E" w:rsidR="00DA3103" w:rsidRDefault="00DA3103" w:rsidP="00B9340B">
      <w:pPr>
        <w:pStyle w:val="Nivel1SM"/>
        <w:keepNext/>
        <w:spacing w:before="0" w:after="0"/>
      </w:pPr>
      <w:r w:rsidRPr="00505C8A">
        <w:rPr>
          <w:smallCaps/>
        </w:rPr>
        <w:t>Wagner</w:t>
      </w:r>
      <w:r>
        <w:t xml:space="preserve"> es el autor pionero en el estudio sobre el crecimiento del </w:t>
      </w:r>
      <w:r w:rsidR="00B9340B">
        <w:t>gasto público</w:t>
      </w:r>
      <w:r>
        <w:t xml:space="preserve"> y ofrece una doble explicativa de la evolución de esta variable.</w:t>
      </w:r>
    </w:p>
    <w:p w14:paraId="117016F5" w14:textId="4C8592E2" w:rsidR="00554869" w:rsidRDefault="00554869" w:rsidP="00B9340B">
      <w:pPr>
        <w:pStyle w:val="Nivel2SM"/>
      </w:pPr>
      <w:r>
        <w:t xml:space="preserve">Según este autor, el gasto público crece por el </w:t>
      </w:r>
      <w:r w:rsidRPr="008A1E06">
        <w:rPr>
          <w:b/>
        </w:rPr>
        <w:t>desarrollo económico</w:t>
      </w:r>
      <w:r>
        <w:t xml:space="preserve"> de la sociedad.</w:t>
      </w:r>
    </w:p>
    <w:p w14:paraId="30DF5C63" w14:textId="45B0A19D" w:rsidR="00554869" w:rsidRDefault="00554869" w:rsidP="00341B6F">
      <w:pPr>
        <w:pStyle w:val="Nivel2SM"/>
        <w:keepNext/>
        <w:spacing w:after="0"/>
      </w:pPr>
      <w:r w:rsidRPr="00B9340B">
        <w:t xml:space="preserve">El desarrollo económico induce al crecimiento del </w:t>
      </w:r>
      <w:r w:rsidR="00B5414A" w:rsidRPr="00B9340B">
        <w:t>gasto público</w:t>
      </w:r>
      <w:r w:rsidRPr="00B9340B">
        <w:t xml:space="preserve"> por </w:t>
      </w:r>
      <w:r w:rsidR="000B3014" w:rsidRPr="00B9340B">
        <w:rPr>
          <w:i/>
          <w:iCs/>
          <w:u w:val="single"/>
        </w:rPr>
        <w:t>2 </w:t>
      </w:r>
      <w:r w:rsidRPr="00B9340B">
        <w:rPr>
          <w:i/>
          <w:iCs/>
          <w:u w:val="single"/>
        </w:rPr>
        <w:t>motivos</w:t>
      </w:r>
      <w:r>
        <w:t>:</w:t>
      </w:r>
    </w:p>
    <w:p w14:paraId="776BE2F1" w14:textId="03A75E15" w:rsidR="00D91ED6" w:rsidRPr="0033465E" w:rsidRDefault="0033465E" w:rsidP="003D3436">
      <w:pPr>
        <w:pStyle w:val="Nivel3SM"/>
        <w:keepNext/>
        <w:rPr>
          <w:spacing w:val="-2"/>
        </w:rPr>
      </w:pPr>
      <w:r w:rsidRPr="0033465E">
        <w:rPr>
          <w:i/>
          <w:iCs/>
          <w:spacing w:val="-2"/>
        </w:rPr>
        <w:t>1ª </w:t>
      </w:r>
      <w:r w:rsidR="006328E8" w:rsidRPr="0033465E">
        <w:rPr>
          <w:i/>
          <w:iCs/>
          <w:spacing w:val="-2"/>
        </w:rPr>
        <w:t>Ley de Wagner</w:t>
      </w:r>
      <w:r w:rsidR="006328E8" w:rsidRPr="0033465E">
        <w:rPr>
          <w:spacing w:val="-2"/>
        </w:rPr>
        <w:t>:</w:t>
      </w:r>
      <w:r w:rsidR="003D3436" w:rsidRPr="0033465E">
        <w:rPr>
          <w:spacing w:val="-2"/>
        </w:rPr>
        <w:t xml:space="preserve"> </w:t>
      </w:r>
      <w:r w:rsidR="005F0299" w:rsidRPr="0033465E">
        <w:rPr>
          <w:spacing w:val="-2"/>
        </w:rPr>
        <w:t xml:space="preserve">Pasar de </w:t>
      </w:r>
      <w:r w:rsidR="006328E8" w:rsidRPr="0033465E">
        <w:rPr>
          <w:spacing w:val="-2"/>
        </w:rPr>
        <w:t>una sociedad tradicional en una sociedad</w:t>
      </w:r>
      <w:r w:rsidR="00495974" w:rsidRPr="0033465E">
        <w:rPr>
          <w:spacing w:val="-2"/>
        </w:rPr>
        <w:t xml:space="preserve"> industrializada compleja </w:t>
      </w:r>
      <w:r w:rsidR="005F0299" w:rsidRPr="0033465E">
        <w:rPr>
          <w:spacing w:val="-2"/>
        </w:rPr>
        <w:t xml:space="preserve">sustituye </w:t>
      </w:r>
      <w:r w:rsidR="007369FE" w:rsidRPr="0033465E">
        <w:rPr>
          <w:spacing w:val="-2"/>
        </w:rPr>
        <w:t>actividad privada por pública</w:t>
      </w:r>
      <w:r w:rsidR="005308B8" w:rsidRPr="0033465E">
        <w:rPr>
          <w:spacing w:val="-2"/>
        </w:rPr>
        <w:t xml:space="preserve">. </w:t>
      </w:r>
      <w:r w:rsidRPr="0033465E">
        <w:rPr>
          <w:spacing w:val="-2"/>
        </w:rPr>
        <w:t>A esto contribuyen los siguientes f</w:t>
      </w:r>
      <w:r w:rsidR="005F0299" w:rsidRPr="0033465E">
        <w:rPr>
          <w:spacing w:val="-2"/>
        </w:rPr>
        <w:t>actores:</w:t>
      </w:r>
    </w:p>
    <w:p w14:paraId="00EE2194" w14:textId="68E344BB" w:rsidR="00A16404" w:rsidRDefault="00B55012" w:rsidP="003D3436">
      <w:pPr>
        <w:pStyle w:val="Nivel4"/>
        <w:ind w:left="1474"/>
      </w:pPr>
      <w:r>
        <w:t>E</w:t>
      </w:r>
      <w:r w:rsidR="005308B8">
        <w:t xml:space="preserve">l </w:t>
      </w:r>
      <w:r w:rsidR="005308B8" w:rsidRPr="005F0299">
        <w:t>cambio estructural</w:t>
      </w:r>
      <w:r w:rsidR="005308B8">
        <w:t xml:space="preserve"> aflora </w:t>
      </w:r>
      <w:r w:rsidR="005308B8" w:rsidRPr="005F0299">
        <w:t>fallos de mercado</w:t>
      </w:r>
      <w:r w:rsidR="005308B8">
        <w:t xml:space="preserve"> que antes no existían</w:t>
      </w:r>
      <w:r w:rsidR="00D91ED6">
        <w:t xml:space="preserve"> </w:t>
      </w:r>
      <w:r w:rsidR="005F0299">
        <w:t>(</w:t>
      </w:r>
      <w:r w:rsidR="00D91ED6">
        <w:t>propios de las actividades industriales y de servicios que de la agricultura</w:t>
      </w:r>
      <w:r w:rsidR="005F0299">
        <w:t>)</w:t>
      </w:r>
      <w:r w:rsidR="003D3436">
        <w:t>, como e</w:t>
      </w:r>
      <w:r w:rsidR="005F0299">
        <w:t>xternalidades, monopolios naturales</w:t>
      </w:r>
      <w:r w:rsidR="006008EF">
        <w:t>…</w:t>
      </w:r>
    </w:p>
    <w:p w14:paraId="4A8ADF24" w14:textId="67237EFF" w:rsidR="00B024A5" w:rsidRDefault="00B55012" w:rsidP="003D3436">
      <w:pPr>
        <w:pStyle w:val="Nivel4"/>
        <w:ind w:left="1474"/>
      </w:pPr>
      <w:r>
        <w:t>E</w:t>
      </w:r>
      <w:r w:rsidR="00682393">
        <w:t xml:space="preserve">l </w:t>
      </w:r>
      <w:r w:rsidR="00682393" w:rsidRPr="005F0299">
        <w:t>mantenimiento de la ley y el orden</w:t>
      </w:r>
      <w:r w:rsidR="00682393">
        <w:t xml:space="preserve"> es una función fundamental del Estado</w:t>
      </w:r>
      <w:r>
        <w:t>.</w:t>
      </w:r>
      <w:r w:rsidR="00682393">
        <w:t xml:space="preserve"> </w:t>
      </w:r>
      <w:r w:rsidR="005F0299">
        <w:t>Esta tarea se hace más complicada con economías más desarrolladas.</w:t>
      </w:r>
    </w:p>
    <w:p w14:paraId="147FD3B5" w14:textId="0D8C19D5" w:rsidR="00554869" w:rsidRDefault="0033465E" w:rsidP="003D3436">
      <w:pPr>
        <w:pStyle w:val="Nivel3SM"/>
        <w:keepNext/>
      </w:pPr>
      <w:r>
        <w:rPr>
          <w:i/>
          <w:iCs/>
        </w:rPr>
        <w:lastRenderedPageBreak/>
        <w:t>2ª </w:t>
      </w:r>
      <w:r w:rsidR="00554869" w:rsidRPr="003D3436">
        <w:rPr>
          <w:i/>
          <w:iCs/>
        </w:rPr>
        <w:t>Ley de Wagner</w:t>
      </w:r>
      <w:r w:rsidR="00554869">
        <w:t>:</w:t>
      </w:r>
      <w:r w:rsidR="003D3436">
        <w:t xml:space="preserve"> </w:t>
      </w:r>
      <w:r w:rsidR="00554869">
        <w:t xml:space="preserve">El </w:t>
      </w:r>
      <w:r w:rsidR="00554869" w:rsidRPr="00B55012">
        <w:t>aumento de la renta per cápita</w:t>
      </w:r>
      <w:r w:rsidR="00554869">
        <w:t xml:space="preserve"> estimula la </w:t>
      </w:r>
      <w:r w:rsidR="00554869" w:rsidRPr="001E3903">
        <w:t xml:space="preserve">demanda de bienes públicos con elasticidad-renta </w:t>
      </w:r>
      <w:r>
        <w:t>mayor que cero</w:t>
      </w:r>
      <w:r w:rsidR="00554869">
        <w:t xml:space="preserve"> (</w:t>
      </w:r>
      <w:r w:rsidR="006008EF">
        <w:t>p.ej.</w:t>
      </w:r>
      <w:r w:rsidR="00554869">
        <w:t xml:space="preserve"> educación superior, carreteras</w:t>
      </w:r>
      <w:r w:rsidR="006008EF">
        <w:t>…</w:t>
      </w:r>
      <w:r w:rsidR="00554869">
        <w:t>).</w:t>
      </w:r>
    </w:p>
    <w:p w14:paraId="06E99176" w14:textId="563D0B1D" w:rsidR="00554869" w:rsidRDefault="00554869" w:rsidP="00B5414A">
      <w:pPr>
        <w:pStyle w:val="Nivel4"/>
        <w:ind w:left="1474"/>
      </w:pPr>
      <w:r>
        <w:t xml:space="preserve">Estos bienes públicos </w:t>
      </w:r>
      <w:r w:rsidRPr="00B55012">
        <w:t>no podrán ser provistos</w:t>
      </w:r>
      <w:r>
        <w:t xml:space="preserve"> por las empresas privadas al ser bienes públicos (infraprovisión y free rider).</w:t>
      </w:r>
    </w:p>
    <w:p w14:paraId="04AC4E4F" w14:textId="77777777" w:rsidR="00E47156" w:rsidRDefault="00E47156" w:rsidP="00BB48C4">
      <w:pPr>
        <w:pStyle w:val="Nivel2SM"/>
        <w:keepNext/>
        <w:spacing w:after="0"/>
      </w:pPr>
      <w:r w:rsidRPr="00B9340B">
        <w:rPr>
          <w:i/>
          <w:iCs/>
          <w:u w:val="single"/>
        </w:rPr>
        <w:t>Valoración</w:t>
      </w:r>
      <w:r>
        <w:t>:</w:t>
      </w:r>
    </w:p>
    <w:p w14:paraId="6144D59C" w14:textId="77777777" w:rsidR="00DA3103" w:rsidRDefault="00DA3103" w:rsidP="00BB48C4">
      <w:pPr>
        <w:pStyle w:val="Nivel3SM"/>
        <w:keepNext/>
      </w:pPr>
      <w:r w:rsidRPr="00BB48C4">
        <w:rPr>
          <w:i/>
          <w:iCs/>
        </w:rPr>
        <w:t>Positiva</w:t>
      </w:r>
      <w:r>
        <w:t>:</w:t>
      </w:r>
    </w:p>
    <w:p w14:paraId="28C3A242" w14:textId="67639868" w:rsidR="00554869" w:rsidRPr="00554869" w:rsidRDefault="00554869" w:rsidP="00BB48C4">
      <w:pPr>
        <w:pStyle w:val="Nivel4"/>
        <w:ind w:left="1474"/>
      </w:pPr>
      <w:r w:rsidRPr="00554869">
        <w:t xml:space="preserve">Las Leyes de </w:t>
      </w:r>
      <w:r w:rsidR="00341B6F">
        <w:rPr>
          <w:smallCaps/>
        </w:rPr>
        <w:t>Wagner</w:t>
      </w:r>
      <w:r w:rsidRPr="00554869">
        <w:t xml:space="preserve"> han atraído la atención de los investigadores, lo cual se debe a que, pese a su sencillez, las Leyes se ajustan razonablemente bien a la evidencia empírica</w:t>
      </w:r>
      <w:r w:rsidR="00935799">
        <w:t xml:space="preserve"> (con matices, en los últimos tiempos menos)</w:t>
      </w:r>
      <w:r w:rsidRPr="00554869">
        <w:t>.</w:t>
      </w:r>
    </w:p>
    <w:p w14:paraId="7434769F" w14:textId="7ACE2078" w:rsidR="00A368C9" w:rsidRDefault="00355E3D" w:rsidP="00BB48C4">
      <w:pPr>
        <w:pStyle w:val="Nivel3SM"/>
        <w:keepNext/>
      </w:pPr>
      <w:r w:rsidRPr="00554869">
        <w:t xml:space="preserve">Pero también </w:t>
      </w:r>
      <w:r w:rsidRPr="00BB48C4">
        <w:rPr>
          <w:i/>
          <w:iCs/>
        </w:rPr>
        <w:t>críticas</w:t>
      </w:r>
      <w:r>
        <w:t>:</w:t>
      </w:r>
    </w:p>
    <w:p w14:paraId="1BB797E4" w14:textId="2F9EA600" w:rsidR="00262556" w:rsidRDefault="00355E3D" w:rsidP="00BB48C4">
      <w:pPr>
        <w:pStyle w:val="Nivel4"/>
        <w:ind w:left="1474"/>
      </w:pPr>
      <w:r>
        <w:t xml:space="preserve">Correlación entre </w:t>
      </w:r>
      <w:r w:rsidR="00262556">
        <w:t>PIB p</w:t>
      </w:r>
      <w:r w:rsidR="00BB48C4">
        <w:t xml:space="preserve">er </w:t>
      </w:r>
      <w:r>
        <w:t>c</w:t>
      </w:r>
      <w:r w:rsidR="00BB48C4">
        <w:t>ápita</w:t>
      </w:r>
      <w:r w:rsidR="00262556">
        <w:t xml:space="preserve"> y (G/PIB) </w:t>
      </w:r>
      <w:r w:rsidR="00B55012">
        <w:t xml:space="preserve">no implica </w:t>
      </w:r>
      <w:r w:rsidR="00615935">
        <w:t>causalidad</w:t>
      </w:r>
      <w:r w:rsidR="00262556">
        <w:t>.</w:t>
      </w:r>
    </w:p>
    <w:p w14:paraId="6D4ACF7B" w14:textId="43066494" w:rsidR="00355E3D" w:rsidRDefault="00355E3D" w:rsidP="00BB48C4">
      <w:pPr>
        <w:pStyle w:val="Nivel4"/>
        <w:ind w:left="1474"/>
      </w:pPr>
      <w:r>
        <w:t>No explica procesos de consolidación fiscal ni el aumento del gasto en países que hayan sido devastados por la guerra.</w:t>
      </w:r>
    </w:p>
    <w:p w14:paraId="31846646" w14:textId="77777777" w:rsidR="00FE6031" w:rsidRPr="001E3903" w:rsidRDefault="00FE6031" w:rsidP="00FE6031">
      <w:pPr>
        <w:pStyle w:val="Ttulo6"/>
        <w:rPr>
          <w:highlight w:val="yellow"/>
        </w:rPr>
      </w:pPr>
      <w:bookmarkStart w:id="100" w:name="_Toc150975460"/>
      <w:r w:rsidRPr="001E3903">
        <w:rPr>
          <w:highlight w:val="yellow"/>
        </w:rPr>
        <w:t xml:space="preserve">La aportación de </w:t>
      </w:r>
      <w:r w:rsidRPr="00FD04B1">
        <w:rPr>
          <w:smallCaps/>
          <w:highlight w:val="yellow"/>
        </w:rPr>
        <w:t>Musgrave</w:t>
      </w:r>
      <w:bookmarkEnd w:id="100"/>
    </w:p>
    <w:p w14:paraId="3F546B1D" w14:textId="77777777" w:rsidR="00FE6031" w:rsidRPr="001E3903" w:rsidRDefault="00FE6031" w:rsidP="00FE6031">
      <w:pPr>
        <w:pStyle w:val="Nivel2SM"/>
        <w:keepNext/>
        <w:spacing w:after="0"/>
        <w:rPr>
          <w:highlight w:val="yellow"/>
        </w:rPr>
      </w:pPr>
      <w:r w:rsidRPr="001E3903">
        <w:rPr>
          <w:highlight w:val="yellow"/>
        </w:rPr>
        <w:t xml:space="preserve">El </w:t>
      </w:r>
      <w:r w:rsidRPr="001E3903">
        <w:rPr>
          <w:highlight w:val="yellow"/>
          <w:u w:val="single"/>
        </w:rPr>
        <w:t>desarrollo de una sociedad</w:t>
      </w:r>
      <w:r w:rsidRPr="001E3903">
        <w:rPr>
          <w:highlight w:val="yellow"/>
        </w:rPr>
        <w:t xml:space="preserve"> requiere un aumento del gasto público:</w:t>
      </w:r>
    </w:p>
    <w:p w14:paraId="249E0FA7" w14:textId="77777777" w:rsidR="00FE6031" w:rsidRPr="00FD04B1" w:rsidRDefault="00FE6031" w:rsidP="00FE6031">
      <w:pPr>
        <w:pStyle w:val="Nivel3SM"/>
        <w:rPr>
          <w:highlight w:val="yellow"/>
        </w:rPr>
      </w:pPr>
      <w:r w:rsidRPr="00C71D25">
        <w:rPr>
          <w:i/>
          <w:iCs/>
          <w:highlight w:val="yellow"/>
          <w:u w:val="single"/>
        </w:rPr>
        <w:t>Factores demográficos</w:t>
      </w:r>
      <w:r w:rsidRPr="00FD04B1">
        <w:rPr>
          <w:highlight w:val="yellow"/>
        </w:rPr>
        <w:t>:</w:t>
      </w:r>
      <w:r>
        <w:rPr>
          <w:highlight w:val="yellow"/>
        </w:rPr>
        <w:t xml:space="preserve"> </w:t>
      </w:r>
      <w:r w:rsidRPr="00FD04B1">
        <w:rPr>
          <w:highlight w:val="yellow"/>
        </w:rPr>
        <w:t>E</w:t>
      </w:r>
      <w:r>
        <w:rPr>
          <w:highlight w:val="yellow"/>
        </w:rPr>
        <w:t>l e</w:t>
      </w:r>
      <w:r w:rsidRPr="00FD04B1">
        <w:rPr>
          <w:highlight w:val="yellow"/>
        </w:rPr>
        <w:t>nvejecimiento de la población</w:t>
      </w:r>
      <w:r>
        <w:rPr>
          <w:highlight w:val="yellow"/>
        </w:rPr>
        <w:t xml:space="preserve"> genera un a</w:t>
      </w:r>
      <w:r w:rsidRPr="00FD04B1">
        <w:rPr>
          <w:highlight w:val="yellow"/>
        </w:rPr>
        <w:t>umento del gasto público (gastos sanitarios, pensiones…).</w:t>
      </w:r>
    </w:p>
    <w:p w14:paraId="5ECB4485" w14:textId="77777777" w:rsidR="00FE6031" w:rsidRPr="00FD04B1" w:rsidRDefault="00FE6031" w:rsidP="00FE6031">
      <w:pPr>
        <w:pStyle w:val="Nivel3SM"/>
        <w:keepNext/>
        <w:rPr>
          <w:highlight w:val="yellow"/>
        </w:rPr>
      </w:pPr>
      <w:r w:rsidRPr="00C71D25">
        <w:rPr>
          <w:i/>
          <w:iCs/>
          <w:highlight w:val="yellow"/>
          <w:u w:val="single"/>
        </w:rPr>
        <w:t>Factores tecnológicos</w:t>
      </w:r>
      <w:r w:rsidRPr="00FD04B1">
        <w:rPr>
          <w:highlight w:val="yellow"/>
        </w:rPr>
        <w:t>:</w:t>
      </w:r>
      <w:r>
        <w:rPr>
          <w:highlight w:val="yellow"/>
        </w:rPr>
        <w:t xml:space="preserve"> </w:t>
      </w:r>
      <w:r w:rsidRPr="00FD04B1">
        <w:rPr>
          <w:highlight w:val="yellow"/>
        </w:rPr>
        <w:t>Los avances tecnológicos pueden requerir la intervención del sector público.</w:t>
      </w:r>
    </w:p>
    <w:p w14:paraId="37108DC4" w14:textId="77777777" w:rsidR="00FE6031" w:rsidRPr="001E3903" w:rsidRDefault="00FE6031" w:rsidP="00FE6031">
      <w:pPr>
        <w:pStyle w:val="Nivel4"/>
        <w:ind w:left="1474"/>
        <w:rPr>
          <w:highlight w:val="yellow"/>
        </w:rPr>
      </w:pPr>
      <w:r w:rsidRPr="001E3903">
        <w:rPr>
          <w:highlight w:val="yellow"/>
        </w:rPr>
        <w:t>Ejemplo: La invención del motor de combustión interna obliga al sector público a desarrollar una red de carreteras.</w:t>
      </w:r>
    </w:p>
    <w:p w14:paraId="111B5DD1" w14:textId="77777777" w:rsidR="00FE6031" w:rsidRPr="00FD04B1" w:rsidRDefault="00FE6031" w:rsidP="00FE6031">
      <w:pPr>
        <w:pStyle w:val="Nivel3SM"/>
        <w:rPr>
          <w:highlight w:val="yellow"/>
        </w:rPr>
      </w:pPr>
      <w:r w:rsidRPr="00C71D25">
        <w:rPr>
          <w:i/>
          <w:iCs/>
          <w:highlight w:val="yellow"/>
          <w:u w:val="single"/>
        </w:rPr>
        <w:t>Urbanización</w:t>
      </w:r>
      <w:r w:rsidRPr="00FD04B1">
        <w:rPr>
          <w:highlight w:val="yellow"/>
        </w:rPr>
        <w:t>:</w:t>
      </w:r>
      <w:r>
        <w:rPr>
          <w:highlight w:val="yellow"/>
        </w:rPr>
        <w:t xml:space="preserve"> </w:t>
      </w:r>
      <w:r w:rsidRPr="00FD04B1">
        <w:rPr>
          <w:highlight w:val="yellow"/>
        </w:rPr>
        <w:t>Requiere prestación de una serie de servicios públicos y la instalación de infraestructuras no necesarias en el marco rural.</w:t>
      </w:r>
    </w:p>
    <w:p w14:paraId="18EB10E8" w14:textId="743CC842" w:rsidR="005B08CF" w:rsidRPr="00355E3D" w:rsidRDefault="00615935" w:rsidP="00FE6031">
      <w:pPr>
        <w:pStyle w:val="Ttulo3"/>
      </w:pPr>
      <w:bookmarkStart w:id="101" w:name="_Toc150975461"/>
      <w:r>
        <w:t>Teoría del e</w:t>
      </w:r>
      <w:r w:rsidR="007B1739" w:rsidRPr="00355E3D">
        <w:t>fecto desplazamiento</w:t>
      </w:r>
      <w:r w:rsidR="007D135B" w:rsidRPr="00355E3D">
        <w:t xml:space="preserve"> </w:t>
      </w:r>
      <w:r w:rsidR="00C16915">
        <w:t xml:space="preserve">y el efecto inspección </w:t>
      </w:r>
      <w:r w:rsidR="007D135B" w:rsidRPr="00355E3D">
        <w:t>(</w:t>
      </w:r>
      <w:r w:rsidR="007D135B" w:rsidRPr="00FA1CE3">
        <w:rPr>
          <w:smallCaps/>
        </w:rPr>
        <w:t>Peacock</w:t>
      </w:r>
      <w:r w:rsidR="007D135B" w:rsidRPr="00355E3D">
        <w:t xml:space="preserve"> y </w:t>
      </w:r>
      <w:r w:rsidR="007D135B" w:rsidRPr="00FA1CE3">
        <w:rPr>
          <w:smallCaps/>
        </w:rPr>
        <w:t>Wiseman</w:t>
      </w:r>
      <w:r w:rsidR="007D135B" w:rsidRPr="00355E3D">
        <w:t>, 1967</w:t>
      </w:r>
      <w:r w:rsidR="00482E3B" w:rsidRPr="00355E3D">
        <w:t>)</w:t>
      </w:r>
      <w:bookmarkEnd w:id="101"/>
    </w:p>
    <w:p w14:paraId="1229D262" w14:textId="0AA09AB0" w:rsidR="00554869" w:rsidRPr="00341B6F" w:rsidRDefault="00554869" w:rsidP="00341B6F">
      <w:pPr>
        <w:pStyle w:val="Nivel2SM"/>
        <w:keepNext/>
        <w:spacing w:after="0"/>
        <w:rPr>
          <w:u w:val="single"/>
        </w:rPr>
      </w:pPr>
      <w:r w:rsidRPr="00C16915">
        <w:rPr>
          <w:i/>
          <w:iCs/>
          <w:u w:val="single"/>
        </w:rPr>
        <w:t>Idea</w:t>
      </w:r>
      <w:r w:rsidR="00341B6F" w:rsidRPr="00341B6F">
        <w:t>:</w:t>
      </w:r>
    </w:p>
    <w:p w14:paraId="6978C6ED" w14:textId="3FD3C0AF" w:rsidR="0085672F" w:rsidRDefault="00554869" w:rsidP="00341B6F">
      <w:pPr>
        <w:pStyle w:val="Nivel3SM"/>
      </w:pPr>
      <w:r w:rsidRPr="00554869">
        <w:t xml:space="preserve">El gasto aumenta a saltos como consecuencia de </w:t>
      </w:r>
      <w:r w:rsidRPr="001E3903">
        <w:rPr>
          <w:u w:val="single"/>
        </w:rPr>
        <w:t>conmociones sociales</w:t>
      </w:r>
      <w:r w:rsidRPr="00554869">
        <w:t>, tras las cuales el nivel de gasto no retorna a su nivel inicial.</w:t>
      </w:r>
    </w:p>
    <w:p w14:paraId="602CE9DB" w14:textId="77777777" w:rsidR="00482E3B" w:rsidRDefault="00554869" w:rsidP="00341B6F">
      <w:pPr>
        <w:pStyle w:val="Nivel2SM"/>
        <w:keepNext/>
        <w:spacing w:after="0"/>
      </w:pPr>
      <w:r w:rsidRPr="00C16915">
        <w:rPr>
          <w:i/>
          <w:iCs/>
          <w:u w:val="single"/>
        </w:rPr>
        <w:t>Desarrollo</w:t>
      </w:r>
      <w:r w:rsidR="00232C18">
        <w:t>:</w:t>
      </w:r>
    </w:p>
    <w:p w14:paraId="44BEE654" w14:textId="0A0205A0" w:rsidR="00554869" w:rsidRDefault="00355E3D" w:rsidP="00341B6F">
      <w:pPr>
        <w:pStyle w:val="Nivel3SM"/>
      </w:pPr>
      <w:r w:rsidRPr="000F1702">
        <w:rPr>
          <w:i/>
          <w:iCs/>
          <w:u w:val="single"/>
        </w:rPr>
        <w:t>É</w:t>
      </w:r>
      <w:r w:rsidR="00232C18" w:rsidRPr="000F1702">
        <w:rPr>
          <w:i/>
          <w:iCs/>
          <w:u w:val="single"/>
        </w:rPr>
        <w:t>pocas de estabilidad</w:t>
      </w:r>
      <w:r w:rsidRPr="00355E3D">
        <w:t>:</w:t>
      </w:r>
      <w:r w:rsidR="00232C18">
        <w:t xml:space="preserve"> </w:t>
      </w:r>
      <w:r w:rsidR="00554869">
        <w:t xml:space="preserve">En épocas de estabilidad, </w:t>
      </w:r>
      <w:r w:rsidR="00554869" w:rsidRPr="000F1702">
        <w:rPr>
          <w:i/>
          <w:iCs/>
        </w:rPr>
        <w:t>los impuestos suelen mantenerse en un nivel estable,</w:t>
      </w:r>
      <w:r w:rsidR="00554869">
        <w:t xml:space="preserve"> </w:t>
      </w:r>
      <w:r w:rsidR="00554869" w:rsidRPr="000F1702">
        <w:rPr>
          <w:i/>
          <w:iCs/>
        </w:rPr>
        <w:t>dependiendo dicho nivel de la tolerancia impositiva de los contribuyentes</w:t>
      </w:r>
      <w:r w:rsidR="00554869">
        <w:t>. El gasto público se ajusta a dicho nivel de recaudación.</w:t>
      </w:r>
    </w:p>
    <w:p w14:paraId="3F97247D" w14:textId="46761259" w:rsidR="00554869" w:rsidRPr="005A2E57" w:rsidRDefault="00554869" w:rsidP="00341B6F">
      <w:pPr>
        <w:pStyle w:val="Nivel3SM"/>
        <w:rPr>
          <w:spacing w:val="-2"/>
          <w:u w:val="single"/>
        </w:rPr>
      </w:pPr>
      <w:r w:rsidRPr="005A2E57">
        <w:rPr>
          <w:i/>
          <w:iCs/>
          <w:spacing w:val="-2"/>
          <w:u w:val="single"/>
        </w:rPr>
        <w:t>Crisis/Conmoción Social</w:t>
      </w:r>
      <w:r w:rsidRPr="005A2E57">
        <w:rPr>
          <w:spacing w:val="-2"/>
        </w:rPr>
        <w:t>:</w:t>
      </w:r>
      <w:r w:rsidR="00341B6F" w:rsidRPr="005A2E57">
        <w:rPr>
          <w:spacing w:val="-2"/>
        </w:rPr>
        <w:t xml:space="preserve"> </w:t>
      </w:r>
      <w:r w:rsidRPr="005A2E57">
        <w:rPr>
          <w:spacing w:val="-2"/>
        </w:rPr>
        <w:t xml:space="preserve">Sin embargo, ante una </w:t>
      </w:r>
      <w:r w:rsidRPr="005A2E57">
        <w:rPr>
          <w:i/>
          <w:iCs/>
          <w:spacing w:val="-2"/>
        </w:rPr>
        <w:t>crisis</w:t>
      </w:r>
      <w:r w:rsidRPr="005A2E57">
        <w:rPr>
          <w:spacing w:val="-2"/>
        </w:rPr>
        <w:t xml:space="preserve"> o </w:t>
      </w:r>
      <w:r w:rsidRPr="005A2E57">
        <w:rPr>
          <w:i/>
          <w:iCs/>
          <w:spacing w:val="-2"/>
        </w:rPr>
        <w:t>“conmoción social”</w:t>
      </w:r>
      <w:r w:rsidRPr="005A2E57">
        <w:rPr>
          <w:spacing w:val="-2"/>
        </w:rPr>
        <w:t xml:space="preserve">, los contribuyentes se percatan de la utilidad de mayor gasto social, por lo que, para financiar dicho aumento, </w:t>
      </w:r>
      <w:r w:rsidRPr="005A2E57">
        <w:rPr>
          <w:i/>
          <w:iCs/>
          <w:spacing w:val="-2"/>
        </w:rPr>
        <w:t xml:space="preserve">están dispuestos a aceptar </w:t>
      </w:r>
      <w:r w:rsidR="000F1702" w:rsidRPr="005A2E57">
        <w:rPr>
          <w:i/>
          <w:iCs/>
          <w:spacing w:val="-2"/>
        </w:rPr>
        <w:t xml:space="preserve">(i.e. toleran) </w:t>
      </w:r>
      <w:r w:rsidRPr="005A2E57">
        <w:rPr>
          <w:i/>
          <w:iCs/>
          <w:spacing w:val="-2"/>
        </w:rPr>
        <w:t>niveles impositivos que no habrían aceptado en condiciones normales</w:t>
      </w:r>
      <w:r w:rsidRPr="005A2E57">
        <w:rPr>
          <w:spacing w:val="-2"/>
        </w:rPr>
        <w:t xml:space="preserve">, produciéndose así un </w:t>
      </w:r>
      <w:r w:rsidRPr="005A2E57">
        <w:rPr>
          <w:i/>
          <w:iCs/>
          <w:spacing w:val="-2"/>
        </w:rPr>
        <w:t>“efecto desplazamiento”</w:t>
      </w:r>
      <w:r w:rsidRPr="005A2E57">
        <w:rPr>
          <w:spacing w:val="-2"/>
        </w:rPr>
        <w:t>.</w:t>
      </w:r>
    </w:p>
    <w:p w14:paraId="021E2E42" w14:textId="103A3C4C" w:rsidR="00DF1031" w:rsidRPr="000F1702" w:rsidRDefault="00355E3D" w:rsidP="00341B6F">
      <w:pPr>
        <w:pStyle w:val="Nivel3SM"/>
      </w:pPr>
      <w:r w:rsidRPr="000F1702">
        <w:rPr>
          <w:i/>
          <w:iCs/>
          <w:u w:val="single"/>
        </w:rPr>
        <w:t>Vuelta a la estabilidad</w:t>
      </w:r>
      <w:r w:rsidR="00341B6F" w:rsidRPr="000F1702">
        <w:t xml:space="preserve">: </w:t>
      </w:r>
      <w:r w:rsidRPr="000F1702">
        <w:t>U</w:t>
      </w:r>
      <w:r w:rsidR="00DF1031" w:rsidRPr="000F1702">
        <w:t>na vez superada la conmoción social, el gasto público no retorna a su nivel inicial</w:t>
      </w:r>
      <w:r w:rsidRPr="000F1702">
        <w:t>.</w:t>
      </w:r>
      <w:r w:rsidR="00DF1031" w:rsidRPr="000F1702">
        <w:t xml:space="preserve"> </w:t>
      </w:r>
      <w:r w:rsidR="005A2E57">
        <w:t>Esto lleva a un p</w:t>
      </w:r>
      <w:r w:rsidR="00DF1031" w:rsidRPr="000F1702">
        <w:t xml:space="preserve">rogresivo crecimiento del </w:t>
      </w:r>
      <w:r w:rsidR="005A2E57">
        <w:t>gasto público</w:t>
      </w:r>
      <w:r w:rsidRPr="000F1702">
        <w:t>.</w:t>
      </w:r>
    </w:p>
    <w:p w14:paraId="0F7F372A" w14:textId="6C768FAC" w:rsidR="00B55012" w:rsidRDefault="00355E3D" w:rsidP="00341B6F">
      <w:pPr>
        <w:pStyle w:val="Nivel2SM"/>
        <w:keepNext/>
        <w:spacing w:after="0"/>
      </w:pPr>
      <w:r w:rsidRPr="00C16915">
        <w:rPr>
          <w:i/>
          <w:iCs/>
          <w:u w:val="single"/>
        </w:rPr>
        <w:t>J</w:t>
      </w:r>
      <w:r w:rsidR="00DF1031" w:rsidRPr="00C16915">
        <w:rPr>
          <w:i/>
          <w:iCs/>
          <w:u w:val="single"/>
        </w:rPr>
        <w:t>ustifica</w:t>
      </w:r>
      <w:r w:rsidR="00554869" w:rsidRPr="00C16915">
        <w:rPr>
          <w:i/>
          <w:iCs/>
          <w:u w:val="single"/>
        </w:rPr>
        <w:t>ción</w:t>
      </w:r>
      <w:r w:rsidR="00DF1031" w:rsidRPr="00C16915">
        <w:rPr>
          <w:i/>
          <w:iCs/>
          <w:u w:val="single"/>
        </w:rPr>
        <w:t xml:space="preserve"> </w:t>
      </w:r>
      <w:r w:rsidRPr="00C16915">
        <w:rPr>
          <w:i/>
          <w:iCs/>
          <w:u w:val="single"/>
        </w:rPr>
        <w:t xml:space="preserve">de la </w:t>
      </w:r>
      <w:r w:rsidR="00DF1031" w:rsidRPr="00C16915">
        <w:rPr>
          <w:i/>
          <w:iCs/>
          <w:u w:val="single"/>
        </w:rPr>
        <w:t>resistencia a la baja</w:t>
      </w:r>
      <w:r w:rsidRPr="00C16915">
        <w:rPr>
          <w:i/>
          <w:iCs/>
          <w:u w:val="single"/>
        </w:rPr>
        <w:t>: “E</w:t>
      </w:r>
      <w:r w:rsidR="00232C18" w:rsidRPr="00C16915">
        <w:rPr>
          <w:i/>
          <w:iCs/>
          <w:u w:val="single"/>
        </w:rPr>
        <w:t>fecto inspección”</w:t>
      </w:r>
      <w:r w:rsidR="00D4252B">
        <w:t>:</w:t>
      </w:r>
    </w:p>
    <w:p w14:paraId="1E7400B4" w14:textId="77777777" w:rsidR="00D4252B" w:rsidRDefault="00554869" w:rsidP="00341B6F">
      <w:pPr>
        <w:pStyle w:val="Nivel3SM"/>
      </w:pPr>
      <w:r>
        <w:t xml:space="preserve">Durante la conmoción social, los contribuyentes </w:t>
      </w:r>
      <w:r w:rsidRPr="007877D3">
        <w:rPr>
          <w:b/>
        </w:rPr>
        <w:t>descubren nuevos campos</w:t>
      </w:r>
      <w:r>
        <w:t xml:space="preserve"> en los que la actuación del Gobierno se considera necesaria (cuando antes pasaba desapercibida), produciéndose un </w:t>
      </w:r>
      <w:r w:rsidRPr="004D6500">
        <w:rPr>
          <w:i/>
        </w:rPr>
        <w:t>cambio de mentalidad</w:t>
      </w:r>
      <w:r>
        <w:t>. Por tanto, conscientes de estas necesidades, los ciudadanos van a aceptar ahora una mayor carga fiscal con la que financiar ese mayor gasto público.</w:t>
      </w:r>
    </w:p>
    <w:p w14:paraId="6D1BE550" w14:textId="1B72AC6D" w:rsidR="00355E3D" w:rsidRDefault="00E47156" w:rsidP="00341B6F">
      <w:pPr>
        <w:pStyle w:val="Nivel2SM"/>
        <w:keepNext/>
        <w:spacing w:after="0"/>
      </w:pPr>
      <w:r w:rsidRPr="000E6BF9">
        <w:rPr>
          <w:i/>
          <w:iCs/>
          <w:u w:val="single"/>
        </w:rPr>
        <w:t>Valoración</w:t>
      </w:r>
      <w:r w:rsidR="00355E3D">
        <w:t>:</w:t>
      </w:r>
    </w:p>
    <w:p w14:paraId="62391F21" w14:textId="654442D1" w:rsidR="00B55012" w:rsidRDefault="00380B76" w:rsidP="00341B6F">
      <w:pPr>
        <w:pStyle w:val="Nivel3SM"/>
      </w:pPr>
      <w:r>
        <w:t xml:space="preserve">La evidencia empírica muestra que el </w:t>
      </w:r>
      <w:r w:rsidRPr="001E3903">
        <w:t>gasto público no s</w:t>
      </w:r>
      <w:r w:rsidR="00FC6EEC" w:rsidRPr="001E3903">
        <w:t>ólo aumenta en épocas de crisis sociales</w:t>
      </w:r>
      <w:r w:rsidR="001A4685">
        <w:t xml:space="preserve"> (p.ej. aumentó en la década de 1960)</w:t>
      </w:r>
      <w:r w:rsidR="00FC6EEC">
        <w:t>.</w:t>
      </w:r>
    </w:p>
    <w:p w14:paraId="446C1293" w14:textId="77777777" w:rsidR="00EF6C05" w:rsidRDefault="00EF6C05" w:rsidP="00341B6F">
      <w:pPr>
        <w:pStyle w:val="Nivel3SM"/>
      </w:pPr>
      <w:r>
        <w:t xml:space="preserve">Asume que ingresos = gastos </w:t>
      </w:r>
      <w:r w:rsidR="00355E3D">
        <w:t xml:space="preserve">pudiendo </w:t>
      </w:r>
      <w:r>
        <w:t>el gobierno incurrir en déficits.</w:t>
      </w:r>
    </w:p>
    <w:p w14:paraId="0111663A" w14:textId="7492D1B8" w:rsidR="00EF6C05" w:rsidRPr="0083268D" w:rsidRDefault="00355E3D" w:rsidP="00341B6F">
      <w:pPr>
        <w:pStyle w:val="Nivel3SM"/>
      </w:pPr>
      <w:r>
        <w:lastRenderedPageBreak/>
        <w:t>T</w:t>
      </w:r>
      <w:r w:rsidR="00EF6C05">
        <w:t xml:space="preserve">ras </w:t>
      </w:r>
      <w:r w:rsidR="00D72229">
        <w:t xml:space="preserve">las </w:t>
      </w:r>
      <w:r w:rsidR="00EF6C05">
        <w:t>crisis</w:t>
      </w:r>
      <w:r w:rsidR="004D2F80">
        <w:t>,</w:t>
      </w:r>
      <w:r w:rsidR="00EF6C05">
        <w:t xml:space="preserve"> el nivel de </w:t>
      </w:r>
      <w:r w:rsidR="00EF6C05" w:rsidRPr="001E3903">
        <w:t xml:space="preserve">gasto público </w:t>
      </w:r>
      <w:r w:rsidRPr="001E3903">
        <w:t xml:space="preserve">no </w:t>
      </w:r>
      <w:r w:rsidR="00EF6C05" w:rsidRPr="001E3903">
        <w:t xml:space="preserve">aumenta de forma </w:t>
      </w:r>
      <w:r w:rsidR="00EF6C05" w:rsidRPr="005A2E57">
        <w:rPr>
          <w:bCs/>
        </w:rPr>
        <w:t>permanente</w:t>
      </w:r>
      <w:r w:rsidR="005A2E57">
        <w:t xml:space="preserve"> (p.ej. en los países de la OCDE en media no ha aumentado desde la década de 1980 y en algunos países como Suecia o Irlanda se ha reducido</w:t>
      </w:r>
      <w:r w:rsidR="00063639">
        <w:t xml:space="preserve"> </w:t>
      </w:r>
      <w:r w:rsidR="00063639" w:rsidRPr="00063639">
        <w:rPr>
          <w:color w:val="767171" w:themeColor="background2" w:themeShade="80"/>
          <w:sz w:val="19"/>
          <w:szCs w:val="19"/>
        </w:rPr>
        <w:t>[</w:t>
      </w:r>
      <w:r w:rsidR="00063639">
        <w:rPr>
          <w:color w:val="767171" w:themeColor="background2" w:themeShade="80"/>
          <w:sz w:val="19"/>
          <w:szCs w:val="19"/>
        </w:rPr>
        <w:t xml:space="preserve">ver </w:t>
      </w:r>
      <w:r w:rsidR="00063639" w:rsidRPr="00063639">
        <w:rPr>
          <w:color w:val="767171" w:themeColor="background2" w:themeShade="80"/>
          <w:sz w:val="19"/>
          <w:szCs w:val="19"/>
        </w:rPr>
        <w:fldChar w:fldCharType="begin"/>
      </w:r>
      <w:r w:rsidR="00063639" w:rsidRPr="00063639">
        <w:rPr>
          <w:color w:val="767171" w:themeColor="background2" w:themeShade="80"/>
          <w:sz w:val="19"/>
          <w:szCs w:val="19"/>
        </w:rPr>
        <w:instrText xml:space="preserve"> REF _Ref146538226 \h  \* MERGEFORMAT </w:instrText>
      </w:r>
      <w:r w:rsidR="00063639" w:rsidRPr="00063639">
        <w:rPr>
          <w:color w:val="767171" w:themeColor="background2" w:themeShade="80"/>
          <w:sz w:val="19"/>
          <w:szCs w:val="19"/>
        </w:rPr>
      </w:r>
      <w:r w:rsidR="00063639" w:rsidRPr="00063639">
        <w:rPr>
          <w:color w:val="767171" w:themeColor="background2" w:themeShade="80"/>
          <w:sz w:val="19"/>
          <w:szCs w:val="19"/>
        </w:rPr>
        <w:fldChar w:fldCharType="separate"/>
      </w:r>
      <w:r w:rsidR="000E5443" w:rsidRPr="000E5443">
        <w:rPr>
          <w:color w:val="767171" w:themeColor="background2" w:themeShade="80"/>
          <w:sz w:val="19"/>
          <w:szCs w:val="19"/>
        </w:rPr>
        <w:t>Imagen 9</w:t>
      </w:r>
      <w:r w:rsidR="00063639" w:rsidRPr="00063639">
        <w:rPr>
          <w:color w:val="767171" w:themeColor="background2" w:themeShade="80"/>
          <w:sz w:val="19"/>
          <w:szCs w:val="19"/>
        </w:rPr>
        <w:fldChar w:fldCharType="end"/>
      </w:r>
      <w:r w:rsidR="00063639" w:rsidRPr="00063639">
        <w:rPr>
          <w:color w:val="767171" w:themeColor="background2" w:themeShade="80"/>
          <w:sz w:val="19"/>
          <w:szCs w:val="19"/>
        </w:rPr>
        <w:t>]</w:t>
      </w:r>
      <w:r w:rsidR="005A2E57">
        <w:t>)</w:t>
      </w:r>
      <w:r w:rsidR="00EF6C05">
        <w:t>.</w:t>
      </w:r>
    </w:p>
    <w:p w14:paraId="36FC4674" w14:textId="77777777" w:rsidR="00FE6031" w:rsidRDefault="00FE6031" w:rsidP="00FE6031">
      <w:pPr>
        <w:pStyle w:val="Ttulo3"/>
      </w:pPr>
      <w:bookmarkStart w:id="102" w:name="_Toc150975462"/>
      <w:r w:rsidRPr="00BD56BB">
        <w:t>El incrementalismo del presupuesto (</w:t>
      </w:r>
      <w:r w:rsidRPr="00CF59F9">
        <w:rPr>
          <w:smallCaps/>
        </w:rPr>
        <w:t>Wilda</w:t>
      </w:r>
      <w:r>
        <w:rPr>
          <w:smallCaps/>
        </w:rPr>
        <w:t>v</w:t>
      </w:r>
      <w:r w:rsidRPr="00CF59F9">
        <w:rPr>
          <w:smallCaps/>
        </w:rPr>
        <w:t>sky</w:t>
      </w:r>
      <w:r w:rsidRPr="00BD56BB">
        <w:t>, 1964)</w:t>
      </w:r>
      <w:bookmarkEnd w:id="102"/>
    </w:p>
    <w:p w14:paraId="07279C7F" w14:textId="77777777" w:rsidR="00FE6031" w:rsidRPr="00F0290D" w:rsidRDefault="00FE6031" w:rsidP="00FE6031">
      <w:pPr>
        <w:pStyle w:val="Notaalopositor"/>
      </w:pPr>
      <w:r>
        <w:t>Coordinar en temas 4.B.3 y 4.B.6</w:t>
      </w:r>
    </w:p>
    <w:p w14:paraId="15AB6B23" w14:textId="77777777" w:rsidR="00FE6031" w:rsidRPr="00F64AF0" w:rsidRDefault="00FE6031" w:rsidP="00FE6031">
      <w:pPr>
        <w:pStyle w:val="Nivel2SM"/>
        <w:keepNext/>
        <w:spacing w:after="0"/>
        <w:rPr>
          <w:u w:val="single"/>
        </w:rPr>
      </w:pPr>
      <w:r w:rsidRPr="00C80BA4">
        <w:rPr>
          <w:i/>
          <w:u w:val="single"/>
        </w:rPr>
        <w:t>Idea</w:t>
      </w:r>
      <w:r w:rsidRPr="00C80BA4">
        <w:t>:</w:t>
      </w:r>
    </w:p>
    <w:p w14:paraId="6C39DDA0" w14:textId="77777777" w:rsidR="00FE6031" w:rsidRDefault="00FE6031" w:rsidP="00FE6031">
      <w:pPr>
        <w:pStyle w:val="Nivel3SM"/>
      </w:pPr>
      <w:r>
        <w:t xml:space="preserve">La técnica de elaboración presupuestaria tradicional contribuye al aumento del gasto público, ya que el proceso presupuestario se suele formular en </w:t>
      </w:r>
      <w:r w:rsidRPr="00584373">
        <w:rPr>
          <w:i/>
        </w:rPr>
        <w:t>términos incrementales</w:t>
      </w:r>
      <w:r>
        <w:t>, esto es, las partidas de gasto suelen consolidarse, de manera que el único gasto que se discute es el adicional.</w:t>
      </w:r>
    </w:p>
    <w:p w14:paraId="02F84102" w14:textId="77777777" w:rsidR="00FE6031" w:rsidRDefault="00FE6031" w:rsidP="00FE6031">
      <w:pPr>
        <w:pStyle w:val="Nivel2SM"/>
        <w:keepNext/>
        <w:spacing w:after="0"/>
      </w:pPr>
      <w:r w:rsidRPr="00C80BA4">
        <w:rPr>
          <w:i/>
          <w:iCs/>
          <w:u w:val="single"/>
        </w:rPr>
        <w:t>Modelo</w:t>
      </w:r>
      <w:r>
        <w:t>:</w:t>
      </w:r>
    </w:p>
    <w:p w14:paraId="08E2A333" w14:textId="77777777" w:rsidR="00FE6031" w:rsidRDefault="00FE6031" w:rsidP="00FE6031">
      <w:pPr>
        <w:pStyle w:val="Nivel3SM"/>
        <w:keepNext/>
      </w:pPr>
      <w:r w:rsidRPr="00330F15">
        <w:t xml:space="preserve">Las unidades de gasto realizan peticiones de fondos, </w:t>
      </w:r>
      <m:oMath>
        <m:r>
          <m:rPr>
            <m:nor/>
          </m:rPr>
          <w:rPr>
            <w:i/>
            <w:iCs/>
          </w:rPr>
          <m:t>X</m:t>
        </m:r>
      </m:oMath>
      <w:r w:rsidRPr="00330F15">
        <w:t xml:space="preserve">, que generalmente consistirán en un aumento de los fondos concedidos el año anterior, </w:t>
      </w:r>
      <m:oMath>
        <m:sSub>
          <m:sSubPr>
            <m:ctrlPr>
              <w:rPr>
                <w:rFonts w:ascii="Cambria Math" w:hAnsi="Cambria Math"/>
                <w:i/>
                <w:iCs/>
              </w:rPr>
            </m:ctrlPr>
          </m:sSubPr>
          <m:e>
            <m:r>
              <m:rPr>
                <m:nor/>
              </m:rPr>
              <w:rPr>
                <w:i/>
                <w:iCs/>
              </w:rPr>
              <m:t>Y</m:t>
            </m:r>
          </m:e>
          <m:sub>
            <m:r>
              <m:rPr>
                <m:nor/>
              </m:rPr>
              <w:rPr>
                <w:i/>
                <w:iCs/>
              </w:rPr>
              <m:t>t</m:t>
            </m:r>
            <m:r>
              <w:rPr>
                <w:rFonts w:ascii="Cambria Math" w:hAnsi="Cambria Math"/>
              </w:rPr>
              <m:t>-</m:t>
            </m:r>
            <m:r>
              <m:rPr>
                <m:nor/>
              </m:rPr>
              <w:rPr>
                <w:i/>
                <w:iCs/>
              </w:rPr>
              <m:t>1</m:t>
            </m:r>
          </m:sub>
        </m:sSub>
      </m:oMath>
      <w:r w:rsidRPr="00330F15">
        <w:t xml:space="preserve">, es decir, en un factor </w:t>
      </w:r>
      <m:oMath>
        <m:r>
          <m:rPr>
            <m:nor/>
          </m:rPr>
          <w:rPr>
            <w:i/>
          </w:rPr>
          <m:t>β</m:t>
        </m:r>
        <m:r>
          <w:rPr>
            <w:rFonts w:ascii="Cambria Math" w:hAnsi="Cambria Math"/>
          </w:rPr>
          <m:t>&gt;</m:t>
        </m:r>
        <m:r>
          <m:rPr>
            <m:nor/>
          </m:rPr>
          <w:rPr>
            <w:i/>
          </w:rPr>
          <m:t>1</m:t>
        </m:r>
      </m:oMath>
      <w:r w:rsidRPr="00330F15">
        <w:t xml:space="preserve"> de los fondos del año anterior:</w:t>
      </w:r>
    </w:p>
    <w:p w14:paraId="799B9B37" w14:textId="77777777" w:rsidR="00FE6031" w:rsidRDefault="00000000" w:rsidP="00FE6031">
      <w:pPr>
        <w:tabs>
          <w:tab w:val="left" w:pos="1365"/>
        </w:tabs>
        <w:spacing w:after="0"/>
        <w:ind w:left="1440"/>
        <w:jc w:val="center"/>
      </w:pPr>
      <m:oMathPara>
        <m:oMath>
          <m:sSub>
            <m:sSubPr>
              <m:ctrlPr>
                <w:rPr>
                  <w:rFonts w:ascii="Cambria Math" w:hAnsi="Cambria Math"/>
                  <w:i/>
                  <w:iCs/>
                </w:rPr>
              </m:ctrlPr>
            </m:sSubPr>
            <m:e>
              <m:r>
                <m:rPr>
                  <m:nor/>
                </m:rPr>
                <w:rPr>
                  <w:i/>
                  <w:iCs/>
                </w:rPr>
                <m:t>X</m:t>
              </m:r>
            </m:e>
            <m:sub>
              <m:r>
                <m:rPr>
                  <m:nor/>
                </m:rPr>
                <w:rPr>
                  <w:i/>
                  <w:iCs/>
                </w:rPr>
                <m:t>t</m:t>
              </m:r>
            </m:sub>
          </m:sSub>
          <m:r>
            <w:rPr>
              <w:rFonts w:ascii="Cambria Math" w:hAnsi="Cambria Math"/>
            </w:rPr>
            <m:t>=</m:t>
          </m:r>
          <m:r>
            <m:rPr>
              <m:nor/>
            </m:rPr>
            <w:rPr>
              <w:i/>
            </w:rPr>
            <m:t>β</m:t>
          </m:r>
          <m:r>
            <w:rPr>
              <w:rFonts w:ascii="Cambria Math" w:hAnsi="Cambria Math"/>
            </w:rPr>
            <m:t>∙</m:t>
          </m:r>
          <m:sSub>
            <m:sSubPr>
              <m:ctrlPr>
                <w:rPr>
                  <w:rFonts w:ascii="Cambria Math" w:hAnsi="Cambria Math"/>
                  <w:i/>
                  <w:iCs/>
                </w:rPr>
              </m:ctrlPr>
            </m:sSubPr>
            <m:e>
              <m:r>
                <m:rPr>
                  <m:nor/>
                </m:rPr>
                <w:rPr>
                  <w:i/>
                  <w:iCs/>
                </w:rPr>
                <m:t>Y</m:t>
              </m:r>
            </m:e>
            <m:sub>
              <m:r>
                <m:rPr>
                  <m:nor/>
                </m:rPr>
                <w:rPr>
                  <w:i/>
                  <w:iCs/>
                </w:rPr>
                <m:t>t</m:t>
              </m:r>
              <m:r>
                <w:rPr>
                  <w:rFonts w:ascii="Cambria Math" w:hAnsi="Cambria Math"/>
                </w:rPr>
                <m:t>-</m:t>
              </m:r>
              <m:r>
                <m:rPr>
                  <m:nor/>
                </m:rPr>
                <w:rPr>
                  <w:i/>
                  <w:iCs/>
                </w:rPr>
                <m:t>1</m:t>
              </m:r>
            </m:sub>
          </m:sSub>
          <m:r>
            <w:rPr>
              <w:rFonts w:ascii="Cambria Math" w:hAnsi="Cambria Math"/>
            </w:rPr>
            <m:t>+</m:t>
          </m:r>
          <m:sSub>
            <m:sSubPr>
              <m:ctrlPr>
                <w:rPr>
                  <w:rFonts w:ascii="Cambria Math" w:hAnsi="Cambria Math"/>
                  <w:i/>
                  <w:iCs/>
                </w:rPr>
              </m:ctrlPr>
            </m:sSubPr>
            <m:e>
              <m:r>
                <m:rPr>
                  <m:nor/>
                </m:rPr>
                <w:rPr>
                  <w:i/>
                  <w:iCs/>
                </w:rPr>
                <m:t>u</m:t>
              </m:r>
            </m:e>
            <m:sub>
              <m:r>
                <m:rPr>
                  <m:nor/>
                </m:rPr>
                <w:rPr>
                  <w:i/>
                  <w:iCs/>
                </w:rPr>
                <m:t>t</m:t>
              </m:r>
            </m:sub>
          </m:sSub>
        </m:oMath>
      </m:oMathPara>
    </w:p>
    <w:p w14:paraId="619E8CF2" w14:textId="77777777" w:rsidR="00FE6031" w:rsidRDefault="00FE6031" w:rsidP="00FE6031">
      <w:pPr>
        <w:pStyle w:val="Nivel3SM"/>
        <w:keepNext/>
      </w:pPr>
      <w:r w:rsidRPr="00330F15">
        <w:t xml:space="preserve">El Ministerio de Hacienda, cuando recibe los anteproyectos parciales de cada departamento, ajusta a la baja dichas solicitudes, concediendo una fracción </w:t>
      </w:r>
      <w:bookmarkStart w:id="103" w:name="_Hlk146540994"/>
      <m:oMath>
        <m:r>
          <m:rPr>
            <m:nor/>
          </m:rPr>
          <w:rPr>
            <w:i/>
            <w:iCs/>
          </w:rPr>
          <m:t>α</m:t>
        </m:r>
        <m:r>
          <w:rPr>
            <w:rFonts w:ascii="Cambria Math" w:hAnsi="Cambria Math"/>
          </w:rPr>
          <m:t>&lt;</m:t>
        </m:r>
        <m:r>
          <m:rPr>
            <m:nor/>
          </m:rPr>
          <w:rPr>
            <w:i/>
          </w:rPr>
          <m:t>1</m:t>
        </m:r>
      </m:oMath>
      <w:bookmarkEnd w:id="103"/>
      <w:r w:rsidRPr="00330F15">
        <w:t xml:space="preserve"> de las mismas:</w:t>
      </w:r>
    </w:p>
    <w:p w14:paraId="1A921A46" w14:textId="77777777" w:rsidR="00FE6031" w:rsidRDefault="00000000" w:rsidP="00FE6031">
      <w:pPr>
        <w:spacing w:after="0"/>
        <w:ind w:left="1440"/>
        <w:jc w:val="center"/>
      </w:pPr>
      <m:oMathPara>
        <m:oMath>
          <m:sSub>
            <m:sSubPr>
              <m:ctrlPr>
                <w:rPr>
                  <w:rFonts w:ascii="Cambria Math" w:hAnsi="Cambria Math"/>
                  <w:i/>
                  <w:iCs/>
                </w:rPr>
              </m:ctrlPr>
            </m:sSubPr>
            <m:e>
              <m:r>
                <m:rPr>
                  <m:nor/>
                </m:rPr>
                <w:rPr>
                  <w:i/>
                  <w:iCs/>
                </w:rPr>
                <m:t>Y</m:t>
              </m:r>
            </m:e>
            <m:sub>
              <m:r>
                <m:rPr>
                  <m:nor/>
                </m:rPr>
                <w:rPr>
                  <w:i/>
                  <w:iCs/>
                </w:rPr>
                <m:t>t</m:t>
              </m:r>
            </m:sub>
          </m:sSub>
          <m:r>
            <w:rPr>
              <w:rFonts w:ascii="Cambria Math" w:hAnsi="Cambria Math"/>
            </w:rPr>
            <m:t>=</m:t>
          </m:r>
          <m:r>
            <m:rPr>
              <m:nor/>
            </m:rPr>
            <w:rPr>
              <w:i/>
              <w:iCs/>
            </w:rPr>
            <m:t>α</m:t>
          </m:r>
          <m:r>
            <w:rPr>
              <w:rFonts w:ascii="Cambria Math" w:hAnsi="Cambria Math"/>
            </w:rPr>
            <m:t>∙</m:t>
          </m:r>
          <m:sSub>
            <m:sSubPr>
              <m:ctrlPr>
                <w:rPr>
                  <w:rFonts w:ascii="Cambria Math" w:hAnsi="Cambria Math"/>
                  <w:i/>
                  <w:iCs/>
                </w:rPr>
              </m:ctrlPr>
            </m:sSubPr>
            <m:e>
              <m:r>
                <m:rPr>
                  <m:nor/>
                </m:rPr>
                <w:rPr>
                  <w:i/>
                  <w:iCs/>
                </w:rPr>
                <m:t>X</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v</m:t>
              </m:r>
            </m:e>
            <m:sub>
              <m:r>
                <m:rPr>
                  <m:nor/>
                </m:rPr>
                <w:rPr>
                  <w:i/>
                  <w:iCs/>
                </w:rPr>
                <m:t>t</m:t>
              </m:r>
            </m:sub>
          </m:sSub>
        </m:oMath>
      </m:oMathPara>
    </w:p>
    <w:p w14:paraId="7206BAA8" w14:textId="77777777" w:rsidR="00FE6031" w:rsidRDefault="00FE6031" w:rsidP="00FE6031">
      <w:pPr>
        <w:pStyle w:val="Nivel3SM"/>
        <w:keepNext/>
      </w:pPr>
      <w:r>
        <w:t>El presupuesto aprobado por tanto será:</w:t>
      </w:r>
    </w:p>
    <w:p w14:paraId="0733A6F6" w14:textId="77777777" w:rsidR="00FE6031" w:rsidRPr="003C213C" w:rsidRDefault="00000000" w:rsidP="00FE6031">
      <w:pPr>
        <w:spacing w:after="0"/>
        <w:ind w:left="1440"/>
        <w:jc w:val="center"/>
        <w:rPr>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r>
            <m:rPr>
              <m:nor/>
            </m:rPr>
            <w:rPr>
              <w:i/>
              <w:iCs/>
            </w:rPr>
            <m:t>α</m:t>
          </m:r>
          <m:r>
            <w:rPr>
              <w:rFonts w:ascii="Cambria Math" w:hAnsi="Cambria Math"/>
              <w:lang w:val="fr-FR"/>
            </w:rPr>
            <m:t>∙</m:t>
          </m:r>
          <m:r>
            <m:rPr>
              <m:nor/>
            </m:rPr>
            <w:rPr>
              <w:i/>
            </w:rPr>
            <m:t>β</m:t>
          </m:r>
          <m:r>
            <w:rPr>
              <w:rFonts w:ascii="Cambria Math" w:hAnsi="Cambria Math"/>
              <w:lang w:val="fr-FR"/>
            </w:rPr>
            <m:t>∙</m:t>
          </m:r>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lang w:val="fr-FR"/>
                </w:rPr>
                <m:t>ε</m:t>
              </m:r>
            </m:e>
            <m:sub>
              <m:r>
                <m:rPr>
                  <m:nor/>
                </m:rPr>
                <w:rPr>
                  <w:i/>
                  <w:iCs/>
                  <w:lang w:val="fr-FR"/>
                </w:rPr>
                <m:t>t</m:t>
              </m:r>
            </m:sub>
          </m:sSub>
        </m:oMath>
      </m:oMathPara>
    </w:p>
    <w:p w14:paraId="6398DC72" w14:textId="77777777" w:rsidR="00FE6031" w:rsidRPr="00256F20" w:rsidRDefault="00FE6031" w:rsidP="00FE6031">
      <w:pPr>
        <w:pStyle w:val="Nivel3SM"/>
      </w:pPr>
      <w:r>
        <w:t>Por tanto, cuanto mayores sean las solicitudes de fondos con respecto al año anterior (</w:t>
      </w:r>
      <w:r w:rsidRPr="004D1FA7">
        <w:rPr>
          <w:rFonts w:ascii="Times New Roman" w:hAnsi="Times New Roman" w:cs="Times New Roman"/>
        </w:rPr>
        <w:t>↑</w:t>
      </w:r>
      <w:r w:rsidRPr="006827B4">
        <w:rPr>
          <w:i/>
        </w:rPr>
        <w:t>β</w:t>
      </w:r>
      <w:r>
        <w:t>) y mayor sea la permisividad del Ministerio de Hacienda (</w:t>
      </w:r>
      <w:r w:rsidRPr="004D1FA7">
        <w:rPr>
          <w:rFonts w:ascii="Times New Roman" w:hAnsi="Times New Roman" w:cs="Times New Roman"/>
        </w:rPr>
        <w:t>↑</w:t>
      </w:r>
      <w:r w:rsidRPr="006827B4">
        <w:rPr>
          <w:i/>
        </w:rPr>
        <w:t>α</w:t>
      </w:r>
      <w:r>
        <w:t xml:space="preserve">), más probable será que se cumpla que </w:t>
      </w:r>
      <m:oMath>
        <m:r>
          <m:rPr>
            <m:nor/>
          </m:rPr>
          <w:rPr>
            <w:i/>
            <w:iCs/>
          </w:rPr>
          <m:t>α</m:t>
        </m:r>
        <m:r>
          <w:rPr>
            <w:rFonts w:ascii="Cambria Math" w:hAnsi="Cambria Math"/>
          </w:rPr>
          <m:t>∙</m:t>
        </m:r>
        <m:r>
          <m:rPr>
            <m:nor/>
          </m:rPr>
          <w:rPr>
            <w:i/>
          </w:rPr>
          <m:t>β</m:t>
        </m:r>
        <m:r>
          <w:rPr>
            <w:rFonts w:ascii="Cambria Math" w:hAnsi="Cambria Math"/>
          </w:rPr>
          <m:t>&gt;</m:t>
        </m:r>
        <m:r>
          <m:rPr>
            <m:nor/>
          </m:rPr>
          <w:rPr>
            <w:i/>
          </w:rPr>
          <m:t>1</m:t>
        </m:r>
      </m:oMath>
      <w:r>
        <w:t xml:space="preserve"> y que, por lo tanto, se incremente el gasto con respecto al año anterior.</w:t>
      </w:r>
    </w:p>
    <w:p w14:paraId="7A4DDA47" w14:textId="77777777" w:rsidR="00FE6031" w:rsidRPr="00BD56BB" w:rsidRDefault="00FE6031" w:rsidP="00FE6031">
      <w:pPr>
        <w:pStyle w:val="Nivel2SM"/>
        <w:keepNext/>
        <w:spacing w:after="0"/>
      </w:pPr>
      <w:r w:rsidRPr="00C80BA4">
        <w:rPr>
          <w:i/>
          <w:iCs/>
          <w:u w:val="single"/>
        </w:rPr>
        <w:t>Valoración</w:t>
      </w:r>
      <w:r>
        <w:t>:</w:t>
      </w:r>
    </w:p>
    <w:p w14:paraId="17BBBFF8" w14:textId="77777777" w:rsidR="00FE6031" w:rsidRDefault="00FE6031" w:rsidP="00FE6031">
      <w:pPr>
        <w:pStyle w:val="Nivel3SM"/>
        <w:keepNext/>
      </w:pPr>
    </w:p>
    <w:p w14:paraId="18C04F68" w14:textId="77777777" w:rsidR="00FE6031" w:rsidRDefault="00FE6031" w:rsidP="00FE6031">
      <w:pPr>
        <w:pStyle w:val="Nivel4"/>
        <w:ind w:left="1474"/>
      </w:pPr>
      <w:r>
        <w:t>El gasto anterior es un factor importante a la hora de predecir el gasto futuro, tal y como pone de manifiesto la evidencia empírica.</w:t>
      </w:r>
    </w:p>
    <w:p w14:paraId="24B3191B" w14:textId="77777777" w:rsidR="00FE6031" w:rsidRDefault="00FE6031" w:rsidP="00FE6031">
      <w:pPr>
        <w:pStyle w:val="Nivel4"/>
        <w:ind w:left="1474"/>
      </w:pPr>
      <w:r>
        <w:t xml:space="preserve">La aparición de nuevas técnicas presupuestarias (como el presupuesto de base cero) tienden a limitar el impacto del incrementalismo </w:t>
      </w:r>
      <w:r w:rsidRPr="0009292E">
        <w:rPr>
          <w:color w:val="767171" w:themeColor="background2" w:themeShade="80"/>
          <w:sz w:val="19"/>
          <w:szCs w:val="19"/>
        </w:rPr>
        <w:t>[</w:t>
      </w:r>
      <w:r>
        <w:rPr>
          <w:color w:val="767171" w:themeColor="background2" w:themeShade="80"/>
          <w:sz w:val="19"/>
          <w:szCs w:val="19"/>
        </w:rPr>
        <w:t>ver tema 4.B.3</w:t>
      </w:r>
      <w:r w:rsidRPr="0009292E">
        <w:rPr>
          <w:color w:val="767171" w:themeColor="background2" w:themeShade="80"/>
          <w:sz w:val="19"/>
          <w:szCs w:val="19"/>
        </w:rPr>
        <w:t>]</w:t>
      </w:r>
      <w:r>
        <w:t>.</w:t>
      </w:r>
    </w:p>
    <w:p w14:paraId="05D6EFDD" w14:textId="77777777" w:rsidR="00FE6031" w:rsidRDefault="00FE6031" w:rsidP="00FE6031">
      <w:pPr>
        <w:pStyle w:val="Nivel3SM"/>
        <w:keepNext/>
      </w:pPr>
      <w:r>
        <w:t>El éxito predictivo en el terreno empírico no ha librado de críticas de la teoría:</w:t>
      </w:r>
    </w:p>
    <w:p w14:paraId="21BC969A" w14:textId="77777777" w:rsidR="00FE6031" w:rsidRDefault="00FE6031" w:rsidP="00FE6031">
      <w:pPr>
        <w:pStyle w:val="Nivel4"/>
        <w:ind w:left="1474"/>
      </w:pPr>
      <w:r>
        <w:t xml:space="preserve">Por ejemplo, </w:t>
      </w:r>
      <w:r w:rsidRPr="00BD6FD0">
        <w:rPr>
          <w:smallCaps/>
        </w:rPr>
        <w:t>Williamson</w:t>
      </w:r>
      <w:r>
        <w:t xml:space="preserve"> (1967) deriva de la falta de análisis de las decisiones presupuestarias pasadas, que llevarían a analizar si efectivamente se prevé un mantenimiento (o un aumento) del gasto en </w:t>
      </w:r>
      <w:r>
        <w:rPr>
          <w:i/>
          <w:iCs/>
        </w:rPr>
        <w:t>t + 1</w:t>
      </w:r>
      <w:r>
        <w:t>.</w:t>
      </w:r>
    </w:p>
    <w:p w14:paraId="3F40237C" w14:textId="77777777" w:rsidR="00FE6031" w:rsidRPr="0017220C" w:rsidRDefault="00FE6031" w:rsidP="00FE6031">
      <w:pPr>
        <w:pStyle w:val="Ttulo3"/>
      </w:pPr>
      <w:bookmarkStart w:id="104" w:name="_Toc150975463"/>
      <w:r w:rsidRPr="0017220C">
        <w:t>Teoría</w:t>
      </w:r>
      <w:r>
        <w:t xml:space="preserve"> de la enfermedad</w:t>
      </w:r>
      <w:r w:rsidRPr="0017220C">
        <w:t xml:space="preserve"> de </w:t>
      </w:r>
      <w:r w:rsidRPr="00F0290D">
        <w:rPr>
          <w:smallCaps/>
        </w:rPr>
        <w:t>Baumol</w:t>
      </w:r>
      <w:r w:rsidRPr="0017220C">
        <w:t xml:space="preserve"> (1967)</w:t>
      </w:r>
      <w:bookmarkEnd w:id="104"/>
    </w:p>
    <w:p w14:paraId="1A9E334D" w14:textId="77777777" w:rsidR="00FE6031" w:rsidRDefault="00FE6031" w:rsidP="00FE6031">
      <w:pPr>
        <w:pStyle w:val="Nivel2SM"/>
        <w:keepNext/>
        <w:spacing w:after="0"/>
      </w:pPr>
      <w:r>
        <w:rPr>
          <w:smallCaps/>
        </w:rPr>
        <w:t>Baumol</w:t>
      </w:r>
      <w:r w:rsidRPr="00241770">
        <w:t xml:space="preserve"> </w:t>
      </w:r>
      <w:r>
        <w:t xml:space="preserve">sentencia que el sector público está </w:t>
      </w:r>
      <w:r w:rsidRPr="00241770">
        <w:rPr>
          <w:i/>
          <w:iCs/>
        </w:rPr>
        <w:t>enfermo</w:t>
      </w:r>
      <w:r>
        <w:t xml:space="preserve"> y condenado a incrementar el gasto. El aumento del gasto público es el resultado de:</w:t>
      </w:r>
    </w:p>
    <w:p w14:paraId="4222CFFD" w14:textId="77777777" w:rsidR="00FE6031" w:rsidRDefault="00FE6031" w:rsidP="00FE6031">
      <w:pPr>
        <w:pStyle w:val="Nivel3SM"/>
      </w:pPr>
      <w:r w:rsidRPr="0017220C">
        <w:t>Precios relativos crecientes en el sector público</w:t>
      </w:r>
      <w:r>
        <w:t>.</w:t>
      </w:r>
    </w:p>
    <w:p w14:paraId="4C91ED88" w14:textId="77777777" w:rsidR="00FE6031" w:rsidRPr="0017220C" w:rsidRDefault="00FE6031" w:rsidP="00FE6031">
      <w:pPr>
        <w:pStyle w:val="Nivel3SM"/>
      </w:pPr>
      <w:r>
        <w:t>D</w:t>
      </w:r>
      <w:r w:rsidRPr="0017220C">
        <w:t>emandas de bienes y servicios públicos con reducida elasticidad-precio.</w:t>
      </w:r>
    </w:p>
    <w:p w14:paraId="15526555" w14:textId="77777777" w:rsidR="00FE6031" w:rsidRDefault="00FE6031" w:rsidP="00FE6031">
      <w:pPr>
        <w:pStyle w:val="Nivel2SM"/>
        <w:keepNext/>
        <w:spacing w:after="0"/>
      </w:pPr>
      <w:r w:rsidRPr="00EC3D59">
        <w:rPr>
          <w:i/>
          <w:iCs/>
          <w:u w:val="single"/>
        </w:rPr>
        <w:t>Mecanismo por el lado de la oferta</w:t>
      </w:r>
      <w:r>
        <w:t>:</w:t>
      </w:r>
    </w:p>
    <w:p w14:paraId="15062913" w14:textId="77777777" w:rsidR="00FE6031" w:rsidRDefault="00FE6031" w:rsidP="00FE6031">
      <w:pPr>
        <w:pStyle w:val="Nivel3SM"/>
        <w:keepNext/>
      </w:pPr>
      <w:r>
        <w:t xml:space="preserve">La mayor parte de los servicios prestados por el sector público son </w:t>
      </w:r>
      <w:r w:rsidRPr="001F090C">
        <w:rPr>
          <w:u w:val="single"/>
        </w:rPr>
        <w:t>intensivos en trabajo</w:t>
      </w:r>
      <w:r>
        <w:t xml:space="preserve"> (p.ej. educación, justicia…).</w:t>
      </w:r>
    </w:p>
    <w:p w14:paraId="28628469" w14:textId="77777777" w:rsidR="00FE6031" w:rsidRDefault="00FE6031" w:rsidP="00FE6031">
      <w:pPr>
        <w:pStyle w:val="Nivel4"/>
        <w:ind w:left="1474"/>
      </w:pPr>
      <w:r>
        <w:t>Consecuencia: Disminución en la productividad vs. sector privado al poder este último sustituir capital por trabajo.</w:t>
      </w:r>
    </w:p>
    <w:p w14:paraId="667E870F" w14:textId="77777777" w:rsidR="00FE6031" w:rsidRDefault="00FE6031" w:rsidP="00FE6031">
      <w:pPr>
        <w:pStyle w:val="Nivel4"/>
        <w:ind w:left="1474"/>
      </w:pPr>
      <w:r>
        <w:t>Suponemos que la productividad se mantiene constante en el sector público mientras que en el sector privado aumenta.</w:t>
      </w:r>
    </w:p>
    <w:p w14:paraId="1F103F44" w14:textId="77777777" w:rsidR="00FE6031" w:rsidRDefault="00FE6031" w:rsidP="00FE6031">
      <w:pPr>
        <w:pStyle w:val="Nivel3SM"/>
      </w:pPr>
      <w:r w:rsidRPr="0017220C">
        <w:t>Sin embargo</w:t>
      </w:r>
      <w:r>
        <w:t>, l</w:t>
      </w:r>
      <w:r w:rsidRPr="00060934">
        <w:t xml:space="preserve">os salarios del sector público crecen </w:t>
      </w:r>
      <w:r>
        <w:t>mismo ritmo</w:t>
      </w:r>
      <w:r w:rsidRPr="0017220C">
        <w:t xml:space="preserve"> </w:t>
      </w:r>
      <w:r>
        <w:t>que los del sector privado. Además, los salarios en el sector privado suelen ir ligados a la productividad.</w:t>
      </w:r>
    </w:p>
    <w:p w14:paraId="4D57CDFF" w14:textId="77777777" w:rsidR="00FE6031" w:rsidRDefault="00FE6031" w:rsidP="00FE6031">
      <w:pPr>
        <w:pStyle w:val="Nivel3SM"/>
        <w:keepNext/>
      </w:pPr>
      <w:r w:rsidRPr="0017220C">
        <w:lastRenderedPageBreak/>
        <w:t>Resultado</w:t>
      </w:r>
      <w:r>
        <w:t>:</w:t>
      </w:r>
    </w:p>
    <w:p w14:paraId="3C86959D" w14:textId="77777777" w:rsidR="00FE6031" w:rsidRDefault="00FE6031" w:rsidP="00FE6031">
      <w:pPr>
        <w:pStyle w:val="Nivel4"/>
        <w:ind w:left="1474"/>
      </w:pPr>
      <w:r w:rsidRPr="0017220C">
        <w:t>Precio relativo de los bienes y servicios públicos aumenta progresivamente respecto a los privados.</w:t>
      </w:r>
    </w:p>
    <w:p w14:paraId="12268A0B" w14:textId="77777777" w:rsidR="00FE6031" w:rsidRDefault="00FE6031" w:rsidP="00FE6031">
      <w:pPr>
        <w:spacing w:after="0"/>
        <w:jc w:val="center"/>
      </w:pPr>
      <w:r>
        <w:rPr>
          <w:noProof/>
        </w:rPr>
        <w:drawing>
          <wp:inline distT="0" distB="0" distL="0" distR="0" wp14:anchorId="6E86E988" wp14:editId="48BA01F6">
            <wp:extent cx="3246120" cy="2971800"/>
            <wp:effectExtent l="0" t="0" r="0" b="0"/>
            <wp:docPr id="6" name="Imagen 15" descr="Imagen de la pantalla de un celular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5" descr="Imagen de la pantalla de un celular con letras&#10;&#10;Descripción generada automáticamente con confianza media"/>
                    <pic:cNvPicPr>
                      <a:picLocks noChangeAspect="1" noChangeArrowheads="1"/>
                    </pic:cNvPicPr>
                  </pic:nvPicPr>
                  <pic:blipFill>
                    <a:blip r:embed="rId49">
                      <a:extLst>
                        <a:ext uri="{BEBA8EAE-BF5A-486C-A8C5-ECC9F3942E4B}">
                          <a14:imgProps xmlns:a14="http://schemas.microsoft.com/office/drawing/2010/main">
                            <a14:imgLayer r:embed="rId50">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3246120" cy="2971800"/>
                    </a:xfrm>
                    <a:prstGeom prst="rect">
                      <a:avLst/>
                    </a:prstGeom>
                    <a:noFill/>
                    <a:ln>
                      <a:noFill/>
                    </a:ln>
                  </pic:spPr>
                </pic:pic>
              </a:graphicData>
            </a:graphic>
          </wp:inline>
        </w:drawing>
      </w:r>
    </w:p>
    <w:p w14:paraId="6B8A91F3" w14:textId="77777777" w:rsidR="00FE6031" w:rsidRDefault="00FE6031" w:rsidP="00FE6031">
      <w:pPr>
        <w:pStyle w:val="Nivel3SM"/>
      </w:pPr>
      <w:r>
        <w:t>No obstante, podría ocurrir que, al aumentar el precio, la demanda disminuyese y el gasto total incluso se redujese.</w:t>
      </w:r>
    </w:p>
    <w:p w14:paraId="3E0DFBD5" w14:textId="77777777" w:rsidR="00FE6031" w:rsidRDefault="00FE6031" w:rsidP="00FE6031">
      <w:pPr>
        <w:pStyle w:val="Nivel2SM"/>
        <w:keepNext/>
        <w:spacing w:after="0"/>
      </w:pPr>
      <w:r w:rsidRPr="00EC3D59">
        <w:rPr>
          <w:i/>
          <w:iCs/>
          <w:u w:val="single"/>
        </w:rPr>
        <w:t>Mecanismo por el lado de la demanda</w:t>
      </w:r>
      <w:r>
        <w:t>:</w:t>
      </w:r>
    </w:p>
    <w:p w14:paraId="3982EB3A" w14:textId="1FF0D494" w:rsidR="00FE6031" w:rsidRDefault="00FE6031" w:rsidP="00FE6031">
      <w:pPr>
        <w:pStyle w:val="Nivel3SM"/>
      </w:pPr>
      <w:r>
        <w:t>Pero</w:t>
      </w:r>
      <w:r w:rsidR="00997992">
        <w:t>, debido a</w:t>
      </w:r>
      <w:r>
        <w:t xml:space="preserve"> la reducida elasticidad-precio de la demanda de bienes </w:t>
      </w:r>
      <w:r w:rsidR="00997992">
        <w:t>provistos</w:t>
      </w:r>
      <w:r>
        <w:t xml:space="preserve"> por parte del sector público</w:t>
      </w:r>
      <w:r w:rsidR="00997992">
        <w:t>,</w:t>
      </w:r>
      <w:r>
        <w:t xml:space="preserve"> </w:t>
      </w:r>
      <w:r w:rsidR="00997992">
        <w:t>se produce</w:t>
      </w:r>
      <w:r>
        <w:t xml:space="preserve"> un aumento del gasto público.</w:t>
      </w:r>
    </w:p>
    <w:p w14:paraId="5CEFD7F3" w14:textId="63F5A769" w:rsidR="00FE6031" w:rsidRDefault="00FE6031" w:rsidP="00FE6031">
      <w:pPr>
        <w:pStyle w:val="Ttulo3"/>
      </w:pPr>
      <w:bookmarkStart w:id="105" w:name="_Toc150975464"/>
      <w:r>
        <w:t>Teoría positiva: Agentes que forman parte del sector público y sus incentivos</w:t>
      </w:r>
      <w:bookmarkEnd w:id="105"/>
    </w:p>
    <w:p w14:paraId="6F85960D" w14:textId="72DA75B8" w:rsidR="00FE6031" w:rsidRDefault="00FE6031" w:rsidP="00997992">
      <w:pPr>
        <w:pStyle w:val="Ttulo6"/>
        <w:spacing w:before="0"/>
      </w:pPr>
      <w:bookmarkStart w:id="106" w:name="_Toc150975465"/>
      <w:r>
        <w:t>Políticos y votantes</w:t>
      </w:r>
      <w:bookmarkEnd w:id="106"/>
    </w:p>
    <w:p w14:paraId="70C3B450" w14:textId="738C7C33" w:rsidR="00A076D0" w:rsidRDefault="00127AA9" w:rsidP="00997992">
      <w:pPr>
        <w:pStyle w:val="Ttulo7"/>
        <w:spacing w:before="0"/>
      </w:pPr>
      <w:bookmarkStart w:id="107" w:name="_Toc150975466"/>
      <w:r w:rsidRPr="00E47156">
        <w:t>El gasto público como elemento redistribuidor (</w:t>
      </w:r>
      <w:r w:rsidRPr="00341B6F">
        <w:rPr>
          <w:smallCaps/>
        </w:rPr>
        <w:t>Romer</w:t>
      </w:r>
      <w:r>
        <w:t xml:space="preserve"> y</w:t>
      </w:r>
      <w:r w:rsidRPr="00E47156">
        <w:t xml:space="preserve"> </w:t>
      </w:r>
      <w:r w:rsidRPr="00341B6F">
        <w:rPr>
          <w:smallCaps/>
        </w:rPr>
        <w:t>Rosenthal</w:t>
      </w:r>
      <w:r w:rsidRPr="00E47156">
        <w:t>, 1980)</w:t>
      </w:r>
      <w:bookmarkEnd w:id="107"/>
    </w:p>
    <w:p w14:paraId="34636F96" w14:textId="68E62C1B" w:rsidR="00127AA9" w:rsidRDefault="00127AA9" w:rsidP="00127AA9">
      <w:pPr>
        <w:pStyle w:val="Nivel2SM"/>
        <w:keepNext/>
        <w:spacing w:after="0"/>
      </w:pPr>
      <w:r w:rsidRPr="000E6BF9">
        <w:rPr>
          <w:i/>
          <w:iCs/>
          <w:u w:val="single"/>
        </w:rPr>
        <w:t>Idea</w:t>
      </w:r>
      <w:r>
        <w:t>:</w:t>
      </w:r>
    </w:p>
    <w:p w14:paraId="65BCA7C7" w14:textId="77777777" w:rsidR="00127AA9" w:rsidRDefault="00127AA9" w:rsidP="00127AA9">
      <w:pPr>
        <w:pStyle w:val="Nivel3SM"/>
      </w:pPr>
      <w:r>
        <w:t>El gasto público tiende a aumentar debido a la labor redistribuidora del Gobierno.</w:t>
      </w:r>
    </w:p>
    <w:p w14:paraId="298D7F90" w14:textId="11B7C344" w:rsidR="00127AA9" w:rsidRDefault="00127AA9" w:rsidP="00A076D0">
      <w:pPr>
        <w:pStyle w:val="Nivel2SM"/>
        <w:keepNext/>
        <w:spacing w:after="0"/>
      </w:pPr>
      <w:r w:rsidRPr="000E6BF9">
        <w:rPr>
          <w:i/>
          <w:iCs/>
          <w:u w:val="single"/>
        </w:rPr>
        <w:t>Desarrollo</w:t>
      </w:r>
      <w:r>
        <w:t>:</w:t>
      </w:r>
    </w:p>
    <w:p w14:paraId="2FC45497" w14:textId="023E4298" w:rsidR="00A076D0" w:rsidRDefault="00A076D0" w:rsidP="00127AA9">
      <w:pPr>
        <w:pStyle w:val="Nivel3SM"/>
        <w:keepNext/>
      </w:pPr>
      <w:r>
        <w:t xml:space="preserve">Según el </w:t>
      </w:r>
      <w:r w:rsidRPr="00A076D0">
        <w:rPr>
          <w:b/>
          <w:bCs/>
        </w:rPr>
        <w:t>modelo de democracia representativa de Downs-Hotelling</w:t>
      </w:r>
      <w:r>
        <w:t>, l</w:t>
      </w:r>
      <w:r w:rsidRPr="00A076D0">
        <w:t>os</w:t>
      </w:r>
      <w:r>
        <w:t xml:space="preserve"> </w:t>
      </w:r>
      <w:r w:rsidRPr="00A076D0">
        <w:rPr>
          <w:i/>
          <w:iCs/>
        </w:rPr>
        <w:t>partidos políticos</w:t>
      </w:r>
      <w:r>
        <w:t xml:space="preserve"> quieren maximizar el número de votos para ganar las elecciones y los </w:t>
      </w:r>
      <w:r>
        <w:rPr>
          <w:i/>
          <w:iCs/>
        </w:rPr>
        <w:t>votantes</w:t>
      </w:r>
      <w:r>
        <w:t xml:space="preserve"> persiguen determinados beneficios electorales.</w:t>
      </w:r>
    </w:p>
    <w:p w14:paraId="45B216DF" w14:textId="77777777" w:rsidR="00A076D0" w:rsidRDefault="00A076D0" w:rsidP="00127AA9">
      <w:pPr>
        <w:pStyle w:val="Nivel4"/>
        <w:ind w:left="1474"/>
      </w:pPr>
      <w:r>
        <w:t xml:space="preserve">Será el partido que capture al votante mediano quién ganará las elecciones (aplicación del Teorema del Votante Mediano de </w:t>
      </w:r>
      <w:r w:rsidRPr="00A076D0">
        <w:rPr>
          <w:smallCaps/>
        </w:rPr>
        <w:t>Black</w:t>
      </w:r>
      <w:r>
        <w:t xml:space="preserve"> a la elección política) por lo que suponiendo una democracia representativa con 2 partidos ambos propondrán programas redistributivos que les permitan captar a dicho votante.</w:t>
      </w:r>
    </w:p>
    <w:p w14:paraId="1D61E4E7" w14:textId="6336BB08" w:rsidR="00A076D0" w:rsidRDefault="00A076D0" w:rsidP="00127AA9">
      <w:pPr>
        <w:pStyle w:val="Nivel4"/>
        <w:ind w:left="1474"/>
      </w:pPr>
      <w:r>
        <w:t xml:space="preserve">El resultado último es que </w:t>
      </w:r>
      <w:r w:rsidRPr="00A076D0">
        <w:t>el sistema se inclina hacia las preferencias del votante mediano</w:t>
      </w:r>
      <w:r>
        <w:t>.</w:t>
      </w:r>
    </w:p>
    <w:p w14:paraId="1DBBC94E" w14:textId="6E76864F" w:rsidR="00A076D0" w:rsidRDefault="00A076D0" w:rsidP="00127AA9">
      <w:pPr>
        <w:pStyle w:val="Nivel3SM"/>
        <w:keepNext/>
      </w:pPr>
      <w:r>
        <w:t>Por ello, nos podemos preguntar: ¿qué quiere el votante mediano?¿en qué punto de la distribución de la renta se sitúa el votante mediano?</w:t>
      </w:r>
    </w:p>
    <w:p w14:paraId="57137964" w14:textId="2EAF71F7" w:rsidR="00A076D0" w:rsidRPr="00127AA9" w:rsidRDefault="00A076D0" w:rsidP="00127AA9">
      <w:pPr>
        <w:pStyle w:val="Nivel4"/>
        <w:ind w:left="1474"/>
        <w:rPr>
          <w:spacing w:val="-2"/>
        </w:rPr>
      </w:pPr>
      <w:r w:rsidRPr="00127AA9">
        <w:rPr>
          <w:spacing w:val="-2"/>
        </w:rPr>
        <w:t>Las distribuciones de renta son habitualmente asimétricas, concentrándose más población por debajo de la media que por encima. Así, la renta mediana es inferior a la media</w:t>
      </w:r>
      <w:r w:rsidR="00506DC6" w:rsidRPr="00127AA9">
        <w:rPr>
          <w:spacing w:val="-2"/>
        </w:rPr>
        <w:t>, pero es el votante con la renta mediana quien divide a la población en 2 partes iguales (i.e. la mitad de la población es más pobre que él y la otra mitad más rica).</w:t>
      </w:r>
    </w:p>
    <w:p w14:paraId="5FB39ACA" w14:textId="2CA36D87" w:rsidR="00506DC6" w:rsidRPr="00A076D0" w:rsidRDefault="006621CD" w:rsidP="00127AA9">
      <w:pPr>
        <w:pStyle w:val="Nivel4"/>
        <w:ind w:left="1474"/>
      </w:pPr>
      <w:r>
        <w:t>Con la instauración de sufragio universal, a</w:t>
      </w:r>
      <w:r w:rsidR="00506DC6">
        <w:t>l estar el votante mediano a la izquierda por debajo de la renta media, pueden existir motivaciones que le impulsan a perseguir una distribución de la renta más equitativa.</w:t>
      </w:r>
    </w:p>
    <w:p w14:paraId="53E5D063" w14:textId="2518D1CE" w:rsidR="00127AA9" w:rsidRPr="00447A12" w:rsidRDefault="00127AA9" w:rsidP="00127AA9">
      <w:pPr>
        <w:pStyle w:val="Nivel2SM"/>
        <w:keepNext/>
        <w:spacing w:after="0"/>
        <w:rPr>
          <w:u w:val="single"/>
        </w:rPr>
      </w:pPr>
      <w:r w:rsidRPr="000E6BF9">
        <w:rPr>
          <w:i/>
          <w:iCs/>
          <w:u w:val="single"/>
        </w:rPr>
        <w:lastRenderedPageBreak/>
        <w:t>Valoración</w:t>
      </w:r>
      <w:r w:rsidR="00A72EC0">
        <w:t>:</w:t>
      </w:r>
    </w:p>
    <w:p w14:paraId="32783AA3" w14:textId="77777777" w:rsidR="00127AA9" w:rsidRDefault="00127AA9" w:rsidP="00127AA9">
      <w:pPr>
        <w:pStyle w:val="Nivel3SM"/>
        <w:keepNext/>
      </w:pPr>
      <w:r w:rsidRPr="00447A12">
        <w:rPr>
          <w:i/>
          <w:iCs/>
        </w:rPr>
        <w:t>Positivo</w:t>
      </w:r>
      <w:r>
        <w:t>:</w:t>
      </w:r>
    </w:p>
    <w:p w14:paraId="496E3C6E" w14:textId="77777777" w:rsidR="00127AA9" w:rsidRDefault="00127AA9" w:rsidP="00127AA9">
      <w:pPr>
        <w:pStyle w:val="Nivel4"/>
        <w:ind w:left="1474"/>
      </w:pPr>
      <w:r>
        <w:t>El papel del gasto público como elemento de redistribución es uno de los principales factores explicativos del aumento del gasto público en el último medio siglo (construcción del Estado del Bienestar).</w:t>
      </w:r>
    </w:p>
    <w:p w14:paraId="2511312A" w14:textId="77777777" w:rsidR="00127AA9" w:rsidRDefault="00127AA9" w:rsidP="00127AA9">
      <w:pPr>
        <w:pStyle w:val="Nivel3SM"/>
        <w:keepNext/>
      </w:pPr>
      <w:r w:rsidRPr="00447A12">
        <w:rPr>
          <w:i/>
          <w:iCs/>
        </w:rPr>
        <w:t>Negativo</w:t>
      </w:r>
      <w:r>
        <w:t>:</w:t>
      </w:r>
    </w:p>
    <w:p w14:paraId="1F97CCA3" w14:textId="77777777" w:rsidR="00127AA9" w:rsidRDefault="00127AA9" w:rsidP="00127AA9">
      <w:pPr>
        <w:pStyle w:val="Nivel4"/>
        <w:ind w:left="1474"/>
      </w:pPr>
      <w:r>
        <w:t>No es necesario ligar la labor redistributiva del Estado a la extensión del voto.</w:t>
      </w:r>
    </w:p>
    <w:p w14:paraId="4835C033" w14:textId="77777777" w:rsidR="00FE6031" w:rsidRPr="00330F15" w:rsidRDefault="00FE6031" w:rsidP="00FE6031">
      <w:pPr>
        <w:pStyle w:val="Ttulo7"/>
      </w:pPr>
      <w:bookmarkStart w:id="108" w:name="_Toc150975467"/>
      <w:r w:rsidRPr="00330F15">
        <w:t>Ideología del partido gobernante (</w:t>
      </w:r>
      <w:r>
        <w:rPr>
          <w:smallCaps/>
        </w:rPr>
        <w:t>Cameron</w:t>
      </w:r>
      <w:r w:rsidRPr="00330F15">
        <w:t>, 1978)</w:t>
      </w:r>
      <w:bookmarkEnd w:id="108"/>
    </w:p>
    <w:p w14:paraId="511B44CF" w14:textId="77777777" w:rsidR="00FE6031" w:rsidRDefault="00FE6031" w:rsidP="00FE6031">
      <w:pPr>
        <w:pStyle w:val="Nivel2SM"/>
        <w:keepNext/>
        <w:spacing w:after="0"/>
      </w:pPr>
      <w:r w:rsidRPr="001024C4">
        <w:rPr>
          <w:i/>
          <w:iCs/>
          <w:u w:val="single"/>
        </w:rPr>
        <w:t>Idea</w:t>
      </w:r>
      <w:r>
        <w:t>.</w:t>
      </w:r>
    </w:p>
    <w:p w14:paraId="1E2BA2B3" w14:textId="77777777" w:rsidR="00FE6031" w:rsidRDefault="00FE6031" w:rsidP="00FE6031">
      <w:pPr>
        <w:pStyle w:val="Nivel3SM"/>
      </w:pPr>
      <w:r>
        <w:t>Los partidos de izquierdas tienden a desarrollar niveles de gasto mayores que los partidos liberal-conservadores.</w:t>
      </w:r>
    </w:p>
    <w:p w14:paraId="0B0D7D47" w14:textId="77777777" w:rsidR="00FE6031" w:rsidRDefault="00FE6031" w:rsidP="00FE6031">
      <w:pPr>
        <w:pStyle w:val="Nivel2SM"/>
        <w:keepNext/>
        <w:spacing w:after="0"/>
      </w:pPr>
      <w:r w:rsidRPr="001024C4">
        <w:rPr>
          <w:i/>
          <w:iCs/>
          <w:u w:val="single"/>
        </w:rPr>
        <w:t>Críticas</w:t>
      </w:r>
      <w:r>
        <w:t>:</w:t>
      </w:r>
    </w:p>
    <w:p w14:paraId="1F8BD4E0" w14:textId="77777777" w:rsidR="00FE6031" w:rsidRDefault="00FE6031" w:rsidP="00FE6031">
      <w:pPr>
        <w:pStyle w:val="Nivel3SM"/>
        <w:keepNext/>
      </w:pPr>
      <w:r>
        <w:t>En sociedades avanzadas, los principios básicos de la actuación del sector público suelen estar bastante definidos, por lo que, a grandes rasgos, el nivel de gasto público suele ser más o menos estable con independencia de la ideología del partido en el Gobierno.</w:t>
      </w:r>
    </w:p>
    <w:p w14:paraId="5272652C" w14:textId="77777777" w:rsidR="00FE6031" w:rsidRDefault="00FE6031" w:rsidP="00FE6031">
      <w:pPr>
        <w:pStyle w:val="Nivel4"/>
        <w:ind w:left="1474"/>
      </w:pPr>
      <w:r>
        <w:t>Lo que sí se aprecia es la mayor o menor importancia que distintos partidos otorgan a las diferentes partidas presupuestarias.</w:t>
      </w:r>
    </w:p>
    <w:p w14:paraId="1376F32D" w14:textId="77777777" w:rsidR="00FE6031" w:rsidRDefault="00FE6031" w:rsidP="00FE6031">
      <w:pPr>
        <w:pStyle w:val="Ttulo7"/>
      </w:pPr>
      <w:bookmarkStart w:id="109" w:name="_Toc150975468"/>
      <w:r w:rsidRPr="00F369CC">
        <w:t>Teoría del ciclo político (</w:t>
      </w:r>
      <w:r>
        <w:rPr>
          <w:smallCaps/>
        </w:rPr>
        <w:t>Nordhaus</w:t>
      </w:r>
      <w:r w:rsidRPr="00F369CC">
        <w:t>)</w:t>
      </w:r>
      <w:bookmarkEnd w:id="109"/>
    </w:p>
    <w:p w14:paraId="555BC38A" w14:textId="77777777" w:rsidR="00FE6031" w:rsidRDefault="00FE6031" w:rsidP="00FE6031">
      <w:pPr>
        <w:pStyle w:val="Nivel2SM"/>
        <w:keepNext/>
        <w:spacing w:after="0"/>
      </w:pPr>
      <w:r>
        <w:t>Puede ocurrir que las decisiones de gasto público no respondan a cuestiones de eficiencia, sino que se vean influidas por el ciclo electoral, de manera que la clase política aumente el gasto público y disminuya los impuestos en los períodos previos a unas elecciones.</w:t>
      </w:r>
    </w:p>
    <w:p w14:paraId="3C6955D5" w14:textId="77777777" w:rsidR="00FE6031" w:rsidRDefault="00FE6031" w:rsidP="00FE6031">
      <w:pPr>
        <w:pStyle w:val="Nivel3SM"/>
      </w:pPr>
      <w:r>
        <w:t xml:space="preserve">La falta de información hace que los votantes sean miopes, de manera que sólo tengan en cuenta los resultados recientes y sus expectativas sean estáticas. En este contexto, el Gobierno tendría incentivos en llevar a cabo políticas económicas expansivas en período </w:t>
      </w:r>
      <w:proofErr w:type="spellStart"/>
      <w:r>
        <w:t>pre-electoral</w:t>
      </w:r>
      <w:proofErr w:type="spellEnd"/>
      <w:r>
        <w:t>, y en ajustar bruscamente las variables justo después de las elecciones.</w:t>
      </w:r>
    </w:p>
    <w:p w14:paraId="300E97E8" w14:textId="77777777" w:rsidR="00FE6031" w:rsidRDefault="00FE6031" w:rsidP="00FE6031">
      <w:pPr>
        <w:pStyle w:val="Nivel2SM"/>
        <w:keepNext/>
        <w:spacing w:after="0"/>
      </w:pPr>
      <w:r>
        <w:t>Gráficamente, suponiendo que se da el trade-off inflación-desempleo propio de la curva de Phillips:</w:t>
      </w:r>
    </w:p>
    <w:p w14:paraId="3AE67CB8" w14:textId="77777777" w:rsidR="00FE6031" w:rsidRPr="006C1A53" w:rsidRDefault="00FE6031" w:rsidP="00FE6031">
      <w:pPr>
        <w:jc w:val="center"/>
        <w:rPr>
          <w:u w:val="single"/>
        </w:rPr>
      </w:pPr>
      <w:r>
        <w:rPr>
          <w:noProof/>
        </w:rPr>
        <w:drawing>
          <wp:inline distT="0" distB="0" distL="0" distR="0" wp14:anchorId="374B65BA" wp14:editId="628A63F7">
            <wp:extent cx="1764055" cy="1422400"/>
            <wp:effectExtent l="0" t="0" r="7620" b="6350"/>
            <wp:docPr id="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64688" cy="1422910"/>
                    </a:xfrm>
                    <a:prstGeom prst="rect">
                      <a:avLst/>
                    </a:prstGeom>
                    <a:noFill/>
                    <a:ln>
                      <a:noFill/>
                    </a:ln>
                  </pic:spPr>
                </pic:pic>
              </a:graphicData>
            </a:graphic>
          </wp:inline>
        </w:drawing>
      </w:r>
    </w:p>
    <w:p w14:paraId="35495B4B" w14:textId="77777777" w:rsidR="001E424D" w:rsidRDefault="001E424D" w:rsidP="00FE6031">
      <w:pPr>
        <w:pStyle w:val="Ttulo7"/>
      </w:pPr>
      <w:bookmarkStart w:id="110" w:name="_Toc150975469"/>
      <w:r w:rsidRPr="00F369CC">
        <w:t>Teoría de la ilusión fiscal (</w:t>
      </w:r>
      <w:r>
        <w:rPr>
          <w:smallCaps/>
        </w:rPr>
        <w:t>Buchanan</w:t>
      </w:r>
      <w:r>
        <w:t xml:space="preserve">, </w:t>
      </w:r>
      <w:r w:rsidRPr="00F369CC">
        <w:t>1977)</w:t>
      </w:r>
      <w:bookmarkEnd w:id="110"/>
    </w:p>
    <w:p w14:paraId="5A400976" w14:textId="77777777" w:rsidR="001E424D" w:rsidRDefault="001E424D" w:rsidP="001E424D">
      <w:pPr>
        <w:pStyle w:val="Nivel2SM"/>
        <w:keepNext/>
        <w:spacing w:after="0"/>
      </w:pPr>
      <w:r>
        <w:t xml:space="preserve">Los votantes tendrán </w:t>
      </w:r>
      <w:r w:rsidRPr="001E424D">
        <w:rPr>
          <w:i/>
          <w:iCs/>
        </w:rPr>
        <w:t>ilusión fiscal</w:t>
      </w:r>
      <w:r>
        <w:t xml:space="preserve"> si </w:t>
      </w:r>
      <w:r w:rsidRPr="001E424D">
        <w:rPr>
          <w:i/>
          <w:iCs/>
        </w:rPr>
        <w:t>infravaloran la carga fiscal que soportan</w:t>
      </w:r>
      <w:r>
        <w:t>. Esto permite aumentar el tamaño del sector público sin que los votantes perciban un aumento equivalente de la presión fiscal. Vías:</w:t>
      </w:r>
    </w:p>
    <w:p w14:paraId="65B7DD11" w14:textId="77777777" w:rsidR="001E424D" w:rsidRDefault="001E424D" w:rsidP="001E424D">
      <w:pPr>
        <w:pStyle w:val="Nivel3SM"/>
      </w:pPr>
      <w:r>
        <w:t>Retenciones en origen.</w:t>
      </w:r>
    </w:p>
    <w:p w14:paraId="3DBC8584" w14:textId="77777777" w:rsidR="001E424D" w:rsidRDefault="001E424D" w:rsidP="001E424D">
      <w:pPr>
        <w:pStyle w:val="Nivel3SM"/>
      </w:pPr>
      <w:r>
        <w:t>Opacidad del sistema impositivo.</w:t>
      </w:r>
    </w:p>
    <w:p w14:paraId="59A8AFEA" w14:textId="77777777" w:rsidR="001E424D" w:rsidRDefault="001E424D" w:rsidP="001E424D">
      <w:pPr>
        <w:pStyle w:val="Nivel3SM"/>
        <w:keepNext/>
      </w:pPr>
      <w:r>
        <w:t>Imposición indirecta.</w:t>
      </w:r>
    </w:p>
    <w:p w14:paraId="37717C93" w14:textId="77777777" w:rsidR="001E424D" w:rsidRPr="00F369CC" w:rsidRDefault="001E424D" w:rsidP="001E424D">
      <w:pPr>
        <w:pStyle w:val="Nivel4"/>
        <w:ind w:left="1474"/>
      </w:pPr>
      <w:r w:rsidRPr="00F369CC">
        <w:t>De hecho, los países escandinavos construyeron su estado del bienestar a partir de los años</w:t>
      </w:r>
      <w:r>
        <w:t> </w:t>
      </w:r>
      <w:r w:rsidRPr="00F369CC">
        <w:t xml:space="preserve">60 aumentando la imposición indirecta, de manera que la carga fiscal percibida </w:t>
      </w:r>
      <w:r w:rsidRPr="007B50D7">
        <w:t>no</w:t>
      </w:r>
      <w:r w:rsidRPr="00F369CC">
        <w:t xml:space="preserve"> se disparó.</w:t>
      </w:r>
    </w:p>
    <w:p w14:paraId="7713891C" w14:textId="77777777" w:rsidR="001E424D" w:rsidRDefault="001E424D" w:rsidP="001E424D">
      <w:pPr>
        <w:pStyle w:val="Nivel3SM"/>
        <w:keepNext/>
      </w:pPr>
      <w:r>
        <w:t>Ilusión de deuda (</w:t>
      </w:r>
      <w:r>
        <w:rPr>
          <w:smallCaps/>
        </w:rPr>
        <w:t>Niskanen</w:t>
      </w:r>
      <w:r>
        <w:t>).</w:t>
      </w:r>
    </w:p>
    <w:p w14:paraId="437FE564" w14:textId="77777777" w:rsidR="001E424D" w:rsidRPr="001E424D" w:rsidRDefault="001E424D" w:rsidP="001E424D">
      <w:pPr>
        <w:pStyle w:val="Nivel4"/>
        <w:ind w:left="1474"/>
        <w:rPr>
          <w:spacing w:val="-2"/>
        </w:rPr>
      </w:pPr>
      <w:r w:rsidRPr="006A5D7D">
        <w:rPr>
          <w:spacing w:val="-2"/>
        </w:rPr>
        <w:t xml:space="preserve">Los votantes no internalizan igual el aumento de los impuestos que el aumento de la deuda, pues </w:t>
      </w:r>
      <w:r w:rsidRPr="001E424D">
        <w:rPr>
          <w:spacing w:val="-2"/>
        </w:rPr>
        <w:t xml:space="preserve">los agentes pueden percibir en cierta medida la deuda como riqueza neta. </w:t>
      </w:r>
      <w:r w:rsidRPr="001E424D">
        <w:rPr>
          <w:spacing w:val="-2"/>
        </w:rPr>
        <w:lastRenderedPageBreak/>
        <w:t>No obstante, esta teoría depende en gran medida del grado de racionalidad de los agentes, pues agentes perfectamente racionales aplicarán la equivalencia ricardiana.</w:t>
      </w:r>
    </w:p>
    <w:p w14:paraId="437F252D" w14:textId="77777777" w:rsidR="00FE6031" w:rsidRPr="00BD56BB" w:rsidRDefault="00FE6031" w:rsidP="00FE6031">
      <w:pPr>
        <w:pStyle w:val="Ttulo7"/>
      </w:pPr>
      <w:bookmarkStart w:id="111" w:name="_Toc150975470"/>
      <w:r w:rsidRPr="00BD56BB">
        <w:t>Descentralización del poder político (</w:t>
      </w:r>
      <w:r w:rsidRPr="00F0290D">
        <w:rPr>
          <w:smallCaps/>
        </w:rPr>
        <w:t>Buchanan</w:t>
      </w:r>
      <w:r>
        <w:t xml:space="preserve"> y</w:t>
      </w:r>
      <w:r w:rsidRPr="00BD56BB">
        <w:t xml:space="preserve"> </w:t>
      </w:r>
      <w:r w:rsidRPr="00F0290D">
        <w:rPr>
          <w:smallCaps/>
        </w:rPr>
        <w:t>Oates</w:t>
      </w:r>
      <w:r w:rsidRPr="00BD56BB">
        <w:t>, 1980)</w:t>
      </w:r>
      <w:bookmarkEnd w:id="111"/>
    </w:p>
    <w:p w14:paraId="7FC1F82D" w14:textId="77777777" w:rsidR="00FE6031" w:rsidRDefault="00FE6031" w:rsidP="00FE6031">
      <w:pPr>
        <w:pStyle w:val="Nivel2SM"/>
        <w:keepNext/>
        <w:spacing w:after="0"/>
      </w:pPr>
      <w:r>
        <w:t>La descentralización puede aumentar el gasto público. Así, un diseño ineficiente podría generar un mayor gasto público por varias vías:</w:t>
      </w:r>
    </w:p>
    <w:p w14:paraId="4F5AC577" w14:textId="77777777" w:rsidR="00FE6031" w:rsidRPr="00FF4F6F" w:rsidRDefault="00FE6031" w:rsidP="00FE6031">
      <w:pPr>
        <w:pStyle w:val="Nivel3SM"/>
      </w:pPr>
      <w:r w:rsidRPr="00FD04B1">
        <w:rPr>
          <w:i/>
          <w:iCs/>
        </w:rPr>
        <w:t>Duplicidad de esfuerzos</w:t>
      </w:r>
      <w:r>
        <w:t xml:space="preserve"> y </w:t>
      </w:r>
      <w:r>
        <w:rPr>
          <w:i/>
          <w:iCs/>
        </w:rPr>
        <w:t>desaprovechamiento de economías de escala</w:t>
      </w:r>
      <w:r>
        <w:t xml:space="preserve"> en la provisión de bienes y servicios públicos.</w:t>
      </w:r>
    </w:p>
    <w:p w14:paraId="68564E74" w14:textId="77777777" w:rsidR="00FE6031" w:rsidRDefault="00FE6031" w:rsidP="00FE6031">
      <w:pPr>
        <w:pStyle w:val="Nivel3SM"/>
        <w:keepNext/>
      </w:pPr>
      <w:r>
        <w:rPr>
          <w:i/>
          <w:iCs/>
        </w:rPr>
        <w:t>Falta de corresponsabilidad fiscal</w:t>
      </w:r>
      <w:r w:rsidRPr="00FD04B1">
        <w:t>:</w:t>
      </w:r>
      <w:r>
        <w:t xml:space="preserve"> No existe una relación directa entre los ingresos (que vienen dados principalmente por la recaudación) y el gasto público que se realiza en cada comunidad. Esto podría provocar unos incentivos perversos a no administrar de manera eficiente el gasto público y a aumentarlo.</w:t>
      </w:r>
    </w:p>
    <w:p w14:paraId="520CAB61" w14:textId="77777777" w:rsidR="00FE6031" w:rsidRDefault="00FE6031" w:rsidP="00FE6031">
      <w:pPr>
        <w:pStyle w:val="Nivel4"/>
        <w:ind w:left="1474"/>
      </w:pPr>
      <w:r>
        <w:t>Debido a la falta de corresponsabilidad, los políticos deberán aumentar el gasto público en la región buscando el voto de los electores de la región.</w:t>
      </w:r>
    </w:p>
    <w:p w14:paraId="4B179003" w14:textId="77777777" w:rsidR="00FE6031" w:rsidRDefault="00FE6031" w:rsidP="00FE6031">
      <w:pPr>
        <w:pStyle w:val="Nivel3SM"/>
      </w:pPr>
      <w:r w:rsidRPr="00FD04B1">
        <w:rPr>
          <w:i/>
          <w:iCs/>
        </w:rPr>
        <w:t>Riesgo moral</w:t>
      </w:r>
      <w:r w:rsidRPr="00FD04B1">
        <w:t xml:space="preserve">: </w:t>
      </w:r>
      <w:r>
        <w:t xml:space="preserve">Pues las entidades tienen la certeza de que, por muy inviables que sean sus niveles de gasto, el Gobierno central </w:t>
      </w:r>
      <w:r w:rsidRPr="00FD04B1">
        <w:t>no</w:t>
      </w:r>
      <w:r>
        <w:t xml:space="preserve"> les va a dejar caer ante el miedo de pérdida de votos y de contagio de la crisis al resto del país. Los Gobiernos territoriales tienen, pues, restricciones presupuestarias </w:t>
      </w:r>
      <w:r w:rsidRPr="00FD04B1">
        <w:rPr>
          <w:i/>
        </w:rPr>
        <w:t>blandas</w:t>
      </w:r>
      <w:r>
        <w:t>.</w:t>
      </w:r>
    </w:p>
    <w:p w14:paraId="61FCB2E2" w14:textId="77777777" w:rsidR="00FE6031" w:rsidRDefault="00FE6031" w:rsidP="00FE6031">
      <w:pPr>
        <w:pStyle w:val="Nivel2SM"/>
        <w:keepNext/>
        <w:spacing w:after="0"/>
      </w:pPr>
      <w:r w:rsidRPr="00FD04B1">
        <w:rPr>
          <w:u w:val="single"/>
        </w:rPr>
        <w:t>Crítica</w:t>
      </w:r>
      <w:r>
        <w:t>:</w:t>
      </w:r>
    </w:p>
    <w:p w14:paraId="3667623E" w14:textId="77777777" w:rsidR="00FE6031" w:rsidRDefault="00FE6031" w:rsidP="00FE6031">
      <w:pPr>
        <w:pStyle w:val="Nivel3SM"/>
      </w:pPr>
      <w:r>
        <w:t xml:space="preserve">La descentralización del poder político puede ayudar a reducir el gasto público al permitir que se alcance una </w:t>
      </w:r>
      <w:r w:rsidRPr="00D46047">
        <w:rPr>
          <w:i/>
        </w:rPr>
        <w:t>asignación de recursos más eficiente</w:t>
      </w:r>
      <w:r>
        <w:t xml:space="preserve"> (pues los niveles inferiores de Gobierno conocen mejor las </w:t>
      </w:r>
      <w:r w:rsidRPr="00D46047">
        <w:rPr>
          <w:i/>
        </w:rPr>
        <w:t>preferencias</w:t>
      </w:r>
      <w:r>
        <w:t xml:space="preserve"> de los individuos).</w:t>
      </w:r>
    </w:p>
    <w:p w14:paraId="6582CFE1" w14:textId="3CDE09A2" w:rsidR="00554869" w:rsidRDefault="00554869" w:rsidP="00FE6031">
      <w:pPr>
        <w:pStyle w:val="Ttulo6"/>
      </w:pPr>
      <w:bookmarkStart w:id="112" w:name="_Toc150975471"/>
      <w:r>
        <w:t>Grupos de presión</w:t>
      </w:r>
      <w:bookmarkEnd w:id="112"/>
    </w:p>
    <w:p w14:paraId="1E13ACC8" w14:textId="77777777" w:rsidR="00554869" w:rsidRDefault="00554869" w:rsidP="00447A12">
      <w:pPr>
        <w:pStyle w:val="Nivel2SM"/>
        <w:keepNext/>
        <w:spacing w:after="0"/>
      </w:pPr>
      <w:r w:rsidRPr="005777D0">
        <w:t xml:space="preserve">Los </w:t>
      </w:r>
      <w:r w:rsidRPr="005777D0">
        <w:rPr>
          <w:i/>
          <w:iCs/>
        </w:rPr>
        <w:t>grupos de presión</w:t>
      </w:r>
      <w:r w:rsidRPr="005777D0">
        <w:t xml:space="preserve"> se pueden definir como un conjunto de individuos con intereses comunes que se organizan para interferir en las decisiones de los políticos </w:t>
      </w:r>
      <w:r>
        <w:t>con el fin de que éstos favorezcan sus intereses privados.</w:t>
      </w:r>
    </w:p>
    <w:p w14:paraId="73D830D2" w14:textId="64AAD525" w:rsidR="00554869" w:rsidRDefault="00554869" w:rsidP="00447A12">
      <w:pPr>
        <w:pStyle w:val="Nivel3SM"/>
        <w:keepNext/>
      </w:pPr>
      <w:r>
        <w:t xml:space="preserve">Las </w:t>
      </w:r>
      <w:r w:rsidRPr="001E3903">
        <w:t xml:space="preserve">actividades de </w:t>
      </w:r>
      <w:r w:rsidRPr="005777D0">
        <w:rPr>
          <w:i/>
          <w:iCs/>
        </w:rPr>
        <w:t>búsqueda de rentas</w:t>
      </w:r>
      <w:r>
        <w:t xml:space="preserve"> que llevan a cabo los grupos de presión generan </w:t>
      </w:r>
      <w:r w:rsidRPr="001E3903">
        <w:t>ineficiencias por 2</w:t>
      </w:r>
      <w:r w:rsidR="00341B6F">
        <w:t> </w:t>
      </w:r>
      <w:r w:rsidRPr="001E3903">
        <w:t>motivos</w:t>
      </w:r>
      <w:r>
        <w:t>:</w:t>
      </w:r>
    </w:p>
    <w:p w14:paraId="47D5E305" w14:textId="77777777" w:rsidR="00554869" w:rsidRDefault="00554869" w:rsidP="00447A12">
      <w:pPr>
        <w:pStyle w:val="Nivel4"/>
        <w:ind w:left="1474"/>
      </w:pPr>
      <w:r>
        <w:t>Se dedican recursos a obtener el favor de los poderes públicos, en lugar de dedicarlos a actividades productivas.</w:t>
      </w:r>
    </w:p>
    <w:p w14:paraId="73732508" w14:textId="77777777" w:rsidR="00554869" w:rsidRDefault="00554869" w:rsidP="00447A12">
      <w:pPr>
        <w:pStyle w:val="Nivel4"/>
        <w:ind w:left="1474"/>
      </w:pPr>
      <w:r>
        <w:t>Se toman decisiones favorables a los intereses de los grupos de presión, que no suelen coincidir con los de la colectividad.</w:t>
      </w:r>
    </w:p>
    <w:p w14:paraId="2360AB87" w14:textId="08BFEC1F" w:rsidR="00D50235" w:rsidRPr="00D50235" w:rsidRDefault="00554869" w:rsidP="00341B6F">
      <w:pPr>
        <w:pStyle w:val="Nivel3SM"/>
      </w:pPr>
      <w:r>
        <w:t>Ejemplos de grupos de presión: sindicatos, patronales, la banca, las eléctricas, las concesionarias</w:t>
      </w:r>
      <w:r w:rsidR="006008EF">
        <w:t>…</w:t>
      </w:r>
    </w:p>
    <w:p w14:paraId="414436AD" w14:textId="778712DC" w:rsidR="00FE6031" w:rsidRDefault="00FE6031" w:rsidP="00FE6031">
      <w:pPr>
        <w:pStyle w:val="Ttulo6"/>
      </w:pPr>
      <w:bookmarkStart w:id="113" w:name="_Toc150975472"/>
      <w:r>
        <w:t>Burócratas</w:t>
      </w:r>
      <w:bookmarkEnd w:id="113"/>
    </w:p>
    <w:p w14:paraId="482804FC" w14:textId="6668103F" w:rsidR="00330F15" w:rsidRPr="00A94563" w:rsidRDefault="00330F15" w:rsidP="00FE6031">
      <w:pPr>
        <w:pStyle w:val="Ttulo7"/>
        <w:spacing w:before="0"/>
      </w:pPr>
      <w:bookmarkStart w:id="114" w:name="_Toc150975473"/>
      <w:r w:rsidRPr="00A94563">
        <w:t xml:space="preserve">La teoría de la burocracia de </w:t>
      </w:r>
      <w:r w:rsidRPr="00F0290D">
        <w:rPr>
          <w:smallCaps/>
        </w:rPr>
        <w:t>Niskanen</w:t>
      </w:r>
      <w:r w:rsidRPr="00A94563">
        <w:t xml:space="preserve"> (1971)</w:t>
      </w:r>
      <w:bookmarkEnd w:id="114"/>
    </w:p>
    <w:p w14:paraId="2BFE2DBA" w14:textId="70DE4FD2" w:rsidR="00330F15" w:rsidRPr="001C3E91" w:rsidRDefault="00330F15" w:rsidP="00C61C70">
      <w:pPr>
        <w:pStyle w:val="Nivel2SM"/>
        <w:keepNext/>
        <w:spacing w:after="0"/>
      </w:pPr>
      <w:r w:rsidRPr="001C3E91">
        <w:t xml:space="preserve">Para </w:t>
      </w:r>
      <w:r w:rsidR="00F0290D" w:rsidRPr="001C3E91">
        <w:rPr>
          <w:smallCaps/>
        </w:rPr>
        <w:t>Niskanen</w:t>
      </w:r>
      <w:r w:rsidRPr="001C3E91">
        <w:t>, el burócrata es un individuo que, como todos los demás, trata de maximizar su utilidad. En el caso de los burócratas, dado que su remuneración suele ser en gran parte fija, su utilidad procederá principalmente del poder y del prestigio que tengan, lo que a su vez dependerá del tamaño del presupuesto que maneje su departamento.</w:t>
      </w:r>
    </w:p>
    <w:p w14:paraId="4208B7FB" w14:textId="77777777" w:rsidR="00C61C70" w:rsidRDefault="00C61C70" w:rsidP="00C61C70">
      <w:pPr>
        <w:pStyle w:val="Nivel3SM"/>
      </w:pPr>
      <w:r>
        <w:t>Así, los burócratas competirán además con otros departamentos por atraer fondos hacia los programas de gasto que ellos gestionan.</w:t>
      </w:r>
    </w:p>
    <w:p w14:paraId="63870055" w14:textId="77777777" w:rsidR="00C61C70" w:rsidRDefault="00C61C70" w:rsidP="00C61C70">
      <w:pPr>
        <w:pStyle w:val="Nivel2SM"/>
        <w:keepNext/>
        <w:spacing w:after="0"/>
      </w:pPr>
      <w:r w:rsidRPr="001C3E91">
        <w:rPr>
          <w:i/>
          <w:iCs/>
          <w:u w:val="single"/>
        </w:rPr>
        <w:t xml:space="preserve">Modelo de </w:t>
      </w:r>
      <w:r w:rsidRPr="001C3E91">
        <w:rPr>
          <w:i/>
          <w:iCs/>
          <w:smallCaps/>
          <w:u w:val="single"/>
        </w:rPr>
        <w:t>Niskanen</w:t>
      </w:r>
      <w:r>
        <w:t>:</w:t>
      </w:r>
    </w:p>
    <w:p w14:paraId="4D24A926" w14:textId="77777777" w:rsidR="00C61C70" w:rsidRDefault="00C61C70" w:rsidP="00C61C70">
      <w:pPr>
        <w:pStyle w:val="Nivel3SM"/>
        <w:keepNext/>
      </w:pPr>
      <w:r w:rsidRPr="001C683B">
        <w:rPr>
          <w:i/>
          <w:iCs/>
        </w:rPr>
        <w:t>Supuestos</w:t>
      </w:r>
      <w:r>
        <w:t>:</w:t>
      </w:r>
    </w:p>
    <w:p w14:paraId="127A02B4" w14:textId="77777777" w:rsidR="00C61C70" w:rsidRDefault="00C61C70" w:rsidP="00C61C70">
      <w:pPr>
        <w:pStyle w:val="Nivel4"/>
        <w:ind w:left="1474"/>
      </w:pPr>
      <w:r>
        <w:t>Supongamos un determinado proyecto (p.ej. construcción de un hospital).</w:t>
      </w:r>
    </w:p>
    <w:p w14:paraId="6DC67C71" w14:textId="77777777" w:rsidR="00C61C70" w:rsidRDefault="00C61C70" w:rsidP="00C61C70">
      <w:pPr>
        <w:pStyle w:val="Nivel4"/>
        <w:ind w:left="1474"/>
      </w:pPr>
      <w:r>
        <w:t>Ese proyecto produce costes y beneficios (si el político se guía por los intereses de la colectividad, el beneficio será igual al beneficio social total para cada nivel de provisión).</w:t>
      </w:r>
    </w:p>
    <w:p w14:paraId="72A0FF12" w14:textId="77777777" w:rsidR="00C61C70" w:rsidRDefault="00C61C70" w:rsidP="00C61C70">
      <w:pPr>
        <w:pStyle w:val="Nivel4"/>
        <w:ind w:left="1474"/>
      </w:pPr>
      <w:r>
        <w:lastRenderedPageBreak/>
        <w:t xml:space="preserve">El proyecto requiere de ciertos conocimientos técnicos que sólo posee el burócrata. Por tanto, este goza de un </w:t>
      </w:r>
      <w:r w:rsidRPr="00507230">
        <w:rPr>
          <w:u w:val="single"/>
        </w:rPr>
        <w:t>comportamiento monopolista</w:t>
      </w:r>
      <w:r>
        <w:t xml:space="preserve"> ante el político (le puede decir que nivel de gasto realizar).</w:t>
      </w:r>
    </w:p>
    <w:p w14:paraId="256657D7" w14:textId="77777777" w:rsidR="00C61C70" w:rsidRDefault="00C61C70" w:rsidP="00C61C70">
      <w:pPr>
        <w:pStyle w:val="Nivel3SM"/>
        <w:keepNext/>
      </w:pPr>
      <w:r w:rsidRPr="001C683B">
        <w:rPr>
          <w:i/>
          <w:iCs/>
        </w:rPr>
        <w:t>Desarrollo</w:t>
      </w:r>
      <w:r>
        <w:t>:</w:t>
      </w:r>
    </w:p>
    <w:p w14:paraId="6244A826" w14:textId="77777777" w:rsidR="00C61C70" w:rsidRDefault="00C61C70" w:rsidP="00C61C70">
      <w:pPr>
        <w:pStyle w:val="Nivel4"/>
        <w:ind w:left="1474"/>
      </w:pPr>
      <w:r>
        <w:t xml:space="preserve">El gráfico siguiente muestra que, desde el punto de vista de la eficiencia, el tamaño óptimo del presupuesto del proyecto es </w:t>
      </w:r>
      <w:r w:rsidRPr="002D64B0">
        <w:rPr>
          <w:i/>
          <w:iCs/>
        </w:rPr>
        <w:t>G*</w:t>
      </w:r>
      <w:r>
        <w:t>.</w:t>
      </w:r>
    </w:p>
    <w:p w14:paraId="7EF399DC" w14:textId="77777777" w:rsidR="00C61C70" w:rsidRDefault="00C61C70" w:rsidP="00C61C70">
      <w:pPr>
        <w:pStyle w:val="Nivel4"/>
        <w:keepNext/>
        <w:ind w:left="1474"/>
      </w:pPr>
      <w:r>
        <w:t xml:space="preserve">En cambio, el burócrata puede aumentar su utilidad si aumenta </w:t>
      </w:r>
      <w:r w:rsidRPr="002D64B0">
        <w:rPr>
          <w:i/>
          <w:iCs/>
        </w:rPr>
        <w:t>G</w:t>
      </w:r>
      <w:r>
        <w:t>.</w:t>
      </w:r>
    </w:p>
    <w:p w14:paraId="626287E1" w14:textId="77777777" w:rsidR="00C61C70" w:rsidRDefault="00C61C70" w:rsidP="00C61C70">
      <w:pPr>
        <w:pStyle w:val="Nivel5"/>
        <w:ind w:left="1871"/>
      </w:pPr>
      <w:r>
        <w:t>Podría decirle al político que el nivel </w:t>
      </w:r>
      <w:r w:rsidRPr="002D64B0">
        <w:rPr>
          <w:i/>
          <w:iCs/>
        </w:rPr>
        <w:t>G*</w:t>
      </w:r>
      <w:r>
        <w:t xml:space="preserve"> no es técnicamente factible (p.ej. el hospital debe tener al menos 1.000 camas) y sugerirle un nivel </w:t>
      </w:r>
      <w:r w:rsidRPr="002D64B0">
        <w:rPr>
          <w:i/>
          <w:iCs/>
        </w:rPr>
        <w:t>G</w:t>
      </w:r>
      <w:r w:rsidRPr="005170F0">
        <w:rPr>
          <w:i/>
          <w:iCs/>
        </w:rPr>
        <w:t>’</w:t>
      </w:r>
      <w:r>
        <w:t xml:space="preserve">, que maximiza su utilidad personal (si le ofreciese un nivel superior a </w:t>
      </w:r>
      <w:r w:rsidRPr="002D64B0">
        <w:rPr>
          <w:i/>
          <w:iCs/>
        </w:rPr>
        <w:t>G</w:t>
      </w:r>
      <w:r w:rsidRPr="005170F0">
        <w:rPr>
          <w:i/>
          <w:iCs/>
        </w:rPr>
        <w:t>’</w:t>
      </w:r>
      <w:r>
        <w:rPr>
          <w:vertAlign w:val="subscript"/>
        </w:rPr>
        <w:t xml:space="preserve"> </w:t>
      </w:r>
      <w:r>
        <w:t xml:space="preserve">su utilidad no sería mayor porque, al ser el </w:t>
      </w:r>
      <w:proofErr w:type="spellStart"/>
      <w:r w:rsidRPr="00A63EAD">
        <w:rPr>
          <w:i/>
          <w:iCs/>
        </w:rPr>
        <w:t>CMe</w:t>
      </w:r>
      <w:proofErr w:type="spellEnd"/>
      <w:r>
        <w:t xml:space="preserve"> &gt; </w:t>
      </w:r>
      <w:proofErr w:type="spellStart"/>
      <w:r w:rsidRPr="00A63EAD">
        <w:rPr>
          <w:i/>
          <w:iCs/>
        </w:rPr>
        <w:t>BMe</w:t>
      </w:r>
      <w:proofErr w:type="spellEnd"/>
      <w:r>
        <w:t>, el político no llevaría a cabo el proyecto).</w:t>
      </w:r>
    </w:p>
    <w:p w14:paraId="79039F6C" w14:textId="77777777" w:rsidR="00C61C70" w:rsidRDefault="00C61C70" w:rsidP="00C61C70">
      <w:pPr>
        <w:tabs>
          <w:tab w:val="left" w:pos="1365"/>
        </w:tabs>
        <w:spacing w:after="0"/>
        <w:jc w:val="center"/>
      </w:pPr>
      <w:r w:rsidRPr="001E22E6">
        <w:rPr>
          <w:noProof/>
        </w:rPr>
        <w:drawing>
          <wp:inline distT="0" distB="0" distL="0" distR="0" wp14:anchorId="7A5E2411" wp14:editId="399B17AC">
            <wp:extent cx="1823720" cy="1496926"/>
            <wp:effectExtent l="0" t="0" r="5080" b="8255"/>
            <wp:docPr id="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837412" cy="1508165"/>
                    </a:xfrm>
                    <a:prstGeom prst="rect">
                      <a:avLst/>
                    </a:prstGeom>
                    <a:noFill/>
                    <a:ln>
                      <a:noFill/>
                    </a:ln>
                  </pic:spPr>
                </pic:pic>
              </a:graphicData>
            </a:graphic>
          </wp:inline>
        </w:drawing>
      </w:r>
    </w:p>
    <w:p w14:paraId="1B07E687" w14:textId="77777777" w:rsidR="00C61C70" w:rsidRDefault="00C61C70" w:rsidP="00C61C70">
      <w:pPr>
        <w:pStyle w:val="Nivel3SM"/>
        <w:rPr>
          <w:b/>
        </w:rPr>
      </w:pPr>
      <w:r>
        <w:t xml:space="preserve">Resultado: Los </w:t>
      </w:r>
      <w:r w:rsidRPr="00AF193B">
        <w:t>intereses egoístas</w:t>
      </w:r>
      <w:r>
        <w:t xml:space="preserve"> del burócrata hacen que </w:t>
      </w:r>
      <w:r w:rsidRPr="00AF193B">
        <w:t>las decisiones del sector público sean ineficientes</w:t>
      </w:r>
      <w:r>
        <w:t>.</w:t>
      </w:r>
    </w:p>
    <w:p w14:paraId="192378ED" w14:textId="77777777" w:rsidR="00C61C70" w:rsidRDefault="00C61C70" w:rsidP="00C61C70">
      <w:pPr>
        <w:pStyle w:val="Nivel2SM"/>
        <w:keepNext/>
        <w:spacing w:after="0"/>
      </w:pPr>
      <w:r>
        <w:t>Otras vías del burócrata para maximizar su presupuesto:</w:t>
      </w:r>
    </w:p>
    <w:p w14:paraId="00E2D233" w14:textId="77777777" w:rsidR="00C61C70" w:rsidRDefault="00C61C70" w:rsidP="00C61C70">
      <w:pPr>
        <w:pStyle w:val="Nivel3SM"/>
      </w:pPr>
      <w:r>
        <w:t xml:space="preserve">Aún si el burócrata tiene dificultades para argumentar que niveles inferiores a </w:t>
      </w:r>
      <w:r w:rsidRPr="00C42BC8">
        <w:rPr>
          <w:i/>
          <w:iCs/>
        </w:rPr>
        <w:t>G</w:t>
      </w:r>
      <w:r w:rsidRPr="005170F0">
        <w:rPr>
          <w:i/>
          <w:iCs/>
        </w:rPr>
        <w:t>’</w:t>
      </w:r>
      <w:r>
        <w:rPr>
          <w:vertAlign w:val="subscript"/>
        </w:rPr>
        <w:t xml:space="preserve"> </w:t>
      </w:r>
      <w:r>
        <w:t xml:space="preserve">no son técnicamente factibles, puede lograr que el político escoja dicho nivel manipulando los costes. En efecto, </w:t>
      </w:r>
      <w:r w:rsidRPr="008421F4">
        <w:rPr>
          <w:u w:val="single"/>
        </w:rPr>
        <w:t>si infraestima deliberadamente los costes</w:t>
      </w:r>
      <w:r>
        <w:t xml:space="preserve">, podrá lograr que el “supuesto” óptimo sea </w:t>
      </w:r>
      <w:r w:rsidRPr="00C42BC8">
        <w:rPr>
          <w:i/>
          <w:iCs/>
        </w:rPr>
        <w:t>G</w:t>
      </w:r>
      <w:r w:rsidRPr="005170F0">
        <w:rPr>
          <w:i/>
          <w:iCs/>
        </w:rPr>
        <w:t>’</w:t>
      </w:r>
      <w:r>
        <w:t>.</w:t>
      </w:r>
    </w:p>
    <w:p w14:paraId="18A6A78D" w14:textId="77777777" w:rsidR="00C61C70" w:rsidRDefault="00C61C70" w:rsidP="00C61C70">
      <w:pPr>
        <w:pStyle w:val="Nivel3SM"/>
      </w:pPr>
      <w:r>
        <w:t xml:space="preserve">Hasta ahora hemos supuesto que el político conoce los beneficios del proyecto. Sin embargo, si el político encarga al burócrata que determine los costes y los beneficios del proyecto, el burócrata también podrá optar por </w:t>
      </w:r>
      <w:r w:rsidRPr="008421F4">
        <w:rPr>
          <w:u w:val="single"/>
        </w:rPr>
        <w:t>sobreestimar los beneficios</w:t>
      </w:r>
      <w:r>
        <w:t>.</w:t>
      </w:r>
    </w:p>
    <w:p w14:paraId="4C768877" w14:textId="77777777" w:rsidR="00C61C70" w:rsidRPr="007863BF" w:rsidRDefault="00C61C70" w:rsidP="00C61C70">
      <w:pPr>
        <w:pStyle w:val="Nivel3SM"/>
        <w:rPr>
          <w:b/>
        </w:rPr>
      </w:pPr>
      <w:r>
        <w:t xml:space="preserve">Ineficiencia X de </w:t>
      </w:r>
      <w:r w:rsidRPr="003A3AFE">
        <w:rPr>
          <w:smallCaps/>
        </w:rPr>
        <w:t>Leibenstein</w:t>
      </w:r>
      <w:r>
        <w:t>: Finalmente, el burócrata también puede aumentar su presupuesto si actúa de forma ineficiente (no minimiza costes), de modo que se presione al alza el presupuesto.</w:t>
      </w:r>
    </w:p>
    <w:p w14:paraId="5FAD1485" w14:textId="77777777" w:rsidR="00FE6031" w:rsidRPr="0055493A" w:rsidRDefault="00FE6031" w:rsidP="00FE6031">
      <w:pPr>
        <w:pStyle w:val="Ttulo7"/>
      </w:pPr>
      <w:bookmarkStart w:id="115" w:name="_Toc150975474"/>
      <w:r w:rsidRPr="0055493A">
        <w:t>Los burócratas como votantes (</w:t>
      </w:r>
      <w:r>
        <w:rPr>
          <w:smallCaps/>
        </w:rPr>
        <w:t>v</w:t>
      </w:r>
      <w:r w:rsidRPr="00F0290D">
        <w:rPr>
          <w:smallCaps/>
        </w:rPr>
        <w:t>on Mises</w:t>
      </w:r>
      <w:r w:rsidRPr="0055493A">
        <w:t xml:space="preserve">, </w:t>
      </w:r>
      <w:r w:rsidRPr="00F0290D">
        <w:rPr>
          <w:smallCaps/>
        </w:rPr>
        <w:t>Tullock</w:t>
      </w:r>
      <w:r w:rsidRPr="0055493A">
        <w:t>)</w:t>
      </w:r>
      <w:bookmarkEnd w:id="115"/>
    </w:p>
    <w:p w14:paraId="0DF90B69" w14:textId="77777777" w:rsidR="00FE6031" w:rsidRDefault="00FE6031" w:rsidP="00FE6031">
      <w:pPr>
        <w:pStyle w:val="Nivel2SM"/>
        <w:keepNext/>
        <w:spacing w:after="0"/>
      </w:pPr>
      <w:r w:rsidRPr="00FD04B1">
        <w:rPr>
          <w:u w:val="single"/>
        </w:rPr>
        <w:t>Idea</w:t>
      </w:r>
      <w:r>
        <w:t>:</w:t>
      </w:r>
    </w:p>
    <w:p w14:paraId="26376D80" w14:textId="77777777" w:rsidR="00FE6031" w:rsidRDefault="00FE6031" w:rsidP="00FE6031">
      <w:pPr>
        <w:pStyle w:val="Nivel3SM"/>
      </w:pPr>
      <w:r>
        <w:t xml:space="preserve">Los burócratas son </w:t>
      </w:r>
      <w:r w:rsidRPr="00D014E2">
        <w:rPr>
          <w:u w:val="single"/>
        </w:rPr>
        <w:t>también votante</w:t>
      </w:r>
      <w:r>
        <w:rPr>
          <w:u w:val="single"/>
        </w:rPr>
        <w:t>s y constituyen un grupo de votantes muy fuerte</w:t>
      </w:r>
      <w:r>
        <w:t xml:space="preserve"> siendo así objeto de concesiones de partidos políticos.</w:t>
      </w:r>
    </w:p>
    <w:p w14:paraId="37707D60" w14:textId="77777777" w:rsidR="00FE6031" w:rsidRPr="00C56937" w:rsidRDefault="00FE6031" w:rsidP="00FE6031">
      <w:pPr>
        <w:pStyle w:val="Nivel2SM"/>
        <w:keepNext/>
        <w:spacing w:after="0"/>
      </w:pPr>
      <w:r w:rsidRPr="00FD04B1">
        <w:rPr>
          <w:u w:val="single"/>
        </w:rPr>
        <w:t>Desarrollo</w:t>
      </w:r>
      <w:r>
        <w:t>:</w:t>
      </w:r>
    </w:p>
    <w:p w14:paraId="7186965A" w14:textId="77777777" w:rsidR="00FE6031" w:rsidRDefault="00FE6031" w:rsidP="00FE6031">
      <w:pPr>
        <w:pStyle w:val="Nivel3SM"/>
      </w:pPr>
      <w:r>
        <w:t xml:space="preserve">Los burócratas tenderán a votar a </w:t>
      </w:r>
      <w:r w:rsidRPr="00D014E2">
        <w:rPr>
          <w:u w:val="single"/>
        </w:rPr>
        <w:t>aquellos partidos que defiendan el aumento de tamaño del sector público</w:t>
      </w:r>
      <w:r>
        <w:t>, pues esto les beneficiará en términos de estabilidad laboral, presupuestos más amplios.</w:t>
      </w:r>
    </w:p>
    <w:p w14:paraId="5342E9AA" w14:textId="77777777" w:rsidR="00FE6031" w:rsidRDefault="00FE6031" w:rsidP="00FE6031">
      <w:pPr>
        <w:pStyle w:val="Nivel3SM"/>
      </w:pPr>
      <w:r>
        <w:t>Por tanto, tenderán a votar a partidos que aumenten el gasto público.</w:t>
      </w:r>
    </w:p>
    <w:p w14:paraId="490AF90C" w14:textId="77777777" w:rsidR="00FE6031" w:rsidRDefault="00FE6031" w:rsidP="00FE6031">
      <w:pPr>
        <w:pStyle w:val="Nivel2SM"/>
      </w:pPr>
      <w:r>
        <w:t>En España existen cerca de 2,5 millones de empleados públicos que junto con sus familias pueden representar una bolsa de votos importante para los partidos.</w:t>
      </w:r>
    </w:p>
    <w:p w14:paraId="45D8413D" w14:textId="2ECE6B96" w:rsidR="00C56937" w:rsidRPr="00C56937" w:rsidRDefault="00F0290D" w:rsidP="00F0290D">
      <w:pPr>
        <w:pStyle w:val="Ttulo2"/>
      </w:pPr>
      <w:bookmarkStart w:id="116" w:name="_Toc150975475"/>
      <w:r>
        <w:t>S</w:t>
      </w:r>
      <w:r w:rsidR="00C56937" w:rsidRPr="00C56937">
        <w:t>oluciones</w:t>
      </w:r>
      <w:bookmarkEnd w:id="116"/>
    </w:p>
    <w:p w14:paraId="33CDFD71" w14:textId="77777777" w:rsidR="00C56937" w:rsidRDefault="00C56937" w:rsidP="00FD04B1">
      <w:pPr>
        <w:pStyle w:val="Nivel2SM"/>
      </w:pPr>
      <w:r>
        <w:t>Como hemos visto, existen múltiples teorías explicativas del crecimiento del gasto público, todas ellas parciales y complementarias entre sí.</w:t>
      </w:r>
    </w:p>
    <w:p w14:paraId="603317AB" w14:textId="43DA616D" w:rsidR="00C56937" w:rsidRDefault="00C56937" w:rsidP="00FD04B1">
      <w:pPr>
        <w:pStyle w:val="Nivel2SM"/>
        <w:keepNext/>
        <w:spacing w:after="0"/>
      </w:pPr>
      <w:r>
        <w:lastRenderedPageBreak/>
        <w:t>Algunas soluciones que se pueden poner en marcha para contener el crecimiento del gasto público son:</w:t>
      </w:r>
    </w:p>
    <w:p w14:paraId="231FE1ED" w14:textId="77777777" w:rsidR="00C56937" w:rsidRDefault="00C56937" w:rsidP="00FD04B1">
      <w:pPr>
        <w:pStyle w:val="Nivel3SM"/>
        <w:keepNext/>
      </w:pPr>
      <w:r w:rsidRPr="00FD04B1">
        <w:rPr>
          <w:i/>
          <w:iCs/>
          <w:u w:val="single"/>
        </w:rPr>
        <w:t>Ligar la retribución a la productividad</w:t>
      </w:r>
      <w:r>
        <w:t>.</w:t>
      </w:r>
    </w:p>
    <w:p w14:paraId="192B0822" w14:textId="2D81F6CE" w:rsidR="00C56937" w:rsidRPr="00FD04B1" w:rsidRDefault="00C56937" w:rsidP="00FD04B1">
      <w:pPr>
        <w:pStyle w:val="Nivel4"/>
        <w:ind w:left="1474"/>
      </w:pPr>
      <w:r>
        <w:t xml:space="preserve">Problemas: </w:t>
      </w:r>
      <w:r w:rsidRPr="00F0290D">
        <w:rPr>
          <w:i/>
          <w:iCs/>
        </w:rPr>
        <w:t>i)</w:t>
      </w:r>
      <w:r w:rsidR="00F0290D">
        <w:t> </w:t>
      </w:r>
      <w:r>
        <w:t xml:space="preserve">¿cómo se mide la productividad?  Esto es particularmente difícil en el sector público, donde la producción suele valorarse al coste de los factores; y </w:t>
      </w:r>
      <w:proofErr w:type="spellStart"/>
      <w:r w:rsidRPr="00F0290D">
        <w:rPr>
          <w:i/>
          <w:iCs/>
        </w:rPr>
        <w:t>ii</w:t>
      </w:r>
      <w:proofErr w:type="spellEnd"/>
      <w:r w:rsidRPr="00F0290D">
        <w:rPr>
          <w:i/>
          <w:iCs/>
        </w:rPr>
        <w:t>)</w:t>
      </w:r>
      <w:r w:rsidR="00F0290D">
        <w:t> </w:t>
      </w:r>
      <w:r>
        <w:t>¿quién mide la productividad</w:t>
      </w:r>
      <w:r w:rsidRPr="00FD04B1">
        <w:t>?</w:t>
      </w:r>
    </w:p>
    <w:p w14:paraId="159610C2" w14:textId="715A663D" w:rsidR="00C56937" w:rsidRDefault="00C56937" w:rsidP="00FD04B1">
      <w:pPr>
        <w:pStyle w:val="Nivel3SM"/>
      </w:pPr>
      <w:r w:rsidRPr="00FD04B1">
        <w:rPr>
          <w:i/>
          <w:iCs/>
          <w:u w:val="single"/>
        </w:rPr>
        <w:t>Presupuesto de base cero</w:t>
      </w:r>
      <w:r w:rsidR="00FD04B1">
        <w:t>, e</w:t>
      </w:r>
      <w:r>
        <w:t>n lugar de presupuesto incremental.</w:t>
      </w:r>
    </w:p>
    <w:p w14:paraId="5AA8B304" w14:textId="55164D8B" w:rsidR="00C56937" w:rsidRDefault="00C56937" w:rsidP="00FD04B1">
      <w:pPr>
        <w:pStyle w:val="Nivel3SM"/>
      </w:pPr>
      <w:r w:rsidRPr="00FD04B1">
        <w:rPr>
          <w:i/>
          <w:iCs/>
          <w:u w:val="single"/>
        </w:rPr>
        <w:t>Alargar las legislaturas</w:t>
      </w:r>
      <w:r w:rsidR="00FD04B1">
        <w:t xml:space="preserve">: </w:t>
      </w:r>
      <w:r w:rsidR="00870F94">
        <w:t>L</w:t>
      </w:r>
      <w:r w:rsidRPr="00F369CC">
        <w:t xml:space="preserve">imitación de mandatos, independencia del </w:t>
      </w:r>
      <w:r w:rsidR="00870F94">
        <w:t>BC</w:t>
      </w:r>
      <w:r w:rsidR="00301F85">
        <w:t>…</w:t>
      </w:r>
    </w:p>
    <w:p w14:paraId="384342EA" w14:textId="296854A9" w:rsidR="00C56937" w:rsidRDefault="00C56937" w:rsidP="00FD04B1">
      <w:pPr>
        <w:pStyle w:val="Nivel3SM"/>
      </w:pPr>
      <w:r w:rsidRPr="00FD04B1">
        <w:rPr>
          <w:i/>
          <w:iCs/>
          <w:u w:val="single"/>
        </w:rPr>
        <w:t>Separar el diseño de la ejecución</w:t>
      </w:r>
      <w:r w:rsidR="00FD04B1" w:rsidRPr="00FD04B1">
        <w:t xml:space="preserve">. </w:t>
      </w:r>
      <w:r>
        <w:t>P.ej. encargar el análisis coste-beneficio a una agencia independiente, de manera que el sector público no pueda ya subestimar los costes y sobrestimar los beneficios de los proyectos públicos.</w:t>
      </w:r>
    </w:p>
    <w:p w14:paraId="2B3BE61C" w14:textId="092F6DC2" w:rsidR="00C56937" w:rsidRDefault="00C56937" w:rsidP="00FD04B1">
      <w:pPr>
        <w:pStyle w:val="Nivel3SM"/>
      </w:pPr>
      <w:r w:rsidRPr="00FD04B1">
        <w:rPr>
          <w:i/>
          <w:iCs/>
          <w:u w:val="single"/>
        </w:rPr>
        <w:t>Sustituir la producción pública por privada</w:t>
      </w:r>
      <w:r w:rsidR="00FD04B1" w:rsidRPr="00C41B69">
        <w:rPr>
          <w:i/>
          <w:iCs/>
        </w:rPr>
        <w:t xml:space="preserve"> </w:t>
      </w:r>
      <w:r w:rsidR="00C41B69" w:rsidRPr="00C41B69">
        <w:rPr>
          <w:i/>
          <w:iCs/>
        </w:rPr>
        <w:t>e</w:t>
      </w:r>
      <w:r w:rsidRPr="00C41B69">
        <w:rPr>
          <w:i/>
          <w:iCs/>
        </w:rPr>
        <w:t>n aquellos casos en los que sea posible</w:t>
      </w:r>
      <w:r>
        <w:t xml:space="preserve"> (manteniendo la provisión pública, esto es, que siga siendo pagado con fondos públicos).</w:t>
      </w:r>
    </w:p>
    <w:p w14:paraId="390AE2BC" w14:textId="16CE4558" w:rsidR="00C56937" w:rsidRDefault="00C56937" w:rsidP="00FD04B1">
      <w:pPr>
        <w:pStyle w:val="Nivel3SM"/>
        <w:keepNext/>
      </w:pPr>
      <w:r w:rsidRPr="00FD04B1">
        <w:rPr>
          <w:i/>
          <w:iCs/>
          <w:u w:val="single"/>
        </w:rPr>
        <w:t>Limitar legalmente el tamaño del sector público</w:t>
      </w:r>
      <w:r w:rsidRPr="007A6394">
        <w:t>.</w:t>
      </w:r>
      <w:r w:rsidR="00FD04B1">
        <w:t xml:space="preserve"> </w:t>
      </w:r>
      <w:r>
        <w:t xml:space="preserve">Concepto de </w:t>
      </w:r>
      <w:r w:rsidRPr="005C2500">
        <w:rPr>
          <w:i/>
          <w:iCs/>
        </w:rPr>
        <w:t>“constitución fiscal”</w:t>
      </w:r>
      <w:r>
        <w:t>.</w:t>
      </w:r>
    </w:p>
    <w:p w14:paraId="71A90D67" w14:textId="750BC313" w:rsidR="00C56937" w:rsidRDefault="00C56937" w:rsidP="00FD04B1">
      <w:pPr>
        <w:pStyle w:val="Nivel4"/>
        <w:ind w:left="1474"/>
      </w:pPr>
      <w:r>
        <w:t>Reforma del artículo</w:t>
      </w:r>
      <w:r w:rsidR="00C41B69">
        <w:t> </w:t>
      </w:r>
      <w:r>
        <w:t>135 de la CE.</w:t>
      </w:r>
    </w:p>
    <w:p w14:paraId="7D7410B7" w14:textId="2BD8640C" w:rsidR="00C56937" w:rsidRDefault="00C56937" w:rsidP="00FD04B1">
      <w:pPr>
        <w:pStyle w:val="Nivel4"/>
        <w:ind w:left="1474"/>
      </w:pPr>
      <w:r>
        <w:t>LOEPSF.</w:t>
      </w:r>
    </w:p>
    <w:p w14:paraId="68B236B0" w14:textId="77777777" w:rsidR="00870F94" w:rsidRDefault="00870F94" w:rsidP="00FD04B1">
      <w:pPr>
        <w:pStyle w:val="Nivel3SM"/>
      </w:pPr>
      <w:r w:rsidRPr="00FD04B1">
        <w:rPr>
          <w:i/>
          <w:iCs/>
          <w:u w:val="single"/>
        </w:rPr>
        <w:t>Mejorar los mecanismos de supervisión y control</w:t>
      </w:r>
      <w:r>
        <w:t>.</w:t>
      </w:r>
    </w:p>
    <w:p w14:paraId="1DC7454F" w14:textId="47A8BA8C" w:rsidR="00684BD7" w:rsidRDefault="00684BD7" w:rsidP="000612C0">
      <w:pPr>
        <w:pStyle w:val="Introduccinyconclusin"/>
      </w:pPr>
      <w:r>
        <w:t>CONCLUSI</w:t>
      </w:r>
      <w:r w:rsidR="00A07FCB">
        <w:t>Ó</w:t>
      </w:r>
      <w:r>
        <w:t>N</w:t>
      </w:r>
    </w:p>
    <w:p w14:paraId="1A46FB40" w14:textId="5D10C0C5" w:rsidR="008A7717" w:rsidRDefault="006025FE" w:rsidP="0016598E">
      <w:pPr>
        <w:pStyle w:val="Nivel1"/>
        <w:keepNext/>
        <w:spacing w:before="0" w:after="0"/>
      </w:pPr>
      <w:r>
        <w:rPr>
          <w:b/>
          <w:bCs/>
          <w:i/>
          <w:iCs/>
        </w:rPr>
        <w:t>R</w:t>
      </w:r>
      <w:r w:rsidR="008A7717" w:rsidRPr="006025FE">
        <w:rPr>
          <w:b/>
          <w:bCs/>
          <w:i/>
          <w:iCs/>
        </w:rPr>
        <w:t>ecap</w:t>
      </w:r>
      <w:r>
        <w:rPr>
          <w:b/>
          <w:bCs/>
          <w:i/>
          <w:iCs/>
        </w:rPr>
        <w:t>itulación (</w:t>
      </w:r>
      <w:r w:rsidR="005875C6">
        <w:rPr>
          <w:b/>
          <w:bCs/>
          <w:i/>
          <w:iCs/>
        </w:rPr>
        <w:t>I</w:t>
      </w:r>
      <w:r>
        <w:rPr>
          <w:b/>
          <w:bCs/>
          <w:i/>
          <w:iCs/>
        </w:rPr>
        <w:t>deas clave)</w:t>
      </w:r>
      <w:r>
        <w:t>:</w:t>
      </w:r>
    </w:p>
    <w:p w14:paraId="1358376E" w14:textId="4EBF185B" w:rsidR="008A7717" w:rsidRPr="006F6795" w:rsidRDefault="008A7717" w:rsidP="00A42702">
      <w:pPr>
        <w:pStyle w:val="Nivel2"/>
        <w:rPr>
          <w:spacing w:val="-4"/>
        </w:rPr>
      </w:pPr>
      <w:r w:rsidRPr="006F6795">
        <w:rPr>
          <w:spacing w:val="-4"/>
        </w:rPr>
        <w:t xml:space="preserve">En conclusión, a lo largo de esta exposición hemos visto diversas explicaciones al crecimiento experimentado por el tamaño del </w:t>
      </w:r>
      <w:r w:rsidR="00A42702" w:rsidRPr="006F6795">
        <w:rPr>
          <w:spacing w:val="-4"/>
        </w:rPr>
        <w:t>sector público</w:t>
      </w:r>
      <w:r w:rsidRPr="006F6795">
        <w:rPr>
          <w:spacing w:val="-4"/>
        </w:rPr>
        <w:t xml:space="preserve"> a lo largo del siglo pasado frenado desde los 70 donde van a subyacer argumentos no solo económicos, sino también éticos.</w:t>
      </w:r>
    </w:p>
    <w:p w14:paraId="6BC8A94E" w14:textId="77777777" w:rsidR="00A42702" w:rsidRDefault="008A7717" w:rsidP="00A42702">
      <w:pPr>
        <w:pStyle w:val="Nivel2"/>
        <w:keepNext/>
        <w:spacing w:after="0"/>
      </w:pPr>
      <w:r>
        <w:t xml:space="preserve">Se trata de un debate donde efectivamente un mayor </w:t>
      </w:r>
      <w:r w:rsidR="00BC0F6E">
        <w:t>gasto público</w:t>
      </w:r>
      <w:r>
        <w:t xml:space="preserve"> va a implicar necesariamente enfrentarse a un trade-off.</w:t>
      </w:r>
    </w:p>
    <w:p w14:paraId="242555A3" w14:textId="6F9D158A" w:rsidR="008A7717" w:rsidRDefault="008A7717" w:rsidP="00A42702">
      <w:pPr>
        <w:pStyle w:val="Nivel3"/>
      </w:pPr>
      <w:r>
        <w:t xml:space="preserve">Asumiendo que este </w:t>
      </w:r>
      <w:r w:rsidR="00BC0F6E">
        <w:t>gasto público</w:t>
      </w:r>
      <w:r>
        <w:t xml:space="preserve"> es productivo, es decir, no es </w:t>
      </w:r>
      <w:r w:rsidRPr="008A7717">
        <w:rPr>
          <w:i/>
          <w:iCs/>
        </w:rPr>
        <w:t xml:space="preserve">pure </w:t>
      </w:r>
      <w:proofErr w:type="spellStart"/>
      <w:r w:rsidRPr="008A7717">
        <w:rPr>
          <w:i/>
          <w:iCs/>
        </w:rPr>
        <w:t>waste</w:t>
      </w:r>
      <w:proofErr w:type="spellEnd"/>
      <w:r>
        <w:t>, existen por un lado los efectos expansivos del aumento del gasto, que puede</w:t>
      </w:r>
      <w:r w:rsidR="004E4287">
        <w:t>n</w:t>
      </w:r>
      <w:r>
        <w:t xml:space="preserve"> llevar a un mayor </w:t>
      </w:r>
      <w:r w:rsidR="00DC6D50">
        <w:t>crecimiento económico</w:t>
      </w:r>
      <w:r>
        <w:t xml:space="preserve"> como hemos visto en base a diferentes vías como mayor inversión en I+D o capital humano que aumenta la competitividad de la economía, infraestructuras que generan externalidades positivas sobre la economía u otros bienes públicos tradicionales como seguridad y justicia.</w:t>
      </w:r>
    </w:p>
    <w:p w14:paraId="6C6A15D3" w14:textId="3ED4932D" w:rsidR="008A7717" w:rsidRDefault="008A7717" w:rsidP="00A42702">
      <w:pPr>
        <w:pStyle w:val="Nivel3"/>
      </w:pPr>
      <w:r>
        <w:t xml:space="preserve">Sin embargo, por otro lado la financiación acarrea el desvío de recursos de manos privados a manos públicas y por tanto se debe realizar un análisis no siempre sencillo de una comparación de los costes de un mayor </w:t>
      </w:r>
      <w:r w:rsidR="00BC0F6E">
        <w:t xml:space="preserve">gasto público </w:t>
      </w:r>
      <w:r>
        <w:t>(vía aumento impositivo, coste de oportunidad) y estos beneficios que como hemos visto muchas veces dependerán de las preferencias y la aversión por la desigualdad.</w:t>
      </w:r>
    </w:p>
    <w:p w14:paraId="5AC5D074" w14:textId="46151830" w:rsidR="00C03DD7" w:rsidRDefault="00C03DD7" w:rsidP="00C03DD7">
      <w:pPr>
        <w:pStyle w:val="Nivel1"/>
        <w:keepNext/>
        <w:spacing w:after="0"/>
        <w:jc w:val="left"/>
      </w:pPr>
      <w:r>
        <w:rPr>
          <w:b/>
          <w:bCs/>
          <w:i/>
          <w:iCs/>
        </w:rPr>
        <w:t>Relevancia</w:t>
      </w:r>
      <w:r w:rsidRPr="00C03DD7">
        <w:t>:</w:t>
      </w:r>
    </w:p>
    <w:p w14:paraId="3AE02B98" w14:textId="77777777" w:rsidR="00C03DD7" w:rsidRPr="00C03DD7" w:rsidRDefault="00C03DD7" w:rsidP="00C03DD7">
      <w:pPr>
        <w:pStyle w:val="Nivel2"/>
      </w:pPr>
    </w:p>
    <w:p w14:paraId="1A0BEF86" w14:textId="56F0B42E" w:rsidR="00C03DD7" w:rsidRPr="00C03DD7" w:rsidRDefault="00C03DD7" w:rsidP="00A42702">
      <w:pPr>
        <w:pStyle w:val="Nivel1"/>
        <w:keepNext/>
        <w:spacing w:after="0"/>
      </w:pPr>
      <w:r>
        <w:rPr>
          <w:b/>
          <w:bCs/>
          <w:i/>
          <w:iCs/>
        </w:rPr>
        <w:t>Extensiones y relación con otras partes del temario</w:t>
      </w:r>
      <w:r w:rsidRPr="00C03DD7">
        <w:t>:</w:t>
      </w:r>
    </w:p>
    <w:p w14:paraId="5EEA55D9" w14:textId="77777777" w:rsidR="00C03DD7" w:rsidRPr="00C03DD7" w:rsidRDefault="00C03DD7" w:rsidP="00C03DD7">
      <w:pPr>
        <w:pStyle w:val="Nivel2"/>
      </w:pPr>
    </w:p>
    <w:p w14:paraId="3641B57C" w14:textId="6E2EF222" w:rsidR="00C03DD7" w:rsidRDefault="00C03DD7" w:rsidP="00A42702">
      <w:pPr>
        <w:pStyle w:val="Nivel1"/>
        <w:keepNext/>
        <w:spacing w:after="0"/>
      </w:pPr>
      <w:r>
        <w:rPr>
          <w:b/>
          <w:bCs/>
          <w:i/>
          <w:iCs/>
        </w:rPr>
        <w:t>Opinión</w:t>
      </w:r>
      <w:r w:rsidRPr="00C03DD7">
        <w:t>:</w:t>
      </w:r>
    </w:p>
    <w:p w14:paraId="12EF03C1" w14:textId="77777777" w:rsidR="00C03DD7" w:rsidRPr="00C03DD7" w:rsidRDefault="00C03DD7" w:rsidP="00C03DD7">
      <w:pPr>
        <w:pStyle w:val="Nivel2"/>
      </w:pPr>
    </w:p>
    <w:p w14:paraId="340A58AC" w14:textId="38D74A14" w:rsidR="008A7717" w:rsidRDefault="00A84ABC" w:rsidP="00A42702">
      <w:pPr>
        <w:pStyle w:val="Nivel1"/>
        <w:keepNext/>
        <w:spacing w:after="0"/>
      </w:pPr>
      <w:r>
        <w:rPr>
          <w:b/>
          <w:bCs/>
          <w:i/>
          <w:iCs/>
        </w:rPr>
        <w:t>Idea final</w:t>
      </w:r>
      <w:r w:rsidR="006025FE">
        <w:rPr>
          <w:b/>
          <w:bCs/>
          <w:i/>
          <w:iCs/>
        </w:rPr>
        <w:t xml:space="preserve"> (</w:t>
      </w:r>
      <w:r>
        <w:rPr>
          <w:b/>
          <w:bCs/>
          <w:i/>
          <w:iCs/>
        </w:rPr>
        <w:t>S</w:t>
      </w:r>
      <w:r w:rsidR="006025FE">
        <w:rPr>
          <w:b/>
          <w:bCs/>
          <w:i/>
          <w:iCs/>
        </w:rPr>
        <w:t>alida o cierre)</w:t>
      </w:r>
      <w:r w:rsidR="006025FE">
        <w:t>:</w:t>
      </w:r>
    </w:p>
    <w:p w14:paraId="67B5A2A6" w14:textId="04A0DA94" w:rsidR="006F6795" w:rsidRPr="0016598E" w:rsidRDefault="008A7717" w:rsidP="0016598E">
      <w:pPr>
        <w:pStyle w:val="Nivel2"/>
      </w:pPr>
      <w:r>
        <w:t xml:space="preserve">En cualquier caso, más allá de una reducción o aumento del tamaño del </w:t>
      </w:r>
      <w:r w:rsidR="00A42702">
        <w:t>sector público</w:t>
      </w:r>
      <w:r>
        <w:t xml:space="preserve">, debe ponerse énfasis en su racionalización, es decir, en buscar aquellas partidas que realmente contribuyen a la eficiencia asignativa, la equidad y la estabilización y eliminar aquellas que puedan ser superfluas. Por tanto, como corolario considero fundamental la labor actual de la AIReF en nuestro país a través de los </w:t>
      </w:r>
      <w:proofErr w:type="spellStart"/>
      <w:r w:rsidRPr="008A7717">
        <w:rPr>
          <w:i/>
          <w:iCs/>
        </w:rPr>
        <w:t>spending</w:t>
      </w:r>
      <w:proofErr w:type="spellEnd"/>
      <w:r w:rsidRPr="008A7717">
        <w:rPr>
          <w:i/>
          <w:iCs/>
        </w:rPr>
        <w:t xml:space="preserve"> </w:t>
      </w:r>
      <w:proofErr w:type="spellStart"/>
      <w:r w:rsidRPr="008A7717">
        <w:rPr>
          <w:i/>
          <w:iCs/>
        </w:rPr>
        <w:t>reviews</w:t>
      </w:r>
      <w:proofErr w:type="spellEnd"/>
      <w:r>
        <w:t>.</w:t>
      </w:r>
      <w:r w:rsidR="006F6795" w:rsidRPr="0016598E">
        <w:rPr>
          <w:sz w:val="2"/>
          <w:szCs w:val="2"/>
        </w:rPr>
        <w:br w:type="page"/>
      </w:r>
    </w:p>
    <w:p w14:paraId="07F66717" w14:textId="454FFB3C" w:rsidR="000612C0" w:rsidRDefault="000612C0" w:rsidP="000612C0">
      <w:pPr>
        <w:pStyle w:val="Ttulo4"/>
      </w:pPr>
      <w:bookmarkStart w:id="117" w:name="_Hlk146443241"/>
      <w:r>
        <w:lastRenderedPageBreak/>
        <w:t>Bibliografía</w:t>
      </w:r>
    </w:p>
    <w:p w14:paraId="12DD86F2" w14:textId="77777777" w:rsidR="000612C0" w:rsidRDefault="000612C0" w:rsidP="000612C0">
      <w:r>
        <w:t>Tema María Palacios Carrere</w:t>
      </w:r>
    </w:p>
    <w:p w14:paraId="3506F0CA" w14:textId="1844D10C" w:rsidR="00CA7594" w:rsidRDefault="00CA7594" w:rsidP="000612C0">
      <w:r>
        <w:t>Tema Juan Luis Cordero</w:t>
      </w:r>
    </w:p>
    <w:p w14:paraId="0D1EF73F" w14:textId="63966DCC" w:rsidR="000612C0" w:rsidRPr="000612C0" w:rsidRDefault="000612C0" w:rsidP="000612C0">
      <w:r w:rsidRPr="000612C0">
        <w:rPr>
          <w:i/>
          <w:iCs/>
        </w:rPr>
        <w:t>“Economía pública: una introducción”</w:t>
      </w:r>
      <w:r w:rsidRPr="000612C0">
        <w:t>, de Fernando Álvarez Gómez</w:t>
      </w:r>
      <w:r>
        <w:t xml:space="preserve">, </w:t>
      </w:r>
      <w:r w:rsidRPr="000612C0">
        <w:t>disponible en Google</w:t>
      </w:r>
      <w:r>
        <w:t xml:space="preserve"> </w:t>
      </w:r>
      <w:r w:rsidRPr="000612C0">
        <w:t>libros).</w:t>
      </w:r>
    </w:p>
    <w:p w14:paraId="71BEC865" w14:textId="7F1AB69A" w:rsidR="000612C0" w:rsidRPr="000612C0" w:rsidRDefault="000612C0" w:rsidP="000612C0">
      <w:r w:rsidRPr="000612C0">
        <w:rPr>
          <w:i/>
          <w:iCs/>
        </w:rPr>
        <w:t>“Economía pública”</w:t>
      </w:r>
      <w:r w:rsidRPr="000612C0">
        <w:t>, Albi.</w:t>
      </w:r>
    </w:p>
    <w:p w14:paraId="1554EB8C" w14:textId="77777777" w:rsidR="000612C0" w:rsidRDefault="000612C0" w:rsidP="000612C0">
      <w:pPr>
        <w:pStyle w:val="Ttulo4"/>
      </w:pPr>
      <w:r>
        <w:t>Preguntas de otros exámenes</w:t>
      </w:r>
    </w:p>
    <w:p w14:paraId="75DD1CFE" w14:textId="77777777" w:rsidR="000612C0" w:rsidRPr="002908B3" w:rsidRDefault="000612C0" w:rsidP="000612C0">
      <w:pPr>
        <w:pStyle w:val="Nivel2SM"/>
      </w:pPr>
    </w:p>
    <w:p w14:paraId="3EAE32E3" w14:textId="77777777" w:rsidR="000612C0" w:rsidRDefault="000612C0" w:rsidP="000612C0">
      <w:pPr>
        <w:pStyle w:val="Ttulo4"/>
      </w:pPr>
      <w:r w:rsidRPr="00342648">
        <w:t>Anexos</w:t>
      </w:r>
    </w:p>
    <w:p w14:paraId="3BE2F69F" w14:textId="77777777" w:rsidR="000612C0" w:rsidRPr="00AF1FE6" w:rsidRDefault="000612C0" w:rsidP="000612C0">
      <w:pPr>
        <w:pStyle w:val="Ttulo5"/>
        <w:rPr>
          <w:u w:val="none"/>
        </w:rPr>
      </w:pPr>
      <w:r w:rsidRPr="0002549F">
        <w:t>Anexo</w:t>
      </w:r>
      <w:r>
        <w:t> </w:t>
      </w:r>
      <w:r w:rsidRPr="0002549F">
        <w:t>1</w:t>
      </w:r>
      <w:r w:rsidRPr="00AF1FE6">
        <w:rPr>
          <w:u w:val="none"/>
        </w:rPr>
        <w:t xml:space="preserve">: </w:t>
      </w:r>
    </w:p>
    <w:bookmarkEnd w:id="117"/>
    <w:p w14:paraId="0D1C0888" w14:textId="77777777" w:rsidR="000612C0" w:rsidRPr="004A09C8" w:rsidRDefault="000612C0" w:rsidP="000612C0"/>
    <w:sectPr w:rsidR="000612C0" w:rsidRPr="004A09C8" w:rsidSect="00322C75">
      <w:headerReference w:type="even" r:id="rId53"/>
      <w:headerReference w:type="default" r:id="rId54"/>
      <w:footerReference w:type="even" r:id="rId55"/>
      <w:footerReference w:type="default" r:id="rId56"/>
      <w:headerReference w:type="first" r:id="rId57"/>
      <w:footerReference w:type="first" r:id="rId58"/>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09DBC" w14:textId="77777777" w:rsidR="00C61BD1" w:rsidRDefault="00C61BD1">
      <w:r>
        <w:separator/>
      </w:r>
    </w:p>
  </w:endnote>
  <w:endnote w:type="continuationSeparator" w:id="0">
    <w:p w14:paraId="47A73EE1" w14:textId="77777777" w:rsidR="00C61BD1" w:rsidRDefault="00C61B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22C75" w:rsidRPr="009B5FC2" w14:paraId="1D3461CF" w14:textId="77777777" w:rsidTr="00B777D0">
      <w:trPr>
        <w:trHeight w:val="138"/>
        <w:jc w:val="center"/>
      </w:trPr>
      <w:tc>
        <w:tcPr>
          <w:tcW w:w="1134" w:type="dxa"/>
        </w:tcPr>
        <w:p w14:paraId="27EC4640" w14:textId="77777777" w:rsidR="00322C75" w:rsidRPr="009B5FC2" w:rsidRDefault="00322C75" w:rsidP="009B5FC2">
          <w:pPr>
            <w:pStyle w:val="Encabezado"/>
            <w:tabs>
              <w:tab w:val="clear" w:pos="4252"/>
              <w:tab w:val="clear" w:pos="8504"/>
              <w:tab w:val="right" w:pos="924"/>
              <w:tab w:val="center" w:pos="1310"/>
            </w:tabs>
            <w:spacing w:after="0"/>
            <w:contextualSpacing/>
            <w:jc w:val="left"/>
            <w:rPr>
              <w:i/>
              <w:iCs/>
              <w:color w:val="5F2987"/>
              <w:sz w:val="18"/>
              <w:szCs w:val="18"/>
            </w:rPr>
          </w:pPr>
          <w:r w:rsidRPr="009B5FC2">
            <w:rPr>
              <w:b/>
              <w:bCs/>
              <w:i/>
              <w:iCs/>
              <w:color w:val="5F2987"/>
              <w:spacing w:val="-6"/>
              <w:sz w:val="18"/>
              <w:szCs w:val="18"/>
            </w:rPr>
            <w:fldChar w:fldCharType="begin"/>
          </w:r>
          <w:r w:rsidRPr="009B5FC2">
            <w:rPr>
              <w:b/>
              <w:bCs/>
              <w:i/>
              <w:iCs/>
              <w:color w:val="5F2987"/>
              <w:spacing w:val="-6"/>
              <w:sz w:val="18"/>
              <w:szCs w:val="18"/>
            </w:rPr>
            <w:instrText>PAGE  \* Arabic  \* MERGEFORMAT</w:instrText>
          </w:r>
          <w:r w:rsidRPr="009B5FC2">
            <w:rPr>
              <w:b/>
              <w:bCs/>
              <w:i/>
              <w:iCs/>
              <w:color w:val="5F2987"/>
              <w:spacing w:val="-6"/>
              <w:sz w:val="18"/>
              <w:szCs w:val="18"/>
            </w:rPr>
            <w:fldChar w:fldCharType="separate"/>
          </w:r>
          <w:r w:rsidRPr="009B5FC2">
            <w:rPr>
              <w:b/>
              <w:bCs/>
              <w:i/>
              <w:iCs/>
              <w:color w:val="5F2987"/>
              <w:spacing w:val="-6"/>
              <w:sz w:val="18"/>
              <w:szCs w:val="18"/>
            </w:rPr>
            <w:t>2</w:t>
          </w:r>
          <w:r w:rsidRPr="009B5FC2">
            <w:rPr>
              <w:b/>
              <w:bCs/>
              <w:i/>
              <w:iCs/>
              <w:color w:val="5F2987"/>
              <w:spacing w:val="-6"/>
              <w:sz w:val="18"/>
              <w:szCs w:val="18"/>
            </w:rPr>
            <w:fldChar w:fldCharType="end"/>
          </w:r>
          <w:r w:rsidRPr="009B5FC2">
            <w:rPr>
              <w:b/>
              <w:bCs/>
              <w:i/>
              <w:iCs/>
              <w:color w:val="5F2987"/>
              <w:spacing w:val="-6"/>
              <w:sz w:val="18"/>
              <w:szCs w:val="18"/>
            </w:rPr>
            <w:t>/</w:t>
          </w:r>
          <w:r w:rsidRPr="009B5FC2">
            <w:rPr>
              <w:b/>
              <w:bCs/>
              <w:i/>
              <w:iCs/>
              <w:color w:val="5F2987"/>
              <w:spacing w:val="-6"/>
              <w:sz w:val="18"/>
              <w:szCs w:val="18"/>
            </w:rPr>
            <w:fldChar w:fldCharType="begin"/>
          </w:r>
          <w:r w:rsidRPr="009B5FC2">
            <w:rPr>
              <w:b/>
              <w:bCs/>
              <w:i/>
              <w:iCs/>
              <w:color w:val="5F2987"/>
              <w:spacing w:val="-6"/>
              <w:sz w:val="18"/>
              <w:szCs w:val="18"/>
            </w:rPr>
            <w:instrText>NUMPAGES  \* Arabic  \* MERGEFORMAT</w:instrText>
          </w:r>
          <w:r w:rsidRPr="009B5FC2">
            <w:rPr>
              <w:b/>
              <w:bCs/>
              <w:i/>
              <w:iCs/>
              <w:color w:val="5F2987"/>
              <w:spacing w:val="-6"/>
              <w:sz w:val="18"/>
              <w:szCs w:val="18"/>
            </w:rPr>
            <w:fldChar w:fldCharType="separate"/>
          </w:r>
          <w:r w:rsidRPr="009B5FC2">
            <w:rPr>
              <w:b/>
              <w:bCs/>
              <w:i/>
              <w:iCs/>
              <w:color w:val="5F2987"/>
              <w:spacing w:val="-6"/>
              <w:sz w:val="18"/>
              <w:szCs w:val="18"/>
            </w:rPr>
            <w:t>9</w:t>
          </w:r>
          <w:r w:rsidRPr="009B5FC2">
            <w:rPr>
              <w:b/>
              <w:bCs/>
              <w:i/>
              <w:iCs/>
              <w:color w:val="5F2987"/>
              <w:spacing w:val="-6"/>
              <w:sz w:val="18"/>
              <w:szCs w:val="18"/>
            </w:rPr>
            <w:fldChar w:fldCharType="end"/>
          </w:r>
        </w:p>
      </w:tc>
      <w:tc>
        <w:tcPr>
          <w:tcW w:w="7088" w:type="dxa"/>
          <w:vAlign w:val="center"/>
        </w:tcPr>
        <w:p w14:paraId="2E4FDE7E" w14:textId="77777777" w:rsidR="00322C75" w:rsidRPr="009B5FC2" w:rsidRDefault="00322C75" w:rsidP="009B5FC2">
          <w:pPr>
            <w:pStyle w:val="Encabezado"/>
            <w:spacing w:after="0"/>
            <w:ind w:right="-110"/>
            <w:contextualSpacing/>
            <w:jc w:val="center"/>
            <w:rPr>
              <w:i/>
              <w:iCs/>
              <w:color w:val="5F2987"/>
              <w:sz w:val="18"/>
              <w:szCs w:val="18"/>
            </w:rPr>
          </w:pPr>
        </w:p>
      </w:tc>
      <w:tc>
        <w:tcPr>
          <w:tcW w:w="2551" w:type="dxa"/>
          <w:vAlign w:val="center"/>
        </w:tcPr>
        <w:p w14:paraId="49174810" w14:textId="77777777" w:rsidR="00322C75" w:rsidRPr="009B5FC2" w:rsidRDefault="00322C75" w:rsidP="009B5FC2">
          <w:pPr>
            <w:pStyle w:val="Encabezado"/>
            <w:spacing w:after="0"/>
            <w:contextualSpacing/>
            <w:jc w:val="right"/>
            <w:rPr>
              <w:b/>
              <w:bCs/>
              <w:i/>
              <w:iCs/>
              <w:color w:val="5F2987"/>
              <w:spacing w:val="-6"/>
              <w:sz w:val="18"/>
              <w:szCs w:val="18"/>
            </w:rPr>
          </w:pPr>
        </w:p>
      </w:tc>
    </w:tr>
  </w:tbl>
  <w:p w14:paraId="7D990D6C" w14:textId="77777777" w:rsidR="00322C75" w:rsidRPr="009C61AF" w:rsidRDefault="00322C75" w:rsidP="009B5FC2">
    <w:pPr>
      <w:pStyle w:val="Piedepgina"/>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22C75" w:rsidRPr="00C44422" w14:paraId="512A608C" w14:textId="77777777" w:rsidTr="0078055F">
      <w:trPr>
        <w:trHeight w:val="138"/>
        <w:jc w:val="center"/>
      </w:trPr>
      <w:tc>
        <w:tcPr>
          <w:tcW w:w="1134" w:type="dxa"/>
          <w:vAlign w:val="center"/>
        </w:tcPr>
        <w:p w14:paraId="4EF4D8B3" w14:textId="77777777" w:rsidR="00322C75" w:rsidRPr="006B5D4B" w:rsidRDefault="00322C75"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222A1D13" w14:textId="77777777" w:rsidR="00322C75" w:rsidRPr="006B5D4B" w:rsidRDefault="00322C75" w:rsidP="009B5FC2">
          <w:pPr>
            <w:pStyle w:val="Encabezado"/>
            <w:spacing w:after="0"/>
            <w:ind w:right="-110"/>
            <w:contextualSpacing/>
            <w:jc w:val="center"/>
            <w:rPr>
              <w:i/>
              <w:iCs/>
              <w:color w:val="5F2987"/>
              <w:sz w:val="18"/>
              <w:szCs w:val="18"/>
            </w:rPr>
          </w:pPr>
        </w:p>
      </w:tc>
      <w:tc>
        <w:tcPr>
          <w:tcW w:w="2551" w:type="dxa"/>
          <w:vAlign w:val="center"/>
        </w:tcPr>
        <w:p w14:paraId="44AA37C5" w14:textId="77777777" w:rsidR="00322C75" w:rsidRPr="006B5D4B" w:rsidRDefault="00322C75"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61C6CED9" w14:textId="77777777" w:rsidR="00322C75" w:rsidRPr="00BE1B62" w:rsidRDefault="00322C75" w:rsidP="009B5FC2">
    <w:pPr>
      <w:pStyle w:val="Piedepgina"/>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22C75" w:rsidRPr="00C44422" w14:paraId="69AB5364" w14:textId="77777777" w:rsidTr="0078055F">
      <w:trPr>
        <w:trHeight w:val="138"/>
        <w:jc w:val="center"/>
      </w:trPr>
      <w:tc>
        <w:tcPr>
          <w:tcW w:w="1134" w:type="dxa"/>
          <w:vAlign w:val="center"/>
        </w:tcPr>
        <w:p w14:paraId="5CF20AD9" w14:textId="77777777" w:rsidR="00322C75" w:rsidRPr="006B5D4B" w:rsidRDefault="00322C75"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4C970684" w14:textId="77777777" w:rsidR="00322C75" w:rsidRPr="006B5D4B" w:rsidRDefault="00322C75" w:rsidP="009B5FC2">
          <w:pPr>
            <w:pStyle w:val="Encabezado"/>
            <w:spacing w:after="0"/>
            <w:ind w:right="-110"/>
            <w:contextualSpacing/>
            <w:jc w:val="center"/>
            <w:rPr>
              <w:i/>
              <w:iCs/>
              <w:color w:val="5F2987"/>
              <w:sz w:val="18"/>
              <w:szCs w:val="18"/>
            </w:rPr>
          </w:pPr>
        </w:p>
      </w:tc>
      <w:tc>
        <w:tcPr>
          <w:tcW w:w="2551" w:type="dxa"/>
          <w:vAlign w:val="center"/>
        </w:tcPr>
        <w:p w14:paraId="58E1CE11" w14:textId="77777777" w:rsidR="00322C75" w:rsidRPr="006B5D4B" w:rsidRDefault="00322C75"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6CAB0EC6" w14:textId="77777777" w:rsidR="00322C75" w:rsidRPr="00BE1B62" w:rsidRDefault="00322C75" w:rsidP="009B5FC2">
    <w:pPr>
      <w:pStyle w:val="Piedepgina"/>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6AB08" w14:textId="77777777" w:rsidR="00C61BD1" w:rsidRPr="009D35BA" w:rsidRDefault="00C61BD1" w:rsidP="009D35BA">
      <w:pPr>
        <w:spacing w:after="0" w:line="240" w:lineRule="auto"/>
        <w:rPr>
          <w:sz w:val="16"/>
          <w:szCs w:val="16"/>
        </w:rPr>
      </w:pPr>
      <w:r w:rsidRPr="009D35BA">
        <w:rPr>
          <w:sz w:val="16"/>
          <w:szCs w:val="16"/>
        </w:rPr>
        <w:separator/>
      </w:r>
    </w:p>
  </w:footnote>
  <w:footnote w:type="continuationSeparator" w:id="0">
    <w:p w14:paraId="011CA44B" w14:textId="77777777" w:rsidR="00C61BD1" w:rsidRPr="009D35BA" w:rsidRDefault="00C61BD1" w:rsidP="009D35BA">
      <w:pPr>
        <w:spacing w:after="0" w:line="240" w:lineRule="auto"/>
        <w:rPr>
          <w:sz w:val="16"/>
          <w:szCs w:val="16"/>
        </w:rPr>
      </w:pPr>
      <w:r w:rsidRPr="009D35BA">
        <w:rPr>
          <w:sz w:val="16"/>
          <w:szCs w:val="16"/>
        </w:rPr>
        <w:continuationSeparator/>
      </w:r>
    </w:p>
  </w:footnote>
  <w:footnote w:type="continuationNotice" w:id="1">
    <w:p w14:paraId="6247B0A7" w14:textId="77777777" w:rsidR="00C61BD1" w:rsidRDefault="00C61BD1" w:rsidP="009D35BA">
      <w:pPr>
        <w:spacing w:after="0" w:line="192" w:lineRule="auto"/>
        <w:jc w:val="right"/>
        <w:rPr>
          <w:sz w:val="16"/>
          <w:szCs w:val="16"/>
        </w:rPr>
      </w:pPr>
      <w:r>
        <w:rPr>
          <w:rFonts w:ascii="Cambria Math" w:hAnsi="Cambria Math" w:cs="Cambria Math"/>
          <w:color w:val="202122"/>
          <w:sz w:val="16"/>
          <w:szCs w:val="16"/>
          <w:shd w:val="clear" w:color="auto" w:fill="FFFFFF"/>
        </w:rPr>
        <w:t>↪</w:t>
      </w:r>
    </w:p>
  </w:footnote>
  <w:footnote w:id="2">
    <w:p w14:paraId="5CB05C05" w14:textId="77777777" w:rsidR="004D6896" w:rsidRDefault="004D6896" w:rsidP="004D6896">
      <w:pPr>
        <w:pStyle w:val="Textonotapie"/>
      </w:pPr>
      <w:r>
        <w:rPr>
          <w:rStyle w:val="Refdenotaalpie"/>
        </w:rPr>
        <w:footnoteRef/>
      </w:r>
      <w:r>
        <w:t xml:space="preserve"> </w:t>
      </w:r>
      <w:r w:rsidRPr="004E1C77">
        <w:t xml:space="preserve">El </w:t>
      </w:r>
      <w:r w:rsidRPr="004E1C77">
        <w:rPr>
          <w:i/>
          <w:iCs/>
        </w:rPr>
        <w:t>individualismo metodológico</w:t>
      </w:r>
      <w:r w:rsidRPr="004E1C77">
        <w:t xml:space="preserve"> es un método ampliamente utilizado en las ciencias sociales</w:t>
      </w:r>
      <w:r>
        <w:t>. S</w:t>
      </w:r>
      <w:r w:rsidRPr="004E1C77">
        <w:t>ostiene que todos los fenómenos sociales —estructura y cambios— son en principio explicables por elementos individuales, es decir, por las propiedades de los individuos, como pueden ser sus metas, sus creencias y sus acciones. Sus defensores lo ven como una filosofía-método destinada a la explicación y comprensión amplia de la evolución de toda la sociedad como el agregado de las decisiones de los particulares. En principio es un reduccionismo, es decir, una reducción de la explicación de todas las grandes entidades con referencias en las más pequeñas.</w:t>
      </w:r>
    </w:p>
  </w:footnote>
  <w:footnote w:id="3">
    <w:p w14:paraId="74C71769" w14:textId="77777777" w:rsidR="004D6896" w:rsidRDefault="004D6896" w:rsidP="004D6896">
      <w:pPr>
        <w:pStyle w:val="Textonotapie"/>
      </w:pPr>
      <w:r>
        <w:rPr>
          <w:rStyle w:val="Refdenotaalpie"/>
        </w:rPr>
        <w:footnoteRef/>
      </w:r>
      <w:r>
        <w:t xml:space="preserve"> No hay que olvidar que la microeconomía contemporánea contempla esta separación estricta entre consumidores y productores como “una hipersimplificación del proceso por el que los bienes se compran y se consumen” (</w:t>
      </w:r>
      <w:r>
        <w:rPr>
          <w:smallCaps/>
        </w:rPr>
        <w:t>Ekelund</w:t>
      </w:r>
      <w:r>
        <w:t xml:space="preserve"> y </w:t>
      </w:r>
      <w:r>
        <w:rPr>
          <w:smallCaps/>
        </w:rPr>
        <w:t>Hébert</w:t>
      </w:r>
      <w:r>
        <w:t xml:space="preserve">, 2013). Ejemplos que muestran el desdibujado de esta frontera son las “tecnologías del consumo”, es decir, la aplicación de la teoría de la producción a las decisiones de consumo, como son el enfoque de características de </w:t>
      </w:r>
      <w:r>
        <w:rPr>
          <w:smallCaps/>
        </w:rPr>
        <w:t>Kevin Lancaster</w:t>
      </w:r>
      <w:r>
        <w:t xml:space="preserve">, la economía doméstica de </w:t>
      </w:r>
      <w:r>
        <w:rPr>
          <w:smallCaps/>
        </w:rPr>
        <w:t>Gary Becker</w:t>
      </w:r>
      <w:r>
        <w:t xml:space="preserve">, la producción doméstica de </w:t>
      </w:r>
      <w:r>
        <w:rPr>
          <w:smallCaps/>
        </w:rPr>
        <w:t>Reuben Gronau</w:t>
      </w:r>
      <w:r>
        <w:t xml:space="preserve"> o la economía de la información de </w:t>
      </w:r>
      <w:r>
        <w:rPr>
          <w:smallCaps/>
        </w:rPr>
        <w:t>George J. Stigler</w:t>
      </w:r>
      <w:r>
        <w:t xml:space="preserve"> (la información sobre los bienes de consumo, como bien económico o costoso, obliga a un proceso de búsqueda que debe combinarse con el bien de consumo físico).</w:t>
      </w:r>
    </w:p>
    <w:p w14:paraId="14DA110E" w14:textId="77777777" w:rsidR="004D6896" w:rsidRPr="00446C0D" w:rsidRDefault="004D6896" w:rsidP="004D6896">
      <w:pPr>
        <w:pStyle w:val="Textonotapie"/>
      </w:pPr>
      <w:r>
        <w:t>Además, la microeconomía también estudia a otros agentes como las instituciones financieras o el Estado.</w:t>
      </w:r>
    </w:p>
  </w:footnote>
  <w:footnote w:id="4">
    <w:p w14:paraId="0CCD0DF2" w14:textId="77777777" w:rsidR="004D6896" w:rsidRDefault="004D6896" w:rsidP="004D6896">
      <w:pPr>
        <w:pStyle w:val="Textonotapie"/>
        <w:spacing w:after="0"/>
      </w:pPr>
      <w:r>
        <w:rPr>
          <w:rStyle w:val="Refdenotaalpie"/>
        </w:rPr>
        <w:footnoteRef/>
      </w:r>
      <w:r>
        <w:t xml:space="preserve"> Siguiendo a </w:t>
      </w:r>
      <w:r w:rsidRPr="00780F9D">
        <w:rPr>
          <w:smallCaps/>
        </w:rPr>
        <w:t>Anna Koutsoyiannis</w:t>
      </w:r>
      <w:r>
        <w:t xml:space="preserve"> (</w:t>
      </w:r>
      <w:r w:rsidRPr="00780F9D">
        <w:rPr>
          <w:i/>
          <w:iCs/>
        </w:rPr>
        <w:t xml:space="preserve">“Modern </w:t>
      </w:r>
      <w:proofErr w:type="spellStart"/>
      <w:r w:rsidRPr="00780F9D">
        <w:rPr>
          <w:i/>
          <w:iCs/>
        </w:rPr>
        <w:t>Microeconomics</w:t>
      </w:r>
      <w:proofErr w:type="spellEnd"/>
      <w:r w:rsidRPr="00780F9D">
        <w:rPr>
          <w:i/>
          <w:iCs/>
        </w:rPr>
        <w:t>”</w:t>
      </w:r>
      <w:r>
        <w:t>), las tareas de la teoría económica del bienestar son:</w:t>
      </w:r>
    </w:p>
    <w:p w14:paraId="319CB7CF" w14:textId="77777777" w:rsidR="004D6896" w:rsidRDefault="004D6896" w:rsidP="004D6896">
      <w:pPr>
        <w:pStyle w:val="Textonotapie"/>
        <w:numPr>
          <w:ilvl w:val="0"/>
          <w:numId w:val="53"/>
        </w:numPr>
        <w:spacing w:after="0"/>
        <w:ind w:left="567" w:hanging="207"/>
      </w:pPr>
      <w:r>
        <w:t xml:space="preserve">Demostrar que en el estado actual </w:t>
      </w:r>
      <m:oMath>
        <m:r>
          <m:rPr>
            <m:nor/>
          </m:rPr>
          <w:rPr>
            <w:rFonts w:eastAsiaTheme="minorEastAsia"/>
            <w:i/>
            <w:iCs/>
          </w:rPr>
          <m:t>W</m:t>
        </m:r>
        <m:r>
          <w:rPr>
            <w:rFonts w:ascii="Cambria Math" w:eastAsiaTheme="minorEastAsia" w:hAnsi="Cambria Math"/>
          </w:rPr>
          <m:t>&lt;</m:t>
        </m:r>
        <m:r>
          <m:rPr>
            <m:nor/>
          </m:rPr>
          <w:rPr>
            <w:rFonts w:eastAsiaTheme="minorEastAsia"/>
            <w:i/>
            <w:iCs/>
          </w:rPr>
          <m:t>W*</m:t>
        </m:r>
      </m:oMath>
      <w:r>
        <w:t>, y</w:t>
      </w:r>
    </w:p>
    <w:p w14:paraId="64445132" w14:textId="77777777" w:rsidR="004D6896" w:rsidRDefault="004D6896" w:rsidP="004D6896">
      <w:pPr>
        <w:pStyle w:val="Textonotapie"/>
        <w:numPr>
          <w:ilvl w:val="0"/>
          <w:numId w:val="53"/>
        </w:numPr>
        <w:ind w:left="567" w:hanging="207"/>
      </w:pPr>
      <w:r>
        <w:t xml:space="preserve">Sugerir las formas de elevar </w:t>
      </w:r>
      <m:oMath>
        <m:r>
          <m:rPr>
            <m:nor/>
          </m:rPr>
          <w:rPr>
            <w:rFonts w:eastAsiaTheme="minorEastAsia"/>
            <w:i/>
            <w:iCs/>
          </w:rPr>
          <m:t>W</m:t>
        </m:r>
      </m:oMath>
      <w:r>
        <w:t xml:space="preserve"> hacia </w:t>
      </w:r>
      <m:oMath>
        <m:r>
          <m:rPr>
            <m:nor/>
          </m:rPr>
          <w:rPr>
            <w:rFonts w:eastAsiaTheme="minorEastAsia"/>
            <w:i/>
            <w:iCs/>
          </w:rPr>
          <m:t>W*</m:t>
        </m:r>
      </m:oMath>
      <w:r>
        <w:t>.</w:t>
      </w:r>
    </w:p>
  </w:footnote>
  <w:footnote w:id="5">
    <w:p w14:paraId="68DFA410" w14:textId="77777777" w:rsidR="004D6896" w:rsidRPr="002A08C4" w:rsidRDefault="004D6896" w:rsidP="004D6896">
      <w:pPr>
        <w:pStyle w:val="Textonotapie"/>
        <w:keepNext/>
        <w:spacing w:after="0"/>
        <w:rPr>
          <w:i/>
          <w:iCs/>
        </w:rPr>
      </w:pPr>
      <w:r>
        <w:rPr>
          <w:rStyle w:val="Refdenotaalpie"/>
        </w:rPr>
        <w:footnoteRef/>
      </w:r>
      <w:r>
        <w:t xml:space="preserve"> </w:t>
      </w:r>
      <w:r w:rsidRPr="002A08C4">
        <w:rPr>
          <w:i/>
          <w:iCs/>
        </w:rPr>
        <w:t>«El principal motivo del análisis económico es contribuir a la mejora social»</w:t>
      </w:r>
    </w:p>
    <w:p w14:paraId="66A5E34F" w14:textId="77777777" w:rsidR="004D6896" w:rsidRPr="002A08C4" w:rsidRDefault="004D6896" w:rsidP="004D6896">
      <w:pPr>
        <w:pStyle w:val="Textonotapie"/>
        <w:jc w:val="right"/>
        <w:rPr>
          <w:lang w:val="en-US"/>
        </w:rPr>
      </w:pPr>
      <w:r w:rsidRPr="002A08C4">
        <w:rPr>
          <w:smallCaps/>
          <w:lang w:val="en-US"/>
        </w:rPr>
        <w:t xml:space="preserve">Arthur </w:t>
      </w:r>
      <w:r>
        <w:rPr>
          <w:smallCaps/>
          <w:lang w:val="en-US"/>
        </w:rPr>
        <w:t>C</w:t>
      </w:r>
      <w:r w:rsidRPr="002A08C4">
        <w:rPr>
          <w:smallCaps/>
          <w:lang w:val="en-US"/>
        </w:rPr>
        <w:t xml:space="preserve">ecil </w:t>
      </w:r>
      <w:r>
        <w:rPr>
          <w:smallCaps/>
          <w:lang w:val="en-US"/>
        </w:rPr>
        <w:t>P</w:t>
      </w:r>
      <w:r w:rsidRPr="002A08C4">
        <w:rPr>
          <w:smallCaps/>
          <w:lang w:val="en-US"/>
        </w:rPr>
        <w:t>igou</w:t>
      </w:r>
      <w:r w:rsidRPr="002A08C4">
        <w:rPr>
          <w:lang w:val="en-US"/>
        </w:rPr>
        <w:t xml:space="preserve"> (</w:t>
      </w:r>
      <w:r w:rsidRPr="002A08C4">
        <w:rPr>
          <w:i/>
          <w:iCs/>
          <w:lang w:val="en-US"/>
        </w:rPr>
        <w:t>Economics of Welfare</w:t>
      </w:r>
      <w:r w:rsidRPr="002A08C4">
        <w:rPr>
          <w:lang w:val="en-US"/>
        </w:rPr>
        <w:t>, 1920)</w:t>
      </w:r>
    </w:p>
  </w:footnote>
  <w:footnote w:id="6">
    <w:p w14:paraId="59BDDB34" w14:textId="77777777" w:rsidR="000E1D84" w:rsidRDefault="000E1D84" w:rsidP="000E1D84">
      <w:pPr>
        <w:pStyle w:val="Textonotapie"/>
      </w:pPr>
      <w:r>
        <w:rPr>
          <w:rStyle w:val="Refdenotaalpie"/>
        </w:rPr>
        <w:footnoteRef/>
      </w:r>
      <w:r>
        <w:t xml:space="preserve"> Es correcto decir que todas las administraciones públicas pertenecen al sector público. Pero, por el contrario, no todas las unidades del sector público son AAPP. Hay unidades que, siendo del Sector Público, no se consideran AAPP, como por ejemplo las empresas públicas.</w:t>
      </w:r>
    </w:p>
  </w:footnote>
  <w:footnote w:id="7">
    <w:p w14:paraId="638F3EAB" w14:textId="77777777" w:rsidR="000E1D84" w:rsidRPr="000E46DE" w:rsidRDefault="000E1D84" w:rsidP="000E1D84">
      <w:pPr>
        <w:pStyle w:val="Textonotapie"/>
      </w:pPr>
      <w:r w:rsidRPr="00B94152">
        <w:rPr>
          <w:rStyle w:val="Refdenotaalpie"/>
        </w:rPr>
        <w:footnoteRef/>
      </w:r>
      <w:r w:rsidRPr="000E46DE">
        <w:t xml:space="preserve"> Otros criterios de delimitación del </w:t>
      </w:r>
      <w:r>
        <w:t>sector público</w:t>
      </w:r>
      <w:r w:rsidRPr="000E46DE">
        <w:t xml:space="preserve">: según </w:t>
      </w:r>
      <w:r w:rsidRPr="000E46DE">
        <w:rPr>
          <w:smallCaps/>
        </w:rPr>
        <w:t>Wagner</w:t>
      </w:r>
      <w:r w:rsidRPr="000E46DE">
        <w:t xml:space="preserve">, el </w:t>
      </w:r>
      <w:r>
        <w:t>sector público</w:t>
      </w:r>
      <w:r w:rsidRPr="000E46DE">
        <w:t xml:space="preserve"> incluye </w:t>
      </w:r>
      <w:r>
        <w:t>(</w:t>
      </w:r>
      <w:r w:rsidRPr="000E46DE">
        <w:t xml:space="preserve">además de las AAPP y el </w:t>
      </w:r>
      <w:r>
        <w:t>sector público</w:t>
      </w:r>
      <w:r w:rsidRPr="000E46DE">
        <w:t xml:space="preserve"> empresarial</w:t>
      </w:r>
      <w:r>
        <w:t>) a</w:t>
      </w:r>
      <w:r w:rsidRPr="000E46DE">
        <w:t xml:space="preserve"> aquella parte del sector privado sujeta a protección por decisión de los poderes públicos. En este sector se incluirían empresas privadas subvencionadas y otras actividades protegidas mediante regulación de los poderes públicos.</w:t>
      </w:r>
    </w:p>
  </w:footnote>
  <w:footnote w:id="8">
    <w:p w14:paraId="5B2AFC66" w14:textId="77777777" w:rsidR="000E1D84" w:rsidRDefault="000E1D84" w:rsidP="000E1D84">
      <w:pPr>
        <w:pStyle w:val="Textonotapie"/>
        <w:keepNext/>
        <w:spacing w:after="0"/>
      </w:pPr>
      <w:r>
        <w:rPr>
          <w:rStyle w:val="Refdenotaalpie"/>
        </w:rPr>
        <w:footnoteRef/>
      </w:r>
      <w:r>
        <w:t xml:space="preserve"> ¿Qué tienen en común y en qué se diferencian las AAPP de las empresas públicas?</w:t>
      </w:r>
    </w:p>
    <w:p w14:paraId="1B21CE71" w14:textId="77777777" w:rsidR="000E1D84" w:rsidRPr="00AD176B" w:rsidRDefault="000E1D84" w:rsidP="000E1D84">
      <w:pPr>
        <w:pStyle w:val="Textonotapie"/>
        <w:numPr>
          <w:ilvl w:val="0"/>
          <w:numId w:val="48"/>
        </w:numPr>
        <w:spacing w:after="0"/>
        <w:ind w:left="283" w:hanging="113"/>
      </w:pPr>
      <w:r>
        <w:t xml:space="preserve">AAPP y empresas públicas </w:t>
      </w:r>
      <w:r w:rsidRPr="00AD176B">
        <w:rPr>
          <w:i/>
          <w:iCs/>
        </w:rPr>
        <w:t>tienen en común</w:t>
      </w:r>
      <w:r>
        <w:t xml:space="preserve"> que ambas son públicas. En términos de contabilidad nacional, ser público es equivalente a “estar controlado por las AAPP”. A su vez, en contabilidad nacional, una unidad está controlada por las AAPP si éstas tienen la capacidad para determinar la política general de dicha entidad, por ejemplo eligiendo a los miembros del consejo o si las AAPP tienen la titularidad de la mayoría de las acciones. Se consideran unidades privadas todas aquellas que no están controladas por las AAPP (son de titularidad mayoritariamente privada y las AAPP no definen su política general)</w:t>
      </w:r>
    </w:p>
    <w:p w14:paraId="7AF9826A" w14:textId="77777777" w:rsidR="000E1D84" w:rsidRDefault="000E1D84" w:rsidP="000E1D84">
      <w:pPr>
        <w:pStyle w:val="Textonotapie"/>
        <w:keepNext/>
        <w:numPr>
          <w:ilvl w:val="0"/>
          <w:numId w:val="48"/>
        </w:numPr>
        <w:spacing w:after="0"/>
        <w:ind w:left="283" w:hanging="113"/>
      </w:pPr>
      <w:r>
        <w:rPr>
          <w:i/>
          <w:iCs/>
        </w:rPr>
        <w:t>¿En qué se diferencian las AAPP y las empresas públicas?</w:t>
      </w:r>
      <w:r>
        <w:t xml:space="preserve"> Las AAPP son productores no de mercado, mientras que las empresas públicas son productores de mercado.</w:t>
      </w:r>
    </w:p>
    <w:p w14:paraId="510D13A5" w14:textId="77777777" w:rsidR="000E1D84" w:rsidRDefault="000E1D84" w:rsidP="000E1D84">
      <w:pPr>
        <w:pStyle w:val="Textonotapie"/>
        <w:numPr>
          <w:ilvl w:val="1"/>
          <w:numId w:val="48"/>
        </w:numPr>
        <w:spacing w:after="0"/>
        <w:ind w:left="567" w:hanging="113"/>
      </w:pPr>
      <w:r>
        <w:t>Los productores no de mercado (como las AAPP) proporcionan su producción de forma gratuita o a precios muy inferiores a sus costes de producción. Su objetivo principal no es la obtención de beneficios.</w:t>
      </w:r>
    </w:p>
    <w:p w14:paraId="7DB77395" w14:textId="77777777" w:rsidR="000E1D84" w:rsidRDefault="000E1D84" w:rsidP="000E1D84">
      <w:pPr>
        <w:pStyle w:val="Textonotapie"/>
        <w:keepNext/>
        <w:numPr>
          <w:ilvl w:val="1"/>
          <w:numId w:val="48"/>
        </w:numPr>
        <w:spacing w:after="0"/>
        <w:ind w:left="567" w:hanging="113"/>
      </w:pPr>
      <w:r>
        <w:t>Por el contrario, los productores de mercado, están orientados a obtener beneficios y venden su producción a precios económicamente significativos.</w:t>
      </w:r>
    </w:p>
    <w:p w14:paraId="01DA28BF" w14:textId="77777777" w:rsidR="000E1D84" w:rsidRPr="004F5D87" w:rsidRDefault="000E1D84" w:rsidP="000E1D84">
      <w:pPr>
        <w:pStyle w:val="Textonotapie"/>
        <w:numPr>
          <w:ilvl w:val="2"/>
          <w:numId w:val="48"/>
        </w:numPr>
        <w:ind w:left="850" w:hanging="113"/>
        <w:rPr>
          <w:spacing w:val="-2"/>
        </w:rPr>
      </w:pPr>
      <w:r w:rsidRPr="004F5D87">
        <w:rPr>
          <w:spacing w:val="-2"/>
        </w:rPr>
        <w:t>En la práctica, en general, se considera que una empresa pública es un productor de mercado si sus ventas cubren al menos el 50 % de sus costes de producción (</w:t>
      </w:r>
      <w:r w:rsidRPr="004F5D87">
        <w:rPr>
          <w:i/>
          <w:iCs/>
          <w:spacing w:val="-2"/>
        </w:rPr>
        <w:t>criterio cuantitativo</w:t>
      </w:r>
      <w:r w:rsidRPr="004F5D87">
        <w:rPr>
          <w:spacing w:val="-2"/>
        </w:rPr>
        <w:t xml:space="preserve">). El SEC 2010 ha añadido además los llamados </w:t>
      </w:r>
      <w:r w:rsidRPr="004F5D87">
        <w:rPr>
          <w:i/>
          <w:iCs/>
          <w:spacing w:val="-2"/>
        </w:rPr>
        <w:t>criterios cualitativos</w:t>
      </w:r>
      <w:r w:rsidRPr="004F5D87">
        <w:rPr>
          <w:spacing w:val="-2"/>
        </w:rPr>
        <w:t>, que deben verificarse también a la hora de determinar el carácter de mercado o no de mercado de una unidad pública. Dichos criterios se basan en analizar quién consume los bienes y servicios producidos por la unidad (por ejemplo, si las ventas se hacen a la AAPP) y si la unidad compite en la práctica con otros productores en el mercado o, si por el contrario es el único suministrador.</w:t>
      </w:r>
    </w:p>
  </w:footnote>
  <w:footnote w:id="9">
    <w:p w14:paraId="7A5AB159" w14:textId="77777777" w:rsidR="000E1D84" w:rsidRDefault="000E1D84" w:rsidP="000E1D84">
      <w:pPr>
        <w:pStyle w:val="Textonotapie"/>
      </w:pPr>
      <w:r>
        <w:rPr>
          <w:rStyle w:val="Refdenotaalpie"/>
        </w:rPr>
        <w:footnoteRef/>
      </w:r>
      <w:r>
        <w:t xml:space="preserve"> El FROB, el Fondo de Garantía de Depósitos, RTVE, TRAGSA y SEITTSA, a pesar de ser “empresas públicas”, son productores no de mercado y, por tanto, forman parte del sector de las AAPP (S.13).</w:t>
      </w:r>
    </w:p>
  </w:footnote>
  <w:footnote w:id="10">
    <w:p w14:paraId="04528AAA" w14:textId="77777777" w:rsidR="000E1D84" w:rsidRPr="006F1E58" w:rsidRDefault="000E1D84" w:rsidP="000E1D84">
      <w:pPr>
        <w:pStyle w:val="Textonotapie"/>
      </w:pPr>
      <w:r>
        <w:rPr>
          <w:rStyle w:val="Refdenotaalpie"/>
        </w:rPr>
        <w:footnoteRef/>
      </w:r>
      <w:r>
        <w:t xml:space="preserve"> El Banco de España sigue una contabilidad </w:t>
      </w:r>
      <w:r>
        <w:rPr>
          <w:i/>
          <w:iCs/>
        </w:rPr>
        <w:t>sui generis</w:t>
      </w:r>
      <w:r>
        <w:t xml:space="preserve"> basada en los estatutos del SEBC.</w:t>
      </w:r>
    </w:p>
  </w:footnote>
  <w:footnote w:id="11">
    <w:p w14:paraId="6D9E3B73" w14:textId="77777777" w:rsidR="000E1D84" w:rsidRDefault="000E1D84" w:rsidP="000E1D84">
      <w:pPr>
        <w:pStyle w:val="Textonotapie"/>
      </w:pPr>
      <w:r>
        <w:rPr>
          <w:rStyle w:val="Refdenotaalpie"/>
        </w:rPr>
        <w:footnoteRef/>
      </w:r>
      <w:r>
        <w:t xml:space="preserve"> Su contabilidad la audita la Intervención General de la Administración del Estado (IGAE).</w:t>
      </w:r>
    </w:p>
  </w:footnote>
  <w:footnote w:id="12">
    <w:p w14:paraId="3DF7E05A" w14:textId="77777777" w:rsidR="00DB2234" w:rsidRDefault="00DB2234" w:rsidP="00DB2234">
      <w:pPr>
        <w:pStyle w:val="Textonotapie"/>
      </w:pPr>
      <w:r>
        <w:rPr>
          <w:rStyle w:val="Refdenotaalpie"/>
        </w:rPr>
        <w:footnoteRef/>
      </w:r>
      <w:r>
        <w:t xml:space="preserve"> </w:t>
      </w:r>
      <w:hyperlink r:id="rId1" w:history="1">
        <w:r w:rsidRPr="00B4165C">
          <w:rPr>
            <w:rStyle w:val="Hipervnculo"/>
          </w:rPr>
          <w:t>https://www.sepg.pap.hacienda.gob.es/sitios/sepg/es-ES/Presupuestos/PGE/PGE2023/Paginas/PGE2023.aspx</w:t>
        </w:r>
      </w:hyperlink>
    </w:p>
    <w:p w14:paraId="392675B8" w14:textId="541C6FC8" w:rsidR="00DB2234" w:rsidRDefault="00DB2234" w:rsidP="00DB2234">
      <w:pPr>
        <w:pStyle w:val="Textonotapie"/>
      </w:pPr>
      <w:hyperlink r:id="rId2" w:history="1">
        <w:r w:rsidRPr="00F7023B">
          <w:rPr>
            <w:rStyle w:val="Hipervnculo"/>
          </w:rPr>
          <w:t>https://www.sepg.pap.hacienda.gob.es/sitios/sepg/es-ES/Presupuestos/PGE/PGE2023/Paginas/Presupin.aspx</w:t>
        </w:r>
      </w:hyperlink>
    </w:p>
  </w:footnote>
  <w:footnote w:id="13">
    <w:p w14:paraId="531AC317" w14:textId="77777777" w:rsidR="00A85E2E" w:rsidRDefault="00A85E2E" w:rsidP="00A85E2E">
      <w:pPr>
        <w:pStyle w:val="Textonotapie"/>
      </w:pPr>
      <w:r>
        <w:rPr>
          <w:rStyle w:val="Refdenotaalpie"/>
        </w:rPr>
        <w:footnoteRef/>
      </w:r>
      <w:r>
        <w:t xml:space="preserve"> </w:t>
      </w:r>
      <w:hyperlink r:id="rId3" w:history="1">
        <w:r w:rsidRPr="008C4AF0">
          <w:rPr>
            <w:rStyle w:val="Hipervnculo"/>
          </w:rPr>
          <w:t>https://www.tcu.es/repositorio/563a0f7f-5f0f-4d18-8528-f3c49849485f/N44DasiElnuevomarconormativodelaContabilidadNacional.pdf</w:t>
        </w:r>
      </w:hyperlink>
    </w:p>
  </w:footnote>
  <w:footnote w:id="14">
    <w:p w14:paraId="1E0D4F63" w14:textId="6671A410" w:rsidR="006E1083" w:rsidRDefault="006E1083" w:rsidP="006E1083">
      <w:pPr>
        <w:pStyle w:val="Textonotapie"/>
      </w:pPr>
      <w:r>
        <w:rPr>
          <w:rStyle w:val="Refdenotaalpie"/>
        </w:rPr>
        <w:footnoteRef/>
      </w:r>
      <w:r>
        <w:t xml:space="preserve"> </w:t>
      </w:r>
      <w:r>
        <w:rPr>
          <w:i/>
          <w:iCs/>
        </w:rPr>
        <w:t>Consumo intermedio</w:t>
      </w:r>
      <w:r>
        <w:t>: Comprende los bienes y servicios consumidos en el proceso de producción durante el ejercicio contable (p.ej. transporte, contabilidad, seguridad, alquiler de activos fijos…).</w:t>
      </w:r>
    </w:p>
  </w:footnote>
  <w:footnote w:id="15">
    <w:p w14:paraId="07385F08" w14:textId="51E616D6" w:rsidR="006E1083" w:rsidRDefault="006E1083">
      <w:pPr>
        <w:pStyle w:val="Textonotapie"/>
      </w:pPr>
      <w:r>
        <w:rPr>
          <w:rStyle w:val="Refdenotaalpie"/>
        </w:rPr>
        <w:footnoteRef/>
      </w:r>
      <w:r>
        <w:t xml:space="preserve"> </w:t>
      </w:r>
      <w:r w:rsidRPr="006E1083">
        <w:rPr>
          <w:i/>
          <w:iCs/>
        </w:rPr>
        <w:t>Remuneración de asalariados</w:t>
      </w:r>
      <w:r>
        <w:t>: Se define como la remuneración total, en dinero o en especie, que los asalariados reciben de las AAPP en contraprestación por el trabajo realizado durante el periodo contable. Dentro de la remuneración de asalariados tenemos sueldos, salarios y cotizaciones sociales.</w:t>
      </w:r>
    </w:p>
  </w:footnote>
  <w:footnote w:id="16">
    <w:p w14:paraId="332E5CD4" w14:textId="52B55714" w:rsidR="006E1083" w:rsidRDefault="006E1083" w:rsidP="006E1083">
      <w:pPr>
        <w:pStyle w:val="Textonotapie"/>
      </w:pPr>
      <w:r>
        <w:rPr>
          <w:rStyle w:val="Refdenotaalpie"/>
        </w:rPr>
        <w:footnoteRef/>
      </w:r>
      <w:r>
        <w:t xml:space="preserve"> </w:t>
      </w:r>
      <w:r>
        <w:rPr>
          <w:i/>
          <w:iCs/>
        </w:rPr>
        <w:t>Gasto en rentas de la propiedad</w:t>
      </w:r>
      <w:r>
        <w:t>: Incluye lo que se debe por el coste de los pasivos contraídos, en particular, por las letras y los bonos.</w:t>
      </w:r>
    </w:p>
  </w:footnote>
  <w:footnote w:id="17">
    <w:p w14:paraId="43E57486" w14:textId="2D9097BE" w:rsidR="006E1083" w:rsidRDefault="006E1083" w:rsidP="00363214">
      <w:pPr>
        <w:pStyle w:val="Textonotapie"/>
      </w:pPr>
      <w:r>
        <w:rPr>
          <w:rStyle w:val="Refdenotaalpie"/>
        </w:rPr>
        <w:footnoteRef/>
      </w:r>
      <w:r>
        <w:t xml:space="preserve"> </w:t>
      </w:r>
      <w:r>
        <w:rPr>
          <w:i/>
          <w:iCs/>
        </w:rPr>
        <w:t>Gastos en prestaciones sociales distintas de las transferencias sociales en especie</w:t>
      </w:r>
      <w:r>
        <w:t>: Transferencias sociales distintas de las transferencias sociales en especie: Transferencias a los hogares destinadas a aliviar la carga financiera que representa para ellos la cobertura de una serie de riesgos o necesidades efectuadas por medio de sistemas organizados colectivamente por unidades de las AAPP (sistemas de Seguridad Social). Algunos de estos riesgos o necesidades son: enfermedad, invalidez, maternidad, desempleo, etc. Algunas de estas prestaciones están condicionadas al pago previo de cotizaciones y otras no.</w:t>
      </w:r>
    </w:p>
  </w:footnote>
  <w:footnote w:id="18">
    <w:p w14:paraId="13438221" w14:textId="6C225457" w:rsidR="00363214" w:rsidRDefault="00363214" w:rsidP="00363214">
      <w:pPr>
        <w:pStyle w:val="Textonotapie"/>
      </w:pPr>
      <w:r>
        <w:rPr>
          <w:rStyle w:val="Refdenotaalpie"/>
        </w:rPr>
        <w:footnoteRef/>
      </w:r>
      <w:r>
        <w:t xml:space="preserve"> </w:t>
      </w:r>
      <w:proofErr w:type="gramStart"/>
      <w:r w:rsidRPr="00363214">
        <w:rPr>
          <w:i/>
          <w:iCs/>
        </w:rPr>
        <w:t>Otras transferencias corrientes a pagar</w:t>
      </w:r>
      <w:proofErr w:type="gramEnd"/>
      <w:r>
        <w:t>: Contribuciones al presupuesto de la UE (recurso IVA y recurso RNB) y otras transferencias pagadas como becas y ayudas de estudio.</w:t>
      </w:r>
    </w:p>
  </w:footnote>
  <w:footnote w:id="19">
    <w:p w14:paraId="0CB84BE7" w14:textId="6E5DBD4D" w:rsidR="006E1083" w:rsidRDefault="006E1083" w:rsidP="006E1083">
      <w:pPr>
        <w:pStyle w:val="Textonotapie"/>
      </w:pPr>
      <w:r>
        <w:rPr>
          <w:rStyle w:val="Refdenotaalpie"/>
        </w:rPr>
        <w:footnoteRef/>
      </w:r>
      <w:r>
        <w:t xml:space="preserve"> </w:t>
      </w:r>
      <w:r>
        <w:rPr>
          <w:i/>
          <w:iCs/>
        </w:rPr>
        <w:t>Transferencias sociales en especie</w:t>
      </w:r>
      <w:r>
        <w:t>: Prestaciones de seguridad social (tratamientos médicos, estancias hospitalarias…)  y prestaciones de asistencia social (</w:t>
      </w:r>
      <w:proofErr w:type="gramStart"/>
      <w:r>
        <w:t>guarderías infantiles</w:t>
      </w:r>
      <w:proofErr w:type="gramEnd"/>
      <w:r>
        <w:t>, ayudas para el alojamiento…). Es decir, se trata de bienes y servicios transferidos gratuitamente (no de mercado).</w:t>
      </w:r>
    </w:p>
  </w:footnote>
  <w:footnote w:id="20">
    <w:p w14:paraId="3D447DC0" w14:textId="77777777" w:rsidR="009D7E14" w:rsidRPr="00E14008" w:rsidRDefault="009D7E14" w:rsidP="009D7E14">
      <w:pPr>
        <w:pStyle w:val="Textonotapie"/>
        <w:rPr>
          <w:spacing w:val="-4"/>
        </w:rPr>
      </w:pPr>
      <w:r w:rsidRPr="00E14008">
        <w:rPr>
          <w:rStyle w:val="Refdenotaalpie"/>
          <w:spacing w:val="-4"/>
        </w:rPr>
        <w:footnoteRef/>
      </w:r>
      <w:r w:rsidRPr="00E14008">
        <w:rPr>
          <w:spacing w:val="-4"/>
        </w:rPr>
        <w:t xml:space="preserve"> </w:t>
      </w:r>
      <w:r w:rsidRPr="00E14008">
        <w:rPr>
          <w:i/>
          <w:iCs/>
          <w:spacing w:val="-4"/>
        </w:rPr>
        <w:t>Otras transferencias de capital</w:t>
      </w:r>
      <w:r w:rsidRPr="00E14008">
        <w:rPr>
          <w:spacing w:val="-4"/>
        </w:rPr>
        <w:t>: Pagos de las AAPP a los propietarios de bienes de capital destruidos o dañados por guerras o catástrofes naturales.</w:t>
      </w:r>
    </w:p>
  </w:footnote>
  <w:footnote w:id="21">
    <w:p w14:paraId="7FE04244" w14:textId="4395064F" w:rsidR="006E1083" w:rsidRDefault="006E1083" w:rsidP="006E1083">
      <w:pPr>
        <w:pStyle w:val="Textonotapie"/>
      </w:pPr>
      <w:r>
        <w:rPr>
          <w:rStyle w:val="Refdenotaalpie"/>
        </w:rPr>
        <w:footnoteRef/>
      </w:r>
      <w:r>
        <w:t xml:space="preserve"> </w:t>
      </w:r>
      <w:r>
        <w:rPr>
          <w:i/>
          <w:iCs/>
        </w:rPr>
        <w:t>Formación bruta de capital fijo pública</w:t>
      </w:r>
      <w:r>
        <w:t>: Adquisiciones de activos fijos efectuados por las AAPP. Los activos fijos son activos producidos utilizados en la producción durante más de un año. Distinguimos entre activos tangibles (p.ej. tierra, edificios y maquinaria) y activos intangibles (p.ej. marcas y patentes).</w:t>
      </w:r>
    </w:p>
  </w:footnote>
  <w:footnote w:id="22">
    <w:p w14:paraId="00925928" w14:textId="7654030F" w:rsidR="006E1083" w:rsidRDefault="006E1083" w:rsidP="006E1083">
      <w:pPr>
        <w:pStyle w:val="Textonotapie"/>
      </w:pPr>
      <w:r>
        <w:rPr>
          <w:rStyle w:val="Refdenotaalpie"/>
        </w:rPr>
        <w:footnoteRef/>
      </w:r>
      <w:r>
        <w:t xml:space="preserve"> </w:t>
      </w:r>
      <w:r>
        <w:rPr>
          <w:i/>
          <w:iCs/>
        </w:rPr>
        <w:t>Adquisiciones de activos no financieros no producidos</w:t>
      </w:r>
      <w:r>
        <w:t>: Son transacciones realizados con activos que pueden utilizarse para la producción de bienes y servicios, pero en sí no han sido producidos como arrendamientos de recursos naturales, patentes, derechos de autor, marcas…</w:t>
      </w:r>
    </w:p>
  </w:footnote>
  <w:footnote w:id="23">
    <w:p w14:paraId="16984941" w14:textId="77777777" w:rsidR="00A0416A" w:rsidRDefault="00A0416A" w:rsidP="00A0416A">
      <w:pPr>
        <w:pStyle w:val="Textonotapie"/>
      </w:pPr>
      <w:r>
        <w:rPr>
          <w:rStyle w:val="Refdenotaalpie"/>
        </w:rPr>
        <w:footnoteRef/>
      </w:r>
      <w:r>
        <w:t xml:space="preserve"> En sentido amplio, la literatura ha considerado como gasto productivo el gasto en seguridad, justicia, defensa, sanidad, transporte y comunicaciones, infraestructura y los subsidios a la investigación y el desarrollo.</w:t>
      </w:r>
    </w:p>
  </w:footnote>
  <w:footnote w:id="24">
    <w:p w14:paraId="6B3F0DEA" w14:textId="77777777" w:rsidR="00A0416A" w:rsidRDefault="00A0416A" w:rsidP="00A0416A">
      <w:pPr>
        <w:pStyle w:val="Textonotapie"/>
      </w:pPr>
      <w:r>
        <w:rPr>
          <w:rStyle w:val="Refdenotaalpie"/>
        </w:rPr>
        <w:footnoteRef/>
      </w:r>
      <w:r>
        <w:t xml:space="preserve"> Si consideramos gasto público improductivo, sólo existiría el efecto negativo y el tamaño óptimo del sector público sería nulo.</w:t>
      </w:r>
    </w:p>
  </w:footnote>
  <w:footnote w:id="25">
    <w:p w14:paraId="6D05B8E6" w14:textId="77777777" w:rsidR="00A0416A" w:rsidRDefault="00A0416A" w:rsidP="00A0416A">
      <w:pPr>
        <w:pStyle w:val="Textonotapie"/>
        <w:keepNext/>
        <w:spacing w:after="0"/>
      </w:pPr>
      <w:r>
        <w:rPr>
          <w:rStyle w:val="Refdenotaalpie"/>
        </w:rPr>
        <w:footnoteRef/>
      </w:r>
      <w:r>
        <w:t xml:space="preserve"> El cálculo por el que se llega a esta conclusión es el siguiente:</w:t>
      </w:r>
    </w:p>
    <w:p w14:paraId="0F93492B" w14:textId="77777777" w:rsidR="00A0416A" w:rsidRPr="007275EB" w:rsidRDefault="00000000" w:rsidP="00A0416A">
      <w:pPr>
        <w:pStyle w:val="Textonotapie"/>
        <w:keepNext/>
        <w:spacing w:after="0"/>
        <w:rPr>
          <w:rFonts w:eastAsiaTheme="minorEastAsia"/>
          <w:iCs/>
        </w:rPr>
      </w:pPr>
      <m:oMathPara>
        <m:oMath>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c</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y</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k</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g</m:t>
              </m:r>
            </m:sub>
          </m:sSub>
          <m:r>
            <w:rPr>
              <w:rFonts w:ascii="Cambria Math" w:eastAsiaTheme="minorEastAsia" w:hAnsi="Cambria Math"/>
            </w:rPr>
            <m:t>=</m:t>
          </m:r>
          <m:r>
            <m:rPr>
              <m:nor/>
            </m:rPr>
            <w:rPr>
              <w:i/>
            </w:rPr>
            <m:t>s</m:t>
          </m:r>
          <m:r>
            <w:rPr>
              <w:rFonts w:ascii="Cambria Math" w:hAnsi="Cambria Math"/>
            </w:rPr>
            <m:t>∙</m:t>
          </m:r>
          <m:d>
            <m:dPr>
              <m:ctrlPr>
                <w:rPr>
                  <w:rFonts w:ascii="Cambria Math" w:hAnsi="Cambria Math"/>
                  <w:i/>
                  <w:iCs/>
                  <w:color w:val="C00000"/>
                  <w:lang w:val="fr-FR"/>
                </w:rPr>
              </m:ctrlPr>
            </m:dPr>
            <m:e>
              <m:r>
                <m:rPr>
                  <m:nor/>
                </m:rPr>
                <w:rPr>
                  <w:i/>
                  <w:color w:val="C00000"/>
                </w:rPr>
                <m:t>1</m:t>
              </m:r>
              <m:r>
                <w:rPr>
                  <w:rFonts w:ascii="Cambria Math" w:hAnsi="Cambria Math"/>
                  <w:color w:val="C00000"/>
                </w:rPr>
                <m:t>-</m:t>
              </m:r>
              <m:r>
                <m:rPr>
                  <m:nor/>
                </m:rPr>
                <w:rPr>
                  <w:i/>
                  <w:color w:val="C00000"/>
                </w:rPr>
                <m:t>τ</m:t>
              </m:r>
            </m:e>
          </m:d>
          <m:r>
            <w:rPr>
              <w:rFonts w:ascii="Cambria Math" w:hAnsi="Cambria Math"/>
            </w:rPr>
            <m:t>∙</m:t>
          </m:r>
          <m:sSup>
            <m:sSupPr>
              <m:ctrlPr>
                <w:rPr>
                  <w:rFonts w:ascii="Cambria Math" w:hAnsi="Cambria Math"/>
                  <w:i/>
                  <w:iCs/>
                  <w:lang w:val="fr-FR"/>
                </w:rPr>
              </m:ctrlPr>
            </m:sSupPr>
            <m:e>
              <m:r>
                <m:rPr>
                  <m:nor/>
                </m:rPr>
                <w:rPr>
                  <w:i/>
                  <w:iCs/>
                </w:rPr>
                <m:t>A</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p>
            <m:sSupPr>
              <m:ctrlPr>
                <w:rPr>
                  <w:rFonts w:ascii="Cambria Math" w:hAnsi="Cambria Math"/>
                  <w:i/>
                  <w:iCs/>
                  <w:color w:val="00B050"/>
                  <w:lang w:val="fr-FR"/>
                </w:rPr>
              </m:ctrlPr>
            </m:sSupPr>
            <m:e>
              <m:r>
                <m:rPr>
                  <m:nor/>
                </m:rPr>
                <w:rPr>
                  <w:i/>
                  <w:color w:val="00B050"/>
                </w:rPr>
                <m:t>τ</m:t>
              </m:r>
            </m:e>
            <m:sup>
              <m:f>
                <m:fPr>
                  <m:type m:val="lin"/>
                  <m:ctrlPr>
                    <w:rPr>
                      <w:rFonts w:ascii="Cambria Math" w:hAnsi="Cambria Math"/>
                      <w:i/>
                      <w:color w:val="00B050"/>
                      <w:lang w:val="fr-FR"/>
                    </w:rPr>
                  </m:ctrlPr>
                </m:fPr>
                <m:num>
                  <m:d>
                    <m:dPr>
                      <m:ctrlPr>
                        <w:rPr>
                          <w:rFonts w:ascii="Cambria Math" w:hAnsi="Cambria Math"/>
                          <w:i/>
                          <w:color w:val="00B050"/>
                          <w:lang w:val="fr-FR"/>
                        </w:rPr>
                      </m:ctrlPr>
                    </m:dPr>
                    <m:e>
                      <m:r>
                        <m:rPr>
                          <m:nor/>
                        </m:rPr>
                        <w:rPr>
                          <w:i/>
                          <w:color w:val="00B050"/>
                        </w:rPr>
                        <m:t>1</m:t>
                      </m:r>
                      <m:r>
                        <w:rPr>
                          <w:rFonts w:ascii="Cambria Math" w:eastAsia="Times New Roman" w:hAnsi="Cambria Math"/>
                          <w:color w:val="00B050"/>
                          <w:vertAlign w:val="superscript"/>
                        </w:rPr>
                        <m:t>-</m:t>
                      </m:r>
                      <m:r>
                        <m:rPr>
                          <m:nor/>
                        </m:rPr>
                        <w:rPr>
                          <w:i/>
                          <w:color w:val="00B050"/>
                        </w:rPr>
                        <m:t>α</m:t>
                      </m:r>
                    </m:e>
                  </m:d>
                </m:num>
                <m:den>
                  <m:r>
                    <m:rPr>
                      <m:nor/>
                    </m:rPr>
                    <w:rPr>
                      <w:i/>
                      <w:color w:val="00B050"/>
                    </w:rPr>
                    <m:t>α</m:t>
                  </m:r>
                </m:den>
              </m:f>
            </m:sup>
          </m:sSup>
          <m:r>
            <w:rPr>
              <w:rFonts w:ascii="Cambria Math" w:hAnsi="Cambria Math"/>
            </w:rPr>
            <m:t>-</m:t>
          </m:r>
          <m:d>
            <m:dPr>
              <m:ctrlPr>
                <w:rPr>
                  <w:rFonts w:ascii="Cambria Math" w:hAnsi="Cambria Math"/>
                  <w:i/>
                  <w:iCs/>
                  <w:lang w:val="fr-FR"/>
                </w:rPr>
              </m:ctrlPr>
            </m:dPr>
            <m:e>
              <m:r>
                <m:rPr>
                  <m:nor/>
                </m:rPr>
                <w:rPr>
                  <w:i/>
                  <w:lang w:val="fr-FR"/>
                </w:rPr>
                <m:t>δ</m:t>
              </m:r>
              <m:r>
                <w:rPr>
                  <w:rFonts w:ascii="Cambria Math" w:hAnsi="Cambria Math"/>
                </w:rPr>
                <m:t>+</m:t>
              </m:r>
              <m:r>
                <m:rPr>
                  <m:nor/>
                </m:rPr>
                <w:rPr>
                  <w:i/>
                  <w:iCs/>
                </w:rPr>
                <m:t>n</m:t>
              </m:r>
            </m:e>
          </m:d>
        </m:oMath>
      </m:oMathPara>
    </w:p>
    <w:p w14:paraId="206AA29B" w14:textId="77777777" w:rsidR="00A0416A" w:rsidRPr="003E31EB" w:rsidRDefault="00000000" w:rsidP="00A0416A">
      <w:pPr>
        <w:pStyle w:val="Textonotapie"/>
        <w:keepNext/>
        <w:spacing w:after="0"/>
        <w:rPr>
          <w:rFonts w:eastAsiaTheme="minorEastAsia"/>
          <w:iCs/>
          <w:lang w:val="en-US"/>
        </w:rPr>
      </w:pPr>
      <m:oMathPara>
        <m:oMath>
          <m:sSub>
            <m:sSubPr>
              <m:ctrlPr>
                <w:rPr>
                  <w:rFonts w:ascii="Cambria Math" w:eastAsiaTheme="minorEastAsia" w:hAnsi="Cambria Math"/>
                  <w:i/>
                </w:rPr>
              </m:ctrlPr>
            </m:sSubPr>
            <m:e>
              <m:r>
                <m:rPr>
                  <m:nor/>
                </m:rPr>
                <w:rPr>
                  <w:rFonts w:eastAsiaTheme="minorEastAsia"/>
                  <w:i/>
                </w:rPr>
                <m:t>γ</m:t>
              </m:r>
            </m:e>
            <m:sub>
              <m:r>
                <m:rPr>
                  <m:nor/>
                </m:rPr>
                <w:rPr>
                  <w:rFonts w:eastAsiaTheme="minorEastAsia"/>
                  <w:i/>
                  <w:lang w:val="en-US"/>
                </w:rPr>
                <m:t>y</m:t>
              </m:r>
            </m:sub>
          </m:sSub>
          <m:r>
            <w:rPr>
              <w:rFonts w:ascii="Cambria Math" w:eastAsiaTheme="minorEastAsia" w:hAnsi="Cambria Math"/>
              <w:lang w:val="en-US"/>
            </w:rPr>
            <m:t>=</m:t>
          </m:r>
          <m:r>
            <m:rPr>
              <m:nor/>
            </m:rPr>
            <w:rPr>
              <w:i/>
              <w:lang w:val="en-US"/>
            </w:rPr>
            <m:t>s</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sup>
          </m:sSup>
          <m:r>
            <w:rPr>
              <w:rFonts w:ascii="Cambria Math" w:hAnsi="Cambria Math"/>
              <w:lang w:val="en-US"/>
            </w:rPr>
            <m:t>-</m:t>
          </m:r>
          <m:r>
            <m:rPr>
              <m:nor/>
            </m:rPr>
            <w:rPr>
              <w:i/>
              <w:lang w:val="en-US"/>
            </w:rPr>
            <m:t>s</m:t>
          </m:r>
          <m:r>
            <w:rPr>
              <w:rFonts w:ascii="Cambria Math" w:hAnsi="Cambria Math"/>
              <w:lang w:val="en-US"/>
            </w:rPr>
            <m:t>∙</m:t>
          </m:r>
          <m:r>
            <m:rPr>
              <m:nor/>
            </m:rPr>
            <w:rPr>
              <w:i/>
            </w:rPr>
            <m:t>τ</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sup>
          </m:sSup>
          <m:r>
            <w:rPr>
              <w:rFonts w:ascii="Cambria Math" w:hAnsi="Cambria Math"/>
              <w:lang w:val="en-US"/>
            </w:rPr>
            <m:t>-</m:t>
          </m:r>
          <m:d>
            <m:dPr>
              <m:ctrlPr>
                <w:rPr>
                  <w:rFonts w:ascii="Cambria Math" w:hAnsi="Cambria Math"/>
                  <w:i/>
                  <w:iCs/>
                  <w:lang w:val="fr-FR"/>
                </w:rPr>
              </m:ctrlPr>
            </m:dPr>
            <m:e>
              <m:r>
                <m:rPr>
                  <m:nor/>
                </m:rPr>
                <w:rPr>
                  <w:i/>
                  <w:lang w:val="fr-FR"/>
                </w:rPr>
                <m:t>δ</m:t>
              </m:r>
              <m:r>
                <w:rPr>
                  <w:rFonts w:ascii="Cambria Math" w:hAnsi="Cambria Math"/>
                  <w:lang w:val="en-US"/>
                </w:rPr>
                <m:t>+</m:t>
              </m:r>
              <m:r>
                <m:rPr>
                  <m:nor/>
                </m:rPr>
                <w:rPr>
                  <w:i/>
                  <w:iCs/>
                  <w:lang w:val="en-US"/>
                </w:rPr>
                <m:t>n</m:t>
              </m:r>
            </m:e>
          </m:d>
          <m:r>
            <m:rPr>
              <m:sty m:val="p"/>
            </m:rPr>
            <w:rPr>
              <w:rFonts w:ascii="Cambria Math" w:hAnsi="Cambria Math"/>
              <w:lang w:val="en-US"/>
            </w:rPr>
            <w:br/>
          </m:r>
        </m:oMath>
        <m:oMath>
          <m:sSub>
            <m:sSubPr>
              <m:ctrlPr>
                <w:rPr>
                  <w:rFonts w:ascii="Cambria Math" w:eastAsiaTheme="minorEastAsia" w:hAnsi="Cambria Math"/>
                  <w:i/>
                </w:rPr>
              </m:ctrlPr>
            </m:sSubPr>
            <m:e>
              <m:r>
                <m:rPr>
                  <m:nor/>
                </m:rPr>
                <w:rPr>
                  <w:rFonts w:eastAsiaTheme="minorEastAsia"/>
                  <w:i/>
                </w:rPr>
                <m:t>γ</m:t>
              </m:r>
            </m:e>
            <m:sub>
              <m:r>
                <m:rPr>
                  <m:nor/>
                </m:rPr>
                <w:rPr>
                  <w:rFonts w:eastAsiaTheme="minorEastAsia"/>
                  <w:i/>
                  <w:lang w:val="en-US"/>
                </w:rPr>
                <m:t>y</m:t>
              </m:r>
            </m:sub>
          </m:sSub>
          <m:r>
            <w:rPr>
              <w:rFonts w:ascii="Cambria Math" w:eastAsiaTheme="minorEastAsia" w:hAnsi="Cambria Math"/>
              <w:lang w:val="en-US"/>
            </w:rPr>
            <m:t>=</m:t>
          </m:r>
          <m:r>
            <m:rPr>
              <m:nor/>
            </m:rPr>
            <w:rPr>
              <w:i/>
              <w:lang w:val="en-US"/>
            </w:rPr>
            <m:t>s</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sup>
          </m:sSup>
          <m:r>
            <w:rPr>
              <w:rFonts w:ascii="Cambria Math" w:hAnsi="Cambria Math"/>
              <w:lang w:val="en-US"/>
            </w:rPr>
            <m:t>-</m:t>
          </m:r>
          <m:r>
            <m:rPr>
              <m:nor/>
            </m:rPr>
            <w:rPr>
              <w:i/>
              <w:lang w:val="en-US"/>
            </w:rPr>
            <m:t>s</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d>
            <m:dPr>
              <m:ctrlPr>
                <w:rPr>
                  <w:rFonts w:ascii="Cambria Math" w:hAnsi="Cambria Math"/>
                  <w:i/>
                  <w:iCs/>
                  <w:lang w:val="fr-FR"/>
                </w:rPr>
              </m:ctrlPr>
            </m:dPr>
            <m:e>
              <m:r>
                <m:rPr>
                  <m:nor/>
                </m:rPr>
                <w:rPr>
                  <w:i/>
                  <w:lang w:val="fr-FR"/>
                </w:rPr>
                <m:t>δ</m:t>
              </m:r>
              <m:r>
                <w:rPr>
                  <w:rFonts w:ascii="Cambria Math" w:hAnsi="Cambria Math"/>
                  <w:lang w:val="en-US"/>
                </w:rPr>
                <m:t>+</m:t>
              </m:r>
              <m:r>
                <m:rPr>
                  <m:nor/>
                </m:rPr>
                <w:rPr>
                  <w:i/>
                  <w:iCs/>
                  <w:lang w:val="en-US"/>
                </w:rPr>
                <m:t>n</m:t>
              </m:r>
            </m:e>
          </m:d>
        </m:oMath>
      </m:oMathPara>
    </w:p>
    <w:p w14:paraId="35ECDFB0" w14:textId="77777777" w:rsidR="00A0416A" w:rsidRPr="003E31EB" w:rsidRDefault="00000000" w:rsidP="00A0416A">
      <w:pPr>
        <w:pStyle w:val="Textonotapie"/>
        <w:rPr>
          <w:rFonts w:eastAsiaTheme="minorEastAsia"/>
          <w:lang w:val="en-US"/>
        </w:rPr>
      </w:pPr>
      <m:oMathPara>
        <m:oMath>
          <m:f>
            <m:fPr>
              <m:ctrlPr>
                <w:rPr>
                  <w:rFonts w:ascii="Cambria Math" w:eastAsiaTheme="minorEastAsia" w:hAnsi="Cambria Math"/>
                  <w:i/>
                </w:rPr>
              </m:ctrlPr>
            </m:fPr>
            <m:num>
              <m:r>
                <w:rPr>
                  <w:rFonts w:ascii="Cambria Math"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lang w:val="en-US"/>
                    </w:rPr>
                    <m:t>y</m:t>
                  </m:r>
                </m:sub>
              </m:sSub>
            </m:num>
            <m:den>
              <m:r>
                <w:rPr>
                  <w:rFonts w:ascii="Cambria Math" w:hAnsi="Cambria Math"/>
                </w:rPr>
                <m:t>∂</m:t>
              </m:r>
              <m:r>
                <m:rPr>
                  <m:nor/>
                </m:rPr>
                <w:rPr>
                  <w:i/>
                </w:rPr>
                <m:t>τ</m:t>
              </m:r>
            </m:den>
          </m:f>
          <m:r>
            <w:rPr>
              <w:rFonts w:ascii="Cambria Math" w:eastAsiaTheme="minorEastAsia" w:hAnsi="Cambria Math"/>
              <w:lang w:val="en-US"/>
            </w:rPr>
            <m:t>=</m:t>
          </m:r>
          <m:r>
            <m:rPr>
              <m:nor/>
            </m:rPr>
            <w:rPr>
              <w:i/>
              <w:lang w:val="en-US"/>
            </w:rPr>
            <m:t>s</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f>
            <m:fPr>
              <m:ctrlPr>
                <w:rPr>
                  <w:rFonts w:ascii="Cambria Math" w:eastAsiaTheme="minorEastAsia" w:hAnsi="Cambria Math"/>
                  <w:i/>
                </w:rPr>
              </m:ctrlPr>
            </m:fPr>
            <m:num>
              <m:r>
                <m:rPr>
                  <m:nor/>
                </m:rPr>
                <w:rPr>
                  <w:i/>
                  <w:lang w:val="en-US"/>
                </w:rPr>
                <m:t>1</m:t>
              </m:r>
              <m:r>
                <w:rPr>
                  <w:rFonts w:ascii="Cambria Math" w:eastAsia="Times New Roman" w:hAnsi="Cambria Math"/>
                  <w:vertAlign w:val="superscript"/>
                  <w:lang w:val="en-US"/>
                </w:rPr>
                <m:t>-</m:t>
              </m:r>
              <m:r>
                <m:rPr>
                  <m:nor/>
                </m:rPr>
                <w:rPr>
                  <w:i/>
                </w:rPr>
                <m:t>α</m:t>
              </m:r>
            </m:num>
            <m:den>
              <m:r>
                <m:rPr>
                  <m:nor/>
                </m:rPr>
                <w:rPr>
                  <w:i/>
                </w:rPr>
                <m:t>α</m:t>
              </m:r>
            </m:den>
          </m:f>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lang w:val="en-US"/>
                        </w:rPr>
                        <m:t>2</m:t>
                      </m:r>
                      <m:r>
                        <m:rPr>
                          <m:nor/>
                        </m:rPr>
                        <w:rPr>
                          <w:rFonts w:ascii="Cambria Math" w:hAnsi="Cambria Math"/>
                          <w:lang w:val="en-US"/>
                        </w:rPr>
                        <m:t>∙</m:t>
                      </m:r>
                      <m:r>
                        <m:rPr>
                          <m:nor/>
                        </m:rPr>
                        <w:rPr>
                          <w:i/>
                        </w:rPr>
                        <m:t>α</m:t>
                      </m:r>
                    </m:e>
                  </m:d>
                </m:num>
                <m:den>
                  <m:r>
                    <m:rPr>
                      <m:nor/>
                    </m:rPr>
                    <w:rPr>
                      <w:i/>
                    </w:rPr>
                    <m:t>α</m:t>
                  </m:r>
                </m:den>
              </m:f>
            </m:sup>
          </m:sSup>
          <m:r>
            <w:rPr>
              <w:rFonts w:ascii="Cambria Math" w:hAnsi="Cambria Math"/>
              <w:lang w:val="en-US"/>
            </w:rPr>
            <m:t>-</m:t>
          </m:r>
          <m:r>
            <m:rPr>
              <m:nor/>
            </m:rPr>
            <w:rPr>
              <w:i/>
              <w:lang w:val="en-US"/>
            </w:rPr>
            <m:t>s</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f>
            <m:fPr>
              <m:ctrlPr>
                <w:rPr>
                  <w:rFonts w:ascii="Cambria Math" w:eastAsiaTheme="minorEastAsia" w:hAnsi="Cambria Math"/>
                  <w:i/>
                </w:rPr>
              </m:ctrlPr>
            </m:fPr>
            <m:num>
              <m:r>
                <m:rPr>
                  <m:nor/>
                </m:rPr>
                <w:rPr>
                  <w:i/>
                  <w:lang w:val="en-US"/>
                </w:rPr>
                <m:t>1</m:t>
              </m:r>
            </m:num>
            <m:den>
              <m:r>
                <m:rPr>
                  <m:nor/>
                </m:rPr>
                <w:rPr>
                  <w:i/>
                </w:rPr>
                <m:t>α</m:t>
              </m:r>
            </m:den>
          </m:f>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sup>
          </m:sSup>
          <m:r>
            <w:rPr>
              <w:rFonts w:ascii="Cambria Math" w:eastAsiaTheme="minorEastAsia" w:hAnsi="Cambria Math"/>
              <w:lang w:val="en-US"/>
            </w:rPr>
            <m:t>=</m:t>
          </m:r>
          <m:r>
            <m:rPr>
              <m:nor/>
            </m:rPr>
            <w:rPr>
              <w:i/>
              <w:lang w:val="en-US"/>
            </w:rPr>
            <m:t>0</m:t>
          </m:r>
          <m:r>
            <w:rPr>
              <w:rFonts w:ascii="Cambria Math" w:eastAsiaTheme="minorEastAsia" w:hAnsi="Cambria Math"/>
              <w:lang w:val="en-US"/>
            </w:rPr>
            <m:t>⟹</m:t>
          </m:r>
          <m:r>
            <m:rPr>
              <m:sty m:val="p"/>
            </m:rPr>
            <w:rPr>
              <w:rFonts w:ascii="Cambria Math" w:eastAsiaTheme="minorEastAsia" w:hAnsi="Cambria Math"/>
              <w:lang w:val="en-US"/>
            </w:rPr>
            <w:br/>
          </m:r>
        </m:oMath>
        <m:oMath>
          <m:r>
            <w:rPr>
              <w:rFonts w:ascii="Cambria Math" w:eastAsiaTheme="minorEastAsia" w:hAnsi="Cambria Math"/>
              <w:lang w:val="en-US"/>
            </w:rPr>
            <m:t>⟹</m:t>
          </m:r>
          <m:r>
            <m:rPr>
              <m:nor/>
            </m:rPr>
            <w:rPr>
              <w:i/>
              <w:lang w:val="en-US"/>
            </w:rPr>
            <m:t>s</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f>
            <m:fPr>
              <m:ctrlPr>
                <w:rPr>
                  <w:rFonts w:ascii="Cambria Math" w:eastAsiaTheme="minorEastAsia" w:hAnsi="Cambria Math"/>
                  <w:i/>
                </w:rPr>
              </m:ctrlPr>
            </m:fPr>
            <m:num>
              <m:r>
                <m:rPr>
                  <m:nor/>
                </m:rPr>
                <w:rPr>
                  <w:i/>
                  <w:lang w:val="en-US"/>
                </w:rPr>
                <m:t>1</m:t>
              </m:r>
              <m:r>
                <w:rPr>
                  <w:rFonts w:ascii="Cambria Math" w:eastAsia="Times New Roman" w:hAnsi="Cambria Math"/>
                  <w:vertAlign w:val="superscript"/>
                  <w:lang w:val="en-US"/>
                </w:rPr>
                <m:t>-</m:t>
              </m:r>
              <m:r>
                <m:rPr>
                  <m:nor/>
                </m:rPr>
                <w:rPr>
                  <w:i/>
                </w:rPr>
                <m:t>α</m:t>
              </m:r>
            </m:num>
            <m:den>
              <m:r>
                <m:rPr>
                  <m:nor/>
                </m:rPr>
                <w:rPr>
                  <w:i/>
                </w:rPr>
                <m:t>α</m:t>
              </m:r>
            </m:den>
          </m:f>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lang w:val="en-US"/>
                        </w:rPr>
                        <m:t>2</m:t>
                      </m:r>
                      <m:r>
                        <m:rPr>
                          <m:nor/>
                        </m:rPr>
                        <w:rPr>
                          <w:rFonts w:ascii="Cambria Math" w:hAnsi="Cambria Math"/>
                          <w:lang w:val="en-US"/>
                        </w:rPr>
                        <m:t>∙</m:t>
                      </m:r>
                      <m:r>
                        <m:rPr>
                          <m:nor/>
                        </m:rPr>
                        <w:rPr>
                          <w:i/>
                        </w:rPr>
                        <m:t>α</m:t>
                      </m:r>
                    </m:e>
                  </m:d>
                </m:num>
                <m:den>
                  <m:r>
                    <m:rPr>
                      <m:nor/>
                    </m:rPr>
                    <w:rPr>
                      <w:i/>
                    </w:rPr>
                    <m:t>α</m:t>
                  </m:r>
                </m:den>
              </m:f>
            </m:sup>
          </m:sSup>
          <m:r>
            <w:rPr>
              <w:rFonts w:ascii="Cambria Math" w:hAnsi="Cambria Math"/>
              <w:lang w:val="en-US"/>
            </w:rPr>
            <m:t>=</m:t>
          </m:r>
          <m:r>
            <m:rPr>
              <m:nor/>
            </m:rPr>
            <w:rPr>
              <w:i/>
              <w:lang w:val="en-US"/>
            </w:rPr>
            <m:t>s</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f>
            <m:fPr>
              <m:ctrlPr>
                <w:rPr>
                  <w:rFonts w:ascii="Cambria Math" w:eastAsiaTheme="minorEastAsia" w:hAnsi="Cambria Math"/>
                  <w:i/>
                </w:rPr>
              </m:ctrlPr>
            </m:fPr>
            <m:num>
              <m:r>
                <m:rPr>
                  <m:nor/>
                </m:rPr>
                <w:rPr>
                  <w:i/>
                  <w:lang w:val="en-US"/>
                </w:rPr>
                <m:t>1</m:t>
              </m:r>
            </m:num>
            <m:den>
              <m:r>
                <m:rPr>
                  <m:nor/>
                </m:rPr>
                <w:rPr>
                  <w:i/>
                </w:rPr>
                <m:t>α</m:t>
              </m:r>
            </m:den>
          </m:f>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sup>
          </m:sSup>
          <m:r>
            <w:rPr>
              <w:rFonts w:ascii="Cambria Math" w:eastAsiaTheme="minorEastAsia" w:hAnsi="Cambria Math"/>
              <w:lang w:val="en-US"/>
            </w:rPr>
            <m:t>⟹</m:t>
          </m:r>
          <m:d>
            <m:dPr>
              <m:ctrlPr>
                <w:rPr>
                  <w:rFonts w:ascii="Cambria Math" w:hAnsi="Cambria Math"/>
                  <w:i/>
                  <w:lang w:val="en-US"/>
                </w:rPr>
              </m:ctrlPr>
            </m:dPr>
            <m:e>
              <m:r>
                <m:rPr>
                  <m:nor/>
                </m:rPr>
                <w:rPr>
                  <w:i/>
                  <w:lang w:val="en-US"/>
                </w:rPr>
                <m:t>1</m:t>
              </m:r>
              <m:r>
                <w:rPr>
                  <w:rFonts w:ascii="Cambria Math" w:eastAsia="Times New Roman" w:hAnsi="Cambria Math"/>
                  <w:vertAlign w:val="superscript"/>
                  <w:lang w:val="en-US"/>
                </w:rPr>
                <m:t>-</m:t>
              </m:r>
              <m:r>
                <m:rPr>
                  <m:nor/>
                </m:rPr>
                <w:rPr>
                  <w:i/>
                </w:rPr>
                <m:t>α</m:t>
              </m:r>
            </m:e>
          </m:d>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lang w:val="en-US"/>
                        </w:rPr>
                        <m:t>2</m:t>
                      </m:r>
                      <m:r>
                        <m:rPr>
                          <m:nor/>
                        </m:rPr>
                        <w:rPr>
                          <w:rFonts w:ascii="Cambria Math" w:hAnsi="Cambria Math"/>
                          <w:lang w:val="en-US"/>
                        </w:rPr>
                        <m:t>∙</m:t>
                      </m:r>
                      <m:r>
                        <m:rPr>
                          <m:nor/>
                        </m:rPr>
                        <w:rPr>
                          <w:i/>
                        </w:rPr>
                        <m:t>α</m:t>
                      </m:r>
                    </m:e>
                  </m:d>
                </m:num>
                <m:den>
                  <m:r>
                    <m:rPr>
                      <m:nor/>
                    </m:rPr>
                    <w:rPr>
                      <w:i/>
                    </w:rPr>
                    <m:t>α</m:t>
                  </m:r>
                </m:den>
              </m:f>
            </m:sup>
          </m:sSup>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sup>
          </m:sSup>
          <m:r>
            <w:rPr>
              <w:rFonts w:ascii="Cambria Math" w:eastAsiaTheme="minorEastAsia" w:hAnsi="Cambria Math"/>
              <w:lang w:val="en-US"/>
            </w:rPr>
            <m:t>⟹</m:t>
          </m:r>
          <m:r>
            <m:rPr>
              <m:sty m:val="p"/>
            </m:rPr>
            <w:rPr>
              <w:rFonts w:ascii="Cambria Math" w:eastAsiaTheme="minorEastAsia" w:hAnsi="Cambria Math"/>
              <w:lang w:val="en-US"/>
            </w:rPr>
            <w:br/>
          </m:r>
        </m:oMath>
        <m:oMath>
          <m:r>
            <w:rPr>
              <w:rFonts w:ascii="Cambria Math" w:eastAsiaTheme="minorEastAsia" w:hAnsi="Cambria Math"/>
              <w:lang w:val="en-US"/>
            </w:rPr>
            <m:t>⟹</m:t>
          </m:r>
          <m:f>
            <m:fPr>
              <m:ctrlPr>
                <w:rPr>
                  <w:rFonts w:ascii="Cambria Math" w:hAnsi="Cambria Math"/>
                  <w:i/>
                  <w:iCs/>
                  <w:lang w:val="fr-FR"/>
                </w:rPr>
              </m:ctrlPr>
            </m:fPr>
            <m:num>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sup>
              </m:sSup>
            </m:num>
            <m:den>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lang w:val="en-US"/>
                            </w:rPr>
                            <m:t>2</m:t>
                          </m:r>
                          <m:r>
                            <m:rPr>
                              <m:nor/>
                            </m:rPr>
                            <w:rPr>
                              <w:rFonts w:ascii="Cambria Math" w:hAnsi="Cambria Math"/>
                              <w:lang w:val="en-US"/>
                            </w:rPr>
                            <m:t>∙</m:t>
                          </m:r>
                          <m:r>
                            <m:rPr>
                              <m:nor/>
                            </m:rPr>
                            <w:rPr>
                              <w:i/>
                            </w:rPr>
                            <m:t>α</m:t>
                          </m:r>
                        </m:e>
                      </m:d>
                    </m:num>
                    <m:den>
                      <m:r>
                        <m:rPr>
                          <m:nor/>
                        </m:rPr>
                        <w:rPr>
                          <w:i/>
                        </w:rPr>
                        <m:t>α</m:t>
                      </m:r>
                    </m:den>
                  </m:f>
                </m:sup>
              </m:sSup>
            </m:den>
          </m:f>
          <m:r>
            <w:rPr>
              <w:rFonts w:ascii="Cambria Math" w:hAnsi="Cambria Math"/>
              <w:lang w:val="en-US"/>
            </w:rPr>
            <m:t>=</m:t>
          </m:r>
          <m:d>
            <m:dPr>
              <m:ctrlPr>
                <w:rPr>
                  <w:rFonts w:ascii="Cambria Math" w:hAnsi="Cambria Math"/>
                  <w:i/>
                  <w:lang w:val="en-US"/>
                </w:rPr>
              </m:ctrlPr>
            </m:dPr>
            <m:e>
              <m:r>
                <m:rPr>
                  <m:nor/>
                </m:rPr>
                <w:rPr>
                  <w:i/>
                  <w:lang w:val="en-US"/>
                </w:rPr>
                <m:t>1</m:t>
              </m:r>
              <m:r>
                <w:rPr>
                  <w:rFonts w:ascii="Cambria Math" w:eastAsia="Times New Roman" w:hAnsi="Cambria Math"/>
                  <w:vertAlign w:val="superscript"/>
                  <w:lang w:val="en-US"/>
                </w:rPr>
                <m:t>-</m:t>
              </m:r>
              <m:r>
                <m:rPr>
                  <m:nor/>
                </m:rPr>
                <w:rPr>
                  <w:i/>
                </w:rPr>
                <m:t>α</m:t>
              </m:r>
            </m:e>
          </m:d>
          <m:r>
            <w:rPr>
              <w:rFonts w:ascii="Cambria Math" w:eastAsiaTheme="minorEastAsia" w:hAnsi="Cambria Math"/>
              <w:lang w:val="en-US"/>
            </w:rPr>
            <m:t>⟹</m:t>
          </m:r>
          <m:sSup>
            <m:sSupPr>
              <m:ctrlPr>
                <w:rPr>
                  <w:rFonts w:ascii="Cambria Math" w:hAnsi="Cambria Math"/>
                  <w:i/>
                  <w:iCs/>
                  <w:lang w:val="fr-FR"/>
                </w:rPr>
              </m:ctrlPr>
            </m:sSupPr>
            <m:e>
              <m:r>
                <m:rPr>
                  <m:nor/>
                </m:rPr>
                <w:rPr>
                  <w:i/>
                </w:rPr>
                <m:t>τ</m:t>
              </m:r>
            </m:e>
            <m:sup>
              <m:d>
                <m:dPr>
                  <m:begChr m:val="["/>
                  <m:endChr m:val="]"/>
                  <m:ctrlPr>
                    <w:rPr>
                      <w:rFonts w:ascii="Cambria Math" w:hAnsi="Cambria Math"/>
                      <w:i/>
                      <w:lang w:val="fr-FR"/>
                    </w:rPr>
                  </m:ctrlPr>
                </m:dPr>
                <m:e>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e>
              </m:d>
              <m:r>
                <w:rPr>
                  <w:rFonts w:ascii="Cambria Math" w:hAnsi="Cambria Math"/>
                  <w:lang w:val="en-US"/>
                </w:rPr>
                <m:t>-</m:t>
              </m:r>
              <m:d>
                <m:dPr>
                  <m:begChr m:val="["/>
                  <m:endChr m:val="]"/>
                  <m:ctrlPr>
                    <w:rPr>
                      <w:rFonts w:ascii="Cambria Math" w:hAnsi="Cambria Math"/>
                      <w:i/>
                      <w:lang w:val="en-US"/>
                    </w:rPr>
                  </m:ctrlPr>
                </m:dPr>
                <m:e>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lang w:val="en-US"/>
                            </w:rPr>
                            <m:t>2</m:t>
                          </m:r>
                          <m:r>
                            <m:rPr>
                              <m:nor/>
                            </m:rPr>
                            <w:rPr>
                              <w:rFonts w:ascii="Cambria Math" w:hAnsi="Cambria Math"/>
                              <w:lang w:val="en-US"/>
                            </w:rPr>
                            <m:t>∙</m:t>
                          </m:r>
                          <m:r>
                            <m:rPr>
                              <m:nor/>
                            </m:rPr>
                            <w:rPr>
                              <w:i/>
                            </w:rPr>
                            <m:t>α</m:t>
                          </m:r>
                        </m:e>
                      </m:d>
                    </m:num>
                    <m:den>
                      <m:r>
                        <m:rPr>
                          <m:nor/>
                        </m:rPr>
                        <w:rPr>
                          <w:i/>
                        </w:rPr>
                        <m:t>α</m:t>
                      </m:r>
                    </m:den>
                  </m:f>
                </m:e>
              </m:d>
            </m:sup>
          </m:sSup>
          <m:r>
            <w:rPr>
              <w:rFonts w:ascii="Cambria Math" w:hAnsi="Cambria Math"/>
              <w:lang w:val="en-US"/>
            </w:rPr>
            <m:t>=</m:t>
          </m:r>
          <m:d>
            <m:dPr>
              <m:ctrlPr>
                <w:rPr>
                  <w:rFonts w:ascii="Cambria Math" w:hAnsi="Cambria Math"/>
                  <w:i/>
                  <w:lang w:val="en-US"/>
                </w:rPr>
              </m:ctrlPr>
            </m:dPr>
            <m:e>
              <m:r>
                <m:rPr>
                  <m:nor/>
                </m:rPr>
                <w:rPr>
                  <w:i/>
                  <w:lang w:val="en-US"/>
                </w:rPr>
                <m:t>1</m:t>
              </m:r>
              <m:r>
                <w:rPr>
                  <w:rFonts w:ascii="Cambria Math" w:eastAsia="Times New Roman" w:hAnsi="Cambria Math"/>
                  <w:vertAlign w:val="superscript"/>
                  <w:lang w:val="en-US"/>
                </w:rPr>
                <m:t>-</m:t>
              </m:r>
              <m:r>
                <m:rPr>
                  <m:nor/>
                </m:rPr>
                <w:rPr>
                  <w:i/>
                </w:rPr>
                <m:t>α</m:t>
              </m:r>
            </m:e>
          </m:d>
          <m:r>
            <w:rPr>
              <w:rFonts w:ascii="Cambria Math" w:eastAsiaTheme="minorEastAsia" w:hAnsi="Cambria Math"/>
              <w:lang w:val="en-US"/>
            </w:rPr>
            <m:t>⟹</m:t>
          </m:r>
          <m:borderBox>
            <m:borderBoxPr>
              <m:ctrlPr>
                <w:rPr>
                  <w:rFonts w:ascii="Cambria Math" w:hAnsi="Cambria Math"/>
                  <w:i/>
                </w:rPr>
              </m:ctrlPr>
            </m:borderBoxPr>
            <m:e>
              <m:r>
                <m:rPr>
                  <m:nor/>
                </m:rPr>
                <w:rPr>
                  <w:i/>
                </w:rPr>
                <m:t>τ</m:t>
              </m:r>
              <m:r>
                <m:rPr>
                  <m:nor/>
                </m:rPr>
                <w:rPr>
                  <w:i/>
                  <w:lang w:val="en-US"/>
                </w:rPr>
                <m:t>*</m:t>
              </m:r>
              <m:r>
                <w:rPr>
                  <w:rFonts w:ascii="Cambria Math" w:hAnsi="Cambria Math"/>
                  <w:lang w:val="en-US"/>
                </w:rPr>
                <m:t>=</m:t>
              </m:r>
              <m:d>
                <m:dPr>
                  <m:ctrlPr>
                    <w:rPr>
                      <w:rFonts w:ascii="Cambria Math" w:hAnsi="Cambria Math"/>
                      <w:i/>
                      <w:lang w:val="en-US"/>
                    </w:rPr>
                  </m:ctrlPr>
                </m:dPr>
                <m:e>
                  <m:r>
                    <m:rPr>
                      <m:nor/>
                    </m:rPr>
                    <w:rPr>
                      <w:i/>
                      <w:lang w:val="en-US"/>
                    </w:rPr>
                    <m:t>1</m:t>
                  </m:r>
                  <m:r>
                    <w:rPr>
                      <w:rFonts w:ascii="Cambria Math" w:eastAsia="Times New Roman" w:hAnsi="Cambria Math"/>
                      <w:vertAlign w:val="superscript"/>
                      <w:lang w:val="en-US"/>
                    </w:rPr>
                    <m:t>-</m:t>
                  </m:r>
                  <m:r>
                    <m:rPr>
                      <m:nor/>
                    </m:rPr>
                    <w:rPr>
                      <w:i/>
                    </w:rPr>
                    <m:t>α</m:t>
                  </m:r>
                </m:e>
              </m:d>
            </m:e>
          </m:borderBox>
        </m:oMath>
      </m:oMathPara>
    </w:p>
  </w:footnote>
  <w:footnote w:id="26">
    <w:p w14:paraId="5534D001" w14:textId="77777777" w:rsidR="00E66765" w:rsidRPr="000B1DFB" w:rsidRDefault="00E66765" w:rsidP="00E66765">
      <w:pPr>
        <w:pStyle w:val="Textonotapie"/>
        <w:keepNext/>
        <w:spacing w:after="0"/>
        <w:rPr>
          <w:spacing w:val="-4"/>
          <w:lang w:val="en-US"/>
        </w:rPr>
      </w:pPr>
      <w:r w:rsidRPr="000B1DFB">
        <w:rPr>
          <w:rStyle w:val="Refdenotaalpie"/>
        </w:rPr>
        <w:footnoteRef/>
      </w:r>
      <w:r w:rsidRPr="000B1DFB">
        <w:rPr>
          <w:spacing w:val="-4"/>
          <w:lang w:val="en-US"/>
        </w:rPr>
        <w:t xml:space="preserve"> And I am mindful as I think about this and it's hardly a conclusive consideration that if </w:t>
      </w:r>
      <w:r w:rsidRPr="000B1DFB">
        <w:rPr>
          <w:smallCaps/>
          <w:spacing w:val="-4"/>
          <w:lang w:val="en-US"/>
        </w:rPr>
        <w:t>Olivier</w:t>
      </w:r>
      <w:r w:rsidRPr="000B1DFB">
        <w:rPr>
          <w:spacing w:val="-4"/>
          <w:lang w:val="en-US"/>
        </w:rPr>
        <w:t xml:space="preserve"> </w:t>
      </w:r>
      <w:r w:rsidRPr="000B1DFB">
        <w:rPr>
          <w:smallCaps/>
          <w:spacing w:val="-4"/>
          <w:lang w:val="en-US"/>
        </w:rPr>
        <w:t>Blanchard</w:t>
      </w:r>
      <w:r w:rsidRPr="000B1DFB">
        <w:rPr>
          <w:spacing w:val="-4"/>
          <w:lang w:val="en-US"/>
        </w:rPr>
        <w:t xml:space="preserve"> and I were practicing economists in 1943, we would have for sure been worried deeply worried about </w:t>
      </w:r>
      <w:r w:rsidRPr="000B1DFB">
        <w:rPr>
          <w:i/>
          <w:iCs/>
          <w:spacing w:val="-4"/>
          <w:lang w:val="en-US"/>
        </w:rPr>
        <w:t>secular stagnation</w:t>
      </w:r>
      <w:r w:rsidRPr="000B1DFB">
        <w:rPr>
          <w:spacing w:val="-4"/>
          <w:lang w:val="en-US"/>
        </w:rPr>
        <w:t xml:space="preserve"> and a return to depression after the Second World War, because all the smart Keynesian economists were quite convinced that that was going to happen. And it proved to be wrong, in part because </w:t>
      </w:r>
      <w:r w:rsidRPr="000B1DFB">
        <w:rPr>
          <w:i/>
          <w:iCs/>
          <w:spacing w:val="-4"/>
          <w:lang w:val="en-US"/>
        </w:rPr>
        <w:t>the buildup of assets and the change in habits that took place during the Second World War proved to be more durable than people had expected</w:t>
      </w:r>
      <w:r w:rsidRPr="000B1DFB">
        <w:rPr>
          <w:spacing w:val="-4"/>
          <w:lang w:val="en-US"/>
        </w:rPr>
        <w:t xml:space="preserve">. And </w:t>
      </w:r>
      <w:proofErr w:type="gramStart"/>
      <w:r w:rsidRPr="000B1DFB">
        <w:rPr>
          <w:spacing w:val="-4"/>
          <w:lang w:val="en-US"/>
        </w:rPr>
        <w:t>so</w:t>
      </w:r>
      <w:proofErr w:type="gramEnd"/>
      <w:r w:rsidRPr="000B1DFB">
        <w:rPr>
          <w:spacing w:val="-4"/>
          <w:lang w:val="en-US"/>
        </w:rPr>
        <w:t xml:space="preserve"> I would be a little bit more skeptical about a return to secular stagnation. But again, I don't think </w:t>
      </w:r>
      <w:r w:rsidRPr="000B1DFB">
        <w:rPr>
          <w:smallCaps/>
          <w:spacing w:val="-4"/>
          <w:lang w:val="en-US"/>
        </w:rPr>
        <w:t>Olivier Blanchard</w:t>
      </w:r>
      <w:r w:rsidRPr="000B1DFB">
        <w:rPr>
          <w:spacing w:val="-4"/>
          <w:lang w:val="en-US"/>
        </w:rPr>
        <w:t xml:space="preserve"> and I are very far apart.</w:t>
      </w:r>
    </w:p>
    <w:p w14:paraId="661C9C0A" w14:textId="77777777" w:rsidR="00E66765" w:rsidRPr="005B0050" w:rsidRDefault="00E66765" w:rsidP="00E66765">
      <w:pPr>
        <w:pStyle w:val="Textonotapie"/>
        <w:jc w:val="right"/>
      </w:pPr>
      <w:r w:rsidRPr="005B0050">
        <w:rPr>
          <w:smallCaps/>
        </w:rPr>
        <w:t>Lawrence Summers</w:t>
      </w:r>
      <w:r w:rsidRPr="005B0050">
        <w:t xml:space="preserve"> (2023)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22C75" w:rsidRPr="00C44422" w14:paraId="5E7BEF09" w14:textId="77777777" w:rsidTr="0078055F">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0034D078" w14:textId="672F58E7" w:rsidR="00322C75" w:rsidRPr="00322C75" w:rsidRDefault="00322C75" w:rsidP="00C80BBD">
              <w:pPr>
                <w:pStyle w:val="Encabezado"/>
                <w:tabs>
                  <w:tab w:val="clear" w:pos="4252"/>
                  <w:tab w:val="clear" w:pos="8504"/>
                  <w:tab w:val="right" w:pos="924"/>
                  <w:tab w:val="center" w:pos="1310"/>
                </w:tabs>
                <w:spacing w:after="0"/>
                <w:contextualSpacing/>
                <w:rPr>
                  <w:i/>
                  <w:iCs/>
                  <w:color w:val="5F2987"/>
                  <w:sz w:val="18"/>
                  <w:szCs w:val="18"/>
                  <w:lang w:val="es-ES"/>
                </w:rPr>
              </w:pPr>
              <w:r>
                <w:rPr>
                  <w:b/>
                  <w:bCs/>
                  <w:i/>
                  <w:iCs/>
                  <w:caps/>
                  <w:color w:val="5F2987"/>
                  <w:sz w:val="18"/>
                  <w:szCs w:val="18"/>
                  <w:lang w:val="es-ES"/>
                </w:rPr>
                <w:t>4.B.6</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052E3EA0" w14:textId="7A9D53E6" w:rsidR="00322C75" w:rsidRPr="009D35BA" w:rsidRDefault="009D35BA" w:rsidP="00C80BBD">
              <w:pPr>
                <w:pStyle w:val="Encabezado"/>
                <w:spacing w:after="0"/>
                <w:ind w:right="-110"/>
                <w:contextualSpacing/>
                <w:jc w:val="center"/>
                <w:rPr>
                  <w:i/>
                  <w:iCs/>
                  <w:color w:val="5F2987"/>
                  <w:sz w:val="18"/>
                  <w:szCs w:val="18"/>
                  <w:lang w:val="es-ES"/>
                </w:rPr>
              </w:pPr>
              <w:r w:rsidRPr="009D35BA">
                <w:rPr>
                  <w:i/>
                  <w:iCs/>
                  <w:color w:val="5F2987"/>
                  <w:sz w:val="18"/>
                  <w:szCs w:val="18"/>
                  <w:lang w:val="es-ES"/>
                </w:rPr>
                <w:t>El gasto público. Causas de su crecimiento. El debate sobre el tamaño del sector público</w:t>
              </w:r>
              <w:r>
                <w:rPr>
                  <w:i/>
                  <w:iCs/>
                  <w:color w:val="5F2987"/>
                  <w:sz w:val="18"/>
                  <w:szCs w:val="18"/>
                  <w:lang w:val="es-ES"/>
                </w:rPr>
                <w:t>.</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5A2527FD" w14:textId="1C47811B" w:rsidR="00322C75" w:rsidRPr="00C44422" w:rsidRDefault="00322C75"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22C75" w:rsidRPr="00C44422" w14:paraId="7366E2F5" w14:textId="77777777" w:rsidTr="0078055F">
      <w:trPr>
        <w:trHeight w:val="136"/>
        <w:jc w:val="center"/>
      </w:trPr>
      <w:bookmarkStart w:id="118" w:name="_Hlk72149218" w:displacedByCustomXml="next"/>
      <w:sdt>
        <w:sdtPr>
          <w:rPr>
            <w:b/>
            <w:bCs/>
            <w:i/>
            <w:iCs/>
            <w:caps/>
            <w:color w:val="5F2987"/>
            <w:sz w:val="18"/>
            <w:szCs w:val="18"/>
          </w:rPr>
          <w:alias w:val="Title"/>
          <w:tag w:val=""/>
          <w:id w:val="-792987576"/>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30D7815E" w14:textId="27AB3F72" w:rsidR="00322C75" w:rsidRPr="00322C75" w:rsidRDefault="00322C75" w:rsidP="00C80BBD">
              <w:pPr>
                <w:pStyle w:val="Encabezado"/>
                <w:tabs>
                  <w:tab w:val="clear" w:pos="4252"/>
                  <w:tab w:val="clear" w:pos="8504"/>
                  <w:tab w:val="right" w:pos="924"/>
                  <w:tab w:val="center" w:pos="1310"/>
                </w:tabs>
                <w:spacing w:after="0"/>
                <w:contextualSpacing/>
                <w:rPr>
                  <w:i/>
                  <w:iCs/>
                  <w:color w:val="5F2987"/>
                  <w:sz w:val="18"/>
                  <w:szCs w:val="18"/>
                  <w:lang w:val="es-ES"/>
                </w:rPr>
              </w:pPr>
              <w:r>
                <w:rPr>
                  <w:b/>
                  <w:bCs/>
                  <w:i/>
                  <w:iCs/>
                  <w:caps/>
                  <w:color w:val="5F2987"/>
                  <w:sz w:val="18"/>
                  <w:szCs w:val="18"/>
                  <w:lang w:val="es-ES"/>
                </w:rPr>
                <w:t>4.B.6</w:t>
              </w:r>
            </w:p>
          </w:tc>
        </w:sdtContent>
      </w:sdt>
      <w:tc>
        <w:tcPr>
          <w:tcW w:w="7088" w:type="dxa"/>
          <w:vAlign w:val="center"/>
        </w:tcPr>
        <w:sdt>
          <w:sdtPr>
            <w:rPr>
              <w:i/>
              <w:iCs/>
              <w:color w:val="5F2987"/>
              <w:sz w:val="18"/>
              <w:szCs w:val="18"/>
            </w:rPr>
            <w:alias w:val="Subject"/>
            <w:tag w:val=""/>
            <w:id w:val="1088803517"/>
            <w:dataBinding w:prefixMappings="xmlns:ns0='http://purl.org/dc/elements/1.1/' xmlns:ns1='http://schemas.openxmlformats.org/package/2006/metadata/core-properties' " w:xpath="/ns1:coreProperties[1]/ns0:subject[1]" w:storeItemID="{6C3C8BC8-F283-45AE-878A-BAB7291924A1}"/>
            <w:text/>
          </w:sdtPr>
          <w:sdtContent>
            <w:p w14:paraId="568AB78F" w14:textId="4EB46C09" w:rsidR="00322C75" w:rsidRPr="009D35BA" w:rsidRDefault="009D35BA" w:rsidP="00C80BBD">
              <w:pPr>
                <w:pStyle w:val="Encabezado"/>
                <w:spacing w:after="0"/>
                <w:ind w:right="-110"/>
                <w:contextualSpacing/>
                <w:jc w:val="center"/>
                <w:rPr>
                  <w:i/>
                  <w:iCs/>
                  <w:color w:val="5F2987"/>
                  <w:sz w:val="18"/>
                  <w:szCs w:val="18"/>
                  <w:lang w:val="es-ES"/>
                </w:rPr>
              </w:pPr>
              <w:r>
                <w:rPr>
                  <w:i/>
                  <w:iCs/>
                  <w:color w:val="5F2987"/>
                  <w:sz w:val="18"/>
                  <w:szCs w:val="18"/>
                  <w:lang w:val="es-ES"/>
                </w:rPr>
                <w:t>El gasto público. Causas de su crecimiento. El debate sobre el tamaño del sector público.</w:t>
              </w:r>
            </w:p>
          </w:sdtContent>
        </w:sdt>
      </w:tc>
      <w:sdt>
        <w:sdtPr>
          <w:rPr>
            <w:b/>
            <w:bCs/>
            <w:i/>
            <w:iCs/>
            <w:color w:val="5F2987"/>
            <w:spacing w:val="-6"/>
            <w:sz w:val="18"/>
            <w:szCs w:val="18"/>
          </w:rPr>
          <w:alias w:val="Author"/>
          <w:tag w:val=""/>
          <w:id w:val="32348581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22B0CAF5" w14:textId="67176C49" w:rsidR="00322C75" w:rsidRPr="00C44422" w:rsidRDefault="00322C75"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bookmarkEnd w:id="118"/>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322C75" w:rsidRPr="00BE1B62" w14:paraId="79336E39" w14:textId="77777777" w:rsidTr="009D35BA">
      <w:tc>
        <w:tcPr>
          <w:tcW w:w="3261" w:type="dxa"/>
          <w:tcBorders>
            <w:bottom w:val="thickThinSmallGap" w:sz="12" w:space="0" w:color="5F2987"/>
          </w:tcBorders>
        </w:tcPr>
        <w:p w14:paraId="21F70656" w14:textId="272DE53F" w:rsidR="00322C75" w:rsidRPr="00322C75" w:rsidRDefault="00322C75" w:rsidP="00382937">
          <w:pPr>
            <w:pStyle w:val="Encabezado"/>
            <w:spacing w:after="0"/>
            <w:jc w:val="left"/>
            <w:rPr>
              <w:i/>
              <w:iCs/>
              <w:color w:val="5F2987"/>
              <w:spacing w:val="-6"/>
              <w:sz w:val="18"/>
              <w:szCs w:val="18"/>
              <w:lang w:val="es-ES"/>
            </w:rPr>
          </w:pPr>
          <w:r w:rsidRPr="00322C75">
            <w:rPr>
              <w:i/>
              <w:iCs/>
              <w:color w:val="5F2987"/>
              <w:spacing w:val="-6"/>
              <w:sz w:val="14"/>
              <w:szCs w:val="14"/>
              <w:lang w:val="es-ES"/>
            </w:rPr>
            <w:t>Fecha de la última actualización:</w:t>
          </w:r>
          <w:r w:rsidRPr="00322C75">
            <w:rPr>
              <w:i/>
              <w:iCs/>
              <w:color w:val="5F2987"/>
              <w:spacing w:val="-6"/>
              <w:sz w:val="18"/>
              <w:szCs w:val="18"/>
              <w:lang w:val="es-ES"/>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0E5443">
            <w:rPr>
              <w:i/>
              <w:iCs/>
              <w:noProof/>
              <w:color w:val="5F2987"/>
              <w:spacing w:val="-6"/>
              <w:sz w:val="18"/>
              <w:szCs w:val="18"/>
            </w:rPr>
            <w:t>16/01/2026</w:t>
          </w:r>
          <w:r>
            <w:rPr>
              <w:i/>
              <w:iCs/>
              <w:color w:val="5F2987"/>
              <w:spacing w:val="-6"/>
              <w:sz w:val="18"/>
              <w:szCs w:val="18"/>
            </w:rPr>
            <w:fldChar w:fldCharType="end"/>
          </w:r>
        </w:p>
      </w:tc>
      <w:tc>
        <w:tcPr>
          <w:tcW w:w="4819" w:type="dxa"/>
          <w:tcBorders>
            <w:bottom w:val="thickThinSmallGap" w:sz="12" w:space="0" w:color="5F2987"/>
          </w:tcBorders>
        </w:tcPr>
        <w:p w14:paraId="1CBAD74D" w14:textId="77777777" w:rsidR="00322C75" w:rsidRPr="00322C75" w:rsidRDefault="00322C75" w:rsidP="00382937">
          <w:pPr>
            <w:pStyle w:val="Encabezado"/>
            <w:spacing w:after="0"/>
            <w:jc w:val="center"/>
            <w:rPr>
              <w:i/>
              <w:iCs/>
              <w:color w:val="5F2987"/>
              <w:spacing w:val="-6"/>
              <w:sz w:val="18"/>
              <w:szCs w:val="18"/>
              <w:lang w:val="es-ES"/>
            </w:rPr>
          </w:pPr>
          <w:r w:rsidRPr="00322C75">
            <w:rPr>
              <w:i/>
              <w:iCs/>
              <w:color w:val="5F2987"/>
              <w:spacing w:val="-6"/>
              <w:sz w:val="18"/>
              <w:szCs w:val="18"/>
              <w:lang w:val="es-ES"/>
            </w:rPr>
            <w:t>Oposición a Técnico Comercial y Economista del Estado</w:t>
          </w:r>
        </w:p>
      </w:tc>
      <w:sdt>
        <w:sdtPr>
          <w:rPr>
            <w:i/>
            <w:iCs/>
            <w:color w:val="5F2987"/>
            <w:spacing w:val="-6"/>
            <w:sz w:val="20"/>
            <w:szCs w:val="20"/>
          </w:rPr>
          <w:alias w:val="Título"/>
          <w:tag w:val=""/>
          <w:id w:val="-432435049"/>
          <w:placeholder>
            <w:docPart w:val="375CADD484FB4AA0ADBFD184F99D4D98"/>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46E27871" w14:textId="54C3B506" w:rsidR="00322C75" w:rsidRPr="00322C75" w:rsidRDefault="00322C75" w:rsidP="00382937">
              <w:pPr>
                <w:pStyle w:val="Encabezado"/>
                <w:spacing w:after="0"/>
                <w:jc w:val="right"/>
                <w:rPr>
                  <w:i/>
                  <w:iCs/>
                  <w:color w:val="5F2987"/>
                  <w:spacing w:val="-6"/>
                  <w:sz w:val="18"/>
                  <w:szCs w:val="18"/>
                  <w:lang w:val="es-ES"/>
                </w:rPr>
              </w:pPr>
              <w:r>
                <w:rPr>
                  <w:i/>
                  <w:iCs/>
                  <w:color w:val="5F2987"/>
                  <w:spacing w:val="-6"/>
                  <w:sz w:val="20"/>
                  <w:szCs w:val="20"/>
                  <w:lang w:val="es-ES"/>
                </w:rPr>
                <w:t>4.B.6</w:t>
              </w:r>
            </w:p>
          </w:tc>
        </w:sdtContent>
      </w:sdt>
    </w:tr>
  </w:tbl>
  <w:p w14:paraId="4518857B" w14:textId="77777777" w:rsidR="00322C75" w:rsidRPr="00C80BBD" w:rsidRDefault="00322C75" w:rsidP="00C80BBD">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74116"/>
    <w:multiLevelType w:val="multilevel"/>
    <w:tmpl w:val="6E2E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3F5880"/>
    <w:multiLevelType w:val="hybridMultilevel"/>
    <w:tmpl w:val="473C50D4"/>
    <w:lvl w:ilvl="0" w:tplc="B1E2BB2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053B4BFE"/>
    <w:multiLevelType w:val="hybridMultilevel"/>
    <w:tmpl w:val="4C4EA0D8"/>
    <w:lvl w:ilvl="0" w:tplc="FB9291B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4" w15:restartNumberingAfterBreak="0">
    <w:nsid w:val="07A73A43"/>
    <w:multiLevelType w:val="hybridMultilevel"/>
    <w:tmpl w:val="F55A2030"/>
    <w:lvl w:ilvl="0" w:tplc="2084DD36">
      <w:start w:val="1"/>
      <w:numFmt w:val="decimal"/>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15" w15:restartNumberingAfterBreak="0">
    <w:nsid w:val="09EE2579"/>
    <w:multiLevelType w:val="multilevel"/>
    <w:tmpl w:val="7410F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7" w15:restartNumberingAfterBreak="0">
    <w:nsid w:val="150E5F62"/>
    <w:multiLevelType w:val="hybridMultilevel"/>
    <w:tmpl w:val="C952072E"/>
    <w:lvl w:ilvl="0" w:tplc="0C0A000F">
      <w:start w:val="1"/>
      <w:numFmt w:val="decimal"/>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18984488"/>
    <w:multiLevelType w:val="hybridMultilevel"/>
    <w:tmpl w:val="CDA03376"/>
    <w:lvl w:ilvl="0" w:tplc="C62AD4A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19F743B9"/>
    <w:multiLevelType w:val="hybridMultilevel"/>
    <w:tmpl w:val="A3988818"/>
    <w:lvl w:ilvl="0" w:tplc="C4AA32B0">
      <w:start w:val="1"/>
      <w:numFmt w:val="bullet"/>
      <w:lvlText w:val=""/>
      <w:lvlJc w:val="righ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1B2479C7"/>
    <w:multiLevelType w:val="hybridMultilevel"/>
    <w:tmpl w:val="75665280"/>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C0F24FF"/>
    <w:multiLevelType w:val="hybridMultilevel"/>
    <w:tmpl w:val="F650F55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1DE34BF4"/>
    <w:multiLevelType w:val="hybridMultilevel"/>
    <w:tmpl w:val="8D6860A2"/>
    <w:lvl w:ilvl="0" w:tplc="B8CE5E8E">
      <w:numFmt w:val="bullet"/>
      <w:pStyle w:val="Primer"/>
      <w:lvlText w:val="-"/>
      <w:lvlJc w:val="left"/>
      <w:pPr>
        <w:ind w:left="502" w:hanging="360"/>
      </w:pPr>
      <w:rPr>
        <w:rFonts w:ascii="Times New Roman" w:eastAsia="Calibri" w:hAnsi="Times New Roman" w:cs="Times New Roman" w:hint="default"/>
      </w:rPr>
    </w:lvl>
    <w:lvl w:ilvl="1" w:tplc="9DE862A6">
      <w:numFmt w:val="bullet"/>
      <w:pStyle w:val="Segundo"/>
      <w:lvlText w:val="o"/>
      <w:lvlJc w:val="left"/>
      <w:pPr>
        <w:ind w:left="1920" w:hanging="360"/>
      </w:pPr>
      <w:rPr>
        <w:rFonts w:ascii="Courier New" w:hAnsi="Courier New" w:hint="default"/>
      </w:rPr>
    </w:lvl>
    <w:lvl w:ilvl="2" w:tplc="FFD42700">
      <w:start w:val="1"/>
      <w:numFmt w:val="decimal"/>
      <w:lvlText w:val="%3."/>
      <w:lvlJc w:val="left"/>
      <w:pPr>
        <w:ind w:left="5606" w:hanging="360"/>
      </w:pPr>
      <w:rPr>
        <w:rFonts w:ascii="Times New Roman" w:eastAsia="Calibri" w:hAnsi="Times New Roman" w:cs="Times New Roman" w:hint="default"/>
        <w:b w:val="0"/>
        <w:sz w:val="14"/>
        <w:szCs w:val="14"/>
      </w:rPr>
    </w:lvl>
    <w:lvl w:ilvl="3" w:tplc="0C0A0001">
      <w:start w:val="1"/>
      <w:numFmt w:val="bullet"/>
      <w:lvlText w:val=""/>
      <w:lvlJc w:val="left"/>
      <w:pPr>
        <w:ind w:left="2662" w:hanging="360"/>
      </w:pPr>
      <w:rPr>
        <w:rFonts w:ascii="Symbol" w:hAnsi="Symbol" w:hint="default"/>
      </w:rPr>
    </w:lvl>
    <w:lvl w:ilvl="4" w:tplc="98265502">
      <w:start w:val="1"/>
      <w:numFmt w:val="decimal"/>
      <w:lvlText w:val="%5."/>
      <w:lvlJc w:val="left"/>
      <w:pPr>
        <w:ind w:left="928" w:hanging="360"/>
      </w:pPr>
      <w:rPr>
        <w:rFonts w:hint="default"/>
        <w:b w:val="0"/>
        <w:u w:val="none"/>
      </w:rPr>
    </w:lvl>
    <w:lvl w:ilvl="5" w:tplc="0C0A0005">
      <w:start w:val="1"/>
      <w:numFmt w:val="bullet"/>
      <w:lvlText w:val=""/>
      <w:lvlJc w:val="left"/>
      <w:pPr>
        <w:ind w:left="4102" w:hanging="360"/>
      </w:pPr>
      <w:rPr>
        <w:rFonts w:ascii="Wingdings" w:hAnsi="Wingdings" w:hint="default"/>
      </w:rPr>
    </w:lvl>
    <w:lvl w:ilvl="6" w:tplc="B770E446">
      <w:start w:val="1"/>
      <w:numFmt w:val="lowerLetter"/>
      <w:pStyle w:val="Letras"/>
      <w:lvlText w:val="%7."/>
      <w:lvlJc w:val="left"/>
      <w:pPr>
        <w:ind w:left="2487" w:hanging="360"/>
      </w:pPr>
      <w:rPr>
        <w:rFonts w:hint="default"/>
      </w:rPr>
    </w:lvl>
    <w:lvl w:ilvl="7" w:tplc="64FA21FC">
      <w:start w:val="1"/>
      <w:numFmt w:val="decimal"/>
      <w:lvlText w:val="%8)"/>
      <w:lvlJc w:val="left"/>
      <w:pPr>
        <w:ind w:left="5542" w:hanging="360"/>
      </w:pPr>
      <w:rPr>
        <w:rFonts w:hint="default"/>
      </w:rPr>
    </w:lvl>
    <w:lvl w:ilvl="8" w:tplc="0C0A0005">
      <w:start w:val="1"/>
      <w:numFmt w:val="bullet"/>
      <w:lvlText w:val=""/>
      <w:lvlJc w:val="left"/>
      <w:pPr>
        <w:ind w:left="6262" w:hanging="360"/>
      </w:pPr>
      <w:rPr>
        <w:rFonts w:ascii="Wingdings" w:hAnsi="Wingdings" w:hint="default"/>
      </w:rPr>
    </w:lvl>
  </w:abstractNum>
  <w:abstractNum w:abstractNumId="24" w15:restartNumberingAfterBreak="0">
    <w:nsid w:val="211015A2"/>
    <w:multiLevelType w:val="hybridMultilevel"/>
    <w:tmpl w:val="A72CC6D4"/>
    <w:lvl w:ilvl="0" w:tplc="9FF27D6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231E67FA"/>
    <w:multiLevelType w:val="hybridMultilevel"/>
    <w:tmpl w:val="63A62EA6"/>
    <w:lvl w:ilvl="0" w:tplc="0C0A0011">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246335E4"/>
    <w:multiLevelType w:val="hybridMultilevel"/>
    <w:tmpl w:val="5DE8E2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25C41073"/>
    <w:multiLevelType w:val="hybridMultilevel"/>
    <w:tmpl w:val="A39E6758"/>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8"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31" w15:restartNumberingAfterBreak="0">
    <w:nsid w:val="27A10905"/>
    <w:multiLevelType w:val="hybridMultilevel"/>
    <w:tmpl w:val="F650F55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AE95E1B"/>
    <w:multiLevelType w:val="hybridMultilevel"/>
    <w:tmpl w:val="D6B0CD5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2C1E4299"/>
    <w:multiLevelType w:val="hybridMultilevel"/>
    <w:tmpl w:val="4264734C"/>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4" w15:restartNumberingAfterBreak="0">
    <w:nsid w:val="2D293470"/>
    <w:multiLevelType w:val="multilevel"/>
    <w:tmpl w:val="E4901C82"/>
    <w:styleLink w:val="WW8Num17"/>
    <w:lvl w:ilvl="0">
      <w:numFmt w:val="bullet"/>
      <w:lvlText w:val=""/>
      <w:lvlJc w:val="left"/>
      <w:rPr>
        <w:rFonts w:ascii="Wingdings" w:hAnsi="Wingdings"/>
      </w:rPr>
    </w:lvl>
    <w:lvl w:ilvl="1">
      <w:numFmt w:val="bullet"/>
      <w:lvlText w:val=""/>
      <w:lvlJc w:val="left"/>
      <w:rPr>
        <w:rFonts w:ascii="Symbol" w:hAnsi="Symbol"/>
        <w:sz w:val="24"/>
      </w:rPr>
    </w:lvl>
    <w:lvl w:ilvl="2">
      <w:start w:val="1"/>
      <w:numFmt w:val="upperRoman"/>
      <w:lvlText w:val="%3."/>
      <w:lvlJc w:val="right"/>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5" w15:restartNumberingAfterBreak="0">
    <w:nsid w:val="2E925C3B"/>
    <w:multiLevelType w:val="hybridMultilevel"/>
    <w:tmpl w:val="6E7AA83E"/>
    <w:lvl w:ilvl="0" w:tplc="69349206">
      <w:start w:val="1"/>
      <w:numFmt w:val="lowerLetter"/>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36" w15:restartNumberingAfterBreak="0">
    <w:nsid w:val="37A5782B"/>
    <w:multiLevelType w:val="hybridMultilevel"/>
    <w:tmpl w:val="3C40E378"/>
    <w:lvl w:ilvl="0" w:tplc="AF0CD05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0246E8D"/>
    <w:multiLevelType w:val="hybridMultilevel"/>
    <w:tmpl w:val="BADE5510"/>
    <w:lvl w:ilvl="0" w:tplc="C3F075A8">
      <w:start w:val="2"/>
      <w:numFmt w:val="bullet"/>
      <w:lvlText w:val="-"/>
      <w:lvlJc w:val="left"/>
      <w:pPr>
        <w:ind w:left="720" w:hanging="360"/>
      </w:pPr>
      <w:rPr>
        <w:rFonts w:ascii="Calibri" w:eastAsia="Times New Roman"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4C2147F5"/>
    <w:multiLevelType w:val="hybridMultilevel"/>
    <w:tmpl w:val="FC1A3254"/>
    <w:lvl w:ilvl="0" w:tplc="1C8C744E">
      <w:start w:val="1"/>
      <w:numFmt w:val="decimal"/>
      <w:lvlText w:val="%1."/>
      <w:lvlJc w:val="left"/>
      <w:pPr>
        <w:ind w:left="720" w:hanging="360"/>
      </w:pPr>
      <w:rPr>
        <w:rFonts w:hint="default"/>
        <w:b w:val="0"/>
      </w:rPr>
    </w:lvl>
    <w:lvl w:ilvl="1" w:tplc="0C0A000F">
      <w:start w:val="1"/>
      <w:numFmt w:val="decimal"/>
      <w:lvlText w:val="%2."/>
      <w:lvlJc w:val="left"/>
      <w:pPr>
        <w:ind w:left="1440" w:hanging="360"/>
      </w:pPr>
      <w:rPr>
        <w:rFonts w:hint="default"/>
        <w:u w:val="single"/>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50FB7C1A"/>
    <w:multiLevelType w:val="multilevel"/>
    <w:tmpl w:val="0809001D"/>
    <w:numStyleLink w:val="Lista1"/>
  </w:abstractNum>
  <w:abstractNum w:abstractNumId="42" w15:restartNumberingAfterBreak="0">
    <w:nsid w:val="54F62FBF"/>
    <w:multiLevelType w:val="hybridMultilevel"/>
    <w:tmpl w:val="B0622EE8"/>
    <w:lvl w:ilvl="0" w:tplc="CA20E986">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57470DBF"/>
    <w:multiLevelType w:val="hybridMultilevel"/>
    <w:tmpl w:val="2F647FE2"/>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5" w15:restartNumberingAfterBreak="0">
    <w:nsid w:val="58336733"/>
    <w:multiLevelType w:val="hybridMultilevel"/>
    <w:tmpl w:val="B09CCA18"/>
    <w:lvl w:ilvl="0" w:tplc="0C0A0017">
      <w:start w:val="1"/>
      <w:numFmt w:val="lowerLetter"/>
      <w:lvlText w:val="%1)"/>
      <w:lvlJc w:val="left"/>
      <w:pPr>
        <w:ind w:left="720" w:hanging="360"/>
      </w:pPr>
    </w:lvl>
    <w:lvl w:ilvl="1" w:tplc="701091FE">
      <w:numFmt w:val="bullet"/>
      <w:lvlText w:val="•"/>
      <w:lvlJc w:val="left"/>
      <w:pPr>
        <w:ind w:left="1440" w:hanging="360"/>
      </w:pPr>
      <w:rPr>
        <w:rFonts w:ascii="Palatino Linotype" w:eastAsiaTheme="minorHAnsi" w:hAnsi="Palatino Linotype" w:cstheme="minorBidi"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58C1365F"/>
    <w:multiLevelType w:val="hybridMultilevel"/>
    <w:tmpl w:val="B2363CCE"/>
    <w:lvl w:ilvl="0" w:tplc="952AEA4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BAC2C4F"/>
    <w:multiLevelType w:val="hybridMultilevel"/>
    <w:tmpl w:val="9B42DF12"/>
    <w:lvl w:ilvl="0" w:tplc="4DCA8D3C">
      <w:start w:val="1"/>
      <w:numFmt w:val="lowerRoman"/>
      <w:lvlText w:val="%1)"/>
      <w:lvlJc w:val="right"/>
      <w:pPr>
        <w:ind w:left="720" w:hanging="360"/>
      </w:pPr>
      <w:rPr>
        <w:rFonts w:hint="default"/>
        <w:i/>
        <w:iCs/>
        <w:sz w:val="22"/>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61387122"/>
    <w:multiLevelType w:val="hybridMultilevel"/>
    <w:tmpl w:val="EBD010A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61665996"/>
    <w:multiLevelType w:val="hybridMultilevel"/>
    <w:tmpl w:val="19DA14F4"/>
    <w:lvl w:ilvl="0" w:tplc="6F242C32">
      <w:start w:val="1"/>
      <w:numFmt w:val="lowerLetter"/>
      <w:lvlText w:val="%1)"/>
      <w:lvlJc w:val="right"/>
      <w:pPr>
        <w:ind w:left="720" w:hanging="360"/>
      </w:pPr>
      <w:rPr>
        <w:rFonts w:hint="default"/>
        <w:i/>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2"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53" w15:restartNumberingAfterBreak="0">
    <w:nsid w:val="6A3E1AF4"/>
    <w:multiLevelType w:val="hybridMultilevel"/>
    <w:tmpl w:val="97BA4412"/>
    <w:lvl w:ilvl="0" w:tplc="A436201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4" w15:restartNumberingAfterBreak="0">
    <w:nsid w:val="6B281E4C"/>
    <w:multiLevelType w:val="hybridMultilevel"/>
    <w:tmpl w:val="4AA067B2"/>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6"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7392005E"/>
    <w:multiLevelType w:val="hybridMultilevel"/>
    <w:tmpl w:val="D7880C52"/>
    <w:lvl w:ilvl="0" w:tplc="7EA608CE">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8"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59"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0"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61" w15:restartNumberingAfterBreak="0">
    <w:nsid w:val="7CFF0BCF"/>
    <w:multiLevelType w:val="hybridMultilevel"/>
    <w:tmpl w:val="7B62D16C"/>
    <w:lvl w:ilvl="0" w:tplc="B1824C16">
      <w:start w:val="1"/>
      <w:numFmt w:val="lowerRoman"/>
      <w:lvlText w:val="%1)"/>
      <w:lvlJc w:val="right"/>
      <w:pPr>
        <w:ind w:left="720" w:hanging="360"/>
      </w:pPr>
      <w:rPr>
        <w:rFonts w:ascii="Palatino Linotype" w:eastAsia="Calibri" w:hAnsi="Palatino Linotype" w:cs="Times New Roman" w:hint="default"/>
        <w:b w:val="0"/>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2" w15:restartNumberingAfterBreak="0">
    <w:nsid w:val="7FD43F1C"/>
    <w:multiLevelType w:val="hybridMultilevel"/>
    <w:tmpl w:val="EEF02942"/>
    <w:lvl w:ilvl="0" w:tplc="2D0687D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25499715">
    <w:abstractNumId w:val="27"/>
  </w:num>
  <w:num w:numId="2" w16cid:durableId="110708285">
    <w:abstractNumId w:val="33"/>
  </w:num>
  <w:num w:numId="3" w16cid:durableId="1249969719">
    <w:abstractNumId w:val="21"/>
  </w:num>
  <w:num w:numId="4" w16cid:durableId="538706104">
    <w:abstractNumId w:val="15"/>
  </w:num>
  <w:num w:numId="5" w16cid:durableId="992486240">
    <w:abstractNumId w:val="54"/>
  </w:num>
  <w:num w:numId="6" w16cid:durableId="1469205431">
    <w:abstractNumId w:val="10"/>
  </w:num>
  <w:num w:numId="7" w16cid:durableId="1999074275">
    <w:abstractNumId w:val="44"/>
  </w:num>
  <w:num w:numId="8" w16cid:durableId="627660750">
    <w:abstractNumId w:val="25"/>
  </w:num>
  <w:num w:numId="9" w16cid:durableId="936208879">
    <w:abstractNumId w:val="34"/>
  </w:num>
  <w:num w:numId="10" w16cid:durableId="1446919619">
    <w:abstractNumId w:val="40"/>
  </w:num>
  <w:num w:numId="11" w16cid:durableId="806817811">
    <w:abstractNumId w:val="17"/>
  </w:num>
  <w:num w:numId="12" w16cid:durableId="1801146188">
    <w:abstractNumId w:val="32"/>
  </w:num>
  <w:num w:numId="13" w16cid:durableId="1389842009">
    <w:abstractNumId w:val="26"/>
  </w:num>
  <w:num w:numId="14" w16cid:durableId="1870334903">
    <w:abstractNumId w:val="38"/>
  </w:num>
  <w:num w:numId="15" w16cid:durableId="210770823">
    <w:abstractNumId w:val="23"/>
  </w:num>
  <w:num w:numId="16" w16cid:durableId="1625765560">
    <w:abstractNumId w:val="55"/>
  </w:num>
  <w:num w:numId="17" w16cid:durableId="2087140564">
    <w:abstractNumId w:val="16"/>
  </w:num>
  <w:num w:numId="18" w16cid:durableId="1287663948">
    <w:abstractNumId w:val="56"/>
  </w:num>
  <w:num w:numId="19" w16cid:durableId="1815173614">
    <w:abstractNumId w:val="60"/>
  </w:num>
  <w:num w:numId="20" w16cid:durableId="1304314630">
    <w:abstractNumId w:val="59"/>
  </w:num>
  <w:num w:numId="21" w16cid:durableId="141703414">
    <w:abstractNumId w:val="28"/>
  </w:num>
  <w:num w:numId="22" w16cid:durableId="128787464">
    <w:abstractNumId w:val="47"/>
  </w:num>
  <w:num w:numId="23" w16cid:durableId="83036804">
    <w:abstractNumId w:val="29"/>
  </w:num>
  <w:num w:numId="24" w16cid:durableId="163473467">
    <w:abstractNumId w:val="41"/>
  </w:num>
  <w:num w:numId="25" w16cid:durableId="2138602911">
    <w:abstractNumId w:val="52"/>
  </w:num>
  <w:num w:numId="26" w16cid:durableId="437260063">
    <w:abstractNumId w:val="30"/>
  </w:num>
  <w:num w:numId="27" w16cid:durableId="1157653585">
    <w:abstractNumId w:val="9"/>
  </w:num>
  <w:num w:numId="28" w16cid:durableId="888882541">
    <w:abstractNumId w:val="7"/>
  </w:num>
  <w:num w:numId="29" w16cid:durableId="618411679">
    <w:abstractNumId w:val="6"/>
  </w:num>
  <w:num w:numId="30" w16cid:durableId="1123646488">
    <w:abstractNumId w:val="5"/>
  </w:num>
  <w:num w:numId="31" w16cid:durableId="1743334948">
    <w:abstractNumId w:val="4"/>
  </w:num>
  <w:num w:numId="32" w16cid:durableId="1323856482">
    <w:abstractNumId w:val="8"/>
  </w:num>
  <w:num w:numId="33" w16cid:durableId="1850440676">
    <w:abstractNumId w:val="3"/>
  </w:num>
  <w:num w:numId="34" w16cid:durableId="553270740">
    <w:abstractNumId w:val="2"/>
  </w:num>
  <w:num w:numId="35" w16cid:durableId="997727141">
    <w:abstractNumId w:val="1"/>
  </w:num>
  <w:num w:numId="36" w16cid:durableId="752163770">
    <w:abstractNumId w:val="0"/>
  </w:num>
  <w:num w:numId="37" w16cid:durableId="1506899281">
    <w:abstractNumId w:val="58"/>
  </w:num>
  <w:num w:numId="38" w16cid:durableId="1677222180">
    <w:abstractNumId w:val="37"/>
  </w:num>
  <w:num w:numId="39" w16cid:durableId="1717390553">
    <w:abstractNumId w:val="39"/>
  </w:num>
  <w:num w:numId="40" w16cid:durableId="76653901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87470226">
    <w:abstractNumId w:val="43"/>
  </w:num>
  <w:num w:numId="42" w16cid:durableId="182867278">
    <w:abstractNumId w:val="13"/>
  </w:num>
  <w:num w:numId="43" w16cid:durableId="1525514148">
    <w:abstractNumId w:val="18"/>
  </w:num>
  <w:num w:numId="44" w16cid:durableId="276064659">
    <w:abstractNumId w:val="51"/>
  </w:num>
  <w:num w:numId="45" w16cid:durableId="1630745704">
    <w:abstractNumId w:val="36"/>
  </w:num>
  <w:num w:numId="46" w16cid:durableId="1876506188">
    <w:abstractNumId w:val="42"/>
  </w:num>
  <w:num w:numId="47" w16cid:durableId="1874071298">
    <w:abstractNumId w:val="22"/>
  </w:num>
  <w:num w:numId="48" w16cid:durableId="15543078">
    <w:abstractNumId w:val="49"/>
  </w:num>
  <w:num w:numId="49" w16cid:durableId="31852223">
    <w:abstractNumId w:val="61"/>
  </w:num>
  <w:num w:numId="50" w16cid:durableId="1589263812">
    <w:abstractNumId w:val="24"/>
  </w:num>
  <w:num w:numId="51" w16cid:durableId="1273437857">
    <w:abstractNumId w:val="14"/>
  </w:num>
  <w:num w:numId="52" w16cid:durableId="1313173601">
    <w:abstractNumId w:val="12"/>
  </w:num>
  <w:num w:numId="53" w16cid:durableId="1157962835">
    <w:abstractNumId w:val="45"/>
  </w:num>
  <w:num w:numId="54" w16cid:durableId="222982015">
    <w:abstractNumId w:val="20"/>
  </w:num>
  <w:num w:numId="55" w16cid:durableId="1158961525">
    <w:abstractNumId w:val="31"/>
  </w:num>
  <w:num w:numId="56" w16cid:durableId="846208574">
    <w:abstractNumId w:val="48"/>
  </w:num>
  <w:num w:numId="57" w16cid:durableId="513617674">
    <w:abstractNumId w:val="46"/>
  </w:num>
  <w:num w:numId="58" w16cid:durableId="1753697066">
    <w:abstractNumId w:val="53"/>
  </w:num>
  <w:num w:numId="59" w16cid:durableId="575214619">
    <w:abstractNumId w:val="62"/>
  </w:num>
  <w:num w:numId="60" w16cid:durableId="1637756516">
    <w:abstractNumId w:val="57"/>
  </w:num>
  <w:num w:numId="61" w16cid:durableId="1626697539">
    <w:abstractNumId w:val="35"/>
  </w:num>
  <w:num w:numId="62" w16cid:durableId="2123767204">
    <w:abstractNumId w:val="11"/>
  </w:num>
  <w:num w:numId="63" w16cid:durableId="62029341">
    <w:abstractNumId w:val="19"/>
  </w:num>
  <w:num w:numId="64" w16cid:durableId="1293436214">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98"/>
    <w:rsid w:val="0000007A"/>
    <w:rsid w:val="000003A3"/>
    <w:rsid w:val="00001448"/>
    <w:rsid w:val="0000166E"/>
    <w:rsid w:val="000016E3"/>
    <w:rsid w:val="00001E3D"/>
    <w:rsid w:val="000023C4"/>
    <w:rsid w:val="00002A09"/>
    <w:rsid w:val="00002B76"/>
    <w:rsid w:val="00002E3A"/>
    <w:rsid w:val="00002EB6"/>
    <w:rsid w:val="000032B1"/>
    <w:rsid w:val="000039E3"/>
    <w:rsid w:val="00003A25"/>
    <w:rsid w:val="000040EA"/>
    <w:rsid w:val="00004264"/>
    <w:rsid w:val="000051EF"/>
    <w:rsid w:val="000053F9"/>
    <w:rsid w:val="00005501"/>
    <w:rsid w:val="00005BA7"/>
    <w:rsid w:val="00005F38"/>
    <w:rsid w:val="00005F55"/>
    <w:rsid w:val="00006470"/>
    <w:rsid w:val="0000652C"/>
    <w:rsid w:val="0000663D"/>
    <w:rsid w:val="000066BD"/>
    <w:rsid w:val="000066C0"/>
    <w:rsid w:val="0000675F"/>
    <w:rsid w:val="00006CED"/>
    <w:rsid w:val="00006E30"/>
    <w:rsid w:val="000076BF"/>
    <w:rsid w:val="000077E2"/>
    <w:rsid w:val="00007F0E"/>
    <w:rsid w:val="00010D0C"/>
    <w:rsid w:val="00011356"/>
    <w:rsid w:val="00012701"/>
    <w:rsid w:val="00012CD0"/>
    <w:rsid w:val="00013A71"/>
    <w:rsid w:val="00013BF9"/>
    <w:rsid w:val="0001470D"/>
    <w:rsid w:val="0001569A"/>
    <w:rsid w:val="000157F5"/>
    <w:rsid w:val="00015997"/>
    <w:rsid w:val="000160C9"/>
    <w:rsid w:val="000161D0"/>
    <w:rsid w:val="00016574"/>
    <w:rsid w:val="0001668B"/>
    <w:rsid w:val="00017700"/>
    <w:rsid w:val="00017B40"/>
    <w:rsid w:val="00017C10"/>
    <w:rsid w:val="0002076A"/>
    <w:rsid w:val="00020816"/>
    <w:rsid w:val="00021052"/>
    <w:rsid w:val="000214D2"/>
    <w:rsid w:val="00021872"/>
    <w:rsid w:val="000219B4"/>
    <w:rsid w:val="00021E32"/>
    <w:rsid w:val="00022463"/>
    <w:rsid w:val="00022AEE"/>
    <w:rsid w:val="000230C3"/>
    <w:rsid w:val="000233DD"/>
    <w:rsid w:val="0002361F"/>
    <w:rsid w:val="0002386C"/>
    <w:rsid w:val="0002394F"/>
    <w:rsid w:val="0002399C"/>
    <w:rsid w:val="00023EBB"/>
    <w:rsid w:val="00024095"/>
    <w:rsid w:val="00024146"/>
    <w:rsid w:val="000243BF"/>
    <w:rsid w:val="00024A80"/>
    <w:rsid w:val="00024C41"/>
    <w:rsid w:val="00024CD1"/>
    <w:rsid w:val="000254B1"/>
    <w:rsid w:val="00025A5C"/>
    <w:rsid w:val="00025C78"/>
    <w:rsid w:val="0002613E"/>
    <w:rsid w:val="00026E2C"/>
    <w:rsid w:val="00026F42"/>
    <w:rsid w:val="000272EA"/>
    <w:rsid w:val="00027DD5"/>
    <w:rsid w:val="00030BE9"/>
    <w:rsid w:val="0003115D"/>
    <w:rsid w:val="0003122B"/>
    <w:rsid w:val="00031503"/>
    <w:rsid w:val="000317B6"/>
    <w:rsid w:val="000319FC"/>
    <w:rsid w:val="00031C03"/>
    <w:rsid w:val="00031D49"/>
    <w:rsid w:val="000322BC"/>
    <w:rsid w:val="000329E8"/>
    <w:rsid w:val="00032AA1"/>
    <w:rsid w:val="00032E0F"/>
    <w:rsid w:val="00032EA1"/>
    <w:rsid w:val="00032EC1"/>
    <w:rsid w:val="00032ECC"/>
    <w:rsid w:val="0003313A"/>
    <w:rsid w:val="000335BC"/>
    <w:rsid w:val="00036EAA"/>
    <w:rsid w:val="00037286"/>
    <w:rsid w:val="000379B1"/>
    <w:rsid w:val="00037BA7"/>
    <w:rsid w:val="00040C13"/>
    <w:rsid w:val="000411AD"/>
    <w:rsid w:val="00041354"/>
    <w:rsid w:val="0004175F"/>
    <w:rsid w:val="000419AD"/>
    <w:rsid w:val="00041BFD"/>
    <w:rsid w:val="000421C1"/>
    <w:rsid w:val="000423AB"/>
    <w:rsid w:val="00042696"/>
    <w:rsid w:val="00042973"/>
    <w:rsid w:val="00042DAB"/>
    <w:rsid w:val="00043363"/>
    <w:rsid w:val="00043790"/>
    <w:rsid w:val="000439C9"/>
    <w:rsid w:val="00043AF6"/>
    <w:rsid w:val="00043B1C"/>
    <w:rsid w:val="00043BB0"/>
    <w:rsid w:val="00043E46"/>
    <w:rsid w:val="00043FA0"/>
    <w:rsid w:val="00044994"/>
    <w:rsid w:val="00044E0E"/>
    <w:rsid w:val="00044EEE"/>
    <w:rsid w:val="00045047"/>
    <w:rsid w:val="00045070"/>
    <w:rsid w:val="00045432"/>
    <w:rsid w:val="000456D4"/>
    <w:rsid w:val="00045F40"/>
    <w:rsid w:val="00045FC7"/>
    <w:rsid w:val="00046370"/>
    <w:rsid w:val="00046894"/>
    <w:rsid w:val="00046E12"/>
    <w:rsid w:val="00046F0A"/>
    <w:rsid w:val="000472B2"/>
    <w:rsid w:val="00047596"/>
    <w:rsid w:val="00047F74"/>
    <w:rsid w:val="0005073C"/>
    <w:rsid w:val="000508D3"/>
    <w:rsid w:val="00051268"/>
    <w:rsid w:val="000515EB"/>
    <w:rsid w:val="00052224"/>
    <w:rsid w:val="00052E5A"/>
    <w:rsid w:val="0005333B"/>
    <w:rsid w:val="000536F5"/>
    <w:rsid w:val="00053B06"/>
    <w:rsid w:val="00053C54"/>
    <w:rsid w:val="00053CEF"/>
    <w:rsid w:val="000545A3"/>
    <w:rsid w:val="000549AD"/>
    <w:rsid w:val="00054CB3"/>
    <w:rsid w:val="0005534A"/>
    <w:rsid w:val="00056419"/>
    <w:rsid w:val="00056735"/>
    <w:rsid w:val="000567DF"/>
    <w:rsid w:val="0005681F"/>
    <w:rsid w:val="00056F79"/>
    <w:rsid w:val="000570D0"/>
    <w:rsid w:val="0005794D"/>
    <w:rsid w:val="000601B9"/>
    <w:rsid w:val="000603B8"/>
    <w:rsid w:val="000603E2"/>
    <w:rsid w:val="00060934"/>
    <w:rsid w:val="00060A0B"/>
    <w:rsid w:val="00060B47"/>
    <w:rsid w:val="000610E7"/>
    <w:rsid w:val="000612C0"/>
    <w:rsid w:val="00061379"/>
    <w:rsid w:val="00061865"/>
    <w:rsid w:val="0006187D"/>
    <w:rsid w:val="00061CEA"/>
    <w:rsid w:val="000621FB"/>
    <w:rsid w:val="00062562"/>
    <w:rsid w:val="00062584"/>
    <w:rsid w:val="00062667"/>
    <w:rsid w:val="00062B55"/>
    <w:rsid w:val="00063066"/>
    <w:rsid w:val="0006321F"/>
    <w:rsid w:val="00063639"/>
    <w:rsid w:val="00063852"/>
    <w:rsid w:val="000639FA"/>
    <w:rsid w:val="00064985"/>
    <w:rsid w:val="000649BE"/>
    <w:rsid w:val="00064AA9"/>
    <w:rsid w:val="000655DD"/>
    <w:rsid w:val="00065961"/>
    <w:rsid w:val="00065B51"/>
    <w:rsid w:val="00065F29"/>
    <w:rsid w:val="00066999"/>
    <w:rsid w:val="00066AD2"/>
    <w:rsid w:val="00066DB4"/>
    <w:rsid w:val="00066EA5"/>
    <w:rsid w:val="000675E4"/>
    <w:rsid w:val="00067CF9"/>
    <w:rsid w:val="0007015B"/>
    <w:rsid w:val="00070191"/>
    <w:rsid w:val="000705E3"/>
    <w:rsid w:val="00070AB1"/>
    <w:rsid w:val="00070C1B"/>
    <w:rsid w:val="00070DD0"/>
    <w:rsid w:val="0007141A"/>
    <w:rsid w:val="00071619"/>
    <w:rsid w:val="0007194A"/>
    <w:rsid w:val="0007259E"/>
    <w:rsid w:val="000725F5"/>
    <w:rsid w:val="000745FB"/>
    <w:rsid w:val="0007480F"/>
    <w:rsid w:val="00074AAF"/>
    <w:rsid w:val="0007508F"/>
    <w:rsid w:val="000759EB"/>
    <w:rsid w:val="00076382"/>
    <w:rsid w:val="000764AD"/>
    <w:rsid w:val="00076B08"/>
    <w:rsid w:val="0007702B"/>
    <w:rsid w:val="000772BE"/>
    <w:rsid w:val="00077DFE"/>
    <w:rsid w:val="00080E0D"/>
    <w:rsid w:val="00081B23"/>
    <w:rsid w:val="00082C9E"/>
    <w:rsid w:val="0008375E"/>
    <w:rsid w:val="000837CB"/>
    <w:rsid w:val="00084408"/>
    <w:rsid w:val="00085177"/>
    <w:rsid w:val="00085FC9"/>
    <w:rsid w:val="0008688A"/>
    <w:rsid w:val="00086893"/>
    <w:rsid w:val="00087BA9"/>
    <w:rsid w:val="00090006"/>
    <w:rsid w:val="0009025A"/>
    <w:rsid w:val="00090C80"/>
    <w:rsid w:val="00091307"/>
    <w:rsid w:val="00091DC2"/>
    <w:rsid w:val="0009292E"/>
    <w:rsid w:val="00093C52"/>
    <w:rsid w:val="00094FE7"/>
    <w:rsid w:val="000954D2"/>
    <w:rsid w:val="00095F6E"/>
    <w:rsid w:val="00096069"/>
    <w:rsid w:val="00096521"/>
    <w:rsid w:val="000968C5"/>
    <w:rsid w:val="000968ED"/>
    <w:rsid w:val="00096C51"/>
    <w:rsid w:val="00096DFA"/>
    <w:rsid w:val="000974BE"/>
    <w:rsid w:val="000979F7"/>
    <w:rsid w:val="00097B34"/>
    <w:rsid w:val="000A00F4"/>
    <w:rsid w:val="000A0126"/>
    <w:rsid w:val="000A0643"/>
    <w:rsid w:val="000A12DC"/>
    <w:rsid w:val="000A16CE"/>
    <w:rsid w:val="000A1D85"/>
    <w:rsid w:val="000A27FB"/>
    <w:rsid w:val="000A280C"/>
    <w:rsid w:val="000A2927"/>
    <w:rsid w:val="000A312B"/>
    <w:rsid w:val="000A3356"/>
    <w:rsid w:val="000A39AE"/>
    <w:rsid w:val="000A3EEA"/>
    <w:rsid w:val="000A442B"/>
    <w:rsid w:val="000A454A"/>
    <w:rsid w:val="000A4775"/>
    <w:rsid w:val="000A5531"/>
    <w:rsid w:val="000A6519"/>
    <w:rsid w:val="000A6DE8"/>
    <w:rsid w:val="000A6F27"/>
    <w:rsid w:val="000A6FA7"/>
    <w:rsid w:val="000A73E3"/>
    <w:rsid w:val="000A7DBE"/>
    <w:rsid w:val="000A7E52"/>
    <w:rsid w:val="000B0054"/>
    <w:rsid w:val="000B0096"/>
    <w:rsid w:val="000B0BAE"/>
    <w:rsid w:val="000B11F8"/>
    <w:rsid w:val="000B15D8"/>
    <w:rsid w:val="000B19FF"/>
    <w:rsid w:val="000B1C3E"/>
    <w:rsid w:val="000B1D8F"/>
    <w:rsid w:val="000B1E8A"/>
    <w:rsid w:val="000B1EEA"/>
    <w:rsid w:val="000B2526"/>
    <w:rsid w:val="000B3014"/>
    <w:rsid w:val="000B30E2"/>
    <w:rsid w:val="000B3B89"/>
    <w:rsid w:val="000B3C7C"/>
    <w:rsid w:val="000B4B3B"/>
    <w:rsid w:val="000B6476"/>
    <w:rsid w:val="000B66A7"/>
    <w:rsid w:val="000B69FA"/>
    <w:rsid w:val="000B7003"/>
    <w:rsid w:val="000B7180"/>
    <w:rsid w:val="000B7442"/>
    <w:rsid w:val="000B744C"/>
    <w:rsid w:val="000B7548"/>
    <w:rsid w:val="000C0074"/>
    <w:rsid w:val="000C025D"/>
    <w:rsid w:val="000C0260"/>
    <w:rsid w:val="000C073B"/>
    <w:rsid w:val="000C092C"/>
    <w:rsid w:val="000C13F2"/>
    <w:rsid w:val="000C1462"/>
    <w:rsid w:val="000C14A3"/>
    <w:rsid w:val="000C1523"/>
    <w:rsid w:val="000C17EA"/>
    <w:rsid w:val="000C1964"/>
    <w:rsid w:val="000C1DBE"/>
    <w:rsid w:val="000C20FD"/>
    <w:rsid w:val="000C2166"/>
    <w:rsid w:val="000C253C"/>
    <w:rsid w:val="000C254C"/>
    <w:rsid w:val="000C2D94"/>
    <w:rsid w:val="000C3DC2"/>
    <w:rsid w:val="000C3FA8"/>
    <w:rsid w:val="000C4B4C"/>
    <w:rsid w:val="000C4FD1"/>
    <w:rsid w:val="000C56EF"/>
    <w:rsid w:val="000C703F"/>
    <w:rsid w:val="000C762E"/>
    <w:rsid w:val="000C76CF"/>
    <w:rsid w:val="000C7AB9"/>
    <w:rsid w:val="000D010B"/>
    <w:rsid w:val="000D04D3"/>
    <w:rsid w:val="000D0FDC"/>
    <w:rsid w:val="000D102F"/>
    <w:rsid w:val="000D1552"/>
    <w:rsid w:val="000D18D7"/>
    <w:rsid w:val="000D1BB8"/>
    <w:rsid w:val="000D2221"/>
    <w:rsid w:val="000D22F9"/>
    <w:rsid w:val="000D2489"/>
    <w:rsid w:val="000D2E97"/>
    <w:rsid w:val="000D324F"/>
    <w:rsid w:val="000D3260"/>
    <w:rsid w:val="000D329E"/>
    <w:rsid w:val="000D3789"/>
    <w:rsid w:val="000D4047"/>
    <w:rsid w:val="000D5122"/>
    <w:rsid w:val="000D5658"/>
    <w:rsid w:val="000D6F48"/>
    <w:rsid w:val="000D79D9"/>
    <w:rsid w:val="000D7B09"/>
    <w:rsid w:val="000D7FAC"/>
    <w:rsid w:val="000E0D36"/>
    <w:rsid w:val="000E1061"/>
    <w:rsid w:val="000E112F"/>
    <w:rsid w:val="000E1335"/>
    <w:rsid w:val="000E140A"/>
    <w:rsid w:val="000E144E"/>
    <w:rsid w:val="000E1949"/>
    <w:rsid w:val="000E1A81"/>
    <w:rsid w:val="000E1D84"/>
    <w:rsid w:val="000E23AA"/>
    <w:rsid w:val="000E23EA"/>
    <w:rsid w:val="000E3E9D"/>
    <w:rsid w:val="000E47C9"/>
    <w:rsid w:val="000E48DC"/>
    <w:rsid w:val="000E537D"/>
    <w:rsid w:val="000E5443"/>
    <w:rsid w:val="000E563D"/>
    <w:rsid w:val="000E599F"/>
    <w:rsid w:val="000E5A0A"/>
    <w:rsid w:val="000E5A42"/>
    <w:rsid w:val="000E65E9"/>
    <w:rsid w:val="000E6621"/>
    <w:rsid w:val="000E68DA"/>
    <w:rsid w:val="000E6A6D"/>
    <w:rsid w:val="000E6BF9"/>
    <w:rsid w:val="000E7029"/>
    <w:rsid w:val="000E70A6"/>
    <w:rsid w:val="000E7B38"/>
    <w:rsid w:val="000F05E1"/>
    <w:rsid w:val="000F0914"/>
    <w:rsid w:val="000F0B43"/>
    <w:rsid w:val="000F12C9"/>
    <w:rsid w:val="000F12FD"/>
    <w:rsid w:val="000F1641"/>
    <w:rsid w:val="000F1702"/>
    <w:rsid w:val="000F320D"/>
    <w:rsid w:val="000F41A6"/>
    <w:rsid w:val="000F4809"/>
    <w:rsid w:val="000F51DA"/>
    <w:rsid w:val="000F5222"/>
    <w:rsid w:val="000F57A9"/>
    <w:rsid w:val="000F57CE"/>
    <w:rsid w:val="000F58E0"/>
    <w:rsid w:val="000F591C"/>
    <w:rsid w:val="000F595B"/>
    <w:rsid w:val="000F5E3F"/>
    <w:rsid w:val="000F6025"/>
    <w:rsid w:val="000F6E15"/>
    <w:rsid w:val="000F7157"/>
    <w:rsid w:val="000F79E6"/>
    <w:rsid w:val="000F7F7E"/>
    <w:rsid w:val="0010081F"/>
    <w:rsid w:val="00100DE1"/>
    <w:rsid w:val="00101138"/>
    <w:rsid w:val="00101A75"/>
    <w:rsid w:val="00101CA5"/>
    <w:rsid w:val="001024C4"/>
    <w:rsid w:val="001025D7"/>
    <w:rsid w:val="001033BD"/>
    <w:rsid w:val="001033DC"/>
    <w:rsid w:val="00103552"/>
    <w:rsid w:val="001039D3"/>
    <w:rsid w:val="00103C93"/>
    <w:rsid w:val="00103D94"/>
    <w:rsid w:val="00103FD3"/>
    <w:rsid w:val="00104262"/>
    <w:rsid w:val="00104428"/>
    <w:rsid w:val="00104A2E"/>
    <w:rsid w:val="00104A41"/>
    <w:rsid w:val="00105770"/>
    <w:rsid w:val="001061BE"/>
    <w:rsid w:val="001062F1"/>
    <w:rsid w:val="00106401"/>
    <w:rsid w:val="00106C24"/>
    <w:rsid w:val="00107791"/>
    <w:rsid w:val="00107C93"/>
    <w:rsid w:val="001100D5"/>
    <w:rsid w:val="00110A50"/>
    <w:rsid w:val="00110C5E"/>
    <w:rsid w:val="00110FE6"/>
    <w:rsid w:val="0011118B"/>
    <w:rsid w:val="001111EE"/>
    <w:rsid w:val="0011177F"/>
    <w:rsid w:val="00111F70"/>
    <w:rsid w:val="00111FE4"/>
    <w:rsid w:val="001123A7"/>
    <w:rsid w:val="00112A64"/>
    <w:rsid w:val="00113181"/>
    <w:rsid w:val="001138C0"/>
    <w:rsid w:val="001138F3"/>
    <w:rsid w:val="00113926"/>
    <w:rsid w:val="00113C92"/>
    <w:rsid w:val="00113F74"/>
    <w:rsid w:val="0011405A"/>
    <w:rsid w:val="00114156"/>
    <w:rsid w:val="00114458"/>
    <w:rsid w:val="0011502D"/>
    <w:rsid w:val="001150C5"/>
    <w:rsid w:val="00115210"/>
    <w:rsid w:val="001152BD"/>
    <w:rsid w:val="00115FDC"/>
    <w:rsid w:val="001164CB"/>
    <w:rsid w:val="001168B8"/>
    <w:rsid w:val="00116B7B"/>
    <w:rsid w:val="001170B7"/>
    <w:rsid w:val="00117B8A"/>
    <w:rsid w:val="001204C9"/>
    <w:rsid w:val="001205E1"/>
    <w:rsid w:val="00120FE3"/>
    <w:rsid w:val="0012126B"/>
    <w:rsid w:val="00121369"/>
    <w:rsid w:val="001213BA"/>
    <w:rsid w:val="001221B5"/>
    <w:rsid w:val="00122278"/>
    <w:rsid w:val="00122371"/>
    <w:rsid w:val="00122900"/>
    <w:rsid w:val="00122936"/>
    <w:rsid w:val="00123AF0"/>
    <w:rsid w:val="00123CF5"/>
    <w:rsid w:val="001244FF"/>
    <w:rsid w:val="001247FA"/>
    <w:rsid w:val="001249B3"/>
    <w:rsid w:val="001249BE"/>
    <w:rsid w:val="00124D91"/>
    <w:rsid w:val="00124E01"/>
    <w:rsid w:val="00125188"/>
    <w:rsid w:val="00125993"/>
    <w:rsid w:val="00125A75"/>
    <w:rsid w:val="00125B31"/>
    <w:rsid w:val="00125D43"/>
    <w:rsid w:val="00125D87"/>
    <w:rsid w:val="00125FCF"/>
    <w:rsid w:val="001260A9"/>
    <w:rsid w:val="001263A8"/>
    <w:rsid w:val="001263B1"/>
    <w:rsid w:val="001269C5"/>
    <w:rsid w:val="00126B77"/>
    <w:rsid w:val="001274F1"/>
    <w:rsid w:val="0012792C"/>
    <w:rsid w:val="00127935"/>
    <w:rsid w:val="00127AA9"/>
    <w:rsid w:val="00127D7D"/>
    <w:rsid w:val="00130361"/>
    <w:rsid w:val="001306CD"/>
    <w:rsid w:val="00131138"/>
    <w:rsid w:val="001313B0"/>
    <w:rsid w:val="0013168E"/>
    <w:rsid w:val="00131782"/>
    <w:rsid w:val="00131D37"/>
    <w:rsid w:val="00131DCF"/>
    <w:rsid w:val="001320C8"/>
    <w:rsid w:val="001324E7"/>
    <w:rsid w:val="00132CA4"/>
    <w:rsid w:val="00133991"/>
    <w:rsid w:val="00133B56"/>
    <w:rsid w:val="00133D52"/>
    <w:rsid w:val="00133F37"/>
    <w:rsid w:val="00134704"/>
    <w:rsid w:val="00134944"/>
    <w:rsid w:val="00134A8E"/>
    <w:rsid w:val="00134E18"/>
    <w:rsid w:val="001354B7"/>
    <w:rsid w:val="00135570"/>
    <w:rsid w:val="00135622"/>
    <w:rsid w:val="001356E5"/>
    <w:rsid w:val="0013573A"/>
    <w:rsid w:val="0013587B"/>
    <w:rsid w:val="00136021"/>
    <w:rsid w:val="0013632D"/>
    <w:rsid w:val="00136690"/>
    <w:rsid w:val="00136C70"/>
    <w:rsid w:val="0013737F"/>
    <w:rsid w:val="001373DE"/>
    <w:rsid w:val="00137705"/>
    <w:rsid w:val="00137C0D"/>
    <w:rsid w:val="00141AE8"/>
    <w:rsid w:val="00142005"/>
    <w:rsid w:val="00142095"/>
    <w:rsid w:val="00142BF8"/>
    <w:rsid w:val="0014336D"/>
    <w:rsid w:val="00143B41"/>
    <w:rsid w:val="00143F4A"/>
    <w:rsid w:val="00144545"/>
    <w:rsid w:val="00144DAA"/>
    <w:rsid w:val="0014577B"/>
    <w:rsid w:val="001459B6"/>
    <w:rsid w:val="00145BD6"/>
    <w:rsid w:val="001463EC"/>
    <w:rsid w:val="001467B0"/>
    <w:rsid w:val="001468F2"/>
    <w:rsid w:val="00146924"/>
    <w:rsid w:val="00146ACA"/>
    <w:rsid w:val="00146D04"/>
    <w:rsid w:val="00147934"/>
    <w:rsid w:val="001479B5"/>
    <w:rsid w:val="00147EAD"/>
    <w:rsid w:val="00150090"/>
    <w:rsid w:val="00151742"/>
    <w:rsid w:val="0015199E"/>
    <w:rsid w:val="00152780"/>
    <w:rsid w:val="00153316"/>
    <w:rsid w:val="0015419A"/>
    <w:rsid w:val="0015430F"/>
    <w:rsid w:val="001545D6"/>
    <w:rsid w:val="00154EE3"/>
    <w:rsid w:val="00155144"/>
    <w:rsid w:val="00155472"/>
    <w:rsid w:val="001555E0"/>
    <w:rsid w:val="001558F1"/>
    <w:rsid w:val="00155B6D"/>
    <w:rsid w:val="00155D0A"/>
    <w:rsid w:val="00155EE2"/>
    <w:rsid w:val="00156641"/>
    <w:rsid w:val="001567CD"/>
    <w:rsid w:val="001569BA"/>
    <w:rsid w:val="00156EFF"/>
    <w:rsid w:val="00156F36"/>
    <w:rsid w:val="001573F0"/>
    <w:rsid w:val="001577A2"/>
    <w:rsid w:val="00157C44"/>
    <w:rsid w:val="00157DE8"/>
    <w:rsid w:val="00157E61"/>
    <w:rsid w:val="00160011"/>
    <w:rsid w:val="00160023"/>
    <w:rsid w:val="00160061"/>
    <w:rsid w:val="00160099"/>
    <w:rsid w:val="00160698"/>
    <w:rsid w:val="00160842"/>
    <w:rsid w:val="00160CF7"/>
    <w:rsid w:val="00161146"/>
    <w:rsid w:val="001633DA"/>
    <w:rsid w:val="001639C2"/>
    <w:rsid w:val="00163DDF"/>
    <w:rsid w:val="00163E43"/>
    <w:rsid w:val="00164977"/>
    <w:rsid w:val="00164C6B"/>
    <w:rsid w:val="00164D68"/>
    <w:rsid w:val="00164E25"/>
    <w:rsid w:val="00164F52"/>
    <w:rsid w:val="001650FE"/>
    <w:rsid w:val="0016598E"/>
    <w:rsid w:val="00165EAD"/>
    <w:rsid w:val="00165FAE"/>
    <w:rsid w:val="00166877"/>
    <w:rsid w:val="00167DC8"/>
    <w:rsid w:val="00170321"/>
    <w:rsid w:val="001705BE"/>
    <w:rsid w:val="00170DD8"/>
    <w:rsid w:val="00171335"/>
    <w:rsid w:val="001714B6"/>
    <w:rsid w:val="00171FA8"/>
    <w:rsid w:val="00172068"/>
    <w:rsid w:val="00172077"/>
    <w:rsid w:val="0017220C"/>
    <w:rsid w:val="0017257C"/>
    <w:rsid w:val="001727E7"/>
    <w:rsid w:val="0017386A"/>
    <w:rsid w:val="00173968"/>
    <w:rsid w:val="00173D3A"/>
    <w:rsid w:val="0017427D"/>
    <w:rsid w:val="0017486E"/>
    <w:rsid w:val="00174A9E"/>
    <w:rsid w:val="001751AD"/>
    <w:rsid w:val="0017554A"/>
    <w:rsid w:val="001757B8"/>
    <w:rsid w:val="00175FAB"/>
    <w:rsid w:val="00176A0F"/>
    <w:rsid w:val="0017709E"/>
    <w:rsid w:val="0017722C"/>
    <w:rsid w:val="00177664"/>
    <w:rsid w:val="0017771E"/>
    <w:rsid w:val="00177836"/>
    <w:rsid w:val="001778CD"/>
    <w:rsid w:val="00177A61"/>
    <w:rsid w:val="00177D42"/>
    <w:rsid w:val="00180335"/>
    <w:rsid w:val="001817E7"/>
    <w:rsid w:val="00181C36"/>
    <w:rsid w:val="00182034"/>
    <w:rsid w:val="00182462"/>
    <w:rsid w:val="00182AFD"/>
    <w:rsid w:val="00182CAE"/>
    <w:rsid w:val="00182F6F"/>
    <w:rsid w:val="00183427"/>
    <w:rsid w:val="00184D75"/>
    <w:rsid w:val="00185249"/>
    <w:rsid w:val="0018589E"/>
    <w:rsid w:val="00185B9F"/>
    <w:rsid w:val="0018673F"/>
    <w:rsid w:val="0018728D"/>
    <w:rsid w:val="001878DE"/>
    <w:rsid w:val="001907FC"/>
    <w:rsid w:val="00190D02"/>
    <w:rsid w:val="00190F33"/>
    <w:rsid w:val="0019127C"/>
    <w:rsid w:val="00191285"/>
    <w:rsid w:val="00191311"/>
    <w:rsid w:val="001913DF"/>
    <w:rsid w:val="00191492"/>
    <w:rsid w:val="0019287E"/>
    <w:rsid w:val="001930F3"/>
    <w:rsid w:val="001930FF"/>
    <w:rsid w:val="00193CB3"/>
    <w:rsid w:val="00193F15"/>
    <w:rsid w:val="001953E5"/>
    <w:rsid w:val="00195400"/>
    <w:rsid w:val="001958A6"/>
    <w:rsid w:val="00195F6D"/>
    <w:rsid w:val="00196044"/>
    <w:rsid w:val="00196147"/>
    <w:rsid w:val="00196972"/>
    <w:rsid w:val="00196B4B"/>
    <w:rsid w:val="00196C5B"/>
    <w:rsid w:val="00197282"/>
    <w:rsid w:val="001A020C"/>
    <w:rsid w:val="001A03C8"/>
    <w:rsid w:val="001A03F7"/>
    <w:rsid w:val="001A0631"/>
    <w:rsid w:val="001A06D9"/>
    <w:rsid w:val="001A0CAC"/>
    <w:rsid w:val="001A0FD0"/>
    <w:rsid w:val="001A1ABF"/>
    <w:rsid w:val="001A25CD"/>
    <w:rsid w:val="001A2639"/>
    <w:rsid w:val="001A2719"/>
    <w:rsid w:val="001A29DD"/>
    <w:rsid w:val="001A37B6"/>
    <w:rsid w:val="001A388D"/>
    <w:rsid w:val="001A4341"/>
    <w:rsid w:val="001A45AD"/>
    <w:rsid w:val="001A4685"/>
    <w:rsid w:val="001A4BB3"/>
    <w:rsid w:val="001A5E4B"/>
    <w:rsid w:val="001A6380"/>
    <w:rsid w:val="001A63AE"/>
    <w:rsid w:val="001A729F"/>
    <w:rsid w:val="001A7844"/>
    <w:rsid w:val="001A7895"/>
    <w:rsid w:val="001A7B4D"/>
    <w:rsid w:val="001B0613"/>
    <w:rsid w:val="001B074F"/>
    <w:rsid w:val="001B111A"/>
    <w:rsid w:val="001B15CC"/>
    <w:rsid w:val="001B16A7"/>
    <w:rsid w:val="001B1FF4"/>
    <w:rsid w:val="001B22E1"/>
    <w:rsid w:val="001B23B4"/>
    <w:rsid w:val="001B26CF"/>
    <w:rsid w:val="001B2B5A"/>
    <w:rsid w:val="001B2BA5"/>
    <w:rsid w:val="001B3038"/>
    <w:rsid w:val="001B3172"/>
    <w:rsid w:val="001B34E9"/>
    <w:rsid w:val="001B35F3"/>
    <w:rsid w:val="001B416B"/>
    <w:rsid w:val="001B4D08"/>
    <w:rsid w:val="001B4E25"/>
    <w:rsid w:val="001B5466"/>
    <w:rsid w:val="001B5793"/>
    <w:rsid w:val="001B5CA5"/>
    <w:rsid w:val="001B5DDE"/>
    <w:rsid w:val="001B606A"/>
    <w:rsid w:val="001B62D0"/>
    <w:rsid w:val="001B65B0"/>
    <w:rsid w:val="001B687A"/>
    <w:rsid w:val="001B6BFD"/>
    <w:rsid w:val="001B742E"/>
    <w:rsid w:val="001B748C"/>
    <w:rsid w:val="001B7677"/>
    <w:rsid w:val="001B7C2F"/>
    <w:rsid w:val="001B7C46"/>
    <w:rsid w:val="001B7DF0"/>
    <w:rsid w:val="001B7E94"/>
    <w:rsid w:val="001C031B"/>
    <w:rsid w:val="001C0940"/>
    <w:rsid w:val="001C148A"/>
    <w:rsid w:val="001C17E9"/>
    <w:rsid w:val="001C18BE"/>
    <w:rsid w:val="001C1DC8"/>
    <w:rsid w:val="001C1F92"/>
    <w:rsid w:val="001C2CAD"/>
    <w:rsid w:val="001C2EE4"/>
    <w:rsid w:val="001C3046"/>
    <w:rsid w:val="001C3ACE"/>
    <w:rsid w:val="001C3D0B"/>
    <w:rsid w:val="001C3DB7"/>
    <w:rsid w:val="001C3E91"/>
    <w:rsid w:val="001C4500"/>
    <w:rsid w:val="001C4953"/>
    <w:rsid w:val="001C4C26"/>
    <w:rsid w:val="001C535E"/>
    <w:rsid w:val="001C5F74"/>
    <w:rsid w:val="001C6141"/>
    <w:rsid w:val="001C6951"/>
    <w:rsid w:val="001C7E0C"/>
    <w:rsid w:val="001D19A7"/>
    <w:rsid w:val="001D22E5"/>
    <w:rsid w:val="001D25F6"/>
    <w:rsid w:val="001D2AD9"/>
    <w:rsid w:val="001D2E0E"/>
    <w:rsid w:val="001D2EA1"/>
    <w:rsid w:val="001D3DEB"/>
    <w:rsid w:val="001D4096"/>
    <w:rsid w:val="001D4865"/>
    <w:rsid w:val="001D4E9B"/>
    <w:rsid w:val="001D559C"/>
    <w:rsid w:val="001D654E"/>
    <w:rsid w:val="001D6930"/>
    <w:rsid w:val="001D6A97"/>
    <w:rsid w:val="001D6DBE"/>
    <w:rsid w:val="001D6EA3"/>
    <w:rsid w:val="001D73D5"/>
    <w:rsid w:val="001E014D"/>
    <w:rsid w:val="001E0354"/>
    <w:rsid w:val="001E03FE"/>
    <w:rsid w:val="001E0479"/>
    <w:rsid w:val="001E065A"/>
    <w:rsid w:val="001E0910"/>
    <w:rsid w:val="001E11BE"/>
    <w:rsid w:val="001E14A2"/>
    <w:rsid w:val="001E1A52"/>
    <w:rsid w:val="001E1DA3"/>
    <w:rsid w:val="001E2164"/>
    <w:rsid w:val="001E3903"/>
    <w:rsid w:val="001E3D44"/>
    <w:rsid w:val="001E424D"/>
    <w:rsid w:val="001E5BBB"/>
    <w:rsid w:val="001E603D"/>
    <w:rsid w:val="001E6095"/>
    <w:rsid w:val="001E65E6"/>
    <w:rsid w:val="001E68C5"/>
    <w:rsid w:val="001E6E7B"/>
    <w:rsid w:val="001E7465"/>
    <w:rsid w:val="001E7791"/>
    <w:rsid w:val="001E779B"/>
    <w:rsid w:val="001E798B"/>
    <w:rsid w:val="001E7BDD"/>
    <w:rsid w:val="001E7C03"/>
    <w:rsid w:val="001F00AD"/>
    <w:rsid w:val="001F03DD"/>
    <w:rsid w:val="001F0432"/>
    <w:rsid w:val="001F061D"/>
    <w:rsid w:val="001F090C"/>
    <w:rsid w:val="001F0AD8"/>
    <w:rsid w:val="001F0FBD"/>
    <w:rsid w:val="001F0FC5"/>
    <w:rsid w:val="001F206A"/>
    <w:rsid w:val="001F262F"/>
    <w:rsid w:val="001F26F9"/>
    <w:rsid w:val="001F27C7"/>
    <w:rsid w:val="001F2EF2"/>
    <w:rsid w:val="001F3893"/>
    <w:rsid w:val="001F4386"/>
    <w:rsid w:val="001F4573"/>
    <w:rsid w:val="001F4889"/>
    <w:rsid w:val="001F4DDF"/>
    <w:rsid w:val="001F5178"/>
    <w:rsid w:val="001F525A"/>
    <w:rsid w:val="001F5592"/>
    <w:rsid w:val="001F57D9"/>
    <w:rsid w:val="001F5B49"/>
    <w:rsid w:val="001F5C43"/>
    <w:rsid w:val="001F5F42"/>
    <w:rsid w:val="001F6144"/>
    <w:rsid w:val="001F6399"/>
    <w:rsid w:val="001F63C6"/>
    <w:rsid w:val="001F6F34"/>
    <w:rsid w:val="001F737C"/>
    <w:rsid w:val="001F73CB"/>
    <w:rsid w:val="001F7896"/>
    <w:rsid w:val="0020044B"/>
    <w:rsid w:val="002004F7"/>
    <w:rsid w:val="002005A0"/>
    <w:rsid w:val="002006FA"/>
    <w:rsid w:val="00200B0E"/>
    <w:rsid w:val="00200C78"/>
    <w:rsid w:val="00200DE2"/>
    <w:rsid w:val="00200E22"/>
    <w:rsid w:val="00200EFE"/>
    <w:rsid w:val="002011D7"/>
    <w:rsid w:val="002015C1"/>
    <w:rsid w:val="002015F2"/>
    <w:rsid w:val="002017A6"/>
    <w:rsid w:val="0020182E"/>
    <w:rsid w:val="00202384"/>
    <w:rsid w:val="00202B5D"/>
    <w:rsid w:val="00202FE3"/>
    <w:rsid w:val="0020322D"/>
    <w:rsid w:val="002035BB"/>
    <w:rsid w:val="00203E2F"/>
    <w:rsid w:val="00203F81"/>
    <w:rsid w:val="002042F4"/>
    <w:rsid w:val="00204BCA"/>
    <w:rsid w:val="00204E5D"/>
    <w:rsid w:val="002051C6"/>
    <w:rsid w:val="00205552"/>
    <w:rsid w:val="0020598B"/>
    <w:rsid w:val="00206843"/>
    <w:rsid w:val="00206A8B"/>
    <w:rsid w:val="00207B84"/>
    <w:rsid w:val="002103E5"/>
    <w:rsid w:val="00210B62"/>
    <w:rsid w:val="00211E9D"/>
    <w:rsid w:val="00211F87"/>
    <w:rsid w:val="00212224"/>
    <w:rsid w:val="002129EF"/>
    <w:rsid w:val="0021349C"/>
    <w:rsid w:val="0021352E"/>
    <w:rsid w:val="00213604"/>
    <w:rsid w:val="00213694"/>
    <w:rsid w:val="00213A95"/>
    <w:rsid w:val="00213C4E"/>
    <w:rsid w:val="00214595"/>
    <w:rsid w:val="00214BD2"/>
    <w:rsid w:val="00214D29"/>
    <w:rsid w:val="00214E4A"/>
    <w:rsid w:val="002152E7"/>
    <w:rsid w:val="00215757"/>
    <w:rsid w:val="00215AA6"/>
    <w:rsid w:val="00215DD8"/>
    <w:rsid w:val="0021646B"/>
    <w:rsid w:val="002165E0"/>
    <w:rsid w:val="00216792"/>
    <w:rsid w:val="002167BA"/>
    <w:rsid w:val="00217336"/>
    <w:rsid w:val="0021737E"/>
    <w:rsid w:val="00217C4A"/>
    <w:rsid w:val="00217DFD"/>
    <w:rsid w:val="002202ED"/>
    <w:rsid w:val="002204FC"/>
    <w:rsid w:val="0022051B"/>
    <w:rsid w:val="00220558"/>
    <w:rsid w:val="0022093F"/>
    <w:rsid w:val="00221390"/>
    <w:rsid w:val="0022185E"/>
    <w:rsid w:val="00221E5A"/>
    <w:rsid w:val="00222140"/>
    <w:rsid w:val="002221E3"/>
    <w:rsid w:val="002226D7"/>
    <w:rsid w:val="00222879"/>
    <w:rsid w:val="00223852"/>
    <w:rsid w:val="00223940"/>
    <w:rsid w:val="00224451"/>
    <w:rsid w:val="00225A4A"/>
    <w:rsid w:val="00226A1A"/>
    <w:rsid w:val="00226D92"/>
    <w:rsid w:val="00227460"/>
    <w:rsid w:val="0022753A"/>
    <w:rsid w:val="0022784E"/>
    <w:rsid w:val="00227A67"/>
    <w:rsid w:val="00227CEB"/>
    <w:rsid w:val="00227F49"/>
    <w:rsid w:val="0023047B"/>
    <w:rsid w:val="0023064E"/>
    <w:rsid w:val="0023072F"/>
    <w:rsid w:val="0023073A"/>
    <w:rsid w:val="00230A96"/>
    <w:rsid w:val="002310E7"/>
    <w:rsid w:val="00232273"/>
    <w:rsid w:val="002325D0"/>
    <w:rsid w:val="00232977"/>
    <w:rsid w:val="00232C18"/>
    <w:rsid w:val="0023328C"/>
    <w:rsid w:val="002334F9"/>
    <w:rsid w:val="00233538"/>
    <w:rsid w:val="00233CC7"/>
    <w:rsid w:val="00233FF0"/>
    <w:rsid w:val="00234361"/>
    <w:rsid w:val="00235884"/>
    <w:rsid w:val="00235B7E"/>
    <w:rsid w:val="002366E4"/>
    <w:rsid w:val="00236D8B"/>
    <w:rsid w:val="00236ED0"/>
    <w:rsid w:val="00237369"/>
    <w:rsid w:val="002373A2"/>
    <w:rsid w:val="00237599"/>
    <w:rsid w:val="0023792E"/>
    <w:rsid w:val="00237A1C"/>
    <w:rsid w:val="002401C4"/>
    <w:rsid w:val="00240471"/>
    <w:rsid w:val="002412DD"/>
    <w:rsid w:val="00241467"/>
    <w:rsid w:val="0024164C"/>
    <w:rsid w:val="00241770"/>
    <w:rsid w:val="00242152"/>
    <w:rsid w:val="0024217B"/>
    <w:rsid w:val="002422A9"/>
    <w:rsid w:val="00242F80"/>
    <w:rsid w:val="0024324F"/>
    <w:rsid w:val="002436C1"/>
    <w:rsid w:val="002437DE"/>
    <w:rsid w:val="002438F1"/>
    <w:rsid w:val="0024415A"/>
    <w:rsid w:val="002450CD"/>
    <w:rsid w:val="002454AB"/>
    <w:rsid w:val="002455EA"/>
    <w:rsid w:val="00245669"/>
    <w:rsid w:val="002460FB"/>
    <w:rsid w:val="00247220"/>
    <w:rsid w:val="00247C23"/>
    <w:rsid w:val="00250B87"/>
    <w:rsid w:val="00250C74"/>
    <w:rsid w:val="0025135D"/>
    <w:rsid w:val="002513D1"/>
    <w:rsid w:val="0025205A"/>
    <w:rsid w:val="0025207F"/>
    <w:rsid w:val="00252362"/>
    <w:rsid w:val="00252C7C"/>
    <w:rsid w:val="00253F2E"/>
    <w:rsid w:val="0025411D"/>
    <w:rsid w:val="002542B0"/>
    <w:rsid w:val="002542B6"/>
    <w:rsid w:val="00254A2E"/>
    <w:rsid w:val="00255325"/>
    <w:rsid w:val="00255BDA"/>
    <w:rsid w:val="002562DB"/>
    <w:rsid w:val="00256D5F"/>
    <w:rsid w:val="00256E4B"/>
    <w:rsid w:val="00257085"/>
    <w:rsid w:val="00257F09"/>
    <w:rsid w:val="00260022"/>
    <w:rsid w:val="002600A5"/>
    <w:rsid w:val="002606E7"/>
    <w:rsid w:val="0026094A"/>
    <w:rsid w:val="0026124E"/>
    <w:rsid w:val="00261919"/>
    <w:rsid w:val="00261A24"/>
    <w:rsid w:val="00261DF2"/>
    <w:rsid w:val="00262556"/>
    <w:rsid w:val="0026300C"/>
    <w:rsid w:val="002635F6"/>
    <w:rsid w:val="00264633"/>
    <w:rsid w:val="00264CB8"/>
    <w:rsid w:val="00264F4B"/>
    <w:rsid w:val="00265E3F"/>
    <w:rsid w:val="0026611F"/>
    <w:rsid w:val="002661B6"/>
    <w:rsid w:val="00266A7E"/>
    <w:rsid w:val="00266C46"/>
    <w:rsid w:val="002671E8"/>
    <w:rsid w:val="00267369"/>
    <w:rsid w:val="00267E3F"/>
    <w:rsid w:val="00270597"/>
    <w:rsid w:val="00270602"/>
    <w:rsid w:val="002709BD"/>
    <w:rsid w:val="00270FAD"/>
    <w:rsid w:val="002717E7"/>
    <w:rsid w:val="00271E4F"/>
    <w:rsid w:val="002720CC"/>
    <w:rsid w:val="00272784"/>
    <w:rsid w:val="00272AD7"/>
    <w:rsid w:val="00272DB1"/>
    <w:rsid w:val="002730E8"/>
    <w:rsid w:val="002733B8"/>
    <w:rsid w:val="00273840"/>
    <w:rsid w:val="00273BCD"/>
    <w:rsid w:val="00273F89"/>
    <w:rsid w:val="0027423C"/>
    <w:rsid w:val="00274E6D"/>
    <w:rsid w:val="002753A9"/>
    <w:rsid w:val="00275844"/>
    <w:rsid w:val="00275C40"/>
    <w:rsid w:val="00275DAE"/>
    <w:rsid w:val="00275E14"/>
    <w:rsid w:val="00275F17"/>
    <w:rsid w:val="0027631D"/>
    <w:rsid w:val="00276761"/>
    <w:rsid w:val="00276A31"/>
    <w:rsid w:val="00277B20"/>
    <w:rsid w:val="00277BC3"/>
    <w:rsid w:val="0028039A"/>
    <w:rsid w:val="002807D0"/>
    <w:rsid w:val="00280DF3"/>
    <w:rsid w:val="00281016"/>
    <w:rsid w:val="002813C7"/>
    <w:rsid w:val="00281608"/>
    <w:rsid w:val="00281DBD"/>
    <w:rsid w:val="002820A0"/>
    <w:rsid w:val="00282575"/>
    <w:rsid w:val="00282900"/>
    <w:rsid w:val="002829DB"/>
    <w:rsid w:val="00282F5B"/>
    <w:rsid w:val="00283057"/>
    <w:rsid w:val="00283388"/>
    <w:rsid w:val="00283494"/>
    <w:rsid w:val="00283EAB"/>
    <w:rsid w:val="002843D7"/>
    <w:rsid w:val="002845C9"/>
    <w:rsid w:val="00284CA2"/>
    <w:rsid w:val="002850CA"/>
    <w:rsid w:val="002851AA"/>
    <w:rsid w:val="002855C3"/>
    <w:rsid w:val="002855CF"/>
    <w:rsid w:val="00285B27"/>
    <w:rsid w:val="002873E2"/>
    <w:rsid w:val="002900F8"/>
    <w:rsid w:val="00291208"/>
    <w:rsid w:val="00291B4B"/>
    <w:rsid w:val="00291DD0"/>
    <w:rsid w:val="00291E53"/>
    <w:rsid w:val="00292021"/>
    <w:rsid w:val="002921C7"/>
    <w:rsid w:val="002927FF"/>
    <w:rsid w:val="0029285F"/>
    <w:rsid w:val="00292C24"/>
    <w:rsid w:val="002935DA"/>
    <w:rsid w:val="00293D85"/>
    <w:rsid w:val="00294745"/>
    <w:rsid w:val="00294A3E"/>
    <w:rsid w:val="00294B93"/>
    <w:rsid w:val="00294F7E"/>
    <w:rsid w:val="002950F8"/>
    <w:rsid w:val="0029512B"/>
    <w:rsid w:val="002953B1"/>
    <w:rsid w:val="0029546E"/>
    <w:rsid w:val="00295703"/>
    <w:rsid w:val="00295724"/>
    <w:rsid w:val="00295B07"/>
    <w:rsid w:val="00295BA4"/>
    <w:rsid w:val="00295CE6"/>
    <w:rsid w:val="00295E19"/>
    <w:rsid w:val="00296483"/>
    <w:rsid w:val="00296950"/>
    <w:rsid w:val="00296C31"/>
    <w:rsid w:val="00296C66"/>
    <w:rsid w:val="00296DC0"/>
    <w:rsid w:val="00297D4B"/>
    <w:rsid w:val="00297F55"/>
    <w:rsid w:val="002A0153"/>
    <w:rsid w:val="002A0346"/>
    <w:rsid w:val="002A0515"/>
    <w:rsid w:val="002A0F3C"/>
    <w:rsid w:val="002A1318"/>
    <w:rsid w:val="002A1427"/>
    <w:rsid w:val="002A1C11"/>
    <w:rsid w:val="002A229C"/>
    <w:rsid w:val="002A23EB"/>
    <w:rsid w:val="002A291C"/>
    <w:rsid w:val="002A29B7"/>
    <w:rsid w:val="002A2CD8"/>
    <w:rsid w:val="002A2EB1"/>
    <w:rsid w:val="002A3240"/>
    <w:rsid w:val="002A3A6D"/>
    <w:rsid w:val="002A3F66"/>
    <w:rsid w:val="002A4195"/>
    <w:rsid w:val="002A4383"/>
    <w:rsid w:val="002A4CD3"/>
    <w:rsid w:val="002A53AD"/>
    <w:rsid w:val="002A590B"/>
    <w:rsid w:val="002A5FC3"/>
    <w:rsid w:val="002A5FEA"/>
    <w:rsid w:val="002A6641"/>
    <w:rsid w:val="002A6E7C"/>
    <w:rsid w:val="002A730E"/>
    <w:rsid w:val="002A7C26"/>
    <w:rsid w:val="002B0819"/>
    <w:rsid w:val="002B08AA"/>
    <w:rsid w:val="002B093F"/>
    <w:rsid w:val="002B0C52"/>
    <w:rsid w:val="002B0E44"/>
    <w:rsid w:val="002B0EF7"/>
    <w:rsid w:val="002B1226"/>
    <w:rsid w:val="002B1465"/>
    <w:rsid w:val="002B2072"/>
    <w:rsid w:val="002B2405"/>
    <w:rsid w:val="002B2898"/>
    <w:rsid w:val="002B2D11"/>
    <w:rsid w:val="002B42B7"/>
    <w:rsid w:val="002B435A"/>
    <w:rsid w:val="002B46EF"/>
    <w:rsid w:val="002B50AE"/>
    <w:rsid w:val="002B601D"/>
    <w:rsid w:val="002B652F"/>
    <w:rsid w:val="002B668A"/>
    <w:rsid w:val="002B6878"/>
    <w:rsid w:val="002B6EBC"/>
    <w:rsid w:val="002B6F45"/>
    <w:rsid w:val="002B74B5"/>
    <w:rsid w:val="002B7700"/>
    <w:rsid w:val="002B79A4"/>
    <w:rsid w:val="002C04D4"/>
    <w:rsid w:val="002C1334"/>
    <w:rsid w:val="002C151D"/>
    <w:rsid w:val="002C1559"/>
    <w:rsid w:val="002C159B"/>
    <w:rsid w:val="002C22D0"/>
    <w:rsid w:val="002C252A"/>
    <w:rsid w:val="002C2BC0"/>
    <w:rsid w:val="002C2F29"/>
    <w:rsid w:val="002C3060"/>
    <w:rsid w:val="002C355C"/>
    <w:rsid w:val="002C3A97"/>
    <w:rsid w:val="002C3AB9"/>
    <w:rsid w:val="002C3DFA"/>
    <w:rsid w:val="002C41D5"/>
    <w:rsid w:val="002C4352"/>
    <w:rsid w:val="002C47CF"/>
    <w:rsid w:val="002C537C"/>
    <w:rsid w:val="002C5791"/>
    <w:rsid w:val="002C60D1"/>
    <w:rsid w:val="002C6DD9"/>
    <w:rsid w:val="002C6E92"/>
    <w:rsid w:val="002C79BB"/>
    <w:rsid w:val="002C7A80"/>
    <w:rsid w:val="002D012B"/>
    <w:rsid w:val="002D04C1"/>
    <w:rsid w:val="002D0D0E"/>
    <w:rsid w:val="002D0F55"/>
    <w:rsid w:val="002D19A7"/>
    <w:rsid w:val="002D1A73"/>
    <w:rsid w:val="002D1C95"/>
    <w:rsid w:val="002D2033"/>
    <w:rsid w:val="002D2871"/>
    <w:rsid w:val="002D2937"/>
    <w:rsid w:val="002D2987"/>
    <w:rsid w:val="002D2F39"/>
    <w:rsid w:val="002D3029"/>
    <w:rsid w:val="002D3151"/>
    <w:rsid w:val="002D3262"/>
    <w:rsid w:val="002D35FE"/>
    <w:rsid w:val="002D3700"/>
    <w:rsid w:val="002D38C2"/>
    <w:rsid w:val="002D3C97"/>
    <w:rsid w:val="002D3F74"/>
    <w:rsid w:val="002D4F5E"/>
    <w:rsid w:val="002D51F7"/>
    <w:rsid w:val="002D55AF"/>
    <w:rsid w:val="002D5BD6"/>
    <w:rsid w:val="002D65ED"/>
    <w:rsid w:val="002D67F9"/>
    <w:rsid w:val="002D694D"/>
    <w:rsid w:val="002D6FBA"/>
    <w:rsid w:val="002D704B"/>
    <w:rsid w:val="002D7650"/>
    <w:rsid w:val="002D7DB7"/>
    <w:rsid w:val="002E02FF"/>
    <w:rsid w:val="002E048F"/>
    <w:rsid w:val="002E0509"/>
    <w:rsid w:val="002E0C5D"/>
    <w:rsid w:val="002E1545"/>
    <w:rsid w:val="002E1DD1"/>
    <w:rsid w:val="002E1E46"/>
    <w:rsid w:val="002E28A5"/>
    <w:rsid w:val="002E2BA7"/>
    <w:rsid w:val="002E35A7"/>
    <w:rsid w:val="002E3857"/>
    <w:rsid w:val="002E3B09"/>
    <w:rsid w:val="002E3F29"/>
    <w:rsid w:val="002E4043"/>
    <w:rsid w:val="002E4952"/>
    <w:rsid w:val="002E51A2"/>
    <w:rsid w:val="002E570D"/>
    <w:rsid w:val="002E5CDA"/>
    <w:rsid w:val="002E60C7"/>
    <w:rsid w:val="002E622D"/>
    <w:rsid w:val="002E6641"/>
    <w:rsid w:val="002E66A6"/>
    <w:rsid w:val="002E6A02"/>
    <w:rsid w:val="002E6B49"/>
    <w:rsid w:val="002E6CF3"/>
    <w:rsid w:val="002E7189"/>
    <w:rsid w:val="002E7600"/>
    <w:rsid w:val="002E7815"/>
    <w:rsid w:val="002F13B1"/>
    <w:rsid w:val="002F1556"/>
    <w:rsid w:val="002F1700"/>
    <w:rsid w:val="002F184D"/>
    <w:rsid w:val="002F22D6"/>
    <w:rsid w:val="002F2459"/>
    <w:rsid w:val="002F2F23"/>
    <w:rsid w:val="002F2F49"/>
    <w:rsid w:val="002F3188"/>
    <w:rsid w:val="002F3B14"/>
    <w:rsid w:val="002F404C"/>
    <w:rsid w:val="002F414F"/>
    <w:rsid w:val="002F4AD0"/>
    <w:rsid w:val="002F4C9D"/>
    <w:rsid w:val="002F4F33"/>
    <w:rsid w:val="002F5156"/>
    <w:rsid w:val="002F594E"/>
    <w:rsid w:val="002F59F8"/>
    <w:rsid w:val="002F6BB4"/>
    <w:rsid w:val="002F728D"/>
    <w:rsid w:val="002F729D"/>
    <w:rsid w:val="002F7760"/>
    <w:rsid w:val="002F7C05"/>
    <w:rsid w:val="00300C61"/>
    <w:rsid w:val="00300EF3"/>
    <w:rsid w:val="00301345"/>
    <w:rsid w:val="00301677"/>
    <w:rsid w:val="003017D1"/>
    <w:rsid w:val="00301C50"/>
    <w:rsid w:val="00301C76"/>
    <w:rsid w:val="00301F85"/>
    <w:rsid w:val="0030204F"/>
    <w:rsid w:val="00302134"/>
    <w:rsid w:val="003024A3"/>
    <w:rsid w:val="003026D6"/>
    <w:rsid w:val="003033DF"/>
    <w:rsid w:val="00303714"/>
    <w:rsid w:val="00303A91"/>
    <w:rsid w:val="00303B26"/>
    <w:rsid w:val="003045D2"/>
    <w:rsid w:val="003056BC"/>
    <w:rsid w:val="00305D84"/>
    <w:rsid w:val="00306111"/>
    <w:rsid w:val="00306195"/>
    <w:rsid w:val="003068C2"/>
    <w:rsid w:val="0030690C"/>
    <w:rsid w:val="00306B9C"/>
    <w:rsid w:val="00306D9E"/>
    <w:rsid w:val="00306DD4"/>
    <w:rsid w:val="00306ED4"/>
    <w:rsid w:val="00307FCB"/>
    <w:rsid w:val="003104F3"/>
    <w:rsid w:val="00310B41"/>
    <w:rsid w:val="00311181"/>
    <w:rsid w:val="00312034"/>
    <w:rsid w:val="00312401"/>
    <w:rsid w:val="00312C58"/>
    <w:rsid w:val="00312FA3"/>
    <w:rsid w:val="00313643"/>
    <w:rsid w:val="00313C0B"/>
    <w:rsid w:val="00314096"/>
    <w:rsid w:val="003143FB"/>
    <w:rsid w:val="0031476B"/>
    <w:rsid w:val="0031483F"/>
    <w:rsid w:val="0031491B"/>
    <w:rsid w:val="00314C6B"/>
    <w:rsid w:val="00315CA4"/>
    <w:rsid w:val="0031626A"/>
    <w:rsid w:val="003164EA"/>
    <w:rsid w:val="00316FBF"/>
    <w:rsid w:val="003170E1"/>
    <w:rsid w:val="00317447"/>
    <w:rsid w:val="00317C80"/>
    <w:rsid w:val="00320AB2"/>
    <w:rsid w:val="00320E74"/>
    <w:rsid w:val="00321147"/>
    <w:rsid w:val="00321D81"/>
    <w:rsid w:val="00321EEF"/>
    <w:rsid w:val="00321F9C"/>
    <w:rsid w:val="003220DF"/>
    <w:rsid w:val="003226F9"/>
    <w:rsid w:val="00322815"/>
    <w:rsid w:val="00322C75"/>
    <w:rsid w:val="003231EF"/>
    <w:rsid w:val="00323489"/>
    <w:rsid w:val="00323872"/>
    <w:rsid w:val="00323B38"/>
    <w:rsid w:val="00323C1C"/>
    <w:rsid w:val="00324755"/>
    <w:rsid w:val="003247AF"/>
    <w:rsid w:val="00324CE7"/>
    <w:rsid w:val="00324D19"/>
    <w:rsid w:val="0032501D"/>
    <w:rsid w:val="003253BE"/>
    <w:rsid w:val="0032558C"/>
    <w:rsid w:val="0032580C"/>
    <w:rsid w:val="00326794"/>
    <w:rsid w:val="00326970"/>
    <w:rsid w:val="003269BC"/>
    <w:rsid w:val="003269E7"/>
    <w:rsid w:val="00327019"/>
    <w:rsid w:val="00327346"/>
    <w:rsid w:val="00327368"/>
    <w:rsid w:val="00327737"/>
    <w:rsid w:val="003279C0"/>
    <w:rsid w:val="00327B2C"/>
    <w:rsid w:val="00327CCF"/>
    <w:rsid w:val="0033083B"/>
    <w:rsid w:val="00330AB2"/>
    <w:rsid w:val="00330D06"/>
    <w:rsid w:val="00330F15"/>
    <w:rsid w:val="0033130F"/>
    <w:rsid w:val="00331414"/>
    <w:rsid w:val="003315EB"/>
    <w:rsid w:val="00331752"/>
    <w:rsid w:val="003317B2"/>
    <w:rsid w:val="0033197E"/>
    <w:rsid w:val="00331E23"/>
    <w:rsid w:val="00331FC9"/>
    <w:rsid w:val="003320DD"/>
    <w:rsid w:val="00333628"/>
    <w:rsid w:val="00333962"/>
    <w:rsid w:val="00333E87"/>
    <w:rsid w:val="00333F01"/>
    <w:rsid w:val="00334465"/>
    <w:rsid w:val="0033465E"/>
    <w:rsid w:val="003348E4"/>
    <w:rsid w:val="00334F3D"/>
    <w:rsid w:val="00335261"/>
    <w:rsid w:val="003355AF"/>
    <w:rsid w:val="003357F5"/>
    <w:rsid w:val="00336597"/>
    <w:rsid w:val="00336993"/>
    <w:rsid w:val="003369F5"/>
    <w:rsid w:val="00336C24"/>
    <w:rsid w:val="00336E6C"/>
    <w:rsid w:val="003371DB"/>
    <w:rsid w:val="0033735C"/>
    <w:rsid w:val="0033790E"/>
    <w:rsid w:val="00337A39"/>
    <w:rsid w:val="003405F0"/>
    <w:rsid w:val="00340F2B"/>
    <w:rsid w:val="00341177"/>
    <w:rsid w:val="00341B6F"/>
    <w:rsid w:val="00341C4D"/>
    <w:rsid w:val="00341D94"/>
    <w:rsid w:val="0034223E"/>
    <w:rsid w:val="003422B6"/>
    <w:rsid w:val="003427CB"/>
    <w:rsid w:val="00342B0D"/>
    <w:rsid w:val="00342D34"/>
    <w:rsid w:val="00343C24"/>
    <w:rsid w:val="00343F79"/>
    <w:rsid w:val="003447CC"/>
    <w:rsid w:val="00344BFC"/>
    <w:rsid w:val="003455BF"/>
    <w:rsid w:val="00345BC0"/>
    <w:rsid w:val="0034657E"/>
    <w:rsid w:val="00346632"/>
    <w:rsid w:val="00346BD7"/>
    <w:rsid w:val="0034741C"/>
    <w:rsid w:val="003479C3"/>
    <w:rsid w:val="0035016E"/>
    <w:rsid w:val="0035068E"/>
    <w:rsid w:val="003506BE"/>
    <w:rsid w:val="00350B7F"/>
    <w:rsid w:val="00350DF3"/>
    <w:rsid w:val="0035129A"/>
    <w:rsid w:val="0035195B"/>
    <w:rsid w:val="00351BF1"/>
    <w:rsid w:val="00352301"/>
    <w:rsid w:val="0035232C"/>
    <w:rsid w:val="00352776"/>
    <w:rsid w:val="00352A43"/>
    <w:rsid w:val="003535DB"/>
    <w:rsid w:val="00353CB5"/>
    <w:rsid w:val="00353E1E"/>
    <w:rsid w:val="003542BE"/>
    <w:rsid w:val="0035472A"/>
    <w:rsid w:val="0035487A"/>
    <w:rsid w:val="00355E3D"/>
    <w:rsid w:val="00355F82"/>
    <w:rsid w:val="003566D2"/>
    <w:rsid w:val="00356AB7"/>
    <w:rsid w:val="003573E0"/>
    <w:rsid w:val="00357782"/>
    <w:rsid w:val="003578DC"/>
    <w:rsid w:val="0036036B"/>
    <w:rsid w:val="0036060F"/>
    <w:rsid w:val="00360A57"/>
    <w:rsid w:val="00360BCC"/>
    <w:rsid w:val="00360F63"/>
    <w:rsid w:val="003611AC"/>
    <w:rsid w:val="003613E3"/>
    <w:rsid w:val="003618D6"/>
    <w:rsid w:val="00361E5B"/>
    <w:rsid w:val="003620B4"/>
    <w:rsid w:val="003626B5"/>
    <w:rsid w:val="00362C5A"/>
    <w:rsid w:val="003630F0"/>
    <w:rsid w:val="00363214"/>
    <w:rsid w:val="003633DE"/>
    <w:rsid w:val="003635AA"/>
    <w:rsid w:val="003637D8"/>
    <w:rsid w:val="00363C16"/>
    <w:rsid w:val="003649C8"/>
    <w:rsid w:val="0036513B"/>
    <w:rsid w:val="003656EB"/>
    <w:rsid w:val="00365731"/>
    <w:rsid w:val="00365A03"/>
    <w:rsid w:val="00365A29"/>
    <w:rsid w:val="00366668"/>
    <w:rsid w:val="00366C0A"/>
    <w:rsid w:val="00367103"/>
    <w:rsid w:val="00367568"/>
    <w:rsid w:val="00367AAD"/>
    <w:rsid w:val="00370ADE"/>
    <w:rsid w:val="00370CCF"/>
    <w:rsid w:val="00370DBC"/>
    <w:rsid w:val="00370FAB"/>
    <w:rsid w:val="0037106F"/>
    <w:rsid w:val="003710EC"/>
    <w:rsid w:val="00371723"/>
    <w:rsid w:val="00371B46"/>
    <w:rsid w:val="003720AE"/>
    <w:rsid w:val="0037241F"/>
    <w:rsid w:val="00372772"/>
    <w:rsid w:val="00373925"/>
    <w:rsid w:val="0037397B"/>
    <w:rsid w:val="00373AD0"/>
    <w:rsid w:val="00373B33"/>
    <w:rsid w:val="00373DF0"/>
    <w:rsid w:val="0037442E"/>
    <w:rsid w:val="0037456A"/>
    <w:rsid w:val="00374694"/>
    <w:rsid w:val="003746BB"/>
    <w:rsid w:val="00374713"/>
    <w:rsid w:val="00375D2F"/>
    <w:rsid w:val="003766E3"/>
    <w:rsid w:val="0037774A"/>
    <w:rsid w:val="003777BA"/>
    <w:rsid w:val="00377ADC"/>
    <w:rsid w:val="00380620"/>
    <w:rsid w:val="0038090E"/>
    <w:rsid w:val="0038092E"/>
    <w:rsid w:val="00380B76"/>
    <w:rsid w:val="00380BF7"/>
    <w:rsid w:val="00380C05"/>
    <w:rsid w:val="00380DCC"/>
    <w:rsid w:val="00380FC5"/>
    <w:rsid w:val="0038139C"/>
    <w:rsid w:val="0038141E"/>
    <w:rsid w:val="00381649"/>
    <w:rsid w:val="003818AA"/>
    <w:rsid w:val="00381912"/>
    <w:rsid w:val="003824BC"/>
    <w:rsid w:val="00382555"/>
    <w:rsid w:val="003825BE"/>
    <w:rsid w:val="003826D9"/>
    <w:rsid w:val="00383BD1"/>
    <w:rsid w:val="00385564"/>
    <w:rsid w:val="00386540"/>
    <w:rsid w:val="003874D1"/>
    <w:rsid w:val="00387B4B"/>
    <w:rsid w:val="003901DE"/>
    <w:rsid w:val="0039086F"/>
    <w:rsid w:val="00391B48"/>
    <w:rsid w:val="00391F49"/>
    <w:rsid w:val="00391F4C"/>
    <w:rsid w:val="003921F7"/>
    <w:rsid w:val="00392C51"/>
    <w:rsid w:val="00392C90"/>
    <w:rsid w:val="00392CF9"/>
    <w:rsid w:val="00392DEE"/>
    <w:rsid w:val="003931F7"/>
    <w:rsid w:val="0039341D"/>
    <w:rsid w:val="0039388B"/>
    <w:rsid w:val="00393BA1"/>
    <w:rsid w:val="003941DC"/>
    <w:rsid w:val="00394818"/>
    <w:rsid w:val="00394945"/>
    <w:rsid w:val="00394A46"/>
    <w:rsid w:val="00395CFD"/>
    <w:rsid w:val="0039614D"/>
    <w:rsid w:val="003962A8"/>
    <w:rsid w:val="003967EC"/>
    <w:rsid w:val="00397665"/>
    <w:rsid w:val="003A006F"/>
    <w:rsid w:val="003A0680"/>
    <w:rsid w:val="003A13AE"/>
    <w:rsid w:val="003A2BCB"/>
    <w:rsid w:val="003A2F4D"/>
    <w:rsid w:val="003A3050"/>
    <w:rsid w:val="003A34F1"/>
    <w:rsid w:val="003A3605"/>
    <w:rsid w:val="003A3EF3"/>
    <w:rsid w:val="003A4827"/>
    <w:rsid w:val="003A4937"/>
    <w:rsid w:val="003A499F"/>
    <w:rsid w:val="003A4FBA"/>
    <w:rsid w:val="003A5040"/>
    <w:rsid w:val="003A51CF"/>
    <w:rsid w:val="003A6238"/>
    <w:rsid w:val="003A6826"/>
    <w:rsid w:val="003A68FD"/>
    <w:rsid w:val="003A6942"/>
    <w:rsid w:val="003A6F93"/>
    <w:rsid w:val="003A721F"/>
    <w:rsid w:val="003A7F37"/>
    <w:rsid w:val="003B014C"/>
    <w:rsid w:val="003B0914"/>
    <w:rsid w:val="003B1416"/>
    <w:rsid w:val="003B1E41"/>
    <w:rsid w:val="003B2D14"/>
    <w:rsid w:val="003B2F26"/>
    <w:rsid w:val="003B3490"/>
    <w:rsid w:val="003B3D0E"/>
    <w:rsid w:val="003B3DA5"/>
    <w:rsid w:val="003B42A8"/>
    <w:rsid w:val="003B439F"/>
    <w:rsid w:val="003B46BE"/>
    <w:rsid w:val="003B4D04"/>
    <w:rsid w:val="003B507D"/>
    <w:rsid w:val="003B5A30"/>
    <w:rsid w:val="003B5E14"/>
    <w:rsid w:val="003B77FB"/>
    <w:rsid w:val="003B7CF2"/>
    <w:rsid w:val="003C0005"/>
    <w:rsid w:val="003C0322"/>
    <w:rsid w:val="003C0BA9"/>
    <w:rsid w:val="003C135D"/>
    <w:rsid w:val="003C1D9F"/>
    <w:rsid w:val="003C2A95"/>
    <w:rsid w:val="003C33B1"/>
    <w:rsid w:val="003C3BB4"/>
    <w:rsid w:val="003C4218"/>
    <w:rsid w:val="003C42DC"/>
    <w:rsid w:val="003C4426"/>
    <w:rsid w:val="003C4573"/>
    <w:rsid w:val="003C4ADA"/>
    <w:rsid w:val="003C4D01"/>
    <w:rsid w:val="003C4DA2"/>
    <w:rsid w:val="003C5060"/>
    <w:rsid w:val="003C5C2B"/>
    <w:rsid w:val="003C5E17"/>
    <w:rsid w:val="003C6EC8"/>
    <w:rsid w:val="003C7A60"/>
    <w:rsid w:val="003D079A"/>
    <w:rsid w:val="003D18E6"/>
    <w:rsid w:val="003D1A11"/>
    <w:rsid w:val="003D1D6F"/>
    <w:rsid w:val="003D2529"/>
    <w:rsid w:val="003D25C9"/>
    <w:rsid w:val="003D2DEE"/>
    <w:rsid w:val="003D2EBE"/>
    <w:rsid w:val="003D2F95"/>
    <w:rsid w:val="003D3436"/>
    <w:rsid w:val="003D41A2"/>
    <w:rsid w:val="003D433B"/>
    <w:rsid w:val="003D4F68"/>
    <w:rsid w:val="003D5374"/>
    <w:rsid w:val="003D5DC8"/>
    <w:rsid w:val="003D616A"/>
    <w:rsid w:val="003D6A1A"/>
    <w:rsid w:val="003D6CAC"/>
    <w:rsid w:val="003D716D"/>
    <w:rsid w:val="003D7C32"/>
    <w:rsid w:val="003D7D46"/>
    <w:rsid w:val="003E05E7"/>
    <w:rsid w:val="003E081B"/>
    <w:rsid w:val="003E094E"/>
    <w:rsid w:val="003E09B9"/>
    <w:rsid w:val="003E1129"/>
    <w:rsid w:val="003E13F9"/>
    <w:rsid w:val="003E20D6"/>
    <w:rsid w:val="003E2205"/>
    <w:rsid w:val="003E2858"/>
    <w:rsid w:val="003E336E"/>
    <w:rsid w:val="003E36ED"/>
    <w:rsid w:val="003E3BD5"/>
    <w:rsid w:val="003E3D2C"/>
    <w:rsid w:val="003E444A"/>
    <w:rsid w:val="003E44DC"/>
    <w:rsid w:val="003E4512"/>
    <w:rsid w:val="003E462C"/>
    <w:rsid w:val="003E46CF"/>
    <w:rsid w:val="003E4F6F"/>
    <w:rsid w:val="003E505A"/>
    <w:rsid w:val="003E506E"/>
    <w:rsid w:val="003E50C4"/>
    <w:rsid w:val="003E514E"/>
    <w:rsid w:val="003E53FC"/>
    <w:rsid w:val="003E6624"/>
    <w:rsid w:val="003E6CC8"/>
    <w:rsid w:val="003E6EEB"/>
    <w:rsid w:val="003E74F7"/>
    <w:rsid w:val="003E76B7"/>
    <w:rsid w:val="003E7BA3"/>
    <w:rsid w:val="003E7F82"/>
    <w:rsid w:val="003F019D"/>
    <w:rsid w:val="003F027D"/>
    <w:rsid w:val="003F071C"/>
    <w:rsid w:val="003F07FB"/>
    <w:rsid w:val="003F0CF5"/>
    <w:rsid w:val="003F0E27"/>
    <w:rsid w:val="003F12DB"/>
    <w:rsid w:val="003F14F8"/>
    <w:rsid w:val="003F25EF"/>
    <w:rsid w:val="003F273D"/>
    <w:rsid w:val="003F2A76"/>
    <w:rsid w:val="003F39E4"/>
    <w:rsid w:val="003F3D95"/>
    <w:rsid w:val="003F3DD4"/>
    <w:rsid w:val="003F5430"/>
    <w:rsid w:val="003F55F4"/>
    <w:rsid w:val="003F5987"/>
    <w:rsid w:val="003F5DED"/>
    <w:rsid w:val="003F5F0F"/>
    <w:rsid w:val="003F6221"/>
    <w:rsid w:val="003F6299"/>
    <w:rsid w:val="003F66C2"/>
    <w:rsid w:val="003F6863"/>
    <w:rsid w:val="003F6FBA"/>
    <w:rsid w:val="003F7672"/>
    <w:rsid w:val="003F7889"/>
    <w:rsid w:val="003F7CE5"/>
    <w:rsid w:val="0040089B"/>
    <w:rsid w:val="00400B7A"/>
    <w:rsid w:val="004013CD"/>
    <w:rsid w:val="0040185F"/>
    <w:rsid w:val="004018D1"/>
    <w:rsid w:val="00401B94"/>
    <w:rsid w:val="004022CE"/>
    <w:rsid w:val="004028BA"/>
    <w:rsid w:val="004035A7"/>
    <w:rsid w:val="00403701"/>
    <w:rsid w:val="004039C5"/>
    <w:rsid w:val="00403B22"/>
    <w:rsid w:val="00403D3E"/>
    <w:rsid w:val="00403DEA"/>
    <w:rsid w:val="00403E5A"/>
    <w:rsid w:val="00404177"/>
    <w:rsid w:val="004045C3"/>
    <w:rsid w:val="00404EE3"/>
    <w:rsid w:val="00405007"/>
    <w:rsid w:val="00405520"/>
    <w:rsid w:val="0040572B"/>
    <w:rsid w:val="00405882"/>
    <w:rsid w:val="00405D03"/>
    <w:rsid w:val="00405ED8"/>
    <w:rsid w:val="004060B3"/>
    <w:rsid w:val="00406201"/>
    <w:rsid w:val="004073A4"/>
    <w:rsid w:val="004074B9"/>
    <w:rsid w:val="004104FC"/>
    <w:rsid w:val="004107C1"/>
    <w:rsid w:val="004110DF"/>
    <w:rsid w:val="0041127B"/>
    <w:rsid w:val="0041158D"/>
    <w:rsid w:val="004117C8"/>
    <w:rsid w:val="00411AB2"/>
    <w:rsid w:val="00411EF1"/>
    <w:rsid w:val="004122E3"/>
    <w:rsid w:val="00413ECE"/>
    <w:rsid w:val="004149CB"/>
    <w:rsid w:val="00414AFA"/>
    <w:rsid w:val="00414CEB"/>
    <w:rsid w:val="0041599F"/>
    <w:rsid w:val="00415E37"/>
    <w:rsid w:val="00415F5E"/>
    <w:rsid w:val="00415FC0"/>
    <w:rsid w:val="00416080"/>
    <w:rsid w:val="00416983"/>
    <w:rsid w:val="00417007"/>
    <w:rsid w:val="004202B5"/>
    <w:rsid w:val="0042068F"/>
    <w:rsid w:val="00420F31"/>
    <w:rsid w:val="004211B1"/>
    <w:rsid w:val="0042187D"/>
    <w:rsid w:val="00421A31"/>
    <w:rsid w:val="00422435"/>
    <w:rsid w:val="004224B4"/>
    <w:rsid w:val="00422787"/>
    <w:rsid w:val="00422F93"/>
    <w:rsid w:val="004232ED"/>
    <w:rsid w:val="004237C9"/>
    <w:rsid w:val="0042424E"/>
    <w:rsid w:val="004244EA"/>
    <w:rsid w:val="0042538D"/>
    <w:rsid w:val="00425A1A"/>
    <w:rsid w:val="00425BCF"/>
    <w:rsid w:val="004262AA"/>
    <w:rsid w:val="004269D3"/>
    <w:rsid w:val="00426AF7"/>
    <w:rsid w:val="00426BE5"/>
    <w:rsid w:val="00426E29"/>
    <w:rsid w:val="00427131"/>
    <w:rsid w:val="0042723F"/>
    <w:rsid w:val="00427403"/>
    <w:rsid w:val="004276ED"/>
    <w:rsid w:val="00427A28"/>
    <w:rsid w:val="004300B4"/>
    <w:rsid w:val="0043033B"/>
    <w:rsid w:val="004303CC"/>
    <w:rsid w:val="004304B2"/>
    <w:rsid w:val="00430721"/>
    <w:rsid w:val="0043079D"/>
    <w:rsid w:val="00431744"/>
    <w:rsid w:val="00431AD6"/>
    <w:rsid w:val="00431B48"/>
    <w:rsid w:val="00431D0E"/>
    <w:rsid w:val="0043265C"/>
    <w:rsid w:val="004337C9"/>
    <w:rsid w:val="00433A0E"/>
    <w:rsid w:val="00433A3E"/>
    <w:rsid w:val="00433DEB"/>
    <w:rsid w:val="00433F0B"/>
    <w:rsid w:val="0043413D"/>
    <w:rsid w:val="0043442C"/>
    <w:rsid w:val="0043486A"/>
    <w:rsid w:val="00434DE9"/>
    <w:rsid w:val="00435495"/>
    <w:rsid w:val="0043677C"/>
    <w:rsid w:val="004368AA"/>
    <w:rsid w:val="004371DE"/>
    <w:rsid w:val="00437528"/>
    <w:rsid w:val="00437B06"/>
    <w:rsid w:val="0044015A"/>
    <w:rsid w:val="00440380"/>
    <w:rsid w:val="004403AA"/>
    <w:rsid w:val="0044041E"/>
    <w:rsid w:val="00441035"/>
    <w:rsid w:val="004420DF"/>
    <w:rsid w:val="004427DB"/>
    <w:rsid w:val="00442809"/>
    <w:rsid w:val="00442CEF"/>
    <w:rsid w:val="00442D3C"/>
    <w:rsid w:val="004430FA"/>
    <w:rsid w:val="004433BD"/>
    <w:rsid w:val="0044355D"/>
    <w:rsid w:val="00443C87"/>
    <w:rsid w:val="00443FB2"/>
    <w:rsid w:val="004447B5"/>
    <w:rsid w:val="004456C3"/>
    <w:rsid w:val="00446173"/>
    <w:rsid w:val="004462D6"/>
    <w:rsid w:val="004465D0"/>
    <w:rsid w:val="00446790"/>
    <w:rsid w:val="00446F23"/>
    <w:rsid w:val="00447586"/>
    <w:rsid w:val="00447A12"/>
    <w:rsid w:val="004502B2"/>
    <w:rsid w:val="0045068C"/>
    <w:rsid w:val="00450CAB"/>
    <w:rsid w:val="00450F85"/>
    <w:rsid w:val="004517AF"/>
    <w:rsid w:val="00451FF2"/>
    <w:rsid w:val="00453B76"/>
    <w:rsid w:val="00453F07"/>
    <w:rsid w:val="00454181"/>
    <w:rsid w:val="0045434F"/>
    <w:rsid w:val="0045438C"/>
    <w:rsid w:val="00454477"/>
    <w:rsid w:val="00454C5A"/>
    <w:rsid w:val="00455701"/>
    <w:rsid w:val="004559F9"/>
    <w:rsid w:val="00455C80"/>
    <w:rsid w:val="00455CD5"/>
    <w:rsid w:val="004563DD"/>
    <w:rsid w:val="00456CDF"/>
    <w:rsid w:val="00456D97"/>
    <w:rsid w:val="00456F6D"/>
    <w:rsid w:val="00457458"/>
    <w:rsid w:val="00457741"/>
    <w:rsid w:val="00457872"/>
    <w:rsid w:val="00457F73"/>
    <w:rsid w:val="00460B9F"/>
    <w:rsid w:val="0046107F"/>
    <w:rsid w:val="0046115B"/>
    <w:rsid w:val="00461274"/>
    <w:rsid w:val="004614B2"/>
    <w:rsid w:val="004614B4"/>
    <w:rsid w:val="0046193D"/>
    <w:rsid w:val="00461D91"/>
    <w:rsid w:val="004621CE"/>
    <w:rsid w:val="004654B1"/>
    <w:rsid w:val="0046557B"/>
    <w:rsid w:val="00465B3C"/>
    <w:rsid w:val="00465EAF"/>
    <w:rsid w:val="00466114"/>
    <w:rsid w:val="004666EB"/>
    <w:rsid w:val="00466845"/>
    <w:rsid w:val="0046684E"/>
    <w:rsid w:val="0046692F"/>
    <w:rsid w:val="0046757E"/>
    <w:rsid w:val="004701A0"/>
    <w:rsid w:val="00470338"/>
    <w:rsid w:val="0047033E"/>
    <w:rsid w:val="00470EFE"/>
    <w:rsid w:val="00471C1A"/>
    <w:rsid w:val="00471F10"/>
    <w:rsid w:val="00472568"/>
    <w:rsid w:val="004730EF"/>
    <w:rsid w:val="004736B1"/>
    <w:rsid w:val="004738F5"/>
    <w:rsid w:val="004740F2"/>
    <w:rsid w:val="0047417D"/>
    <w:rsid w:val="00474E77"/>
    <w:rsid w:val="00475708"/>
    <w:rsid w:val="0047581F"/>
    <w:rsid w:val="00475EA2"/>
    <w:rsid w:val="004766B7"/>
    <w:rsid w:val="00476991"/>
    <w:rsid w:val="00476C8F"/>
    <w:rsid w:val="00476F73"/>
    <w:rsid w:val="00477416"/>
    <w:rsid w:val="004800EB"/>
    <w:rsid w:val="00480D1E"/>
    <w:rsid w:val="00481D33"/>
    <w:rsid w:val="00482295"/>
    <w:rsid w:val="004822A0"/>
    <w:rsid w:val="004822E9"/>
    <w:rsid w:val="0048269D"/>
    <w:rsid w:val="00482D74"/>
    <w:rsid w:val="00482E3B"/>
    <w:rsid w:val="00484245"/>
    <w:rsid w:val="00484361"/>
    <w:rsid w:val="004844D9"/>
    <w:rsid w:val="00484659"/>
    <w:rsid w:val="00484678"/>
    <w:rsid w:val="00484E04"/>
    <w:rsid w:val="00485183"/>
    <w:rsid w:val="004855BE"/>
    <w:rsid w:val="00485878"/>
    <w:rsid w:val="00485A57"/>
    <w:rsid w:val="00485E5B"/>
    <w:rsid w:val="00485E70"/>
    <w:rsid w:val="00486587"/>
    <w:rsid w:val="004867BC"/>
    <w:rsid w:val="00486A41"/>
    <w:rsid w:val="00486C68"/>
    <w:rsid w:val="00486D74"/>
    <w:rsid w:val="00486DEC"/>
    <w:rsid w:val="004871B0"/>
    <w:rsid w:val="00487564"/>
    <w:rsid w:val="00487899"/>
    <w:rsid w:val="004902B4"/>
    <w:rsid w:val="004905F3"/>
    <w:rsid w:val="00490985"/>
    <w:rsid w:val="00490B10"/>
    <w:rsid w:val="00490B67"/>
    <w:rsid w:val="00490E53"/>
    <w:rsid w:val="00491305"/>
    <w:rsid w:val="0049147B"/>
    <w:rsid w:val="00491668"/>
    <w:rsid w:val="00491C14"/>
    <w:rsid w:val="0049261B"/>
    <w:rsid w:val="004929E8"/>
    <w:rsid w:val="00492F2D"/>
    <w:rsid w:val="00492FAA"/>
    <w:rsid w:val="00492FD6"/>
    <w:rsid w:val="004936E8"/>
    <w:rsid w:val="0049401A"/>
    <w:rsid w:val="00494332"/>
    <w:rsid w:val="00494BE0"/>
    <w:rsid w:val="004958F6"/>
    <w:rsid w:val="00495974"/>
    <w:rsid w:val="00495AB3"/>
    <w:rsid w:val="00495C4A"/>
    <w:rsid w:val="00495EE8"/>
    <w:rsid w:val="004968C1"/>
    <w:rsid w:val="00496A8D"/>
    <w:rsid w:val="004974D9"/>
    <w:rsid w:val="004977C3"/>
    <w:rsid w:val="004A09C8"/>
    <w:rsid w:val="004A11F0"/>
    <w:rsid w:val="004A1AD7"/>
    <w:rsid w:val="004A1FB2"/>
    <w:rsid w:val="004A2FA9"/>
    <w:rsid w:val="004A341F"/>
    <w:rsid w:val="004A3531"/>
    <w:rsid w:val="004A36CE"/>
    <w:rsid w:val="004A3CFE"/>
    <w:rsid w:val="004A4621"/>
    <w:rsid w:val="004A4BDE"/>
    <w:rsid w:val="004A4D66"/>
    <w:rsid w:val="004A519F"/>
    <w:rsid w:val="004A5295"/>
    <w:rsid w:val="004A52A8"/>
    <w:rsid w:val="004A5C1E"/>
    <w:rsid w:val="004A5DC5"/>
    <w:rsid w:val="004A63A9"/>
    <w:rsid w:val="004A63FA"/>
    <w:rsid w:val="004A6B1E"/>
    <w:rsid w:val="004A7631"/>
    <w:rsid w:val="004A77D6"/>
    <w:rsid w:val="004A7952"/>
    <w:rsid w:val="004A7DE3"/>
    <w:rsid w:val="004B0148"/>
    <w:rsid w:val="004B052B"/>
    <w:rsid w:val="004B0ABB"/>
    <w:rsid w:val="004B0C11"/>
    <w:rsid w:val="004B19BE"/>
    <w:rsid w:val="004B1A72"/>
    <w:rsid w:val="004B1A7A"/>
    <w:rsid w:val="004B1C77"/>
    <w:rsid w:val="004B202E"/>
    <w:rsid w:val="004B20FA"/>
    <w:rsid w:val="004B2D91"/>
    <w:rsid w:val="004B32E0"/>
    <w:rsid w:val="004B3BDB"/>
    <w:rsid w:val="004B40BF"/>
    <w:rsid w:val="004B4569"/>
    <w:rsid w:val="004B4863"/>
    <w:rsid w:val="004B4D7D"/>
    <w:rsid w:val="004B568E"/>
    <w:rsid w:val="004B603D"/>
    <w:rsid w:val="004B685E"/>
    <w:rsid w:val="004B69F5"/>
    <w:rsid w:val="004B6A26"/>
    <w:rsid w:val="004B6E5D"/>
    <w:rsid w:val="004B7264"/>
    <w:rsid w:val="004B74D9"/>
    <w:rsid w:val="004B7E94"/>
    <w:rsid w:val="004B7FAD"/>
    <w:rsid w:val="004C00E1"/>
    <w:rsid w:val="004C0AA7"/>
    <w:rsid w:val="004C0BC5"/>
    <w:rsid w:val="004C0D44"/>
    <w:rsid w:val="004C1234"/>
    <w:rsid w:val="004C13CF"/>
    <w:rsid w:val="004C18E3"/>
    <w:rsid w:val="004C21D2"/>
    <w:rsid w:val="004C2291"/>
    <w:rsid w:val="004C2598"/>
    <w:rsid w:val="004C2DD9"/>
    <w:rsid w:val="004C36B9"/>
    <w:rsid w:val="004C3E60"/>
    <w:rsid w:val="004C42BE"/>
    <w:rsid w:val="004C4AF6"/>
    <w:rsid w:val="004C528A"/>
    <w:rsid w:val="004C6075"/>
    <w:rsid w:val="004C6742"/>
    <w:rsid w:val="004C6A4A"/>
    <w:rsid w:val="004C6BCC"/>
    <w:rsid w:val="004C702A"/>
    <w:rsid w:val="004C7817"/>
    <w:rsid w:val="004C7C30"/>
    <w:rsid w:val="004C7F17"/>
    <w:rsid w:val="004D02A2"/>
    <w:rsid w:val="004D02FB"/>
    <w:rsid w:val="004D0A75"/>
    <w:rsid w:val="004D135D"/>
    <w:rsid w:val="004D13C0"/>
    <w:rsid w:val="004D246B"/>
    <w:rsid w:val="004D248F"/>
    <w:rsid w:val="004D2C5E"/>
    <w:rsid w:val="004D2CB6"/>
    <w:rsid w:val="004D2F80"/>
    <w:rsid w:val="004D4293"/>
    <w:rsid w:val="004D5719"/>
    <w:rsid w:val="004D6739"/>
    <w:rsid w:val="004D6896"/>
    <w:rsid w:val="004D6CF9"/>
    <w:rsid w:val="004D7479"/>
    <w:rsid w:val="004D7876"/>
    <w:rsid w:val="004D7BAF"/>
    <w:rsid w:val="004D7D6E"/>
    <w:rsid w:val="004D7D80"/>
    <w:rsid w:val="004D7E8D"/>
    <w:rsid w:val="004E0480"/>
    <w:rsid w:val="004E0B76"/>
    <w:rsid w:val="004E0F2B"/>
    <w:rsid w:val="004E10C9"/>
    <w:rsid w:val="004E16EE"/>
    <w:rsid w:val="004E1948"/>
    <w:rsid w:val="004E1A3B"/>
    <w:rsid w:val="004E1AE9"/>
    <w:rsid w:val="004E1D13"/>
    <w:rsid w:val="004E1E85"/>
    <w:rsid w:val="004E1FAB"/>
    <w:rsid w:val="004E217E"/>
    <w:rsid w:val="004E219E"/>
    <w:rsid w:val="004E22CD"/>
    <w:rsid w:val="004E2929"/>
    <w:rsid w:val="004E2DDF"/>
    <w:rsid w:val="004E3223"/>
    <w:rsid w:val="004E3274"/>
    <w:rsid w:val="004E3916"/>
    <w:rsid w:val="004E41A4"/>
    <w:rsid w:val="004E4287"/>
    <w:rsid w:val="004E4538"/>
    <w:rsid w:val="004E56E0"/>
    <w:rsid w:val="004E5A20"/>
    <w:rsid w:val="004E5D42"/>
    <w:rsid w:val="004E6399"/>
    <w:rsid w:val="004E6EAF"/>
    <w:rsid w:val="004E7444"/>
    <w:rsid w:val="004E7BE3"/>
    <w:rsid w:val="004E7CB4"/>
    <w:rsid w:val="004E7CF2"/>
    <w:rsid w:val="004E7DC1"/>
    <w:rsid w:val="004F0865"/>
    <w:rsid w:val="004F204E"/>
    <w:rsid w:val="004F234D"/>
    <w:rsid w:val="004F25D5"/>
    <w:rsid w:val="004F2EED"/>
    <w:rsid w:val="004F2F78"/>
    <w:rsid w:val="004F31E5"/>
    <w:rsid w:val="004F3218"/>
    <w:rsid w:val="004F3423"/>
    <w:rsid w:val="004F355B"/>
    <w:rsid w:val="004F3F93"/>
    <w:rsid w:val="004F43CD"/>
    <w:rsid w:val="004F4B4C"/>
    <w:rsid w:val="004F5424"/>
    <w:rsid w:val="004F55BD"/>
    <w:rsid w:val="004F57FE"/>
    <w:rsid w:val="004F5AF0"/>
    <w:rsid w:val="004F66BD"/>
    <w:rsid w:val="004F6C91"/>
    <w:rsid w:val="004F73A3"/>
    <w:rsid w:val="00500238"/>
    <w:rsid w:val="005007A6"/>
    <w:rsid w:val="00500D8C"/>
    <w:rsid w:val="0050130D"/>
    <w:rsid w:val="005015CC"/>
    <w:rsid w:val="00501CDC"/>
    <w:rsid w:val="00502307"/>
    <w:rsid w:val="005024D3"/>
    <w:rsid w:val="005027AC"/>
    <w:rsid w:val="0050289C"/>
    <w:rsid w:val="00502C69"/>
    <w:rsid w:val="00502CFA"/>
    <w:rsid w:val="00502E3E"/>
    <w:rsid w:val="00502F7A"/>
    <w:rsid w:val="00502F8D"/>
    <w:rsid w:val="005031B4"/>
    <w:rsid w:val="0050335D"/>
    <w:rsid w:val="00504865"/>
    <w:rsid w:val="00504979"/>
    <w:rsid w:val="00504F24"/>
    <w:rsid w:val="00505666"/>
    <w:rsid w:val="005058C6"/>
    <w:rsid w:val="00505C8A"/>
    <w:rsid w:val="00505F8A"/>
    <w:rsid w:val="005060D9"/>
    <w:rsid w:val="00506A30"/>
    <w:rsid w:val="00506DC6"/>
    <w:rsid w:val="00506EE2"/>
    <w:rsid w:val="005078A5"/>
    <w:rsid w:val="00510E39"/>
    <w:rsid w:val="00510EC1"/>
    <w:rsid w:val="00511213"/>
    <w:rsid w:val="00511658"/>
    <w:rsid w:val="005119F8"/>
    <w:rsid w:val="00511BD1"/>
    <w:rsid w:val="00512384"/>
    <w:rsid w:val="005123B0"/>
    <w:rsid w:val="00513439"/>
    <w:rsid w:val="005135A3"/>
    <w:rsid w:val="00513630"/>
    <w:rsid w:val="00513707"/>
    <w:rsid w:val="00513AA0"/>
    <w:rsid w:val="00513B8E"/>
    <w:rsid w:val="00513C25"/>
    <w:rsid w:val="005147AA"/>
    <w:rsid w:val="00514AFA"/>
    <w:rsid w:val="00514FED"/>
    <w:rsid w:val="005151E3"/>
    <w:rsid w:val="00515427"/>
    <w:rsid w:val="00515606"/>
    <w:rsid w:val="00515711"/>
    <w:rsid w:val="00515B3B"/>
    <w:rsid w:val="00515B67"/>
    <w:rsid w:val="00516149"/>
    <w:rsid w:val="0051656F"/>
    <w:rsid w:val="00516785"/>
    <w:rsid w:val="00516DAF"/>
    <w:rsid w:val="00516F0A"/>
    <w:rsid w:val="00517FF0"/>
    <w:rsid w:val="0052028A"/>
    <w:rsid w:val="00520AED"/>
    <w:rsid w:val="00520D6D"/>
    <w:rsid w:val="005216D7"/>
    <w:rsid w:val="00521BD6"/>
    <w:rsid w:val="0052252E"/>
    <w:rsid w:val="00522829"/>
    <w:rsid w:val="00523150"/>
    <w:rsid w:val="00523226"/>
    <w:rsid w:val="00523C53"/>
    <w:rsid w:val="005241D0"/>
    <w:rsid w:val="00524534"/>
    <w:rsid w:val="00524EDB"/>
    <w:rsid w:val="005250CD"/>
    <w:rsid w:val="0052529A"/>
    <w:rsid w:val="00525677"/>
    <w:rsid w:val="00525DAE"/>
    <w:rsid w:val="0052653C"/>
    <w:rsid w:val="005269AC"/>
    <w:rsid w:val="005273BA"/>
    <w:rsid w:val="005276FF"/>
    <w:rsid w:val="005305FC"/>
    <w:rsid w:val="005306E0"/>
    <w:rsid w:val="005308B8"/>
    <w:rsid w:val="00531581"/>
    <w:rsid w:val="00531ECB"/>
    <w:rsid w:val="00532555"/>
    <w:rsid w:val="00532590"/>
    <w:rsid w:val="00532B6A"/>
    <w:rsid w:val="00533470"/>
    <w:rsid w:val="005336F5"/>
    <w:rsid w:val="005338F5"/>
    <w:rsid w:val="0053396B"/>
    <w:rsid w:val="00533B19"/>
    <w:rsid w:val="00533BED"/>
    <w:rsid w:val="00533F1B"/>
    <w:rsid w:val="005343DC"/>
    <w:rsid w:val="00534469"/>
    <w:rsid w:val="0053454A"/>
    <w:rsid w:val="00534A74"/>
    <w:rsid w:val="00535237"/>
    <w:rsid w:val="005359FD"/>
    <w:rsid w:val="00535FAB"/>
    <w:rsid w:val="00536170"/>
    <w:rsid w:val="005361BC"/>
    <w:rsid w:val="005368C8"/>
    <w:rsid w:val="00536CAC"/>
    <w:rsid w:val="00536E4B"/>
    <w:rsid w:val="00536E4D"/>
    <w:rsid w:val="005372E4"/>
    <w:rsid w:val="0053796C"/>
    <w:rsid w:val="00537CC0"/>
    <w:rsid w:val="00540CA3"/>
    <w:rsid w:val="00541283"/>
    <w:rsid w:val="00541743"/>
    <w:rsid w:val="00541AC4"/>
    <w:rsid w:val="00541C62"/>
    <w:rsid w:val="00542509"/>
    <w:rsid w:val="005427B7"/>
    <w:rsid w:val="00543132"/>
    <w:rsid w:val="005438E5"/>
    <w:rsid w:val="005449A9"/>
    <w:rsid w:val="005449C6"/>
    <w:rsid w:val="00544FBD"/>
    <w:rsid w:val="00545049"/>
    <w:rsid w:val="005456D9"/>
    <w:rsid w:val="00545713"/>
    <w:rsid w:val="00545AF1"/>
    <w:rsid w:val="00545E9D"/>
    <w:rsid w:val="005464F3"/>
    <w:rsid w:val="00546FED"/>
    <w:rsid w:val="00550004"/>
    <w:rsid w:val="00550329"/>
    <w:rsid w:val="00550467"/>
    <w:rsid w:val="005505B7"/>
    <w:rsid w:val="0055086E"/>
    <w:rsid w:val="00550D05"/>
    <w:rsid w:val="00551098"/>
    <w:rsid w:val="00551560"/>
    <w:rsid w:val="00551653"/>
    <w:rsid w:val="0055178B"/>
    <w:rsid w:val="00551A2E"/>
    <w:rsid w:val="0055204C"/>
    <w:rsid w:val="0055232B"/>
    <w:rsid w:val="00552B9C"/>
    <w:rsid w:val="00552BF9"/>
    <w:rsid w:val="00553A85"/>
    <w:rsid w:val="00553D8D"/>
    <w:rsid w:val="00554353"/>
    <w:rsid w:val="005545B2"/>
    <w:rsid w:val="0055460C"/>
    <w:rsid w:val="00554747"/>
    <w:rsid w:val="00554869"/>
    <w:rsid w:val="0055493A"/>
    <w:rsid w:val="00554D73"/>
    <w:rsid w:val="005551C6"/>
    <w:rsid w:val="005557E3"/>
    <w:rsid w:val="00555BEA"/>
    <w:rsid w:val="00556A0E"/>
    <w:rsid w:val="0055702D"/>
    <w:rsid w:val="00557487"/>
    <w:rsid w:val="005577B3"/>
    <w:rsid w:val="005577CD"/>
    <w:rsid w:val="005579EC"/>
    <w:rsid w:val="0056013E"/>
    <w:rsid w:val="00561E7E"/>
    <w:rsid w:val="005623D5"/>
    <w:rsid w:val="00562481"/>
    <w:rsid w:val="005627AE"/>
    <w:rsid w:val="00562E6A"/>
    <w:rsid w:val="0056323F"/>
    <w:rsid w:val="00563498"/>
    <w:rsid w:val="0056389D"/>
    <w:rsid w:val="00563DE8"/>
    <w:rsid w:val="00563F57"/>
    <w:rsid w:val="005646E1"/>
    <w:rsid w:val="005648D9"/>
    <w:rsid w:val="00564A23"/>
    <w:rsid w:val="00564C00"/>
    <w:rsid w:val="0056508D"/>
    <w:rsid w:val="00565971"/>
    <w:rsid w:val="00565B86"/>
    <w:rsid w:val="00565D61"/>
    <w:rsid w:val="00566232"/>
    <w:rsid w:val="0056686F"/>
    <w:rsid w:val="00566C34"/>
    <w:rsid w:val="005673AA"/>
    <w:rsid w:val="005678C7"/>
    <w:rsid w:val="00567DB0"/>
    <w:rsid w:val="00567E3E"/>
    <w:rsid w:val="0057010E"/>
    <w:rsid w:val="00570180"/>
    <w:rsid w:val="005702F5"/>
    <w:rsid w:val="00570CB9"/>
    <w:rsid w:val="00571114"/>
    <w:rsid w:val="0057113B"/>
    <w:rsid w:val="0057172F"/>
    <w:rsid w:val="00571B99"/>
    <w:rsid w:val="0057206A"/>
    <w:rsid w:val="005721D3"/>
    <w:rsid w:val="005724CC"/>
    <w:rsid w:val="005724DE"/>
    <w:rsid w:val="005726F5"/>
    <w:rsid w:val="005728AC"/>
    <w:rsid w:val="005729A1"/>
    <w:rsid w:val="00572D88"/>
    <w:rsid w:val="00572FE5"/>
    <w:rsid w:val="00573225"/>
    <w:rsid w:val="0057383E"/>
    <w:rsid w:val="0057394E"/>
    <w:rsid w:val="00573CE0"/>
    <w:rsid w:val="0057475D"/>
    <w:rsid w:val="00574D9E"/>
    <w:rsid w:val="00575484"/>
    <w:rsid w:val="00575CFA"/>
    <w:rsid w:val="00576111"/>
    <w:rsid w:val="00576B33"/>
    <w:rsid w:val="00576E44"/>
    <w:rsid w:val="005772B4"/>
    <w:rsid w:val="0057752D"/>
    <w:rsid w:val="005777D0"/>
    <w:rsid w:val="005777FB"/>
    <w:rsid w:val="005778E0"/>
    <w:rsid w:val="00580170"/>
    <w:rsid w:val="0058023D"/>
    <w:rsid w:val="005804D1"/>
    <w:rsid w:val="00580A48"/>
    <w:rsid w:val="00580E4E"/>
    <w:rsid w:val="00581212"/>
    <w:rsid w:val="00581530"/>
    <w:rsid w:val="00581C01"/>
    <w:rsid w:val="00581FE4"/>
    <w:rsid w:val="005822F6"/>
    <w:rsid w:val="005829F3"/>
    <w:rsid w:val="00582AD5"/>
    <w:rsid w:val="00582D9A"/>
    <w:rsid w:val="005833C6"/>
    <w:rsid w:val="005836EC"/>
    <w:rsid w:val="0058378A"/>
    <w:rsid w:val="00583AF2"/>
    <w:rsid w:val="00583BA8"/>
    <w:rsid w:val="0058408C"/>
    <w:rsid w:val="00584485"/>
    <w:rsid w:val="00584CB9"/>
    <w:rsid w:val="00584F4C"/>
    <w:rsid w:val="00585036"/>
    <w:rsid w:val="0058504C"/>
    <w:rsid w:val="00585AA0"/>
    <w:rsid w:val="005861B6"/>
    <w:rsid w:val="00586250"/>
    <w:rsid w:val="005865CE"/>
    <w:rsid w:val="00586BD8"/>
    <w:rsid w:val="005873BB"/>
    <w:rsid w:val="005875C6"/>
    <w:rsid w:val="00587A29"/>
    <w:rsid w:val="00587D87"/>
    <w:rsid w:val="005903CD"/>
    <w:rsid w:val="00590BE2"/>
    <w:rsid w:val="005917B6"/>
    <w:rsid w:val="005917D0"/>
    <w:rsid w:val="0059210C"/>
    <w:rsid w:val="00592732"/>
    <w:rsid w:val="00592B97"/>
    <w:rsid w:val="00593BD2"/>
    <w:rsid w:val="00593F95"/>
    <w:rsid w:val="00593FF1"/>
    <w:rsid w:val="0059475F"/>
    <w:rsid w:val="00594CD7"/>
    <w:rsid w:val="005958AE"/>
    <w:rsid w:val="00595ED6"/>
    <w:rsid w:val="00596052"/>
    <w:rsid w:val="005965A9"/>
    <w:rsid w:val="00597283"/>
    <w:rsid w:val="00597448"/>
    <w:rsid w:val="00597804"/>
    <w:rsid w:val="00597BE4"/>
    <w:rsid w:val="005A019E"/>
    <w:rsid w:val="005A09C2"/>
    <w:rsid w:val="005A1399"/>
    <w:rsid w:val="005A1514"/>
    <w:rsid w:val="005A1A34"/>
    <w:rsid w:val="005A1D50"/>
    <w:rsid w:val="005A21EE"/>
    <w:rsid w:val="005A2E57"/>
    <w:rsid w:val="005A2F41"/>
    <w:rsid w:val="005A33CB"/>
    <w:rsid w:val="005A350C"/>
    <w:rsid w:val="005A3693"/>
    <w:rsid w:val="005A3DD0"/>
    <w:rsid w:val="005A447F"/>
    <w:rsid w:val="005A47D5"/>
    <w:rsid w:val="005A4D41"/>
    <w:rsid w:val="005A5783"/>
    <w:rsid w:val="005A6108"/>
    <w:rsid w:val="005A6623"/>
    <w:rsid w:val="005A7376"/>
    <w:rsid w:val="005A73F0"/>
    <w:rsid w:val="005A7820"/>
    <w:rsid w:val="005A7879"/>
    <w:rsid w:val="005A788F"/>
    <w:rsid w:val="005A7E7F"/>
    <w:rsid w:val="005B00FE"/>
    <w:rsid w:val="005B02DF"/>
    <w:rsid w:val="005B0437"/>
    <w:rsid w:val="005B05B3"/>
    <w:rsid w:val="005B05F5"/>
    <w:rsid w:val="005B05F7"/>
    <w:rsid w:val="005B08CF"/>
    <w:rsid w:val="005B0F39"/>
    <w:rsid w:val="005B1179"/>
    <w:rsid w:val="005B1A10"/>
    <w:rsid w:val="005B1AB9"/>
    <w:rsid w:val="005B1BEA"/>
    <w:rsid w:val="005B1CC5"/>
    <w:rsid w:val="005B1DA5"/>
    <w:rsid w:val="005B202F"/>
    <w:rsid w:val="005B21DA"/>
    <w:rsid w:val="005B260E"/>
    <w:rsid w:val="005B29E6"/>
    <w:rsid w:val="005B2EA8"/>
    <w:rsid w:val="005B34C2"/>
    <w:rsid w:val="005B380E"/>
    <w:rsid w:val="005B3C3E"/>
    <w:rsid w:val="005B3D06"/>
    <w:rsid w:val="005B3D32"/>
    <w:rsid w:val="005B5335"/>
    <w:rsid w:val="005B5853"/>
    <w:rsid w:val="005B5A1E"/>
    <w:rsid w:val="005B5EEC"/>
    <w:rsid w:val="005B6B38"/>
    <w:rsid w:val="005B6EF1"/>
    <w:rsid w:val="005B6F05"/>
    <w:rsid w:val="005B7F43"/>
    <w:rsid w:val="005C02D9"/>
    <w:rsid w:val="005C0D70"/>
    <w:rsid w:val="005C1182"/>
    <w:rsid w:val="005C11E1"/>
    <w:rsid w:val="005C1467"/>
    <w:rsid w:val="005C1502"/>
    <w:rsid w:val="005C1746"/>
    <w:rsid w:val="005C1F6A"/>
    <w:rsid w:val="005C2500"/>
    <w:rsid w:val="005C2F03"/>
    <w:rsid w:val="005C2F77"/>
    <w:rsid w:val="005C3376"/>
    <w:rsid w:val="005C3717"/>
    <w:rsid w:val="005C38A2"/>
    <w:rsid w:val="005C4361"/>
    <w:rsid w:val="005C45E4"/>
    <w:rsid w:val="005C4B7F"/>
    <w:rsid w:val="005C4FBE"/>
    <w:rsid w:val="005C50FA"/>
    <w:rsid w:val="005C52C4"/>
    <w:rsid w:val="005C5A2E"/>
    <w:rsid w:val="005C6045"/>
    <w:rsid w:val="005C63FF"/>
    <w:rsid w:val="005C6499"/>
    <w:rsid w:val="005C661A"/>
    <w:rsid w:val="005C74C0"/>
    <w:rsid w:val="005C7E2E"/>
    <w:rsid w:val="005D00E2"/>
    <w:rsid w:val="005D0932"/>
    <w:rsid w:val="005D0B0A"/>
    <w:rsid w:val="005D187A"/>
    <w:rsid w:val="005D1ACA"/>
    <w:rsid w:val="005D2272"/>
    <w:rsid w:val="005D33E5"/>
    <w:rsid w:val="005D3557"/>
    <w:rsid w:val="005D381C"/>
    <w:rsid w:val="005D3C95"/>
    <w:rsid w:val="005D41D2"/>
    <w:rsid w:val="005D48BA"/>
    <w:rsid w:val="005D4D9E"/>
    <w:rsid w:val="005D506B"/>
    <w:rsid w:val="005D5072"/>
    <w:rsid w:val="005D58C3"/>
    <w:rsid w:val="005D63EB"/>
    <w:rsid w:val="005D6F09"/>
    <w:rsid w:val="005D7678"/>
    <w:rsid w:val="005E1B51"/>
    <w:rsid w:val="005E25A6"/>
    <w:rsid w:val="005E270C"/>
    <w:rsid w:val="005E276A"/>
    <w:rsid w:val="005E2BE7"/>
    <w:rsid w:val="005E2EC9"/>
    <w:rsid w:val="005E3036"/>
    <w:rsid w:val="005E334F"/>
    <w:rsid w:val="005E3557"/>
    <w:rsid w:val="005E3630"/>
    <w:rsid w:val="005E3862"/>
    <w:rsid w:val="005E39D1"/>
    <w:rsid w:val="005E3B74"/>
    <w:rsid w:val="005E3BFB"/>
    <w:rsid w:val="005E41B1"/>
    <w:rsid w:val="005E471F"/>
    <w:rsid w:val="005E4942"/>
    <w:rsid w:val="005E4948"/>
    <w:rsid w:val="005E5DE3"/>
    <w:rsid w:val="005E5F36"/>
    <w:rsid w:val="005E6744"/>
    <w:rsid w:val="005E6815"/>
    <w:rsid w:val="005E6828"/>
    <w:rsid w:val="005E6980"/>
    <w:rsid w:val="005E6F6E"/>
    <w:rsid w:val="005E7604"/>
    <w:rsid w:val="005F0299"/>
    <w:rsid w:val="005F0324"/>
    <w:rsid w:val="005F0747"/>
    <w:rsid w:val="005F07F5"/>
    <w:rsid w:val="005F0C58"/>
    <w:rsid w:val="005F0F49"/>
    <w:rsid w:val="005F1651"/>
    <w:rsid w:val="005F166D"/>
    <w:rsid w:val="005F1B67"/>
    <w:rsid w:val="005F22BA"/>
    <w:rsid w:val="005F23DE"/>
    <w:rsid w:val="005F2E83"/>
    <w:rsid w:val="005F33FB"/>
    <w:rsid w:val="005F3CFE"/>
    <w:rsid w:val="005F3E68"/>
    <w:rsid w:val="005F431A"/>
    <w:rsid w:val="005F4532"/>
    <w:rsid w:val="005F46AB"/>
    <w:rsid w:val="005F472D"/>
    <w:rsid w:val="005F4815"/>
    <w:rsid w:val="005F5141"/>
    <w:rsid w:val="005F51F2"/>
    <w:rsid w:val="005F5F0B"/>
    <w:rsid w:val="005F6230"/>
    <w:rsid w:val="005F630D"/>
    <w:rsid w:val="005F668D"/>
    <w:rsid w:val="005F676F"/>
    <w:rsid w:val="005F6BE6"/>
    <w:rsid w:val="005F70AD"/>
    <w:rsid w:val="005F730C"/>
    <w:rsid w:val="005F7584"/>
    <w:rsid w:val="005F77A1"/>
    <w:rsid w:val="005F784F"/>
    <w:rsid w:val="005F78BA"/>
    <w:rsid w:val="00600146"/>
    <w:rsid w:val="00600379"/>
    <w:rsid w:val="006003DE"/>
    <w:rsid w:val="006008EF"/>
    <w:rsid w:val="00600EC1"/>
    <w:rsid w:val="006015FF"/>
    <w:rsid w:val="00602183"/>
    <w:rsid w:val="006023EB"/>
    <w:rsid w:val="006025FE"/>
    <w:rsid w:val="00603119"/>
    <w:rsid w:val="00603A3B"/>
    <w:rsid w:val="00603B58"/>
    <w:rsid w:val="00604544"/>
    <w:rsid w:val="00604BFB"/>
    <w:rsid w:val="00605191"/>
    <w:rsid w:val="0060562E"/>
    <w:rsid w:val="006064D4"/>
    <w:rsid w:val="006066EE"/>
    <w:rsid w:val="00606B28"/>
    <w:rsid w:val="0060725A"/>
    <w:rsid w:val="006072E6"/>
    <w:rsid w:val="00607679"/>
    <w:rsid w:val="006076DC"/>
    <w:rsid w:val="006079C8"/>
    <w:rsid w:val="00607A44"/>
    <w:rsid w:val="00607A7B"/>
    <w:rsid w:val="00607A85"/>
    <w:rsid w:val="00607CE3"/>
    <w:rsid w:val="00610138"/>
    <w:rsid w:val="006107D3"/>
    <w:rsid w:val="00610999"/>
    <w:rsid w:val="00610E58"/>
    <w:rsid w:val="00611D0D"/>
    <w:rsid w:val="006125BB"/>
    <w:rsid w:val="00612725"/>
    <w:rsid w:val="00612914"/>
    <w:rsid w:val="00612F11"/>
    <w:rsid w:val="0061308B"/>
    <w:rsid w:val="00613AE5"/>
    <w:rsid w:val="00614E2C"/>
    <w:rsid w:val="00615320"/>
    <w:rsid w:val="00615935"/>
    <w:rsid w:val="0061601E"/>
    <w:rsid w:val="006161D7"/>
    <w:rsid w:val="006165DE"/>
    <w:rsid w:val="00616DC1"/>
    <w:rsid w:val="00616E2B"/>
    <w:rsid w:val="0061700A"/>
    <w:rsid w:val="0061718B"/>
    <w:rsid w:val="006175A0"/>
    <w:rsid w:val="00617828"/>
    <w:rsid w:val="006201C7"/>
    <w:rsid w:val="006204DC"/>
    <w:rsid w:val="0062163E"/>
    <w:rsid w:val="00621CE9"/>
    <w:rsid w:val="00622415"/>
    <w:rsid w:val="0062246F"/>
    <w:rsid w:val="00622567"/>
    <w:rsid w:val="00622D25"/>
    <w:rsid w:val="00622D41"/>
    <w:rsid w:val="00622E72"/>
    <w:rsid w:val="00623287"/>
    <w:rsid w:val="00623845"/>
    <w:rsid w:val="00623852"/>
    <w:rsid w:val="006248B4"/>
    <w:rsid w:val="006249DA"/>
    <w:rsid w:val="006256F9"/>
    <w:rsid w:val="00625DDF"/>
    <w:rsid w:val="006267A6"/>
    <w:rsid w:val="00626D9F"/>
    <w:rsid w:val="00626E9E"/>
    <w:rsid w:val="00626F26"/>
    <w:rsid w:val="00627011"/>
    <w:rsid w:val="00627130"/>
    <w:rsid w:val="00627181"/>
    <w:rsid w:val="00627392"/>
    <w:rsid w:val="006273F6"/>
    <w:rsid w:val="00627579"/>
    <w:rsid w:val="006275E0"/>
    <w:rsid w:val="006300AD"/>
    <w:rsid w:val="00630421"/>
    <w:rsid w:val="00630CBB"/>
    <w:rsid w:val="00631076"/>
    <w:rsid w:val="00631DE8"/>
    <w:rsid w:val="006324AB"/>
    <w:rsid w:val="00632644"/>
    <w:rsid w:val="006328E8"/>
    <w:rsid w:val="00633C56"/>
    <w:rsid w:val="00634BCB"/>
    <w:rsid w:val="00635096"/>
    <w:rsid w:val="00635303"/>
    <w:rsid w:val="00635505"/>
    <w:rsid w:val="0063583F"/>
    <w:rsid w:val="00635AF5"/>
    <w:rsid w:val="006363A7"/>
    <w:rsid w:val="0063695F"/>
    <w:rsid w:val="00636DE3"/>
    <w:rsid w:val="00636F58"/>
    <w:rsid w:val="00636FE5"/>
    <w:rsid w:val="00637011"/>
    <w:rsid w:val="006375DB"/>
    <w:rsid w:val="006378D3"/>
    <w:rsid w:val="006379AE"/>
    <w:rsid w:val="00637C23"/>
    <w:rsid w:val="0064003F"/>
    <w:rsid w:val="006404E7"/>
    <w:rsid w:val="006405A1"/>
    <w:rsid w:val="006408F2"/>
    <w:rsid w:val="00640B38"/>
    <w:rsid w:val="0064135A"/>
    <w:rsid w:val="00641640"/>
    <w:rsid w:val="00641B26"/>
    <w:rsid w:val="00642060"/>
    <w:rsid w:val="00642841"/>
    <w:rsid w:val="00642BD7"/>
    <w:rsid w:val="00642CF1"/>
    <w:rsid w:val="0064337B"/>
    <w:rsid w:val="006433F4"/>
    <w:rsid w:val="006434FC"/>
    <w:rsid w:val="00643804"/>
    <w:rsid w:val="006438CB"/>
    <w:rsid w:val="00643B67"/>
    <w:rsid w:val="00644734"/>
    <w:rsid w:val="00644906"/>
    <w:rsid w:val="00644C72"/>
    <w:rsid w:val="0064519E"/>
    <w:rsid w:val="00645B88"/>
    <w:rsid w:val="006463C9"/>
    <w:rsid w:val="00646BFE"/>
    <w:rsid w:val="006500CC"/>
    <w:rsid w:val="00650A67"/>
    <w:rsid w:val="00650DF8"/>
    <w:rsid w:val="00650FE0"/>
    <w:rsid w:val="00651566"/>
    <w:rsid w:val="006517B7"/>
    <w:rsid w:val="006518C6"/>
    <w:rsid w:val="00651E4F"/>
    <w:rsid w:val="006522C6"/>
    <w:rsid w:val="00652A4C"/>
    <w:rsid w:val="00653A3A"/>
    <w:rsid w:val="006541D5"/>
    <w:rsid w:val="006543F3"/>
    <w:rsid w:val="00654892"/>
    <w:rsid w:val="00654CFA"/>
    <w:rsid w:val="00655CC6"/>
    <w:rsid w:val="00656041"/>
    <w:rsid w:val="006560AD"/>
    <w:rsid w:val="006576BB"/>
    <w:rsid w:val="006576CB"/>
    <w:rsid w:val="0065778E"/>
    <w:rsid w:val="006579D0"/>
    <w:rsid w:val="00657B85"/>
    <w:rsid w:val="00657B8A"/>
    <w:rsid w:val="00657CDD"/>
    <w:rsid w:val="00660854"/>
    <w:rsid w:val="0066092A"/>
    <w:rsid w:val="00661026"/>
    <w:rsid w:val="006614DF"/>
    <w:rsid w:val="00661D2B"/>
    <w:rsid w:val="006621CD"/>
    <w:rsid w:val="006624C6"/>
    <w:rsid w:val="00662888"/>
    <w:rsid w:val="00662C78"/>
    <w:rsid w:val="00663491"/>
    <w:rsid w:val="00663578"/>
    <w:rsid w:val="00663C1B"/>
    <w:rsid w:val="00663E18"/>
    <w:rsid w:val="00663F16"/>
    <w:rsid w:val="006645C2"/>
    <w:rsid w:val="0066481F"/>
    <w:rsid w:val="0066507D"/>
    <w:rsid w:val="006652D0"/>
    <w:rsid w:val="006656BE"/>
    <w:rsid w:val="006659D5"/>
    <w:rsid w:val="00665FC9"/>
    <w:rsid w:val="00666236"/>
    <w:rsid w:val="0066653E"/>
    <w:rsid w:val="0066738D"/>
    <w:rsid w:val="006679D7"/>
    <w:rsid w:val="0067004D"/>
    <w:rsid w:val="006702DC"/>
    <w:rsid w:val="00670507"/>
    <w:rsid w:val="00670E79"/>
    <w:rsid w:val="00671B1E"/>
    <w:rsid w:val="00671B73"/>
    <w:rsid w:val="00672034"/>
    <w:rsid w:val="006727A8"/>
    <w:rsid w:val="006735C3"/>
    <w:rsid w:val="00673A9D"/>
    <w:rsid w:val="00673FF8"/>
    <w:rsid w:val="00674CD3"/>
    <w:rsid w:val="00674FD4"/>
    <w:rsid w:val="00675070"/>
    <w:rsid w:val="00675184"/>
    <w:rsid w:val="0067524A"/>
    <w:rsid w:val="006759D6"/>
    <w:rsid w:val="00676048"/>
    <w:rsid w:val="00676890"/>
    <w:rsid w:val="00676C3C"/>
    <w:rsid w:val="00677775"/>
    <w:rsid w:val="00677965"/>
    <w:rsid w:val="00677B72"/>
    <w:rsid w:val="00677FD1"/>
    <w:rsid w:val="00680FD9"/>
    <w:rsid w:val="0068207D"/>
    <w:rsid w:val="00682393"/>
    <w:rsid w:val="00683134"/>
    <w:rsid w:val="0068324E"/>
    <w:rsid w:val="00683B25"/>
    <w:rsid w:val="00683DF7"/>
    <w:rsid w:val="0068487E"/>
    <w:rsid w:val="00684BD7"/>
    <w:rsid w:val="00684E3C"/>
    <w:rsid w:val="00686041"/>
    <w:rsid w:val="006869E6"/>
    <w:rsid w:val="00686B5C"/>
    <w:rsid w:val="00686DE3"/>
    <w:rsid w:val="00686F9D"/>
    <w:rsid w:val="00687372"/>
    <w:rsid w:val="006873C0"/>
    <w:rsid w:val="00687BEE"/>
    <w:rsid w:val="00690C9B"/>
    <w:rsid w:val="0069106B"/>
    <w:rsid w:val="00691282"/>
    <w:rsid w:val="00691730"/>
    <w:rsid w:val="006918E8"/>
    <w:rsid w:val="00692268"/>
    <w:rsid w:val="00692415"/>
    <w:rsid w:val="006929CC"/>
    <w:rsid w:val="00692B17"/>
    <w:rsid w:val="00692EF9"/>
    <w:rsid w:val="00693903"/>
    <w:rsid w:val="00693A68"/>
    <w:rsid w:val="00693CBF"/>
    <w:rsid w:val="00693E3D"/>
    <w:rsid w:val="0069494F"/>
    <w:rsid w:val="0069509F"/>
    <w:rsid w:val="00695C15"/>
    <w:rsid w:val="00696063"/>
    <w:rsid w:val="00696348"/>
    <w:rsid w:val="0069657D"/>
    <w:rsid w:val="00696B3D"/>
    <w:rsid w:val="00696DA1"/>
    <w:rsid w:val="0069711D"/>
    <w:rsid w:val="00697260"/>
    <w:rsid w:val="00697A66"/>
    <w:rsid w:val="006A0116"/>
    <w:rsid w:val="006A09A3"/>
    <w:rsid w:val="006A0C17"/>
    <w:rsid w:val="006A0C41"/>
    <w:rsid w:val="006A14F2"/>
    <w:rsid w:val="006A16B8"/>
    <w:rsid w:val="006A1F28"/>
    <w:rsid w:val="006A2335"/>
    <w:rsid w:val="006A2748"/>
    <w:rsid w:val="006A2771"/>
    <w:rsid w:val="006A27FD"/>
    <w:rsid w:val="006A289B"/>
    <w:rsid w:val="006A295A"/>
    <w:rsid w:val="006A33CD"/>
    <w:rsid w:val="006A3961"/>
    <w:rsid w:val="006A54C7"/>
    <w:rsid w:val="006A582D"/>
    <w:rsid w:val="006A582E"/>
    <w:rsid w:val="006A5D7D"/>
    <w:rsid w:val="006A5E28"/>
    <w:rsid w:val="006A655B"/>
    <w:rsid w:val="006A67B9"/>
    <w:rsid w:val="006A6959"/>
    <w:rsid w:val="006A6C70"/>
    <w:rsid w:val="006A6D2C"/>
    <w:rsid w:val="006A70C8"/>
    <w:rsid w:val="006A7250"/>
    <w:rsid w:val="006B0D03"/>
    <w:rsid w:val="006B105C"/>
    <w:rsid w:val="006B10A3"/>
    <w:rsid w:val="006B10C3"/>
    <w:rsid w:val="006B1559"/>
    <w:rsid w:val="006B18A5"/>
    <w:rsid w:val="006B19D9"/>
    <w:rsid w:val="006B1BFE"/>
    <w:rsid w:val="006B1F09"/>
    <w:rsid w:val="006B262A"/>
    <w:rsid w:val="006B2C7B"/>
    <w:rsid w:val="006B32BE"/>
    <w:rsid w:val="006B3891"/>
    <w:rsid w:val="006B3CBF"/>
    <w:rsid w:val="006B4BB6"/>
    <w:rsid w:val="006B5FA6"/>
    <w:rsid w:val="006B6278"/>
    <w:rsid w:val="006B65FB"/>
    <w:rsid w:val="006B662D"/>
    <w:rsid w:val="006B6842"/>
    <w:rsid w:val="006B7865"/>
    <w:rsid w:val="006B7DEE"/>
    <w:rsid w:val="006B7F9B"/>
    <w:rsid w:val="006C056E"/>
    <w:rsid w:val="006C09C6"/>
    <w:rsid w:val="006C0C3C"/>
    <w:rsid w:val="006C0FCE"/>
    <w:rsid w:val="006C11F9"/>
    <w:rsid w:val="006C13E5"/>
    <w:rsid w:val="006C1859"/>
    <w:rsid w:val="006C1A53"/>
    <w:rsid w:val="006C2200"/>
    <w:rsid w:val="006C25D4"/>
    <w:rsid w:val="006C26AE"/>
    <w:rsid w:val="006C329C"/>
    <w:rsid w:val="006C3446"/>
    <w:rsid w:val="006C349C"/>
    <w:rsid w:val="006C3D25"/>
    <w:rsid w:val="006C4061"/>
    <w:rsid w:val="006C42E6"/>
    <w:rsid w:val="006C4A8C"/>
    <w:rsid w:val="006C4B22"/>
    <w:rsid w:val="006C4F6A"/>
    <w:rsid w:val="006C5150"/>
    <w:rsid w:val="006C69D0"/>
    <w:rsid w:val="006C6AA9"/>
    <w:rsid w:val="006C7739"/>
    <w:rsid w:val="006C7955"/>
    <w:rsid w:val="006C7B62"/>
    <w:rsid w:val="006D0008"/>
    <w:rsid w:val="006D026B"/>
    <w:rsid w:val="006D03A5"/>
    <w:rsid w:val="006D091C"/>
    <w:rsid w:val="006D1F98"/>
    <w:rsid w:val="006D238A"/>
    <w:rsid w:val="006D2500"/>
    <w:rsid w:val="006D3214"/>
    <w:rsid w:val="006D3501"/>
    <w:rsid w:val="006D40A4"/>
    <w:rsid w:val="006D55DD"/>
    <w:rsid w:val="006D5E35"/>
    <w:rsid w:val="006D60C5"/>
    <w:rsid w:val="006D615B"/>
    <w:rsid w:val="006D6367"/>
    <w:rsid w:val="006D72C7"/>
    <w:rsid w:val="006D7F74"/>
    <w:rsid w:val="006E02C1"/>
    <w:rsid w:val="006E1083"/>
    <w:rsid w:val="006E10AA"/>
    <w:rsid w:val="006E16DE"/>
    <w:rsid w:val="006E1DD9"/>
    <w:rsid w:val="006E1FCF"/>
    <w:rsid w:val="006E2206"/>
    <w:rsid w:val="006E260F"/>
    <w:rsid w:val="006E2AAF"/>
    <w:rsid w:val="006E2C7B"/>
    <w:rsid w:val="006E2E8E"/>
    <w:rsid w:val="006E403F"/>
    <w:rsid w:val="006E44BF"/>
    <w:rsid w:val="006E4F63"/>
    <w:rsid w:val="006E566B"/>
    <w:rsid w:val="006E5B5A"/>
    <w:rsid w:val="006E5BA3"/>
    <w:rsid w:val="006E5FB3"/>
    <w:rsid w:val="006E61A6"/>
    <w:rsid w:val="006E623D"/>
    <w:rsid w:val="006E62EC"/>
    <w:rsid w:val="006E7258"/>
    <w:rsid w:val="006E735F"/>
    <w:rsid w:val="006E78EE"/>
    <w:rsid w:val="006E7E8D"/>
    <w:rsid w:val="006F032D"/>
    <w:rsid w:val="006F06A1"/>
    <w:rsid w:val="006F154D"/>
    <w:rsid w:val="006F1556"/>
    <w:rsid w:val="006F18AD"/>
    <w:rsid w:val="006F1C18"/>
    <w:rsid w:val="006F1E7F"/>
    <w:rsid w:val="006F1E94"/>
    <w:rsid w:val="006F1EFD"/>
    <w:rsid w:val="006F215D"/>
    <w:rsid w:val="006F2352"/>
    <w:rsid w:val="006F24E5"/>
    <w:rsid w:val="006F257A"/>
    <w:rsid w:val="006F269A"/>
    <w:rsid w:val="006F2AE4"/>
    <w:rsid w:val="006F2CA0"/>
    <w:rsid w:val="006F2E7A"/>
    <w:rsid w:val="006F3098"/>
    <w:rsid w:val="006F30CF"/>
    <w:rsid w:val="006F33D5"/>
    <w:rsid w:val="006F33F3"/>
    <w:rsid w:val="006F3584"/>
    <w:rsid w:val="006F39E1"/>
    <w:rsid w:val="006F3DA3"/>
    <w:rsid w:val="006F4E52"/>
    <w:rsid w:val="006F4F4C"/>
    <w:rsid w:val="006F4FE1"/>
    <w:rsid w:val="006F5550"/>
    <w:rsid w:val="006F6795"/>
    <w:rsid w:val="006F6A2B"/>
    <w:rsid w:val="006F6F76"/>
    <w:rsid w:val="006F7250"/>
    <w:rsid w:val="006F7410"/>
    <w:rsid w:val="006F7776"/>
    <w:rsid w:val="006F7D2F"/>
    <w:rsid w:val="00700663"/>
    <w:rsid w:val="0070071F"/>
    <w:rsid w:val="00700790"/>
    <w:rsid w:val="007007BD"/>
    <w:rsid w:val="00700ABD"/>
    <w:rsid w:val="00701524"/>
    <w:rsid w:val="00702801"/>
    <w:rsid w:val="00702AF7"/>
    <w:rsid w:val="0070304E"/>
    <w:rsid w:val="00703395"/>
    <w:rsid w:val="00703501"/>
    <w:rsid w:val="0070469F"/>
    <w:rsid w:val="00704909"/>
    <w:rsid w:val="007051A4"/>
    <w:rsid w:val="00706096"/>
    <w:rsid w:val="00706159"/>
    <w:rsid w:val="007064A8"/>
    <w:rsid w:val="007064B2"/>
    <w:rsid w:val="007065E3"/>
    <w:rsid w:val="007068AB"/>
    <w:rsid w:val="007074FD"/>
    <w:rsid w:val="0070755C"/>
    <w:rsid w:val="007076BB"/>
    <w:rsid w:val="00710038"/>
    <w:rsid w:val="00710041"/>
    <w:rsid w:val="00710652"/>
    <w:rsid w:val="007109D0"/>
    <w:rsid w:val="007116E6"/>
    <w:rsid w:val="00711733"/>
    <w:rsid w:val="007127DF"/>
    <w:rsid w:val="00712FC1"/>
    <w:rsid w:val="0071301B"/>
    <w:rsid w:val="0071354D"/>
    <w:rsid w:val="007136F0"/>
    <w:rsid w:val="007141E6"/>
    <w:rsid w:val="007143E6"/>
    <w:rsid w:val="00714423"/>
    <w:rsid w:val="007147B0"/>
    <w:rsid w:val="00714D1C"/>
    <w:rsid w:val="00714D83"/>
    <w:rsid w:val="00714DC1"/>
    <w:rsid w:val="007152E8"/>
    <w:rsid w:val="007155A9"/>
    <w:rsid w:val="00715B83"/>
    <w:rsid w:val="007163B9"/>
    <w:rsid w:val="00716447"/>
    <w:rsid w:val="007165AC"/>
    <w:rsid w:val="00716B63"/>
    <w:rsid w:val="00716DBF"/>
    <w:rsid w:val="00716EA5"/>
    <w:rsid w:val="007171A3"/>
    <w:rsid w:val="0071736D"/>
    <w:rsid w:val="00717481"/>
    <w:rsid w:val="00717BC0"/>
    <w:rsid w:val="007200C7"/>
    <w:rsid w:val="0072015D"/>
    <w:rsid w:val="00720494"/>
    <w:rsid w:val="00720E60"/>
    <w:rsid w:val="00720F7B"/>
    <w:rsid w:val="00722486"/>
    <w:rsid w:val="00724073"/>
    <w:rsid w:val="00724407"/>
    <w:rsid w:val="007245C6"/>
    <w:rsid w:val="007248EE"/>
    <w:rsid w:val="00724AE9"/>
    <w:rsid w:val="00724AFD"/>
    <w:rsid w:val="0072518F"/>
    <w:rsid w:val="007257E0"/>
    <w:rsid w:val="00725B73"/>
    <w:rsid w:val="00725D94"/>
    <w:rsid w:val="007261E6"/>
    <w:rsid w:val="00727A37"/>
    <w:rsid w:val="00727A59"/>
    <w:rsid w:val="00727A74"/>
    <w:rsid w:val="00727B47"/>
    <w:rsid w:val="00727BB9"/>
    <w:rsid w:val="00727BF9"/>
    <w:rsid w:val="00727D78"/>
    <w:rsid w:val="00730491"/>
    <w:rsid w:val="00730832"/>
    <w:rsid w:val="007308EE"/>
    <w:rsid w:val="00730B4F"/>
    <w:rsid w:val="00730DB7"/>
    <w:rsid w:val="00730F03"/>
    <w:rsid w:val="00731007"/>
    <w:rsid w:val="007319BC"/>
    <w:rsid w:val="00731A2F"/>
    <w:rsid w:val="00731F42"/>
    <w:rsid w:val="00732775"/>
    <w:rsid w:val="0073303D"/>
    <w:rsid w:val="00733745"/>
    <w:rsid w:val="007346AA"/>
    <w:rsid w:val="0073475F"/>
    <w:rsid w:val="00734801"/>
    <w:rsid w:val="00734E00"/>
    <w:rsid w:val="00735378"/>
    <w:rsid w:val="00735726"/>
    <w:rsid w:val="007359B3"/>
    <w:rsid w:val="00735CB8"/>
    <w:rsid w:val="00735F1C"/>
    <w:rsid w:val="00736116"/>
    <w:rsid w:val="007369FE"/>
    <w:rsid w:val="0074084C"/>
    <w:rsid w:val="00740C09"/>
    <w:rsid w:val="00741437"/>
    <w:rsid w:val="00741830"/>
    <w:rsid w:val="007419A5"/>
    <w:rsid w:val="00742331"/>
    <w:rsid w:val="00742668"/>
    <w:rsid w:val="00742C4B"/>
    <w:rsid w:val="00742CC1"/>
    <w:rsid w:val="00743375"/>
    <w:rsid w:val="00743670"/>
    <w:rsid w:val="00743BE2"/>
    <w:rsid w:val="00744210"/>
    <w:rsid w:val="00744687"/>
    <w:rsid w:val="0074477F"/>
    <w:rsid w:val="007447DE"/>
    <w:rsid w:val="00744E34"/>
    <w:rsid w:val="00745735"/>
    <w:rsid w:val="00745888"/>
    <w:rsid w:val="0074601D"/>
    <w:rsid w:val="00747528"/>
    <w:rsid w:val="00747AE8"/>
    <w:rsid w:val="00747EB9"/>
    <w:rsid w:val="007501BA"/>
    <w:rsid w:val="0075025C"/>
    <w:rsid w:val="00750391"/>
    <w:rsid w:val="007506A7"/>
    <w:rsid w:val="00750ED6"/>
    <w:rsid w:val="007519B7"/>
    <w:rsid w:val="00751D8D"/>
    <w:rsid w:val="007521DE"/>
    <w:rsid w:val="00752200"/>
    <w:rsid w:val="007538BD"/>
    <w:rsid w:val="00753A3E"/>
    <w:rsid w:val="007543C4"/>
    <w:rsid w:val="00755668"/>
    <w:rsid w:val="00755801"/>
    <w:rsid w:val="00755F9C"/>
    <w:rsid w:val="00757CCA"/>
    <w:rsid w:val="007602A1"/>
    <w:rsid w:val="00760665"/>
    <w:rsid w:val="007606F9"/>
    <w:rsid w:val="00760CC4"/>
    <w:rsid w:val="0076147E"/>
    <w:rsid w:val="007614F6"/>
    <w:rsid w:val="0076159C"/>
    <w:rsid w:val="007618DB"/>
    <w:rsid w:val="00761997"/>
    <w:rsid w:val="00761B4A"/>
    <w:rsid w:val="00761F26"/>
    <w:rsid w:val="007626C2"/>
    <w:rsid w:val="007629E5"/>
    <w:rsid w:val="00762C38"/>
    <w:rsid w:val="0076365A"/>
    <w:rsid w:val="00763A8E"/>
    <w:rsid w:val="00763E10"/>
    <w:rsid w:val="00764642"/>
    <w:rsid w:val="007647AF"/>
    <w:rsid w:val="00764B3F"/>
    <w:rsid w:val="00764C22"/>
    <w:rsid w:val="007652A6"/>
    <w:rsid w:val="0076535B"/>
    <w:rsid w:val="00765847"/>
    <w:rsid w:val="0076592B"/>
    <w:rsid w:val="007659FE"/>
    <w:rsid w:val="00766280"/>
    <w:rsid w:val="00766318"/>
    <w:rsid w:val="007664A8"/>
    <w:rsid w:val="0076778F"/>
    <w:rsid w:val="00767A87"/>
    <w:rsid w:val="00770C02"/>
    <w:rsid w:val="00770D16"/>
    <w:rsid w:val="0077101D"/>
    <w:rsid w:val="007714C1"/>
    <w:rsid w:val="0077169B"/>
    <w:rsid w:val="00771832"/>
    <w:rsid w:val="007732FA"/>
    <w:rsid w:val="00774252"/>
    <w:rsid w:val="0077447A"/>
    <w:rsid w:val="00774E52"/>
    <w:rsid w:val="007750D3"/>
    <w:rsid w:val="00775127"/>
    <w:rsid w:val="00775651"/>
    <w:rsid w:val="007759A5"/>
    <w:rsid w:val="00776179"/>
    <w:rsid w:val="007763A0"/>
    <w:rsid w:val="007767CE"/>
    <w:rsid w:val="00776835"/>
    <w:rsid w:val="00777364"/>
    <w:rsid w:val="007777C4"/>
    <w:rsid w:val="00777B0A"/>
    <w:rsid w:val="00781F76"/>
    <w:rsid w:val="0078201A"/>
    <w:rsid w:val="00782082"/>
    <w:rsid w:val="00782A60"/>
    <w:rsid w:val="00782BA7"/>
    <w:rsid w:val="00783491"/>
    <w:rsid w:val="00783ADB"/>
    <w:rsid w:val="00783B02"/>
    <w:rsid w:val="00784397"/>
    <w:rsid w:val="00784586"/>
    <w:rsid w:val="00784CBC"/>
    <w:rsid w:val="00785095"/>
    <w:rsid w:val="0078534A"/>
    <w:rsid w:val="00785585"/>
    <w:rsid w:val="00785604"/>
    <w:rsid w:val="007867AE"/>
    <w:rsid w:val="007877D3"/>
    <w:rsid w:val="00787A23"/>
    <w:rsid w:val="00787B00"/>
    <w:rsid w:val="00787BFF"/>
    <w:rsid w:val="0079006F"/>
    <w:rsid w:val="007903C6"/>
    <w:rsid w:val="00791628"/>
    <w:rsid w:val="00791DB6"/>
    <w:rsid w:val="00792912"/>
    <w:rsid w:val="00792A1C"/>
    <w:rsid w:val="00792A3D"/>
    <w:rsid w:val="007931DE"/>
    <w:rsid w:val="0079323F"/>
    <w:rsid w:val="007939C3"/>
    <w:rsid w:val="00793EE4"/>
    <w:rsid w:val="0079403F"/>
    <w:rsid w:val="00794216"/>
    <w:rsid w:val="00794817"/>
    <w:rsid w:val="00795410"/>
    <w:rsid w:val="00795434"/>
    <w:rsid w:val="00795838"/>
    <w:rsid w:val="00795B30"/>
    <w:rsid w:val="00795C4D"/>
    <w:rsid w:val="00795FD8"/>
    <w:rsid w:val="00796222"/>
    <w:rsid w:val="0079626F"/>
    <w:rsid w:val="00796374"/>
    <w:rsid w:val="00796A9F"/>
    <w:rsid w:val="00797044"/>
    <w:rsid w:val="007971DD"/>
    <w:rsid w:val="007976FC"/>
    <w:rsid w:val="00797986"/>
    <w:rsid w:val="00797D15"/>
    <w:rsid w:val="007A0203"/>
    <w:rsid w:val="007A080E"/>
    <w:rsid w:val="007A1F4B"/>
    <w:rsid w:val="007A20BE"/>
    <w:rsid w:val="007A226C"/>
    <w:rsid w:val="007A2348"/>
    <w:rsid w:val="007A23C4"/>
    <w:rsid w:val="007A2998"/>
    <w:rsid w:val="007A2BB2"/>
    <w:rsid w:val="007A3A38"/>
    <w:rsid w:val="007A3A94"/>
    <w:rsid w:val="007A4FFC"/>
    <w:rsid w:val="007A510C"/>
    <w:rsid w:val="007A5AEE"/>
    <w:rsid w:val="007A5F17"/>
    <w:rsid w:val="007A6516"/>
    <w:rsid w:val="007A65DF"/>
    <w:rsid w:val="007A66F6"/>
    <w:rsid w:val="007A687C"/>
    <w:rsid w:val="007A6D88"/>
    <w:rsid w:val="007A7E3E"/>
    <w:rsid w:val="007B0889"/>
    <w:rsid w:val="007B0ABB"/>
    <w:rsid w:val="007B0B01"/>
    <w:rsid w:val="007B0DE0"/>
    <w:rsid w:val="007B1376"/>
    <w:rsid w:val="007B1558"/>
    <w:rsid w:val="007B1739"/>
    <w:rsid w:val="007B1B06"/>
    <w:rsid w:val="007B227F"/>
    <w:rsid w:val="007B2534"/>
    <w:rsid w:val="007B3BFF"/>
    <w:rsid w:val="007B3D17"/>
    <w:rsid w:val="007B405B"/>
    <w:rsid w:val="007B44B8"/>
    <w:rsid w:val="007B4664"/>
    <w:rsid w:val="007B4831"/>
    <w:rsid w:val="007B50D7"/>
    <w:rsid w:val="007B5376"/>
    <w:rsid w:val="007B5587"/>
    <w:rsid w:val="007B55B9"/>
    <w:rsid w:val="007B585A"/>
    <w:rsid w:val="007B5C7D"/>
    <w:rsid w:val="007B63FF"/>
    <w:rsid w:val="007B6821"/>
    <w:rsid w:val="007B6A27"/>
    <w:rsid w:val="007B754E"/>
    <w:rsid w:val="007B76E7"/>
    <w:rsid w:val="007C015D"/>
    <w:rsid w:val="007C0726"/>
    <w:rsid w:val="007C08BC"/>
    <w:rsid w:val="007C1B87"/>
    <w:rsid w:val="007C1C44"/>
    <w:rsid w:val="007C2126"/>
    <w:rsid w:val="007C238E"/>
    <w:rsid w:val="007C2646"/>
    <w:rsid w:val="007C27D7"/>
    <w:rsid w:val="007C2849"/>
    <w:rsid w:val="007C2EC3"/>
    <w:rsid w:val="007C3384"/>
    <w:rsid w:val="007C3710"/>
    <w:rsid w:val="007C3A16"/>
    <w:rsid w:val="007C3A9E"/>
    <w:rsid w:val="007C3DF2"/>
    <w:rsid w:val="007C4065"/>
    <w:rsid w:val="007C448C"/>
    <w:rsid w:val="007C4639"/>
    <w:rsid w:val="007C59C2"/>
    <w:rsid w:val="007C5AF2"/>
    <w:rsid w:val="007C5D77"/>
    <w:rsid w:val="007C62BE"/>
    <w:rsid w:val="007C63DA"/>
    <w:rsid w:val="007C6EE5"/>
    <w:rsid w:val="007C6F5A"/>
    <w:rsid w:val="007C6FF4"/>
    <w:rsid w:val="007C78C8"/>
    <w:rsid w:val="007C7FA7"/>
    <w:rsid w:val="007C7FE9"/>
    <w:rsid w:val="007D06D3"/>
    <w:rsid w:val="007D115A"/>
    <w:rsid w:val="007D1257"/>
    <w:rsid w:val="007D135B"/>
    <w:rsid w:val="007D283F"/>
    <w:rsid w:val="007D38DD"/>
    <w:rsid w:val="007D3A93"/>
    <w:rsid w:val="007D3D4C"/>
    <w:rsid w:val="007D4371"/>
    <w:rsid w:val="007D447A"/>
    <w:rsid w:val="007D45FB"/>
    <w:rsid w:val="007D462F"/>
    <w:rsid w:val="007D46A0"/>
    <w:rsid w:val="007D4881"/>
    <w:rsid w:val="007D48BD"/>
    <w:rsid w:val="007D4BFF"/>
    <w:rsid w:val="007D4DC6"/>
    <w:rsid w:val="007D5743"/>
    <w:rsid w:val="007D610B"/>
    <w:rsid w:val="007D621F"/>
    <w:rsid w:val="007D6248"/>
    <w:rsid w:val="007D69A0"/>
    <w:rsid w:val="007D73B0"/>
    <w:rsid w:val="007D7952"/>
    <w:rsid w:val="007D7D13"/>
    <w:rsid w:val="007E0853"/>
    <w:rsid w:val="007E0B89"/>
    <w:rsid w:val="007E1454"/>
    <w:rsid w:val="007E1595"/>
    <w:rsid w:val="007E19F9"/>
    <w:rsid w:val="007E22C2"/>
    <w:rsid w:val="007E2ADF"/>
    <w:rsid w:val="007E33ED"/>
    <w:rsid w:val="007E353A"/>
    <w:rsid w:val="007E3623"/>
    <w:rsid w:val="007E3993"/>
    <w:rsid w:val="007E3E9F"/>
    <w:rsid w:val="007E3EB4"/>
    <w:rsid w:val="007E45A8"/>
    <w:rsid w:val="007E4B1B"/>
    <w:rsid w:val="007E4E18"/>
    <w:rsid w:val="007E53C3"/>
    <w:rsid w:val="007E56CD"/>
    <w:rsid w:val="007E5755"/>
    <w:rsid w:val="007E5867"/>
    <w:rsid w:val="007E5990"/>
    <w:rsid w:val="007E6A4F"/>
    <w:rsid w:val="007E793C"/>
    <w:rsid w:val="007E7D7A"/>
    <w:rsid w:val="007E7E66"/>
    <w:rsid w:val="007F00A1"/>
    <w:rsid w:val="007F0415"/>
    <w:rsid w:val="007F0903"/>
    <w:rsid w:val="007F0E6A"/>
    <w:rsid w:val="007F1691"/>
    <w:rsid w:val="007F1FDF"/>
    <w:rsid w:val="007F22A7"/>
    <w:rsid w:val="007F2434"/>
    <w:rsid w:val="007F261C"/>
    <w:rsid w:val="007F27B3"/>
    <w:rsid w:val="007F2B91"/>
    <w:rsid w:val="007F2F5A"/>
    <w:rsid w:val="007F33AF"/>
    <w:rsid w:val="007F40B7"/>
    <w:rsid w:val="007F4EA3"/>
    <w:rsid w:val="007F4EFB"/>
    <w:rsid w:val="007F55CB"/>
    <w:rsid w:val="007F5632"/>
    <w:rsid w:val="007F5806"/>
    <w:rsid w:val="007F5D34"/>
    <w:rsid w:val="007F5EDD"/>
    <w:rsid w:val="007F5F90"/>
    <w:rsid w:val="007F61D0"/>
    <w:rsid w:val="007F6E4E"/>
    <w:rsid w:val="007F75E9"/>
    <w:rsid w:val="007F7BDA"/>
    <w:rsid w:val="007F7C2F"/>
    <w:rsid w:val="00800183"/>
    <w:rsid w:val="00800747"/>
    <w:rsid w:val="0080116C"/>
    <w:rsid w:val="00801416"/>
    <w:rsid w:val="00801A2E"/>
    <w:rsid w:val="00801AEC"/>
    <w:rsid w:val="00801F1E"/>
    <w:rsid w:val="008023E5"/>
    <w:rsid w:val="008023F2"/>
    <w:rsid w:val="00802401"/>
    <w:rsid w:val="00802577"/>
    <w:rsid w:val="00802D01"/>
    <w:rsid w:val="00803082"/>
    <w:rsid w:val="0080323A"/>
    <w:rsid w:val="008034DC"/>
    <w:rsid w:val="00803C0C"/>
    <w:rsid w:val="00805087"/>
    <w:rsid w:val="008061DC"/>
    <w:rsid w:val="00806226"/>
    <w:rsid w:val="0080646F"/>
    <w:rsid w:val="008067BC"/>
    <w:rsid w:val="00807049"/>
    <w:rsid w:val="008072FA"/>
    <w:rsid w:val="00807444"/>
    <w:rsid w:val="00807470"/>
    <w:rsid w:val="00807694"/>
    <w:rsid w:val="00807B06"/>
    <w:rsid w:val="00807D59"/>
    <w:rsid w:val="0081009F"/>
    <w:rsid w:val="00810279"/>
    <w:rsid w:val="008103A5"/>
    <w:rsid w:val="00810518"/>
    <w:rsid w:val="008105B6"/>
    <w:rsid w:val="0081064D"/>
    <w:rsid w:val="00810D13"/>
    <w:rsid w:val="00810D68"/>
    <w:rsid w:val="00811016"/>
    <w:rsid w:val="00811B48"/>
    <w:rsid w:val="00811CBB"/>
    <w:rsid w:val="008126C6"/>
    <w:rsid w:val="008127D8"/>
    <w:rsid w:val="00812968"/>
    <w:rsid w:val="00812AB8"/>
    <w:rsid w:val="0081311D"/>
    <w:rsid w:val="008132AD"/>
    <w:rsid w:val="0081367A"/>
    <w:rsid w:val="008136DE"/>
    <w:rsid w:val="0081399B"/>
    <w:rsid w:val="00813A50"/>
    <w:rsid w:val="00813E81"/>
    <w:rsid w:val="00813EB6"/>
    <w:rsid w:val="00813F8F"/>
    <w:rsid w:val="00814109"/>
    <w:rsid w:val="008147D2"/>
    <w:rsid w:val="00814FE0"/>
    <w:rsid w:val="00815357"/>
    <w:rsid w:val="008156BD"/>
    <w:rsid w:val="008163A3"/>
    <w:rsid w:val="0081674A"/>
    <w:rsid w:val="008168E7"/>
    <w:rsid w:val="00816E01"/>
    <w:rsid w:val="008171D5"/>
    <w:rsid w:val="00817551"/>
    <w:rsid w:val="008201B4"/>
    <w:rsid w:val="00820698"/>
    <w:rsid w:val="0082093F"/>
    <w:rsid w:val="008209B5"/>
    <w:rsid w:val="00820A07"/>
    <w:rsid w:val="00820A81"/>
    <w:rsid w:val="00820B35"/>
    <w:rsid w:val="00820ECD"/>
    <w:rsid w:val="0082103D"/>
    <w:rsid w:val="008218D8"/>
    <w:rsid w:val="00821A8D"/>
    <w:rsid w:val="00821ADD"/>
    <w:rsid w:val="00821B31"/>
    <w:rsid w:val="00821BB5"/>
    <w:rsid w:val="008221E8"/>
    <w:rsid w:val="00822289"/>
    <w:rsid w:val="00822549"/>
    <w:rsid w:val="0082269C"/>
    <w:rsid w:val="00822942"/>
    <w:rsid w:val="008230D5"/>
    <w:rsid w:val="00823295"/>
    <w:rsid w:val="008242CB"/>
    <w:rsid w:val="00824608"/>
    <w:rsid w:val="00824CD4"/>
    <w:rsid w:val="00825167"/>
    <w:rsid w:val="00825314"/>
    <w:rsid w:val="00825567"/>
    <w:rsid w:val="008257A4"/>
    <w:rsid w:val="008257C7"/>
    <w:rsid w:val="008259B2"/>
    <w:rsid w:val="00825A69"/>
    <w:rsid w:val="00826404"/>
    <w:rsid w:val="00826440"/>
    <w:rsid w:val="008275C4"/>
    <w:rsid w:val="00827FCD"/>
    <w:rsid w:val="0083008C"/>
    <w:rsid w:val="00830421"/>
    <w:rsid w:val="008309E7"/>
    <w:rsid w:val="0083118C"/>
    <w:rsid w:val="008319B3"/>
    <w:rsid w:val="0083268D"/>
    <w:rsid w:val="00832835"/>
    <w:rsid w:val="00832AED"/>
    <w:rsid w:val="00832C8E"/>
    <w:rsid w:val="00833118"/>
    <w:rsid w:val="00833256"/>
    <w:rsid w:val="00833ABA"/>
    <w:rsid w:val="008341F0"/>
    <w:rsid w:val="00834A2D"/>
    <w:rsid w:val="00834AEF"/>
    <w:rsid w:val="0083596E"/>
    <w:rsid w:val="00835ADF"/>
    <w:rsid w:val="00835D65"/>
    <w:rsid w:val="00836400"/>
    <w:rsid w:val="00836B3D"/>
    <w:rsid w:val="00836C68"/>
    <w:rsid w:val="00836D0B"/>
    <w:rsid w:val="00836EF8"/>
    <w:rsid w:val="00837AC9"/>
    <w:rsid w:val="00837D21"/>
    <w:rsid w:val="00840291"/>
    <w:rsid w:val="008402BF"/>
    <w:rsid w:val="00840498"/>
    <w:rsid w:val="00840523"/>
    <w:rsid w:val="0084099C"/>
    <w:rsid w:val="0084117D"/>
    <w:rsid w:val="008421B0"/>
    <w:rsid w:val="008424EC"/>
    <w:rsid w:val="00842934"/>
    <w:rsid w:val="00842D55"/>
    <w:rsid w:val="00843206"/>
    <w:rsid w:val="008432C8"/>
    <w:rsid w:val="008435D4"/>
    <w:rsid w:val="00843788"/>
    <w:rsid w:val="00843918"/>
    <w:rsid w:val="00843FD3"/>
    <w:rsid w:val="00843FD7"/>
    <w:rsid w:val="008446E6"/>
    <w:rsid w:val="00844943"/>
    <w:rsid w:val="008449D9"/>
    <w:rsid w:val="008459E2"/>
    <w:rsid w:val="00845E2F"/>
    <w:rsid w:val="00846950"/>
    <w:rsid w:val="00846AB3"/>
    <w:rsid w:val="00847335"/>
    <w:rsid w:val="0084737B"/>
    <w:rsid w:val="0084755C"/>
    <w:rsid w:val="00847588"/>
    <w:rsid w:val="00847601"/>
    <w:rsid w:val="00847EEE"/>
    <w:rsid w:val="0085056C"/>
    <w:rsid w:val="008508F1"/>
    <w:rsid w:val="00851936"/>
    <w:rsid w:val="00851A3F"/>
    <w:rsid w:val="00852070"/>
    <w:rsid w:val="00852672"/>
    <w:rsid w:val="00853139"/>
    <w:rsid w:val="00854037"/>
    <w:rsid w:val="00854065"/>
    <w:rsid w:val="0085433D"/>
    <w:rsid w:val="00854994"/>
    <w:rsid w:val="00854999"/>
    <w:rsid w:val="00854E4B"/>
    <w:rsid w:val="008553F1"/>
    <w:rsid w:val="0085563C"/>
    <w:rsid w:val="008558B3"/>
    <w:rsid w:val="00855A32"/>
    <w:rsid w:val="0085601B"/>
    <w:rsid w:val="0085672F"/>
    <w:rsid w:val="008568EC"/>
    <w:rsid w:val="00856AAC"/>
    <w:rsid w:val="00857FCD"/>
    <w:rsid w:val="00860742"/>
    <w:rsid w:val="00860B93"/>
    <w:rsid w:val="00860DEB"/>
    <w:rsid w:val="00860EF6"/>
    <w:rsid w:val="008612F0"/>
    <w:rsid w:val="00861D57"/>
    <w:rsid w:val="008624BA"/>
    <w:rsid w:val="00863153"/>
    <w:rsid w:val="00864266"/>
    <w:rsid w:val="0086494E"/>
    <w:rsid w:val="00864F35"/>
    <w:rsid w:val="00864F65"/>
    <w:rsid w:val="008651A3"/>
    <w:rsid w:val="00865978"/>
    <w:rsid w:val="00865981"/>
    <w:rsid w:val="00865A84"/>
    <w:rsid w:val="00866510"/>
    <w:rsid w:val="008669A4"/>
    <w:rsid w:val="00866B3C"/>
    <w:rsid w:val="008670B9"/>
    <w:rsid w:val="008672AC"/>
    <w:rsid w:val="00867423"/>
    <w:rsid w:val="008674E8"/>
    <w:rsid w:val="00867ACD"/>
    <w:rsid w:val="00870067"/>
    <w:rsid w:val="008708C8"/>
    <w:rsid w:val="00870A00"/>
    <w:rsid w:val="00870F94"/>
    <w:rsid w:val="00870FB5"/>
    <w:rsid w:val="0087153F"/>
    <w:rsid w:val="008715EF"/>
    <w:rsid w:val="008719FB"/>
    <w:rsid w:val="00872AB8"/>
    <w:rsid w:val="00872B73"/>
    <w:rsid w:val="00872EF5"/>
    <w:rsid w:val="008738E5"/>
    <w:rsid w:val="00873DC0"/>
    <w:rsid w:val="0087423F"/>
    <w:rsid w:val="0087479E"/>
    <w:rsid w:val="0087536B"/>
    <w:rsid w:val="00875A81"/>
    <w:rsid w:val="00876684"/>
    <w:rsid w:val="008772A6"/>
    <w:rsid w:val="00877D0D"/>
    <w:rsid w:val="00877E1B"/>
    <w:rsid w:val="00880B83"/>
    <w:rsid w:val="00880D38"/>
    <w:rsid w:val="00881199"/>
    <w:rsid w:val="008814C7"/>
    <w:rsid w:val="008824E7"/>
    <w:rsid w:val="00882B16"/>
    <w:rsid w:val="00882CAB"/>
    <w:rsid w:val="00882DF9"/>
    <w:rsid w:val="008837A4"/>
    <w:rsid w:val="008838FA"/>
    <w:rsid w:val="008842CF"/>
    <w:rsid w:val="008849F3"/>
    <w:rsid w:val="00884E3A"/>
    <w:rsid w:val="00885187"/>
    <w:rsid w:val="008856FD"/>
    <w:rsid w:val="008859D2"/>
    <w:rsid w:val="00885D3A"/>
    <w:rsid w:val="00886AD9"/>
    <w:rsid w:val="0088715F"/>
    <w:rsid w:val="008873FC"/>
    <w:rsid w:val="008876D1"/>
    <w:rsid w:val="008879D3"/>
    <w:rsid w:val="00887ADF"/>
    <w:rsid w:val="00887F45"/>
    <w:rsid w:val="00890864"/>
    <w:rsid w:val="00890A86"/>
    <w:rsid w:val="00890FB9"/>
    <w:rsid w:val="0089149E"/>
    <w:rsid w:val="008915E6"/>
    <w:rsid w:val="00891B1F"/>
    <w:rsid w:val="00891BB5"/>
    <w:rsid w:val="00892A1F"/>
    <w:rsid w:val="00892C1E"/>
    <w:rsid w:val="00892F7D"/>
    <w:rsid w:val="008935A3"/>
    <w:rsid w:val="00893613"/>
    <w:rsid w:val="00893AB4"/>
    <w:rsid w:val="00893B38"/>
    <w:rsid w:val="00893C34"/>
    <w:rsid w:val="00894534"/>
    <w:rsid w:val="00895155"/>
    <w:rsid w:val="00895559"/>
    <w:rsid w:val="008957BE"/>
    <w:rsid w:val="008957D4"/>
    <w:rsid w:val="00895F31"/>
    <w:rsid w:val="008963F5"/>
    <w:rsid w:val="008966E7"/>
    <w:rsid w:val="00896A63"/>
    <w:rsid w:val="00897CD0"/>
    <w:rsid w:val="008A0620"/>
    <w:rsid w:val="008A09F6"/>
    <w:rsid w:val="008A14F6"/>
    <w:rsid w:val="008A1924"/>
    <w:rsid w:val="008A1E06"/>
    <w:rsid w:val="008A26B9"/>
    <w:rsid w:val="008A2970"/>
    <w:rsid w:val="008A2A01"/>
    <w:rsid w:val="008A3331"/>
    <w:rsid w:val="008A3406"/>
    <w:rsid w:val="008A360A"/>
    <w:rsid w:val="008A3A85"/>
    <w:rsid w:val="008A3B3D"/>
    <w:rsid w:val="008A3BEC"/>
    <w:rsid w:val="008A3F5C"/>
    <w:rsid w:val="008A4E03"/>
    <w:rsid w:val="008A541D"/>
    <w:rsid w:val="008A549A"/>
    <w:rsid w:val="008A5544"/>
    <w:rsid w:val="008A5DCB"/>
    <w:rsid w:val="008A6027"/>
    <w:rsid w:val="008A6936"/>
    <w:rsid w:val="008A6B4E"/>
    <w:rsid w:val="008A7717"/>
    <w:rsid w:val="008A77AB"/>
    <w:rsid w:val="008A7C7C"/>
    <w:rsid w:val="008B0EFC"/>
    <w:rsid w:val="008B1447"/>
    <w:rsid w:val="008B161A"/>
    <w:rsid w:val="008B2E14"/>
    <w:rsid w:val="008B2EEB"/>
    <w:rsid w:val="008B2F1E"/>
    <w:rsid w:val="008B3070"/>
    <w:rsid w:val="008B3124"/>
    <w:rsid w:val="008B3DEB"/>
    <w:rsid w:val="008B3E2D"/>
    <w:rsid w:val="008B42CD"/>
    <w:rsid w:val="008B469A"/>
    <w:rsid w:val="008B4C55"/>
    <w:rsid w:val="008B4F47"/>
    <w:rsid w:val="008B57C1"/>
    <w:rsid w:val="008B59E0"/>
    <w:rsid w:val="008B5D62"/>
    <w:rsid w:val="008B5E00"/>
    <w:rsid w:val="008B5FD0"/>
    <w:rsid w:val="008B6F62"/>
    <w:rsid w:val="008B712F"/>
    <w:rsid w:val="008B78E0"/>
    <w:rsid w:val="008C0061"/>
    <w:rsid w:val="008C0417"/>
    <w:rsid w:val="008C0CAC"/>
    <w:rsid w:val="008C0CF6"/>
    <w:rsid w:val="008C0EAD"/>
    <w:rsid w:val="008C1538"/>
    <w:rsid w:val="008C1DDC"/>
    <w:rsid w:val="008C29EA"/>
    <w:rsid w:val="008C2B5B"/>
    <w:rsid w:val="008C3245"/>
    <w:rsid w:val="008C352E"/>
    <w:rsid w:val="008C3B37"/>
    <w:rsid w:val="008C3C1F"/>
    <w:rsid w:val="008C4230"/>
    <w:rsid w:val="008C43F8"/>
    <w:rsid w:val="008C4670"/>
    <w:rsid w:val="008C4A09"/>
    <w:rsid w:val="008C4D5D"/>
    <w:rsid w:val="008C5982"/>
    <w:rsid w:val="008C5A79"/>
    <w:rsid w:val="008C5FAB"/>
    <w:rsid w:val="008C6030"/>
    <w:rsid w:val="008C7549"/>
    <w:rsid w:val="008C790B"/>
    <w:rsid w:val="008D0BB5"/>
    <w:rsid w:val="008D16C2"/>
    <w:rsid w:val="008D17B2"/>
    <w:rsid w:val="008D1A4D"/>
    <w:rsid w:val="008D22EA"/>
    <w:rsid w:val="008D24EF"/>
    <w:rsid w:val="008D2734"/>
    <w:rsid w:val="008D27CF"/>
    <w:rsid w:val="008D2F1C"/>
    <w:rsid w:val="008D304B"/>
    <w:rsid w:val="008D4017"/>
    <w:rsid w:val="008D4285"/>
    <w:rsid w:val="008D4540"/>
    <w:rsid w:val="008D4EA1"/>
    <w:rsid w:val="008D59D4"/>
    <w:rsid w:val="008D5F0D"/>
    <w:rsid w:val="008D67F2"/>
    <w:rsid w:val="008D6A49"/>
    <w:rsid w:val="008D6CE5"/>
    <w:rsid w:val="008D76BB"/>
    <w:rsid w:val="008D7757"/>
    <w:rsid w:val="008E0783"/>
    <w:rsid w:val="008E0A83"/>
    <w:rsid w:val="008E0E36"/>
    <w:rsid w:val="008E1222"/>
    <w:rsid w:val="008E18E6"/>
    <w:rsid w:val="008E1A9D"/>
    <w:rsid w:val="008E1ABE"/>
    <w:rsid w:val="008E27A4"/>
    <w:rsid w:val="008E295D"/>
    <w:rsid w:val="008E2C90"/>
    <w:rsid w:val="008E2D58"/>
    <w:rsid w:val="008E301E"/>
    <w:rsid w:val="008E35CD"/>
    <w:rsid w:val="008E3FD5"/>
    <w:rsid w:val="008E40FE"/>
    <w:rsid w:val="008E4244"/>
    <w:rsid w:val="008E442C"/>
    <w:rsid w:val="008E4A38"/>
    <w:rsid w:val="008E4F57"/>
    <w:rsid w:val="008E549D"/>
    <w:rsid w:val="008E666F"/>
    <w:rsid w:val="008E68EF"/>
    <w:rsid w:val="008E69CB"/>
    <w:rsid w:val="008E6ADF"/>
    <w:rsid w:val="008E7414"/>
    <w:rsid w:val="008E772F"/>
    <w:rsid w:val="008E77D4"/>
    <w:rsid w:val="008E7861"/>
    <w:rsid w:val="008E7DA1"/>
    <w:rsid w:val="008F025A"/>
    <w:rsid w:val="008F031D"/>
    <w:rsid w:val="008F06F5"/>
    <w:rsid w:val="008F0ADA"/>
    <w:rsid w:val="008F0E73"/>
    <w:rsid w:val="008F1645"/>
    <w:rsid w:val="008F1C4B"/>
    <w:rsid w:val="008F2127"/>
    <w:rsid w:val="008F2219"/>
    <w:rsid w:val="008F2ADC"/>
    <w:rsid w:val="008F2DC7"/>
    <w:rsid w:val="008F2DD7"/>
    <w:rsid w:val="008F31BE"/>
    <w:rsid w:val="008F355A"/>
    <w:rsid w:val="008F3866"/>
    <w:rsid w:val="008F3FA7"/>
    <w:rsid w:val="008F41EB"/>
    <w:rsid w:val="008F4264"/>
    <w:rsid w:val="008F44EA"/>
    <w:rsid w:val="008F4581"/>
    <w:rsid w:val="008F4D2F"/>
    <w:rsid w:val="008F573A"/>
    <w:rsid w:val="008F59DD"/>
    <w:rsid w:val="008F5A95"/>
    <w:rsid w:val="008F6034"/>
    <w:rsid w:val="008F614C"/>
    <w:rsid w:val="008F6449"/>
    <w:rsid w:val="008F6591"/>
    <w:rsid w:val="008F65F8"/>
    <w:rsid w:val="008F6D2E"/>
    <w:rsid w:val="008F6EF1"/>
    <w:rsid w:val="008F749F"/>
    <w:rsid w:val="00900384"/>
    <w:rsid w:val="00900BA7"/>
    <w:rsid w:val="00900C0E"/>
    <w:rsid w:val="00900D77"/>
    <w:rsid w:val="00901BE2"/>
    <w:rsid w:val="00902396"/>
    <w:rsid w:val="0090295D"/>
    <w:rsid w:val="00902D47"/>
    <w:rsid w:val="00902F49"/>
    <w:rsid w:val="009038E5"/>
    <w:rsid w:val="00903C4F"/>
    <w:rsid w:val="00904036"/>
    <w:rsid w:val="00904860"/>
    <w:rsid w:val="009049E3"/>
    <w:rsid w:val="0090510A"/>
    <w:rsid w:val="0090526F"/>
    <w:rsid w:val="009058ED"/>
    <w:rsid w:val="00905B43"/>
    <w:rsid w:val="00905D37"/>
    <w:rsid w:val="00906A01"/>
    <w:rsid w:val="00907163"/>
    <w:rsid w:val="009072C7"/>
    <w:rsid w:val="0090759A"/>
    <w:rsid w:val="0090788C"/>
    <w:rsid w:val="00907A06"/>
    <w:rsid w:val="00907F59"/>
    <w:rsid w:val="009105EB"/>
    <w:rsid w:val="009105FD"/>
    <w:rsid w:val="00910C34"/>
    <w:rsid w:val="0091100B"/>
    <w:rsid w:val="00911790"/>
    <w:rsid w:val="00911BE7"/>
    <w:rsid w:val="00912373"/>
    <w:rsid w:val="009128D6"/>
    <w:rsid w:val="00912FBA"/>
    <w:rsid w:val="00913284"/>
    <w:rsid w:val="00913C94"/>
    <w:rsid w:val="009141E0"/>
    <w:rsid w:val="0091462B"/>
    <w:rsid w:val="00914727"/>
    <w:rsid w:val="0091477B"/>
    <w:rsid w:val="00914893"/>
    <w:rsid w:val="00915030"/>
    <w:rsid w:val="009150A5"/>
    <w:rsid w:val="0091510C"/>
    <w:rsid w:val="00915251"/>
    <w:rsid w:val="00915640"/>
    <w:rsid w:val="0091567C"/>
    <w:rsid w:val="00915D6B"/>
    <w:rsid w:val="00916AC0"/>
    <w:rsid w:val="00916B92"/>
    <w:rsid w:val="00916BA3"/>
    <w:rsid w:val="00916D1F"/>
    <w:rsid w:val="00916FB7"/>
    <w:rsid w:val="00917067"/>
    <w:rsid w:val="009175C7"/>
    <w:rsid w:val="009176AB"/>
    <w:rsid w:val="00917EF2"/>
    <w:rsid w:val="00917F58"/>
    <w:rsid w:val="00920A81"/>
    <w:rsid w:val="00920F73"/>
    <w:rsid w:val="00921569"/>
    <w:rsid w:val="00921676"/>
    <w:rsid w:val="00921760"/>
    <w:rsid w:val="00921B00"/>
    <w:rsid w:val="00921E9A"/>
    <w:rsid w:val="00922127"/>
    <w:rsid w:val="00922332"/>
    <w:rsid w:val="00922748"/>
    <w:rsid w:val="00922F6D"/>
    <w:rsid w:val="00923019"/>
    <w:rsid w:val="00923526"/>
    <w:rsid w:val="00923992"/>
    <w:rsid w:val="009239EA"/>
    <w:rsid w:val="00923B6B"/>
    <w:rsid w:val="00924007"/>
    <w:rsid w:val="0092432C"/>
    <w:rsid w:val="0092547C"/>
    <w:rsid w:val="00926A16"/>
    <w:rsid w:val="009271FC"/>
    <w:rsid w:val="00927375"/>
    <w:rsid w:val="009278AF"/>
    <w:rsid w:val="00927919"/>
    <w:rsid w:val="009312EF"/>
    <w:rsid w:val="009313B1"/>
    <w:rsid w:val="009313FE"/>
    <w:rsid w:val="00932944"/>
    <w:rsid w:val="00932BA7"/>
    <w:rsid w:val="009333AA"/>
    <w:rsid w:val="009339EB"/>
    <w:rsid w:val="009343F9"/>
    <w:rsid w:val="009345F7"/>
    <w:rsid w:val="00934B92"/>
    <w:rsid w:val="00934D79"/>
    <w:rsid w:val="00935188"/>
    <w:rsid w:val="00935343"/>
    <w:rsid w:val="00935363"/>
    <w:rsid w:val="0093549F"/>
    <w:rsid w:val="00935618"/>
    <w:rsid w:val="00935637"/>
    <w:rsid w:val="00935799"/>
    <w:rsid w:val="00935D12"/>
    <w:rsid w:val="0093602D"/>
    <w:rsid w:val="009368DD"/>
    <w:rsid w:val="00936920"/>
    <w:rsid w:val="00936A55"/>
    <w:rsid w:val="00936AE7"/>
    <w:rsid w:val="00936C0E"/>
    <w:rsid w:val="00936ED7"/>
    <w:rsid w:val="009404A4"/>
    <w:rsid w:val="0094062A"/>
    <w:rsid w:val="00940A1B"/>
    <w:rsid w:val="00940C72"/>
    <w:rsid w:val="00940EAA"/>
    <w:rsid w:val="00941197"/>
    <w:rsid w:val="00941252"/>
    <w:rsid w:val="00941631"/>
    <w:rsid w:val="0094172C"/>
    <w:rsid w:val="009420D1"/>
    <w:rsid w:val="00942A19"/>
    <w:rsid w:val="00942C0E"/>
    <w:rsid w:val="00943071"/>
    <w:rsid w:val="009440EA"/>
    <w:rsid w:val="00944B0A"/>
    <w:rsid w:val="00945045"/>
    <w:rsid w:val="009454BB"/>
    <w:rsid w:val="00945699"/>
    <w:rsid w:val="009456A4"/>
    <w:rsid w:val="009458B0"/>
    <w:rsid w:val="00945A6D"/>
    <w:rsid w:val="00945F30"/>
    <w:rsid w:val="00946480"/>
    <w:rsid w:val="009464FC"/>
    <w:rsid w:val="009469F4"/>
    <w:rsid w:val="00946A84"/>
    <w:rsid w:val="00946E7A"/>
    <w:rsid w:val="009477FB"/>
    <w:rsid w:val="00947950"/>
    <w:rsid w:val="009500DD"/>
    <w:rsid w:val="009501BA"/>
    <w:rsid w:val="00950AE4"/>
    <w:rsid w:val="00950E73"/>
    <w:rsid w:val="00950EB1"/>
    <w:rsid w:val="00951192"/>
    <w:rsid w:val="0095127F"/>
    <w:rsid w:val="00951ACA"/>
    <w:rsid w:val="00952285"/>
    <w:rsid w:val="00952C41"/>
    <w:rsid w:val="00952C53"/>
    <w:rsid w:val="0095425E"/>
    <w:rsid w:val="009543DE"/>
    <w:rsid w:val="00954441"/>
    <w:rsid w:val="00955140"/>
    <w:rsid w:val="009557AA"/>
    <w:rsid w:val="00955807"/>
    <w:rsid w:val="009568B4"/>
    <w:rsid w:val="00956ECE"/>
    <w:rsid w:val="00956F9D"/>
    <w:rsid w:val="0095708D"/>
    <w:rsid w:val="009574BC"/>
    <w:rsid w:val="009577BB"/>
    <w:rsid w:val="00957CFD"/>
    <w:rsid w:val="00957E29"/>
    <w:rsid w:val="00957E96"/>
    <w:rsid w:val="00960324"/>
    <w:rsid w:val="00960330"/>
    <w:rsid w:val="00960931"/>
    <w:rsid w:val="00960B7A"/>
    <w:rsid w:val="00960DEF"/>
    <w:rsid w:val="00960F98"/>
    <w:rsid w:val="009617D9"/>
    <w:rsid w:val="00961818"/>
    <w:rsid w:val="0096201C"/>
    <w:rsid w:val="009625DA"/>
    <w:rsid w:val="00962E26"/>
    <w:rsid w:val="009631B1"/>
    <w:rsid w:val="00963688"/>
    <w:rsid w:val="00963899"/>
    <w:rsid w:val="00963C62"/>
    <w:rsid w:val="00963D4F"/>
    <w:rsid w:val="0096407D"/>
    <w:rsid w:val="009651CF"/>
    <w:rsid w:val="00965AE4"/>
    <w:rsid w:val="0096630C"/>
    <w:rsid w:val="00966312"/>
    <w:rsid w:val="00966482"/>
    <w:rsid w:val="00966650"/>
    <w:rsid w:val="00966CF5"/>
    <w:rsid w:val="0096746F"/>
    <w:rsid w:val="009678C4"/>
    <w:rsid w:val="00967D7E"/>
    <w:rsid w:val="0097064A"/>
    <w:rsid w:val="00970C3C"/>
    <w:rsid w:val="00971AA9"/>
    <w:rsid w:val="00971F25"/>
    <w:rsid w:val="0097222A"/>
    <w:rsid w:val="00972CA1"/>
    <w:rsid w:val="00972EE3"/>
    <w:rsid w:val="00973028"/>
    <w:rsid w:val="009731E5"/>
    <w:rsid w:val="009733FC"/>
    <w:rsid w:val="00973444"/>
    <w:rsid w:val="00973BAA"/>
    <w:rsid w:val="009740A5"/>
    <w:rsid w:val="0097464F"/>
    <w:rsid w:val="00974758"/>
    <w:rsid w:val="0097522B"/>
    <w:rsid w:val="009758D1"/>
    <w:rsid w:val="009762A9"/>
    <w:rsid w:val="0097638D"/>
    <w:rsid w:val="00976DE4"/>
    <w:rsid w:val="00977162"/>
    <w:rsid w:val="009773DE"/>
    <w:rsid w:val="009776D1"/>
    <w:rsid w:val="0097773E"/>
    <w:rsid w:val="00977F18"/>
    <w:rsid w:val="009805C6"/>
    <w:rsid w:val="00981433"/>
    <w:rsid w:val="00981881"/>
    <w:rsid w:val="00982479"/>
    <w:rsid w:val="009829A4"/>
    <w:rsid w:val="00982A6E"/>
    <w:rsid w:val="00982B6E"/>
    <w:rsid w:val="0098352A"/>
    <w:rsid w:val="00983545"/>
    <w:rsid w:val="00984143"/>
    <w:rsid w:val="00984243"/>
    <w:rsid w:val="009843AB"/>
    <w:rsid w:val="00985428"/>
    <w:rsid w:val="00985596"/>
    <w:rsid w:val="00985821"/>
    <w:rsid w:val="00985BD9"/>
    <w:rsid w:val="00985D0F"/>
    <w:rsid w:val="009863D9"/>
    <w:rsid w:val="00986A58"/>
    <w:rsid w:val="00986A6B"/>
    <w:rsid w:val="0098727F"/>
    <w:rsid w:val="00987626"/>
    <w:rsid w:val="009876D6"/>
    <w:rsid w:val="00987843"/>
    <w:rsid w:val="009879DC"/>
    <w:rsid w:val="00987EFF"/>
    <w:rsid w:val="009904F2"/>
    <w:rsid w:val="009907F1"/>
    <w:rsid w:val="00991114"/>
    <w:rsid w:val="009911A0"/>
    <w:rsid w:val="0099130F"/>
    <w:rsid w:val="0099177F"/>
    <w:rsid w:val="0099182A"/>
    <w:rsid w:val="009919CB"/>
    <w:rsid w:val="00992EA5"/>
    <w:rsid w:val="00992F90"/>
    <w:rsid w:val="0099362A"/>
    <w:rsid w:val="00993B1C"/>
    <w:rsid w:val="00993D26"/>
    <w:rsid w:val="00994B43"/>
    <w:rsid w:val="00994E9D"/>
    <w:rsid w:val="00995AE9"/>
    <w:rsid w:val="00996726"/>
    <w:rsid w:val="00996ADC"/>
    <w:rsid w:val="0099739B"/>
    <w:rsid w:val="009976E9"/>
    <w:rsid w:val="00997992"/>
    <w:rsid w:val="009A01A1"/>
    <w:rsid w:val="009A0C05"/>
    <w:rsid w:val="009A10D0"/>
    <w:rsid w:val="009A1122"/>
    <w:rsid w:val="009A1B11"/>
    <w:rsid w:val="009A1DF0"/>
    <w:rsid w:val="009A1E1C"/>
    <w:rsid w:val="009A2328"/>
    <w:rsid w:val="009A2F20"/>
    <w:rsid w:val="009A30EB"/>
    <w:rsid w:val="009A3790"/>
    <w:rsid w:val="009A3C99"/>
    <w:rsid w:val="009A41EF"/>
    <w:rsid w:val="009A4807"/>
    <w:rsid w:val="009A4B16"/>
    <w:rsid w:val="009A4D68"/>
    <w:rsid w:val="009A5122"/>
    <w:rsid w:val="009A52DC"/>
    <w:rsid w:val="009A53B3"/>
    <w:rsid w:val="009A54D4"/>
    <w:rsid w:val="009A5AAE"/>
    <w:rsid w:val="009A5ED0"/>
    <w:rsid w:val="009A62DB"/>
    <w:rsid w:val="009A65BE"/>
    <w:rsid w:val="009A66A9"/>
    <w:rsid w:val="009A70DE"/>
    <w:rsid w:val="009A7834"/>
    <w:rsid w:val="009A7854"/>
    <w:rsid w:val="009A78FB"/>
    <w:rsid w:val="009B015B"/>
    <w:rsid w:val="009B0FB0"/>
    <w:rsid w:val="009B1029"/>
    <w:rsid w:val="009B11CA"/>
    <w:rsid w:val="009B166A"/>
    <w:rsid w:val="009B1A15"/>
    <w:rsid w:val="009B1CF1"/>
    <w:rsid w:val="009B24D5"/>
    <w:rsid w:val="009B26FB"/>
    <w:rsid w:val="009B2A73"/>
    <w:rsid w:val="009B2B0D"/>
    <w:rsid w:val="009B2F6E"/>
    <w:rsid w:val="009B32AD"/>
    <w:rsid w:val="009B33EC"/>
    <w:rsid w:val="009B3516"/>
    <w:rsid w:val="009B3720"/>
    <w:rsid w:val="009B3A4B"/>
    <w:rsid w:val="009B3B9C"/>
    <w:rsid w:val="009B3E56"/>
    <w:rsid w:val="009B3FD1"/>
    <w:rsid w:val="009B44B5"/>
    <w:rsid w:val="009B484B"/>
    <w:rsid w:val="009B5DC9"/>
    <w:rsid w:val="009B6114"/>
    <w:rsid w:val="009B690E"/>
    <w:rsid w:val="009B6E1C"/>
    <w:rsid w:val="009B7452"/>
    <w:rsid w:val="009C029C"/>
    <w:rsid w:val="009C0DDC"/>
    <w:rsid w:val="009C0E4F"/>
    <w:rsid w:val="009C1390"/>
    <w:rsid w:val="009C1968"/>
    <w:rsid w:val="009C19E4"/>
    <w:rsid w:val="009C19F1"/>
    <w:rsid w:val="009C1E25"/>
    <w:rsid w:val="009C1F24"/>
    <w:rsid w:val="009C26AA"/>
    <w:rsid w:val="009C2BA6"/>
    <w:rsid w:val="009C32D6"/>
    <w:rsid w:val="009C3812"/>
    <w:rsid w:val="009C3B34"/>
    <w:rsid w:val="009C3F36"/>
    <w:rsid w:val="009C3FCE"/>
    <w:rsid w:val="009C415C"/>
    <w:rsid w:val="009C470B"/>
    <w:rsid w:val="009C6402"/>
    <w:rsid w:val="009C6F2D"/>
    <w:rsid w:val="009C7620"/>
    <w:rsid w:val="009C7B34"/>
    <w:rsid w:val="009C7F9B"/>
    <w:rsid w:val="009C7FD8"/>
    <w:rsid w:val="009D00C5"/>
    <w:rsid w:val="009D00F7"/>
    <w:rsid w:val="009D04F9"/>
    <w:rsid w:val="009D1315"/>
    <w:rsid w:val="009D142C"/>
    <w:rsid w:val="009D2192"/>
    <w:rsid w:val="009D2843"/>
    <w:rsid w:val="009D323A"/>
    <w:rsid w:val="009D35BA"/>
    <w:rsid w:val="009D3722"/>
    <w:rsid w:val="009D382C"/>
    <w:rsid w:val="009D389F"/>
    <w:rsid w:val="009D3A77"/>
    <w:rsid w:val="009D43EF"/>
    <w:rsid w:val="009D537E"/>
    <w:rsid w:val="009D5782"/>
    <w:rsid w:val="009D5C56"/>
    <w:rsid w:val="009D5FFA"/>
    <w:rsid w:val="009D64EA"/>
    <w:rsid w:val="009D66C7"/>
    <w:rsid w:val="009D67E5"/>
    <w:rsid w:val="009D687C"/>
    <w:rsid w:val="009D6A81"/>
    <w:rsid w:val="009D7214"/>
    <w:rsid w:val="009D78EF"/>
    <w:rsid w:val="009D7D69"/>
    <w:rsid w:val="009D7E14"/>
    <w:rsid w:val="009D7F4E"/>
    <w:rsid w:val="009E0453"/>
    <w:rsid w:val="009E04C6"/>
    <w:rsid w:val="009E19F7"/>
    <w:rsid w:val="009E1CC4"/>
    <w:rsid w:val="009E1D13"/>
    <w:rsid w:val="009E1ED2"/>
    <w:rsid w:val="009E2025"/>
    <w:rsid w:val="009E298C"/>
    <w:rsid w:val="009E33C4"/>
    <w:rsid w:val="009E3AF4"/>
    <w:rsid w:val="009E3CFA"/>
    <w:rsid w:val="009E40B9"/>
    <w:rsid w:val="009E42EF"/>
    <w:rsid w:val="009E535E"/>
    <w:rsid w:val="009E56D7"/>
    <w:rsid w:val="009E57FD"/>
    <w:rsid w:val="009E5D0D"/>
    <w:rsid w:val="009E5E8A"/>
    <w:rsid w:val="009E634A"/>
    <w:rsid w:val="009E670C"/>
    <w:rsid w:val="009E6C56"/>
    <w:rsid w:val="009E6D63"/>
    <w:rsid w:val="009E7025"/>
    <w:rsid w:val="009E728C"/>
    <w:rsid w:val="009E7AFF"/>
    <w:rsid w:val="009E7C82"/>
    <w:rsid w:val="009E7EA6"/>
    <w:rsid w:val="009F06C9"/>
    <w:rsid w:val="009F0B2D"/>
    <w:rsid w:val="009F0F2A"/>
    <w:rsid w:val="009F10A1"/>
    <w:rsid w:val="009F1414"/>
    <w:rsid w:val="009F18E0"/>
    <w:rsid w:val="009F1A41"/>
    <w:rsid w:val="009F1D0B"/>
    <w:rsid w:val="009F22A0"/>
    <w:rsid w:val="009F2B33"/>
    <w:rsid w:val="009F2F4E"/>
    <w:rsid w:val="009F3072"/>
    <w:rsid w:val="009F3A31"/>
    <w:rsid w:val="009F3B30"/>
    <w:rsid w:val="009F3C99"/>
    <w:rsid w:val="009F3D94"/>
    <w:rsid w:val="009F4895"/>
    <w:rsid w:val="009F491C"/>
    <w:rsid w:val="009F4B0B"/>
    <w:rsid w:val="009F4EDD"/>
    <w:rsid w:val="009F57AB"/>
    <w:rsid w:val="009F5A7F"/>
    <w:rsid w:val="009F5FDA"/>
    <w:rsid w:val="009F6B4C"/>
    <w:rsid w:val="009F6FD2"/>
    <w:rsid w:val="009F7224"/>
    <w:rsid w:val="009F7402"/>
    <w:rsid w:val="009F7EA2"/>
    <w:rsid w:val="00A00546"/>
    <w:rsid w:val="00A006E0"/>
    <w:rsid w:val="00A007C4"/>
    <w:rsid w:val="00A009A9"/>
    <w:rsid w:val="00A00F60"/>
    <w:rsid w:val="00A00F74"/>
    <w:rsid w:val="00A011B4"/>
    <w:rsid w:val="00A012AF"/>
    <w:rsid w:val="00A01E64"/>
    <w:rsid w:val="00A02A8B"/>
    <w:rsid w:val="00A03433"/>
    <w:rsid w:val="00A03D2D"/>
    <w:rsid w:val="00A03DDA"/>
    <w:rsid w:val="00A03F47"/>
    <w:rsid w:val="00A0416A"/>
    <w:rsid w:val="00A0465F"/>
    <w:rsid w:val="00A0488C"/>
    <w:rsid w:val="00A04E82"/>
    <w:rsid w:val="00A0504D"/>
    <w:rsid w:val="00A05433"/>
    <w:rsid w:val="00A05E44"/>
    <w:rsid w:val="00A06282"/>
    <w:rsid w:val="00A062A0"/>
    <w:rsid w:val="00A068FB"/>
    <w:rsid w:val="00A0704D"/>
    <w:rsid w:val="00A07221"/>
    <w:rsid w:val="00A0732F"/>
    <w:rsid w:val="00A076D0"/>
    <w:rsid w:val="00A0780B"/>
    <w:rsid w:val="00A07FCB"/>
    <w:rsid w:val="00A10599"/>
    <w:rsid w:val="00A1097E"/>
    <w:rsid w:val="00A10F47"/>
    <w:rsid w:val="00A1108E"/>
    <w:rsid w:val="00A112F1"/>
    <w:rsid w:val="00A11530"/>
    <w:rsid w:val="00A11F1A"/>
    <w:rsid w:val="00A1258F"/>
    <w:rsid w:val="00A12800"/>
    <w:rsid w:val="00A129BB"/>
    <w:rsid w:val="00A12D58"/>
    <w:rsid w:val="00A138DC"/>
    <w:rsid w:val="00A13EEC"/>
    <w:rsid w:val="00A13F3B"/>
    <w:rsid w:val="00A13F97"/>
    <w:rsid w:val="00A14379"/>
    <w:rsid w:val="00A1438A"/>
    <w:rsid w:val="00A149CA"/>
    <w:rsid w:val="00A14C81"/>
    <w:rsid w:val="00A15016"/>
    <w:rsid w:val="00A1501B"/>
    <w:rsid w:val="00A15CB0"/>
    <w:rsid w:val="00A16404"/>
    <w:rsid w:val="00A16D32"/>
    <w:rsid w:val="00A16E7A"/>
    <w:rsid w:val="00A171C4"/>
    <w:rsid w:val="00A173F8"/>
    <w:rsid w:val="00A17634"/>
    <w:rsid w:val="00A17CBE"/>
    <w:rsid w:val="00A20152"/>
    <w:rsid w:val="00A20577"/>
    <w:rsid w:val="00A20F41"/>
    <w:rsid w:val="00A21FA8"/>
    <w:rsid w:val="00A22162"/>
    <w:rsid w:val="00A22418"/>
    <w:rsid w:val="00A22886"/>
    <w:rsid w:val="00A231C2"/>
    <w:rsid w:val="00A24204"/>
    <w:rsid w:val="00A24354"/>
    <w:rsid w:val="00A245F5"/>
    <w:rsid w:val="00A247C7"/>
    <w:rsid w:val="00A24C51"/>
    <w:rsid w:val="00A251E2"/>
    <w:rsid w:val="00A2584D"/>
    <w:rsid w:val="00A25B82"/>
    <w:rsid w:val="00A25C1E"/>
    <w:rsid w:val="00A25DFB"/>
    <w:rsid w:val="00A26063"/>
    <w:rsid w:val="00A2647D"/>
    <w:rsid w:val="00A26ADF"/>
    <w:rsid w:val="00A2790A"/>
    <w:rsid w:val="00A279D1"/>
    <w:rsid w:val="00A279EC"/>
    <w:rsid w:val="00A3027A"/>
    <w:rsid w:val="00A304F1"/>
    <w:rsid w:val="00A307E4"/>
    <w:rsid w:val="00A30F4C"/>
    <w:rsid w:val="00A31A23"/>
    <w:rsid w:val="00A31A8E"/>
    <w:rsid w:val="00A31D9F"/>
    <w:rsid w:val="00A31FFB"/>
    <w:rsid w:val="00A325D0"/>
    <w:rsid w:val="00A32977"/>
    <w:rsid w:val="00A32C00"/>
    <w:rsid w:val="00A32CBA"/>
    <w:rsid w:val="00A32E70"/>
    <w:rsid w:val="00A337BE"/>
    <w:rsid w:val="00A33E94"/>
    <w:rsid w:val="00A34831"/>
    <w:rsid w:val="00A350A8"/>
    <w:rsid w:val="00A35380"/>
    <w:rsid w:val="00A35644"/>
    <w:rsid w:val="00A35B44"/>
    <w:rsid w:val="00A361BD"/>
    <w:rsid w:val="00A3648B"/>
    <w:rsid w:val="00A36832"/>
    <w:rsid w:val="00A368C9"/>
    <w:rsid w:val="00A36938"/>
    <w:rsid w:val="00A3699B"/>
    <w:rsid w:val="00A36E31"/>
    <w:rsid w:val="00A36FAF"/>
    <w:rsid w:val="00A37063"/>
    <w:rsid w:val="00A370B9"/>
    <w:rsid w:val="00A3722E"/>
    <w:rsid w:val="00A37897"/>
    <w:rsid w:val="00A4046C"/>
    <w:rsid w:val="00A4083E"/>
    <w:rsid w:val="00A40ADB"/>
    <w:rsid w:val="00A417A6"/>
    <w:rsid w:val="00A41C63"/>
    <w:rsid w:val="00A41D40"/>
    <w:rsid w:val="00A420BA"/>
    <w:rsid w:val="00A420F9"/>
    <w:rsid w:val="00A42214"/>
    <w:rsid w:val="00A42702"/>
    <w:rsid w:val="00A42A0F"/>
    <w:rsid w:val="00A42C91"/>
    <w:rsid w:val="00A42EB4"/>
    <w:rsid w:val="00A43362"/>
    <w:rsid w:val="00A43650"/>
    <w:rsid w:val="00A43CAA"/>
    <w:rsid w:val="00A44393"/>
    <w:rsid w:val="00A4454F"/>
    <w:rsid w:val="00A44AEB"/>
    <w:rsid w:val="00A44C47"/>
    <w:rsid w:val="00A45000"/>
    <w:rsid w:val="00A45739"/>
    <w:rsid w:val="00A45907"/>
    <w:rsid w:val="00A45C43"/>
    <w:rsid w:val="00A45FC4"/>
    <w:rsid w:val="00A46106"/>
    <w:rsid w:val="00A4686B"/>
    <w:rsid w:val="00A47795"/>
    <w:rsid w:val="00A47D1A"/>
    <w:rsid w:val="00A47D5E"/>
    <w:rsid w:val="00A50328"/>
    <w:rsid w:val="00A50621"/>
    <w:rsid w:val="00A50D76"/>
    <w:rsid w:val="00A51487"/>
    <w:rsid w:val="00A51513"/>
    <w:rsid w:val="00A519CD"/>
    <w:rsid w:val="00A52ED9"/>
    <w:rsid w:val="00A52F78"/>
    <w:rsid w:val="00A53339"/>
    <w:rsid w:val="00A53C18"/>
    <w:rsid w:val="00A5401C"/>
    <w:rsid w:val="00A54AFE"/>
    <w:rsid w:val="00A54B85"/>
    <w:rsid w:val="00A55330"/>
    <w:rsid w:val="00A55472"/>
    <w:rsid w:val="00A555E6"/>
    <w:rsid w:val="00A55977"/>
    <w:rsid w:val="00A55DB6"/>
    <w:rsid w:val="00A56DBB"/>
    <w:rsid w:val="00A56FA9"/>
    <w:rsid w:val="00A57DBD"/>
    <w:rsid w:val="00A57E39"/>
    <w:rsid w:val="00A60366"/>
    <w:rsid w:val="00A6079C"/>
    <w:rsid w:val="00A6088D"/>
    <w:rsid w:val="00A60B3E"/>
    <w:rsid w:val="00A60B88"/>
    <w:rsid w:val="00A60BC9"/>
    <w:rsid w:val="00A60CEF"/>
    <w:rsid w:val="00A60D28"/>
    <w:rsid w:val="00A61671"/>
    <w:rsid w:val="00A618C7"/>
    <w:rsid w:val="00A619C9"/>
    <w:rsid w:val="00A61AEC"/>
    <w:rsid w:val="00A61F33"/>
    <w:rsid w:val="00A62E55"/>
    <w:rsid w:val="00A63C13"/>
    <w:rsid w:val="00A63E5A"/>
    <w:rsid w:val="00A64A30"/>
    <w:rsid w:val="00A64FC5"/>
    <w:rsid w:val="00A6515D"/>
    <w:rsid w:val="00A6653B"/>
    <w:rsid w:val="00A6685C"/>
    <w:rsid w:val="00A66914"/>
    <w:rsid w:val="00A66977"/>
    <w:rsid w:val="00A66ADF"/>
    <w:rsid w:val="00A6765F"/>
    <w:rsid w:val="00A7053D"/>
    <w:rsid w:val="00A70918"/>
    <w:rsid w:val="00A70984"/>
    <w:rsid w:val="00A70B30"/>
    <w:rsid w:val="00A71AF4"/>
    <w:rsid w:val="00A72EC0"/>
    <w:rsid w:val="00A72EDC"/>
    <w:rsid w:val="00A73216"/>
    <w:rsid w:val="00A739E6"/>
    <w:rsid w:val="00A73BDE"/>
    <w:rsid w:val="00A73CB9"/>
    <w:rsid w:val="00A73CEF"/>
    <w:rsid w:val="00A73FC5"/>
    <w:rsid w:val="00A74399"/>
    <w:rsid w:val="00A74B7A"/>
    <w:rsid w:val="00A74C28"/>
    <w:rsid w:val="00A74E0F"/>
    <w:rsid w:val="00A75476"/>
    <w:rsid w:val="00A75B77"/>
    <w:rsid w:val="00A76892"/>
    <w:rsid w:val="00A76965"/>
    <w:rsid w:val="00A76A44"/>
    <w:rsid w:val="00A76C3C"/>
    <w:rsid w:val="00A771DC"/>
    <w:rsid w:val="00A77295"/>
    <w:rsid w:val="00A77961"/>
    <w:rsid w:val="00A802E6"/>
    <w:rsid w:val="00A804E6"/>
    <w:rsid w:val="00A804F8"/>
    <w:rsid w:val="00A80527"/>
    <w:rsid w:val="00A80675"/>
    <w:rsid w:val="00A80B21"/>
    <w:rsid w:val="00A813BC"/>
    <w:rsid w:val="00A817C9"/>
    <w:rsid w:val="00A817FD"/>
    <w:rsid w:val="00A81961"/>
    <w:rsid w:val="00A82657"/>
    <w:rsid w:val="00A82955"/>
    <w:rsid w:val="00A82D45"/>
    <w:rsid w:val="00A82F61"/>
    <w:rsid w:val="00A838D3"/>
    <w:rsid w:val="00A83E6F"/>
    <w:rsid w:val="00A8463C"/>
    <w:rsid w:val="00A8493A"/>
    <w:rsid w:val="00A84ABC"/>
    <w:rsid w:val="00A84C04"/>
    <w:rsid w:val="00A84C6D"/>
    <w:rsid w:val="00A84FD0"/>
    <w:rsid w:val="00A84FF1"/>
    <w:rsid w:val="00A85158"/>
    <w:rsid w:val="00A852EB"/>
    <w:rsid w:val="00A85426"/>
    <w:rsid w:val="00A85576"/>
    <w:rsid w:val="00A85599"/>
    <w:rsid w:val="00A858A1"/>
    <w:rsid w:val="00A85B9E"/>
    <w:rsid w:val="00A85C68"/>
    <w:rsid w:val="00A85CEB"/>
    <w:rsid w:val="00A85E2E"/>
    <w:rsid w:val="00A86036"/>
    <w:rsid w:val="00A863E2"/>
    <w:rsid w:val="00A863E7"/>
    <w:rsid w:val="00A86405"/>
    <w:rsid w:val="00A86558"/>
    <w:rsid w:val="00A86941"/>
    <w:rsid w:val="00A86C2D"/>
    <w:rsid w:val="00A86DDA"/>
    <w:rsid w:val="00A8703B"/>
    <w:rsid w:val="00A878BA"/>
    <w:rsid w:val="00A87D7E"/>
    <w:rsid w:val="00A90058"/>
    <w:rsid w:val="00A9009B"/>
    <w:rsid w:val="00A904F1"/>
    <w:rsid w:val="00A90BE1"/>
    <w:rsid w:val="00A9110D"/>
    <w:rsid w:val="00A9124E"/>
    <w:rsid w:val="00A91942"/>
    <w:rsid w:val="00A91A2D"/>
    <w:rsid w:val="00A9204B"/>
    <w:rsid w:val="00A920B2"/>
    <w:rsid w:val="00A923D9"/>
    <w:rsid w:val="00A9298B"/>
    <w:rsid w:val="00A92A99"/>
    <w:rsid w:val="00A92C11"/>
    <w:rsid w:val="00A92ED5"/>
    <w:rsid w:val="00A93561"/>
    <w:rsid w:val="00A9382B"/>
    <w:rsid w:val="00A94017"/>
    <w:rsid w:val="00A94A80"/>
    <w:rsid w:val="00A94FC8"/>
    <w:rsid w:val="00A950A6"/>
    <w:rsid w:val="00A95A14"/>
    <w:rsid w:val="00A95A5B"/>
    <w:rsid w:val="00A9615B"/>
    <w:rsid w:val="00A96189"/>
    <w:rsid w:val="00A966C0"/>
    <w:rsid w:val="00A96C0E"/>
    <w:rsid w:val="00A96D1D"/>
    <w:rsid w:val="00A97DB8"/>
    <w:rsid w:val="00AA0CD9"/>
    <w:rsid w:val="00AA1327"/>
    <w:rsid w:val="00AA14D6"/>
    <w:rsid w:val="00AA155C"/>
    <w:rsid w:val="00AA1A8B"/>
    <w:rsid w:val="00AA1BB4"/>
    <w:rsid w:val="00AA2491"/>
    <w:rsid w:val="00AA2617"/>
    <w:rsid w:val="00AA2F9F"/>
    <w:rsid w:val="00AA30B6"/>
    <w:rsid w:val="00AA341A"/>
    <w:rsid w:val="00AA372C"/>
    <w:rsid w:val="00AA4468"/>
    <w:rsid w:val="00AA49DB"/>
    <w:rsid w:val="00AA4BFD"/>
    <w:rsid w:val="00AA559E"/>
    <w:rsid w:val="00AA5CAB"/>
    <w:rsid w:val="00AA5D36"/>
    <w:rsid w:val="00AA641A"/>
    <w:rsid w:val="00AA7249"/>
    <w:rsid w:val="00AA7305"/>
    <w:rsid w:val="00AA74AA"/>
    <w:rsid w:val="00AA74B0"/>
    <w:rsid w:val="00AA7C4E"/>
    <w:rsid w:val="00AA7CCD"/>
    <w:rsid w:val="00AB028E"/>
    <w:rsid w:val="00AB055F"/>
    <w:rsid w:val="00AB062C"/>
    <w:rsid w:val="00AB06B2"/>
    <w:rsid w:val="00AB13F5"/>
    <w:rsid w:val="00AB16D8"/>
    <w:rsid w:val="00AB187B"/>
    <w:rsid w:val="00AB1F37"/>
    <w:rsid w:val="00AB2388"/>
    <w:rsid w:val="00AB29A7"/>
    <w:rsid w:val="00AB2B6A"/>
    <w:rsid w:val="00AB2F76"/>
    <w:rsid w:val="00AB35C3"/>
    <w:rsid w:val="00AB38CA"/>
    <w:rsid w:val="00AB3B2A"/>
    <w:rsid w:val="00AB4281"/>
    <w:rsid w:val="00AB46BC"/>
    <w:rsid w:val="00AB491F"/>
    <w:rsid w:val="00AB5196"/>
    <w:rsid w:val="00AB5430"/>
    <w:rsid w:val="00AB543E"/>
    <w:rsid w:val="00AB5C0F"/>
    <w:rsid w:val="00AB5F86"/>
    <w:rsid w:val="00AB64F9"/>
    <w:rsid w:val="00AB6E99"/>
    <w:rsid w:val="00AB6F0F"/>
    <w:rsid w:val="00AB7156"/>
    <w:rsid w:val="00AB725B"/>
    <w:rsid w:val="00AB799B"/>
    <w:rsid w:val="00AB7E41"/>
    <w:rsid w:val="00AC0492"/>
    <w:rsid w:val="00AC0610"/>
    <w:rsid w:val="00AC099F"/>
    <w:rsid w:val="00AC17A3"/>
    <w:rsid w:val="00AC17C0"/>
    <w:rsid w:val="00AC1964"/>
    <w:rsid w:val="00AC3983"/>
    <w:rsid w:val="00AC3987"/>
    <w:rsid w:val="00AC4494"/>
    <w:rsid w:val="00AC4DF0"/>
    <w:rsid w:val="00AC5FAA"/>
    <w:rsid w:val="00AC67BE"/>
    <w:rsid w:val="00AC7084"/>
    <w:rsid w:val="00AC7107"/>
    <w:rsid w:val="00AC7399"/>
    <w:rsid w:val="00AC7841"/>
    <w:rsid w:val="00AD0D35"/>
    <w:rsid w:val="00AD139C"/>
    <w:rsid w:val="00AD15B3"/>
    <w:rsid w:val="00AD1C1B"/>
    <w:rsid w:val="00AD2BE3"/>
    <w:rsid w:val="00AD3367"/>
    <w:rsid w:val="00AD35A8"/>
    <w:rsid w:val="00AD3840"/>
    <w:rsid w:val="00AD3879"/>
    <w:rsid w:val="00AD40D7"/>
    <w:rsid w:val="00AD56B8"/>
    <w:rsid w:val="00AD632D"/>
    <w:rsid w:val="00AD656A"/>
    <w:rsid w:val="00AD6A7D"/>
    <w:rsid w:val="00AD6A8E"/>
    <w:rsid w:val="00AD7511"/>
    <w:rsid w:val="00AD7B90"/>
    <w:rsid w:val="00AE03FE"/>
    <w:rsid w:val="00AE0639"/>
    <w:rsid w:val="00AE0C64"/>
    <w:rsid w:val="00AE0FB2"/>
    <w:rsid w:val="00AE16C8"/>
    <w:rsid w:val="00AE1CAE"/>
    <w:rsid w:val="00AE1E1D"/>
    <w:rsid w:val="00AE1F90"/>
    <w:rsid w:val="00AE2BBE"/>
    <w:rsid w:val="00AE34C9"/>
    <w:rsid w:val="00AE3DA7"/>
    <w:rsid w:val="00AE47E7"/>
    <w:rsid w:val="00AE47FD"/>
    <w:rsid w:val="00AE4B26"/>
    <w:rsid w:val="00AE4DF8"/>
    <w:rsid w:val="00AE503F"/>
    <w:rsid w:val="00AE5554"/>
    <w:rsid w:val="00AE5635"/>
    <w:rsid w:val="00AE5906"/>
    <w:rsid w:val="00AE594C"/>
    <w:rsid w:val="00AE5F28"/>
    <w:rsid w:val="00AE66D7"/>
    <w:rsid w:val="00AE6830"/>
    <w:rsid w:val="00AE7153"/>
    <w:rsid w:val="00AE7534"/>
    <w:rsid w:val="00AF077A"/>
    <w:rsid w:val="00AF087D"/>
    <w:rsid w:val="00AF0AFA"/>
    <w:rsid w:val="00AF0E2E"/>
    <w:rsid w:val="00AF12CC"/>
    <w:rsid w:val="00AF1DF6"/>
    <w:rsid w:val="00AF247F"/>
    <w:rsid w:val="00AF27DA"/>
    <w:rsid w:val="00AF2849"/>
    <w:rsid w:val="00AF3348"/>
    <w:rsid w:val="00AF342B"/>
    <w:rsid w:val="00AF3443"/>
    <w:rsid w:val="00AF3D6E"/>
    <w:rsid w:val="00AF40EA"/>
    <w:rsid w:val="00AF426C"/>
    <w:rsid w:val="00AF4868"/>
    <w:rsid w:val="00AF558B"/>
    <w:rsid w:val="00AF5891"/>
    <w:rsid w:val="00AF5895"/>
    <w:rsid w:val="00AF5909"/>
    <w:rsid w:val="00AF5CB8"/>
    <w:rsid w:val="00AF6231"/>
    <w:rsid w:val="00AF6429"/>
    <w:rsid w:val="00AF65AE"/>
    <w:rsid w:val="00AF695A"/>
    <w:rsid w:val="00AF77F8"/>
    <w:rsid w:val="00AF79F8"/>
    <w:rsid w:val="00AF7BE5"/>
    <w:rsid w:val="00B00AFB"/>
    <w:rsid w:val="00B00BE7"/>
    <w:rsid w:val="00B013BA"/>
    <w:rsid w:val="00B017F5"/>
    <w:rsid w:val="00B0234C"/>
    <w:rsid w:val="00B024A5"/>
    <w:rsid w:val="00B02AC5"/>
    <w:rsid w:val="00B0331D"/>
    <w:rsid w:val="00B0338D"/>
    <w:rsid w:val="00B0350F"/>
    <w:rsid w:val="00B035A8"/>
    <w:rsid w:val="00B037FE"/>
    <w:rsid w:val="00B038B0"/>
    <w:rsid w:val="00B03900"/>
    <w:rsid w:val="00B045FE"/>
    <w:rsid w:val="00B051F9"/>
    <w:rsid w:val="00B05792"/>
    <w:rsid w:val="00B061A9"/>
    <w:rsid w:val="00B062CD"/>
    <w:rsid w:val="00B06564"/>
    <w:rsid w:val="00B076F3"/>
    <w:rsid w:val="00B07A1F"/>
    <w:rsid w:val="00B07B18"/>
    <w:rsid w:val="00B10B1D"/>
    <w:rsid w:val="00B10F81"/>
    <w:rsid w:val="00B11C79"/>
    <w:rsid w:val="00B124E0"/>
    <w:rsid w:val="00B12AEB"/>
    <w:rsid w:val="00B12F86"/>
    <w:rsid w:val="00B130C6"/>
    <w:rsid w:val="00B133FC"/>
    <w:rsid w:val="00B13B1C"/>
    <w:rsid w:val="00B14515"/>
    <w:rsid w:val="00B14A7C"/>
    <w:rsid w:val="00B14FD7"/>
    <w:rsid w:val="00B153F4"/>
    <w:rsid w:val="00B15DE0"/>
    <w:rsid w:val="00B15FC8"/>
    <w:rsid w:val="00B16AF9"/>
    <w:rsid w:val="00B16CE0"/>
    <w:rsid w:val="00B17598"/>
    <w:rsid w:val="00B17683"/>
    <w:rsid w:val="00B177D7"/>
    <w:rsid w:val="00B2180F"/>
    <w:rsid w:val="00B21DA6"/>
    <w:rsid w:val="00B223BB"/>
    <w:rsid w:val="00B22ED2"/>
    <w:rsid w:val="00B23B24"/>
    <w:rsid w:val="00B23DB0"/>
    <w:rsid w:val="00B23EDF"/>
    <w:rsid w:val="00B24335"/>
    <w:rsid w:val="00B2450C"/>
    <w:rsid w:val="00B25463"/>
    <w:rsid w:val="00B254C4"/>
    <w:rsid w:val="00B25918"/>
    <w:rsid w:val="00B25BEB"/>
    <w:rsid w:val="00B26024"/>
    <w:rsid w:val="00B26EC4"/>
    <w:rsid w:val="00B2705C"/>
    <w:rsid w:val="00B27962"/>
    <w:rsid w:val="00B27D4B"/>
    <w:rsid w:val="00B303C8"/>
    <w:rsid w:val="00B312F6"/>
    <w:rsid w:val="00B3147B"/>
    <w:rsid w:val="00B32E3B"/>
    <w:rsid w:val="00B32EAA"/>
    <w:rsid w:val="00B33DDD"/>
    <w:rsid w:val="00B3527C"/>
    <w:rsid w:val="00B35A30"/>
    <w:rsid w:val="00B35CD3"/>
    <w:rsid w:val="00B35DE5"/>
    <w:rsid w:val="00B35E18"/>
    <w:rsid w:val="00B35E74"/>
    <w:rsid w:val="00B367F3"/>
    <w:rsid w:val="00B36B6F"/>
    <w:rsid w:val="00B378D2"/>
    <w:rsid w:val="00B40571"/>
    <w:rsid w:val="00B40891"/>
    <w:rsid w:val="00B40F4B"/>
    <w:rsid w:val="00B4112C"/>
    <w:rsid w:val="00B41522"/>
    <w:rsid w:val="00B41700"/>
    <w:rsid w:val="00B41D93"/>
    <w:rsid w:val="00B42E1D"/>
    <w:rsid w:val="00B43299"/>
    <w:rsid w:val="00B4330E"/>
    <w:rsid w:val="00B43FE6"/>
    <w:rsid w:val="00B44D14"/>
    <w:rsid w:val="00B44E28"/>
    <w:rsid w:val="00B44FF1"/>
    <w:rsid w:val="00B45090"/>
    <w:rsid w:val="00B453D7"/>
    <w:rsid w:val="00B4576E"/>
    <w:rsid w:val="00B46160"/>
    <w:rsid w:val="00B4694C"/>
    <w:rsid w:val="00B47E1D"/>
    <w:rsid w:val="00B50176"/>
    <w:rsid w:val="00B50413"/>
    <w:rsid w:val="00B50A43"/>
    <w:rsid w:val="00B50E35"/>
    <w:rsid w:val="00B51C87"/>
    <w:rsid w:val="00B5233E"/>
    <w:rsid w:val="00B523D7"/>
    <w:rsid w:val="00B52874"/>
    <w:rsid w:val="00B52A8F"/>
    <w:rsid w:val="00B531CA"/>
    <w:rsid w:val="00B5325C"/>
    <w:rsid w:val="00B5391A"/>
    <w:rsid w:val="00B5414A"/>
    <w:rsid w:val="00B54268"/>
    <w:rsid w:val="00B542FE"/>
    <w:rsid w:val="00B54367"/>
    <w:rsid w:val="00B5437A"/>
    <w:rsid w:val="00B548F4"/>
    <w:rsid w:val="00B54D1D"/>
    <w:rsid w:val="00B54FE4"/>
    <w:rsid w:val="00B55012"/>
    <w:rsid w:val="00B5521F"/>
    <w:rsid w:val="00B552CE"/>
    <w:rsid w:val="00B55594"/>
    <w:rsid w:val="00B556FB"/>
    <w:rsid w:val="00B55D76"/>
    <w:rsid w:val="00B55F3E"/>
    <w:rsid w:val="00B56267"/>
    <w:rsid w:val="00B56A78"/>
    <w:rsid w:val="00B56B69"/>
    <w:rsid w:val="00B572E8"/>
    <w:rsid w:val="00B57483"/>
    <w:rsid w:val="00B578E6"/>
    <w:rsid w:val="00B579A6"/>
    <w:rsid w:val="00B60240"/>
    <w:rsid w:val="00B60410"/>
    <w:rsid w:val="00B60ABC"/>
    <w:rsid w:val="00B60DE6"/>
    <w:rsid w:val="00B61143"/>
    <w:rsid w:val="00B61323"/>
    <w:rsid w:val="00B615D5"/>
    <w:rsid w:val="00B6185F"/>
    <w:rsid w:val="00B619F8"/>
    <w:rsid w:val="00B62136"/>
    <w:rsid w:val="00B62C1C"/>
    <w:rsid w:val="00B63BB8"/>
    <w:rsid w:val="00B63DA3"/>
    <w:rsid w:val="00B63EA6"/>
    <w:rsid w:val="00B64229"/>
    <w:rsid w:val="00B64672"/>
    <w:rsid w:val="00B6472A"/>
    <w:rsid w:val="00B650B0"/>
    <w:rsid w:val="00B654C2"/>
    <w:rsid w:val="00B65CAD"/>
    <w:rsid w:val="00B65D5D"/>
    <w:rsid w:val="00B6641C"/>
    <w:rsid w:val="00B66A0D"/>
    <w:rsid w:val="00B67478"/>
    <w:rsid w:val="00B67787"/>
    <w:rsid w:val="00B67890"/>
    <w:rsid w:val="00B678AC"/>
    <w:rsid w:val="00B67B81"/>
    <w:rsid w:val="00B67D6A"/>
    <w:rsid w:val="00B701DC"/>
    <w:rsid w:val="00B70544"/>
    <w:rsid w:val="00B70B1F"/>
    <w:rsid w:val="00B718D1"/>
    <w:rsid w:val="00B721A1"/>
    <w:rsid w:val="00B722A1"/>
    <w:rsid w:val="00B72535"/>
    <w:rsid w:val="00B72637"/>
    <w:rsid w:val="00B72750"/>
    <w:rsid w:val="00B727A3"/>
    <w:rsid w:val="00B72C4B"/>
    <w:rsid w:val="00B7317A"/>
    <w:rsid w:val="00B73BFD"/>
    <w:rsid w:val="00B742CA"/>
    <w:rsid w:val="00B7550F"/>
    <w:rsid w:val="00B758D2"/>
    <w:rsid w:val="00B7697D"/>
    <w:rsid w:val="00B77932"/>
    <w:rsid w:val="00B803DB"/>
    <w:rsid w:val="00B80617"/>
    <w:rsid w:val="00B80643"/>
    <w:rsid w:val="00B80656"/>
    <w:rsid w:val="00B81678"/>
    <w:rsid w:val="00B81C1D"/>
    <w:rsid w:val="00B81CE1"/>
    <w:rsid w:val="00B822F5"/>
    <w:rsid w:val="00B827A7"/>
    <w:rsid w:val="00B831F5"/>
    <w:rsid w:val="00B83764"/>
    <w:rsid w:val="00B83782"/>
    <w:rsid w:val="00B83964"/>
    <w:rsid w:val="00B83A84"/>
    <w:rsid w:val="00B83DD1"/>
    <w:rsid w:val="00B83F04"/>
    <w:rsid w:val="00B84F51"/>
    <w:rsid w:val="00B8510F"/>
    <w:rsid w:val="00B851DC"/>
    <w:rsid w:val="00B85A1D"/>
    <w:rsid w:val="00B8651F"/>
    <w:rsid w:val="00B865E2"/>
    <w:rsid w:val="00B86A33"/>
    <w:rsid w:val="00B86C39"/>
    <w:rsid w:val="00B86E84"/>
    <w:rsid w:val="00B86FC3"/>
    <w:rsid w:val="00B870E8"/>
    <w:rsid w:val="00B87BA4"/>
    <w:rsid w:val="00B87CBA"/>
    <w:rsid w:val="00B87DAA"/>
    <w:rsid w:val="00B87F60"/>
    <w:rsid w:val="00B90324"/>
    <w:rsid w:val="00B90523"/>
    <w:rsid w:val="00B90E39"/>
    <w:rsid w:val="00B91779"/>
    <w:rsid w:val="00B917C1"/>
    <w:rsid w:val="00B9195F"/>
    <w:rsid w:val="00B91BF4"/>
    <w:rsid w:val="00B91E7B"/>
    <w:rsid w:val="00B921CF"/>
    <w:rsid w:val="00B9238B"/>
    <w:rsid w:val="00B923E9"/>
    <w:rsid w:val="00B924EA"/>
    <w:rsid w:val="00B92691"/>
    <w:rsid w:val="00B9340B"/>
    <w:rsid w:val="00B9480B"/>
    <w:rsid w:val="00B94AFE"/>
    <w:rsid w:val="00B94BC8"/>
    <w:rsid w:val="00B94D3A"/>
    <w:rsid w:val="00B9582A"/>
    <w:rsid w:val="00B95B8C"/>
    <w:rsid w:val="00B95C32"/>
    <w:rsid w:val="00B95D49"/>
    <w:rsid w:val="00B963EB"/>
    <w:rsid w:val="00B97A92"/>
    <w:rsid w:val="00B97C1F"/>
    <w:rsid w:val="00B97E48"/>
    <w:rsid w:val="00BA04AA"/>
    <w:rsid w:val="00BA0BAD"/>
    <w:rsid w:val="00BA0D47"/>
    <w:rsid w:val="00BA0E9C"/>
    <w:rsid w:val="00BA1711"/>
    <w:rsid w:val="00BA1765"/>
    <w:rsid w:val="00BA17FE"/>
    <w:rsid w:val="00BA1DD3"/>
    <w:rsid w:val="00BA21B0"/>
    <w:rsid w:val="00BA2679"/>
    <w:rsid w:val="00BA2FF7"/>
    <w:rsid w:val="00BA31F1"/>
    <w:rsid w:val="00BA32E3"/>
    <w:rsid w:val="00BA34D4"/>
    <w:rsid w:val="00BA3700"/>
    <w:rsid w:val="00BA41AA"/>
    <w:rsid w:val="00BA500C"/>
    <w:rsid w:val="00BA54B7"/>
    <w:rsid w:val="00BA5D15"/>
    <w:rsid w:val="00BA5DFB"/>
    <w:rsid w:val="00BA5E7D"/>
    <w:rsid w:val="00BA6E28"/>
    <w:rsid w:val="00BA711F"/>
    <w:rsid w:val="00BA719B"/>
    <w:rsid w:val="00BA7954"/>
    <w:rsid w:val="00BA7A10"/>
    <w:rsid w:val="00BA7E0C"/>
    <w:rsid w:val="00BB00B9"/>
    <w:rsid w:val="00BB0D0A"/>
    <w:rsid w:val="00BB1593"/>
    <w:rsid w:val="00BB1D8E"/>
    <w:rsid w:val="00BB1DFF"/>
    <w:rsid w:val="00BB21D0"/>
    <w:rsid w:val="00BB253F"/>
    <w:rsid w:val="00BB2C97"/>
    <w:rsid w:val="00BB2D25"/>
    <w:rsid w:val="00BB2E97"/>
    <w:rsid w:val="00BB34EC"/>
    <w:rsid w:val="00BB3711"/>
    <w:rsid w:val="00BB398D"/>
    <w:rsid w:val="00BB3A15"/>
    <w:rsid w:val="00BB3D46"/>
    <w:rsid w:val="00BB3E20"/>
    <w:rsid w:val="00BB48C4"/>
    <w:rsid w:val="00BB4D9D"/>
    <w:rsid w:val="00BB5002"/>
    <w:rsid w:val="00BB53B9"/>
    <w:rsid w:val="00BB5614"/>
    <w:rsid w:val="00BB5639"/>
    <w:rsid w:val="00BB5902"/>
    <w:rsid w:val="00BB5A7D"/>
    <w:rsid w:val="00BB608B"/>
    <w:rsid w:val="00BB639F"/>
    <w:rsid w:val="00BB6B51"/>
    <w:rsid w:val="00BB6E31"/>
    <w:rsid w:val="00BB7A08"/>
    <w:rsid w:val="00BC08F5"/>
    <w:rsid w:val="00BC0D27"/>
    <w:rsid w:val="00BC0F44"/>
    <w:rsid w:val="00BC0F6E"/>
    <w:rsid w:val="00BC1835"/>
    <w:rsid w:val="00BC1A54"/>
    <w:rsid w:val="00BC24E2"/>
    <w:rsid w:val="00BC29CE"/>
    <w:rsid w:val="00BC2FD6"/>
    <w:rsid w:val="00BC310B"/>
    <w:rsid w:val="00BC38DC"/>
    <w:rsid w:val="00BC3B6B"/>
    <w:rsid w:val="00BC5A2D"/>
    <w:rsid w:val="00BC5D85"/>
    <w:rsid w:val="00BC60C9"/>
    <w:rsid w:val="00BC6E77"/>
    <w:rsid w:val="00BC7568"/>
    <w:rsid w:val="00BC763D"/>
    <w:rsid w:val="00BC7846"/>
    <w:rsid w:val="00BC7E7C"/>
    <w:rsid w:val="00BD003B"/>
    <w:rsid w:val="00BD01DF"/>
    <w:rsid w:val="00BD0223"/>
    <w:rsid w:val="00BD055A"/>
    <w:rsid w:val="00BD086B"/>
    <w:rsid w:val="00BD0885"/>
    <w:rsid w:val="00BD0C27"/>
    <w:rsid w:val="00BD0CD7"/>
    <w:rsid w:val="00BD0E38"/>
    <w:rsid w:val="00BD13F2"/>
    <w:rsid w:val="00BD149B"/>
    <w:rsid w:val="00BD2164"/>
    <w:rsid w:val="00BD2E93"/>
    <w:rsid w:val="00BD2F6F"/>
    <w:rsid w:val="00BD3608"/>
    <w:rsid w:val="00BD3A40"/>
    <w:rsid w:val="00BD53A7"/>
    <w:rsid w:val="00BD56BB"/>
    <w:rsid w:val="00BD5756"/>
    <w:rsid w:val="00BD57A5"/>
    <w:rsid w:val="00BD67D2"/>
    <w:rsid w:val="00BD693B"/>
    <w:rsid w:val="00BD6A23"/>
    <w:rsid w:val="00BD6FD0"/>
    <w:rsid w:val="00BD702F"/>
    <w:rsid w:val="00BD786C"/>
    <w:rsid w:val="00BD7972"/>
    <w:rsid w:val="00BD7D46"/>
    <w:rsid w:val="00BD7FC9"/>
    <w:rsid w:val="00BE06C9"/>
    <w:rsid w:val="00BE0EC2"/>
    <w:rsid w:val="00BE13BF"/>
    <w:rsid w:val="00BE1849"/>
    <w:rsid w:val="00BE1CB1"/>
    <w:rsid w:val="00BE1EA9"/>
    <w:rsid w:val="00BE237B"/>
    <w:rsid w:val="00BE2A43"/>
    <w:rsid w:val="00BE2C32"/>
    <w:rsid w:val="00BE3477"/>
    <w:rsid w:val="00BE4914"/>
    <w:rsid w:val="00BE4928"/>
    <w:rsid w:val="00BE4B43"/>
    <w:rsid w:val="00BE59F2"/>
    <w:rsid w:val="00BE5D52"/>
    <w:rsid w:val="00BE6106"/>
    <w:rsid w:val="00BE642D"/>
    <w:rsid w:val="00BE669E"/>
    <w:rsid w:val="00BE6CD9"/>
    <w:rsid w:val="00BE75D5"/>
    <w:rsid w:val="00BF06F4"/>
    <w:rsid w:val="00BF0C2D"/>
    <w:rsid w:val="00BF1429"/>
    <w:rsid w:val="00BF1616"/>
    <w:rsid w:val="00BF199A"/>
    <w:rsid w:val="00BF237C"/>
    <w:rsid w:val="00BF24F5"/>
    <w:rsid w:val="00BF2B23"/>
    <w:rsid w:val="00BF2E5A"/>
    <w:rsid w:val="00BF352D"/>
    <w:rsid w:val="00BF3782"/>
    <w:rsid w:val="00BF3799"/>
    <w:rsid w:val="00BF3E51"/>
    <w:rsid w:val="00BF3E89"/>
    <w:rsid w:val="00BF4006"/>
    <w:rsid w:val="00BF48A6"/>
    <w:rsid w:val="00BF4975"/>
    <w:rsid w:val="00BF4E65"/>
    <w:rsid w:val="00BF500D"/>
    <w:rsid w:val="00BF5184"/>
    <w:rsid w:val="00BF5608"/>
    <w:rsid w:val="00BF575A"/>
    <w:rsid w:val="00BF5B26"/>
    <w:rsid w:val="00BF66C1"/>
    <w:rsid w:val="00BF68CC"/>
    <w:rsid w:val="00BF6CAE"/>
    <w:rsid w:val="00BF6D3D"/>
    <w:rsid w:val="00BF704A"/>
    <w:rsid w:val="00BF729B"/>
    <w:rsid w:val="00BF7739"/>
    <w:rsid w:val="00BF7914"/>
    <w:rsid w:val="00BF7E1C"/>
    <w:rsid w:val="00BF7EE5"/>
    <w:rsid w:val="00C0011A"/>
    <w:rsid w:val="00C001B3"/>
    <w:rsid w:val="00C007A9"/>
    <w:rsid w:val="00C0092B"/>
    <w:rsid w:val="00C00B3E"/>
    <w:rsid w:val="00C00B9B"/>
    <w:rsid w:val="00C00CC2"/>
    <w:rsid w:val="00C00CFB"/>
    <w:rsid w:val="00C02822"/>
    <w:rsid w:val="00C029BE"/>
    <w:rsid w:val="00C02DAA"/>
    <w:rsid w:val="00C03DD7"/>
    <w:rsid w:val="00C0453D"/>
    <w:rsid w:val="00C048C0"/>
    <w:rsid w:val="00C04A35"/>
    <w:rsid w:val="00C04B50"/>
    <w:rsid w:val="00C05131"/>
    <w:rsid w:val="00C0539C"/>
    <w:rsid w:val="00C055F0"/>
    <w:rsid w:val="00C05684"/>
    <w:rsid w:val="00C06278"/>
    <w:rsid w:val="00C06CB8"/>
    <w:rsid w:val="00C078D9"/>
    <w:rsid w:val="00C102B2"/>
    <w:rsid w:val="00C10517"/>
    <w:rsid w:val="00C106A0"/>
    <w:rsid w:val="00C1071E"/>
    <w:rsid w:val="00C1073C"/>
    <w:rsid w:val="00C10A4C"/>
    <w:rsid w:val="00C10D11"/>
    <w:rsid w:val="00C1100B"/>
    <w:rsid w:val="00C110D9"/>
    <w:rsid w:val="00C11C09"/>
    <w:rsid w:val="00C12907"/>
    <w:rsid w:val="00C129A0"/>
    <w:rsid w:val="00C1330E"/>
    <w:rsid w:val="00C133F9"/>
    <w:rsid w:val="00C1340C"/>
    <w:rsid w:val="00C1370E"/>
    <w:rsid w:val="00C13A91"/>
    <w:rsid w:val="00C13C87"/>
    <w:rsid w:val="00C13D35"/>
    <w:rsid w:val="00C13E4B"/>
    <w:rsid w:val="00C141CB"/>
    <w:rsid w:val="00C1498A"/>
    <w:rsid w:val="00C15214"/>
    <w:rsid w:val="00C15318"/>
    <w:rsid w:val="00C16915"/>
    <w:rsid w:val="00C16B5D"/>
    <w:rsid w:val="00C16BF7"/>
    <w:rsid w:val="00C1754C"/>
    <w:rsid w:val="00C177BE"/>
    <w:rsid w:val="00C1792F"/>
    <w:rsid w:val="00C179B5"/>
    <w:rsid w:val="00C179E2"/>
    <w:rsid w:val="00C200B8"/>
    <w:rsid w:val="00C205F5"/>
    <w:rsid w:val="00C210DC"/>
    <w:rsid w:val="00C2162E"/>
    <w:rsid w:val="00C21B52"/>
    <w:rsid w:val="00C222ED"/>
    <w:rsid w:val="00C227AE"/>
    <w:rsid w:val="00C22AFB"/>
    <w:rsid w:val="00C22C26"/>
    <w:rsid w:val="00C230CE"/>
    <w:rsid w:val="00C23397"/>
    <w:rsid w:val="00C2354D"/>
    <w:rsid w:val="00C2414E"/>
    <w:rsid w:val="00C24256"/>
    <w:rsid w:val="00C24441"/>
    <w:rsid w:val="00C2476B"/>
    <w:rsid w:val="00C24956"/>
    <w:rsid w:val="00C24A97"/>
    <w:rsid w:val="00C24D48"/>
    <w:rsid w:val="00C2579F"/>
    <w:rsid w:val="00C26059"/>
    <w:rsid w:val="00C26C4E"/>
    <w:rsid w:val="00C27170"/>
    <w:rsid w:val="00C27D05"/>
    <w:rsid w:val="00C27FC4"/>
    <w:rsid w:val="00C301A0"/>
    <w:rsid w:val="00C3125E"/>
    <w:rsid w:val="00C316B4"/>
    <w:rsid w:val="00C31B0A"/>
    <w:rsid w:val="00C32159"/>
    <w:rsid w:val="00C326B9"/>
    <w:rsid w:val="00C32EF5"/>
    <w:rsid w:val="00C32F90"/>
    <w:rsid w:val="00C3361F"/>
    <w:rsid w:val="00C341FB"/>
    <w:rsid w:val="00C34757"/>
    <w:rsid w:val="00C347A0"/>
    <w:rsid w:val="00C3628C"/>
    <w:rsid w:val="00C3661C"/>
    <w:rsid w:val="00C36787"/>
    <w:rsid w:val="00C369DC"/>
    <w:rsid w:val="00C36B2C"/>
    <w:rsid w:val="00C375BB"/>
    <w:rsid w:val="00C37A0A"/>
    <w:rsid w:val="00C37C02"/>
    <w:rsid w:val="00C37FF6"/>
    <w:rsid w:val="00C40078"/>
    <w:rsid w:val="00C4016C"/>
    <w:rsid w:val="00C401EE"/>
    <w:rsid w:val="00C401FF"/>
    <w:rsid w:val="00C40401"/>
    <w:rsid w:val="00C40CB6"/>
    <w:rsid w:val="00C40FBF"/>
    <w:rsid w:val="00C41417"/>
    <w:rsid w:val="00C41453"/>
    <w:rsid w:val="00C41902"/>
    <w:rsid w:val="00C41B69"/>
    <w:rsid w:val="00C4216F"/>
    <w:rsid w:val="00C428DF"/>
    <w:rsid w:val="00C42F0F"/>
    <w:rsid w:val="00C4382A"/>
    <w:rsid w:val="00C43DCF"/>
    <w:rsid w:val="00C4540A"/>
    <w:rsid w:val="00C45770"/>
    <w:rsid w:val="00C45C10"/>
    <w:rsid w:val="00C45C86"/>
    <w:rsid w:val="00C470ED"/>
    <w:rsid w:val="00C471A8"/>
    <w:rsid w:val="00C47B1A"/>
    <w:rsid w:val="00C47B9A"/>
    <w:rsid w:val="00C47C11"/>
    <w:rsid w:val="00C503A5"/>
    <w:rsid w:val="00C50986"/>
    <w:rsid w:val="00C50C26"/>
    <w:rsid w:val="00C52A21"/>
    <w:rsid w:val="00C52EAD"/>
    <w:rsid w:val="00C532EA"/>
    <w:rsid w:val="00C534A4"/>
    <w:rsid w:val="00C537D2"/>
    <w:rsid w:val="00C53990"/>
    <w:rsid w:val="00C53A95"/>
    <w:rsid w:val="00C53DE9"/>
    <w:rsid w:val="00C53FCB"/>
    <w:rsid w:val="00C54D51"/>
    <w:rsid w:val="00C55152"/>
    <w:rsid w:val="00C557E3"/>
    <w:rsid w:val="00C565C6"/>
    <w:rsid w:val="00C56937"/>
    <w:rsid w:val="00C56E05"/>
    <w:rsid w:val="00C56E2C"/>
    <w:rsid w:val="00C57035"/>
    <w:rsid w:val="00C57804"/>
    <w:rsid w:val="00C578F3"/>
    <w:rsid w:val="00C57C5E"/>
    <w:rsid w:val="00C60549"/>
    <w:rsid w:val="00C609DD"/>
    <w:rsid w:val="00C60EC2"/>
    <w:rsid w:val="00C61710"/>
    <w:rsid w:val="00C61BD1"/>
    <w:rsid w:val="00C61C70"/>
    <w:rsid w:val="00C61FB0"/>
    <w:rsid w:val="00C6270F"/>
    <w:rsid w:val="00C62E67"/>
    <w:rsid w:val="00C631EF"/>
    <w:rsid w:val="00C63298"/>
    <w:rsid w:val="00C637C5"/>
    <w:rsid w:val="00C6383D"/>
    <w:rsid w:val="00C639B8"/>
    <w:rsid w:val="00C639F6"/>
    <w:rsid w:val="00C63EED"/>
    <w:rsid w:val="00C650BA"/>
    <w:rsid w:val="00C659EF"/>
    <w:rsid w:val="00C65AF4"/>
    <w:rsid w:val="00C66029"/>
    <w:rsid w:val="00C6608C"/>
    <w:rsid w:val="00C66BC1"/>
    <w:rsid w:val="00C6733E"/>
    <w:rsid w:val="00C67726"/>
    <w:rsid w:val="00C706B7"/>
    <w:rsid w:val="00C70ACA"/>
    <w:rsid w:val="00C70DC2"/>
    <w:rsid w:val="00C710C3"/>
    <w:rsid w:val="00C71B8C"/>
    <w:rsid w:val="00C71D25"/>
    <w:rsid w:val="00C71D2A"/>
    <w:rsid w:val="00C725B7"/>
    <w:rsid w:val="00C72B2F"/>
    <w:rsid w:val="00C72BE2"/>
    <w:rsid w:val="00C72CDC"/>
    <w:rsid w:val="00C73211"/>
    <w:rsid w:val="00C738C7"/>
    <w:rsid w:val="00C73D7D"/>
    <w:rsid w:val="00C7442E"/>
    <w:rsid w:val="00C7454B"/>
    <w:rsid w:val="00C74937"/>
    <w:rsid w:val="00C74FEF"/>
    <w:rsid w:val="00C751FE"/>
    <w:rsid w:val="00C756FC"/>
    <w:rsid w:val="00C757C2"/>
    <w:rsid w:val="00C75C9E"/>
    <w:rsid w:val="00C75EE9"/>
    <w:rsid w:val="00C75F0A"/>
    <w:rsid w:val="00C7672B"/>
    <w:rsid w:val="00C76772"/>
    <w:rsid w:val="00C76861"/>
    <w:rsid w:val="00C7687D"/>
    <w:rsid w:val="00C76AA1"/>
    <w:rsid w:val="00C76CD4"/>
    <w:rsid w:val="00C76D20"/>
    <w:rsid w:val="00C76D47"/>
    <w:rsid w:val="00C77263"/>
    <w:rsid w:val="00C77E2F"/>
    <w:rsid w:val="00C77EC9"/>
    <w:rsid w:val="00C77FB2"/>
    <w:rsid w:val="00C8083A"/>
    <w:rsid w:val="00C80B48"/>
    <w:rsid w:val="00C80BA4"/>
    <w:rsid w:val="00C81102"/>
    <w:rsid w:val="00C828F1"/>
    <w:rsid w:val="00C82900"/>
    <w:rsid w:val="00C8313B"/>
    <w:rsid w:val="00C8327A"/>
    <w:rsid w:val="00C83E94"/>
    <w:rsid w:val="00C83EA7"/>
    <w:rsid w:val="00C842BD"/>
    <w:rsid w:val="00C8488C"/>
    <w:rsid w:val="00C8556F"/>
    <w:rsid w:val="00C857F2"/>
    <w:rsid w:val="00C8594E"/>
    <w:rsid w:val="00C85CE5"/>
    <w:rsid w:val="00C86456"/>
    <w:rsid w:val="00C865DB"/>
    <w:rsid w:val="00C86968"/>
    <w:rsid w:val="00C86AA6"/>
    <w:rsid w:val="00C873FD"/>
    <w:rsid w:val="00C87678"/>
    <w:rsid w:val="00C8769E"/>
    <w:rsid w:val="00C87C53"/>
    <w:rsid w:val="00C9020F"/>
    <w:rsid w:val="00C905B6"/>
    <w:rsid w:val="00C90799"/>
    <w:rsid w:val="00C90BF7"/>
    <w:rsid w:val="00C90F77"/>
    <w:rsid w:val="00C91102"/>
    <w:rsid w:val="00C913A5"/>
    <w:rsid w:val="00C91407"/>
    <w:rsid w:val="00C91628"/>
    <w:rsid w:val="00C916C4"/>
    <w:rsid w:val="00C91A26"/>
    <w:rsid w:val="00C91E22"/>
    <w:rsid w:val="00C920BF"/>
    <w:rsid w:val="00C92206"/>
    <w:rsid w:val="00C92418"/>
    <w:rsid w:val="00C9289B"/>
    <w:rsid w:val="00C92DAC"/>
    <w:rsid w:val="00C92F28"/>
    <w:rsid w:val="00C93994"/>
    <w:rsid w:val="00C93F3C"/>
    <w:rsid w:val="00C94827"/>
    <w:rsid w:val="00C94C93"/>
    <w:rsid w:val="00C9544F"/>
    <w:rsid w:val="00C96011"/>
    <w:rsid w:val="00C9637D"/>
    <w:rsid w:val="00C965B9"/>
    <w:rsid w:val="00C977C8"/>
    <w:rsid w:val="00C979B2"/>
    <w:rsid w:val="00CA02EE"/>
    <w:rsid w:val="00CA08BF"/>
    <w:rsid w:val="00CA0956"/>
    <w:rsid w:val="00CA0A9E"/>
    <w:rsid w:val="00CA0B2F"/>
    <w:rsid w:val="00CA1170"/>
    <w:rsid w:val="00CA171E"/>
    <w:rsid w:val="00CA1EED"/>
    <w:rsid w:val="00CA2162"/>
    <w:rsid w:val="00CA3246"/>
    <w:rsid w:val="00CA32D0"/>
    <w:rsid w:val="00CA3941"/>
    <w:rsid w:val="00CA3F16"/>
    <w:rsid w:val="00CA4281"/>
    <w:rsid w:val="00CA5562"/>
    <w:rsid w:val="00CA5642"/>
    <w:rsid w:val="00CA5659"/>
    <w:rsid w:val="00CA5BCC"/>
    <w:rsid w:val="00CA61EB"/>
    <w:rsid w:val="00CA7210"/>
    <w:rsid w:val="00CA7594"/>
    <w:rsid w:val="00CB006D"/>
    <w:rsid w:val="00CB033E"/>
    <w:rsid w:val="00CB04EF"/>
    <w:rsid w:val="00CB04F1"/>
    <w:rsid w:val="00CB12C0"/>
    <w:rsid w:val="00CB1511"/>
    <w:rsid w:val="00CB185A"/>
    <w:rsid w:val="00CB1BBA"/>
    <w:rsid w:val="00CB1BC1"/>
    <w:rsid w:val="00CB1DCE"/>
    <w:rsid w:val="00CB325B"/>
    <w:rsid w:val="00CB34A1"/>
    <w:rsid w:val="00CB3B3B"/>
    <w:rsid w:val="00CB3B71"/>
    <w:rsid w:val="00CB3BCD"/>
    <w:rsid w:val="00CB3E7B"/>
    <w:rsid w:val="00CB3F46"/>
    <w:rsid w:val="00CB4023"/>
    <w:rsid w:val="00CB4A7C"/>
    <w:rsid w:val="00CB5237"/>
    <w:rsid w:val="00CB577C"/>
    <w:rsid w:val="00CB5C11"/>
    <w:rsid w:val="00CB6549"/>
    <w:rsid w:val="00CB76BD"/>
    <w:rsid w:val="00CB7969"/>
    <w:rsid w:val="00CB79F5"/>
    <w:rsid w:val="00CB7A50"/>
    <w:rsid w:val="00CB7E2D"/>
    <w:rsid w:val="00CC08A7"/>
    <w:rsid w:val="00CC1259"/>
    <w:rsid w:val="00CC153C"/>
    <w:rsid w:val="00CC179A"/>
    <w:rsid w:val="00CC1C4F"/>
    <w:rsid w:val="00CC1F9D"/>
    <w:rsid w:val="00CC269A"/>
    <w:rsid w:val="00CC2738"/>
    <w:rsid w:val="00CC2766"/>
    <w:rsid w:val="00CC2AF7"/>
    <w:rsid w:val="00CC2BAC"/>
    <w:rsid w:val="00CC2BC7"/>
    <w:rsid w:val="00CC350D"/>
    <w:rsid w:val="00CC3E9B"/>
    <w:rsid w:val="00CC3EBD"/>
    <w:rsid w:val="00CC4669"/>
    <w:rsid w:val="00CC4C6D"/>
    <w:rsid w:val="00CC55D4"/>
    <w:rsid w:val="00CC57E3"/>
    <w:rsid w:val="00CC5A08"/>
    <w:rsid w:val="00CC5AE6"/>
    <w:rsid w:val="00CC5CA5"/>
    <w:rsid w:val="00CC7236"/>
    <w:rsid w:val="00CC73D1"/>
    <w:rsid w:val="00CC7B78"/>
    <w:rsid w:val="00CD0642"/>
    <w:rsid w:val="00CD0DEE"/>
    <w:rsid w:val="00CD1BE3"/>
    <w:rsid w:val="00CD24E7"/>
    <w:rsid w:val="00CD2703"/>
    <w:rsid w:val="00CD2C14"/>
    <w:rsid w:val="00CD2E4A"/>
    <w:rsid w:val="00CD3246"/>
    <w:rsid w:val="00CD368D"/>
    <w:rsid w:val="00CD3AD3"/>
    <w:rsid w:val="00CD46EA"/>
    <w:rsid w:val="00CD51BA"/>
    <w:rsid w:val="00CD581F"/>
    <w:rsid w:val="00CD5987"/>
    <w:rsid w:val="00CD5E67"/>
    <w:rsid w:val="00CD6198"/>
    <w:rsid w:val="00CD69D3"/>
    <w:rsid w:val="00CD69D4"/>
    <w:rsid w:val="00CD6A8F"/>
    <w:rsid w:val="00CD6E7B"/>
    <w:rsid w:val="00CD6F8C"/>
    <w:rsid w:val="00CD70E5"/>
    <w:rsid w:val="00CD7553"/>
    <w:rsid w:val="00CD7C15"/>
    <w:rsid w:val="00CE0330"/>
    <w:rsid w:val="00CE066A"/>
    <w:rsid w:val="00CE06D1"/>
    <w:rsid w:val="00CE0791"/>
    <w:rsid w:val="00CE0E5A"/>
    <w:rsid w:val="00CE0FFB"/>
    <w:rsid w:val="00CE1077"/>
    <w:rsid w:val="00CE1217"/>
    <w:rsid w:val="00CE125F"/>
    <w:rsid w:val="00CE161B"/>
    <w:rsid w:val="00CE17CA"/>
    <w:rsid w:val="00CE1B10"/>
    <w:rsid w:val="00CE1C6F"/>
    <w:rsid w:val="00CE220C"/>
    <w:rsid w:val="00CE2BF4"/>
    <w:rsid w:val="00CE2F42"/>
    <w:rsid w:val="00CE3E91"/>
    <w:rsid w:val="00CE4078"/>
    <w:rsid w:val="00CE43B7"/>
    <w:rsid w:val="00CE44AE"/>
    <w:rsid w:val="00CE48C3"/>
    <w:rsid w:val="00CE4B3A"/>
    <w:rsid w:val="00CE5F47"/>
    <w:rsid w:val="00CE67FC"/>
    <w:rsid w:val="00CE68E3"/>
    <w:rsid w:val="00CE69F8"/>
    <w:rsid w:val="00CE73EF"/>
    <w:rsid w:val="00CE748A"/>
    <w:rsid w:val="00CE75BC"/>
    <w:rsid w:val="00CE7D88"/>
    <w:rsid w:val="00CE7ED0"/>
    <w:rsid w:val="00CF00DD"/>
    <w:rsid w:val="00CF013F"/>
    <w:rsid w:val="00CF0420"/>
    <w:rsid w:val="00CF0440"/>
    <w:rsid w:val="00CF06A0"/>
    <w:rsid w:val="00CF06FB"/>
    <w:rsid w:val="00CF0A63"/>
    <w:rsid w:val="00CF0A69"/>
    <w:rsid w:val="00CF0A88"/>
    <w:rsid w:val="00CF0E97"/>
    <w:rsid w:val="00CF121D"/>
    <w:rsid w:val="00CF1883"/>
    <w:rsid w:val="00CF1954"/>
    <w:rsid w:val="00CF1A05"/>
    <w:rsid w:val="00CF2627"/>
    <w:rsid w:val="00CF2685"/>
    <w:rsid w:val="00CF32DF"/>
    <w:rsid w:val="00CF34AC"/>
    <w:rsid w:val="00CF34F5"/>
    <w:rsid w:val="00CF3782"/>
    <w:rsid w:val="00CF5804"/>
    <w:rsid w:val="00CF59F9"/>
    <w:rsid w:val="00CF5BAF"/>
    <w:rsid w:val="00CF654C"/>
    <w:rsid w:val="00CF67D7"/>
    <w:rsid w:val="00CF6C26"/>
    <w:rsid w:val="00CF7333"/>
    <w:rsid w:val="00CF7553"/>
    <w:rsid w:val="00CF75FE"/>
    <w:rsid w:val="00CF7710"/>
    <w:rsid w:val="00CF78BB"/>
    <w:rsid w:val="00D00165"/>
    <w:rsid w:val="00D003B3"/>
    <w:rsid w:val="00D005BB"/>
    <w:rsid w:val="00D007DD"/>
    <w:rsid w:val="00D0116A"/>
    <w:rsid w:val="00D012E6"/>
    <w:rsid w:val="00D014E2"/>
    <w:rsid w:val="00D0186C"/>
    <w:rsid w:val="00D01A64"/>
    <w:rsid w:val="00D01D3B"/>
    <w:rsid w:val="00D02344"/>
    <w:rsid w:val="00D0240D"/>
    <w:rsid w:val="00D02509"/>
    <w:rsid w:val="00D02618"/>
    <w:rsid w:val="00D03A5E"/>
    <w:rsid w:val="00D03B2A"/>
    <w:rsid w:val="00D03ECC"/>
    <w:rsid w:val="00D05186"/>
    <w:rsid w:val="00D053AA"/>
    <w:rsid w:val="00D054F0"/>
    <w:rsid w:val="00D05686"/>
    <w:rsid w:val="00D05861"/>
    <w:rsid w:val="00D05E49"/>
    <w:rsid w:val="00D076CE"/>
    <w:rsid w:val="00D077B2"/>
    <w:rsid w:val="00D077BD"/>
    <w:rsid w:val="00D077D8"/>
    <w:rsid w:val="00D07C62"/>
    <w:rsid w:val="00D10813"/>
    <w:rsid w:val="00D115BD"/>
    <w:rsid w:val="00D11C05"/>
    <w:rsid w:val="00D11F93"/>
    <w:rsid w:val="00D12C18"/>
    <w:rsid w:val="00D12FAE"/>
    <w:rsid w:val="00D12FF9"/>
    <w:rsid w:val="00D13212"/>
    <w:rsid w:val="00D1368A"/>
    <w:rsid w:val="00D13889"/>
    <w:rsid w:val="00D13BEF"/>
    <w:rsid w:val="00D1452C"/>
    <w:rsid w:val="00D148D7"/>
    <w:rsid w:val="00D14DB9"/>
    <w:rsid w:val="00D14F95"/>
    <w:rsid w:val="00D15396"/>
    <w:rsid w:val="00D1545B"/>
    <w:rsid w:val="00D15623"/>
    <w:rsid w:val="00D15835"/>
    <w:rsid w:val="00D16168"/>
    <w:rsid w:val="00D16B06"/>
    <w:rsid w:val="00D1753D"/>
    <w:rsid w:val="00D20B06"/>
    <w:rsid w:val="00D20CC6"/>
    <w:rsid w:val="00D215AC"/>
    <w:rsid w:val="00D21883"/>
    <w:rsid w:val="00D218D4"/>
    <w:rsid w:val="00D21B79"/>
    <w:rsid w:val="00D21DAC"/>
    <w:rsid w:val="00D226C7"/>
    <w:rsid w:val="00D226DF"/>
    <w:rsid w:val="00D227C5"/>
    <w:rsid w:val="00D22EC9"/>
    <w:rsid w:val="00D23674"/>
    <w:rsid w:val="00D23CB0"/>
    <w:rsid w:val="00D24C87"/>
    <w:rsid w:val="00D24D13"/>
    <w:rsid w:val="00D24EDB"/>
    <w:rsid w:val="00D252A3"/>
    <w:rsid w:val="00D261C3"/>
    <w:rsid w:val="00D2622A"/>
    <w:rsid w:val="00D263B5"/>
    <w:rsid w:val="00D27206"/>
    <w:rsid w:val="00D27802"/>
    <w:rsid w:val="00D278E7"/>
    <w:rsid w:val="00D30488"/>
    <w:rsid w:val="00D30553"/>
    <w:rsid w:val="00D3056D"/>
    <w:rsid w:val="00D30849"/>
    <w:rsid w:val="00D30D84"/>
    <w:rsid w:val="00D31DC8"/>
    <w:rsid w:val="00D31E33"/>
    <w:rsid w:val="00D32B02"/>
    <w:rsid w:val="00D33429"/>
    <w:rsid w:val="00D33878"/>
    <w:rsid w:val="00D33CCE"/>
    <w:rsid w:val="00D33EB9"/>
    <w:rsid w:val="00D340D7"/>
    <w:rsid w:val="00D34822"/>
    <w:rsid w:val="00D34D99"/>
    <w:rsid w:val="00D34DD3"/>
    <w:rsid w:val="00D354C2"/>
    <w:rsid w:val="00D3561C"/>
    <w:rsid w:val="00D356B9"/>
    <w:rsid w:val="00D35914"/>
    <w:rsid w:val="00D35B2E"/>
    <w:rsid w:val="00D35CC1"/>
    <w:rsid w:val="00D35E27"/>
    <w:rsid w:val="00D36404"/>
    <w:rsid w:val="00D36751"/>
    <w:rsid w:val="00D369E3"/>
    <w:rsid w:val="00D36DA2"/>
    <w:rsid w:val="00D36E9B"/>
    <w:rsid w:val="00D373E1"/>
    <w:rsid w:val="00D3751A"/>
    <w:rsid w:val="00D377D8"/>
    <w:rsid w:val="00D379EC"/>
    <w:rsid w:val="00D37A32"/>
    <w:rsid w:val="00D37D45"/>
    <w:rsid w:val="00D37E67"/>
    <w:rsid w:val="00D400F9"/>
    <w:rsid w:val="00D40435"/>
    <w:rsid w:val="00D407BE"/>
    <w:rsid w:val="00D408E2"/>
    <w:rsid w:val="00D412EE"/>
    <w:rsid w:val="00D413E6"/>
    <w:rsid w:val="00D41509"/>
    <w:rsid w:val="00D41EE0"/>
    <w:rsid w:val="00D41F78"/>
    <w:rsid w:val="00D4252B"/>
    <w:rsid w:val="00D425BB"/>
    <w:rsid w:val="00D42705"/>
    <w:rsid w:val="00D427F1"/>
    <w:rsid w:val="00D42B8C"/>
    <w:rsid w:val="00D43010"/>
    <w:rsid w:val="00D43674"/>
    <w:rsid w:val="00D43693"/>
    <w:rsid w:val="00D4390D"/>
    <w:rsid w:val="00D43A3E"/>
    <w:rsid w:val="00D43C35"/>
    <w:rsid w:val="00D43F92"/>
    <w:rsid w:val="00D4453A"/>
    <w:rsid w:val="00D44D0B"/>
    <w:rsid w:val="00D44F32"/>
    <w:rsid w:val="00D44FE6"/>
    <w:rsid w:val="00D45CA3"/>
    <w:rsid w:val="00D4618B"/>
    <w:rsid w:val="00D46254"/>
    <w:rsid w:val="00D468BF"/>
    <w:rsid w:val="00D46FAE"/>
    <w:rsid w:val="00D4717E"/>
    <w:rsid w:val="00D47F92"/>
    <w:rsid w:val="00D50235"/>
    <w:rsid w:val="00D50671"/>
    <w:rsid w:val="00D50CC5"/>
    <w:rsid w:val="00D5109E"/>
    <w:rsid w:val="00D516AB"/>
    <w:rsid w:val="00D51B0D"/>
    <w:rsid w:val="00D51B4A"/>
    <w:rsid w:val="00D53271"/>
    <w:rsid w:val="00D534D7"/>
    <w:rsid w:val="00D53EE9"/>
    <w:rsid w:val="00D53F2D"/>
    <w:rsid w:val="00D54184"/>
    <w:rsid w:val="00D54E52"/>
    <w:rsid w:val="00D54F0D"/>
    <w:rsid w:val="00D55B18"/>
    <w:rsid w:val="00D56332"/>
    <w:rsid w:val="00D5679A"/>
    <w:rsid w:val="00D567FD"/>
    <w:rsid w:val="00D56EE3"/>
    <w:rsid w:val="00D5753B"/>
    <w:rsid w:val="00D5760A"/>
    <w:rsid w:val="00D579F2"/>
    <w:rsid w:val="00D57A5C"/>
    <w:rsid w:val="00D607EE"/>
    <w:rsid w:val="00D608D0"/>
    <w:rsid w:val="00D61407"/>
    <w:rsid w:val="00D616D3"/>
    <w:rsid w:val="00D61BA9"/>
    <w:rsid w:val="00D620FB"/>
    <w:rsid w:val="00D621EC"/>
    <w:rsid w:val="00D625EF"/>
    <w:rsid w:val="00D62A70"/>
    <w:rsid w:val="00D62BCF"/>
    <w:rsid w:val="00D6312D"/>
    <w:rsid w:val="00D63CAF"/>
    <w:rsid w:val="00D640B9"/>
    <w:rsid w:val="00D6472A"/>
    <w:rsid w:val="00D64AA6"/>
    <w:rsid w:val="00D64F97"/>
    <w:rsid w:val="00D653C1"/>
    <w:rsid w:val="00D65471"/>
    <w:rsid w:val="00D66081"/>
    <w:rsid w:val="00D66185"/>
    <w:rsid w:val="00D66652"/>
    <w:rsid w:val="00D666CD"/>
    <w:rsid w:val="00D66B68"/>
    <w:rsid w:val="00D66DB6"/>
    <w:rsid w:val="00D67095"/>
    <w:rsid w:val="00D67105"/>
    <w:rsid w:val="00D67329"/>
    <w:rsid w:val="00D67A0B"/>
    <w:rsid w:val="00D67CE7"/>
    <w:rsid w:val="00D70968"/>
    <w:rsid w:val="00D70BB4"/>
    <w:rsid w:val="00D70F1D"/>
    <w:rsid w:val="00D717AB"/>
    <w:rsid w:val="00D718EA"/>
    <w:rsid w:val="00D71DA1"/>
    <w:rsid w:val="00D72229"/>
    <w:rsid w:val="00D72356"/>
    <w:rsid w:val="00D723C3"/>
    <w:rsid w:val="00D72528"/>
    <w:rsid w:val="00D7346D"/>
    <w:rsid w:val="00D7362D"/>
    <w:rsid w:val="00D736E6"/>
    <w:rsid w:val="00D73A89"/>
    <w:rsid w:val="00D73CA3"/>
    <w:rsid w:val="00D741F3"/>
    <w:rsid w:val="00D74309"/>
    <w:rsid w:val="00D745D4"/>
    <w:rsid w:val="00D749CF"/>
    <w:rsid w:val="00D74B4B"/>
    <w:rsid w:val="00D75053"/>
    <w:rsid w:val="00D750E6"/>
    <w:rsid w:val="00D75261"/>
    <w:rsid w:val="00D766F5"/>
    <w:rsid w:val="00D76D92"/>
    <w:rsid w:val="00D76F61"/>
    <w:rsid w:val="00D76F86"/>
    <w:rsid w:val="00D77813"/>
    <w:rsid w:val="00D77A16"/>
    <w:rsid w:val="00D77B9B"/>
    <w:rsid w:val="00D8017B"/>
    <w:rsid w:val="00D80317"/>
    <w:rsid w:val="00D80464"/>
    <w:rsid w:val="00D80CF2"/>
    <w:rsid w:val="00D80F8B"/>
    <w:rsid w:val="00D818B8"/>
    <w:rsid w:val="00D81A71"/>
    <w:rsid w:val="00D81AB4"/>
    <w:rsid w:val="00D81D5C"/>
    <w:rsid w:val="00D81F67"/>
    <w:rsid w:val="00D82042"/>
    <w:rsid w:val="00D82361"/>
    <w:rsid w:val="00D827C3"/>
    <w:rsid w:val="00D82804"/>
    <w:rsid w:val="00D82EE5"/>
    <w:rsid w:val="00D831C3"/>
    <w:rsid w:val="00D840DD"/>
    <w:rsid w:val="00D84156"/>
    <w:rsid w:val="00D8449C"/>
    <w:rsid w:val="00D8479A"/>
    <w:rsid w:val="00D848C9"/>
    <w:rsid w:val="00D84980"/>
    <w:rsid w:val="00D84CA5"/>
    <w:rsid w:val="00D84D23"/>
    <w:rsid w:val="00D8608A"/>
    <w:rsid w:val="00D86BB2"/>
    <w:rsid w:val="00D86F03"/>
    <w:rsid w:val="00D86FAE"/>
    <w:rsid w:val="00D874B5"/>
    <w:rsid w:val="00D87721"/>
    <w:rsid w:val="00D878DB"/>
    <w:rsid w:val="00D87F38"/>
    <w:rsid w:val="00D900EF"/>
    <w:rsid w:val="00D90126"/>
    <w:rsid w:val="00D9014E"/>
    <w:rsid w:val="00D90153"/>
    <w:rsid w:val="00D901ED"/>
    <w:rsid w:val="00D90202"/>
    <w:rsid w:val="00D90609"/>
    <w:rsid w:val="00D90ADD"/>
    <w:rsid w:val="00D90E00"/>
    <w:rsid w:val="00D91337"/>
    <w:rsid w:val="00D916F5"/>
    <w:rsid w:val="00D9182A"/>
    <w:rsid w:val="00D91C86"/>
    <w:rsid w:val="00D91ED6"/>
    <w:rsid w:val="00D92511"/>
    <w:rsid w:val="00D9284E"/>
    <w:rsid w:val="00D92DD9"/>
    <w:rsid w:val="00D9349D"/>
    <w:rsid w:val="00D934D4"/>
    <w:rsid w:val="00D936AB"/>
    <w:rsid w:val="00D93EE7"/>
    <w:rsid w:val="00D94260"/>
    <w:rsid w:val="00D947A4"/>
    <w:rsid w:val="00D94871"/>
    <w:rsid w:val="00D9487D"/>
    <w:rsid w:val="00D94EF6"/>
    <w:rsid w:val="00D957A7"/>
    <w:rsid w:val="00D958FA"/>
    <w:rsid w:val="00D95CF2"/>
    <w:rsid w:val="00D96149"/>
    <w:rsid w:val="00D963DE"/>
    <w:rsid w:val="00D96D4E"/>
    <w:rsid w:val="00D96F85"/>
    <w:rsid w:val="00D97331"/>
    <w:rsid w:val="00D976A9"/>
    <w:rsid w:val="00D977E9"/>
    <w:rsid w:val="00D9781D"/>
    <w:rsid w:val="00DA0E98"/>
    <w:rsid w:val="00DA1308"/>
    <w:rsid w:val="00DA1367"/>
    <w:rsid w:val="00DA1EEE"/>
    <w:rsid w:val="00DA2A13"/>
    <w:rsid w:val="00DA3103"/>
    <w:rsid w:val="00DA3AE5"/>
    <w:rsid w:val="00DA442D"/>
    <w:rsid w:val="00DA4622"/>
    <w:rsid w:val="00DA46A9"/>
    <w:rsid w:val="00DA5A00"/>
    <w:rsid w:val="00DA5A11"/>
    <w:rsid w:val="00DA5AA5"/>
    <w:rsid w:val="00DA5FDF"/>
    <w:rsid w:val="00DA6305"/>
    <w:rsid w:val="00DA6751"/>
    <w:rsid w:val="00DA792F"/>
    <w:rsid w:val="00DA7AFF"/>
    <w:rsid w:val="00DA7D6B"/>
    <w:rsid w:val="00DB02FC"/>
    <w:rsid w:val="00DB03EB"/>
    <w:rsid w:val="00DB07AD"/>
    <w:rsid w:val="00DB0E78"/>
    <w:rsid w:val="00DB1068"/>
    <w:rsid w:val="00DB2234"/>
    <w:rsid w:val="00DB245E"/>
    <w:rsid w:val="00DB2999"/>
    <w:rsid w:val="00DB2F1D"/>
    <w:rsid w:val="00DB3604"/>
    <w:rsid w:val="00DB3960"/>
    <w:rsid w:val="00DB3F75"/>
    <w:rsid w:val="00DB4317"/>
    <w:rsid w:val="00DB45A8"/>
    <w:rsid w:val="00DB46FE"/>
    <w:rsid w:val="00DB475D"/>
    <w:rsid w:val="00DB4892"/>
    <w:rsid w:val="00DB53DE"/>
    <w:rsid w:val="00DB5CC5"/>
    <w:rsid w:val="00DB5F28"/>
    <w:rsid w:val="00DB7915"/>
    <w:rsid w:val="00DB7A8B"/>
    <w:rsid w:val="00DB7C0A"/>
    <w:rsid w:val="00DB7F14"/>
    <w:rsid w:val="00DC00DD"/>
    <w:rsid w:val="00DC076C"/>
    <w:rsid w:val="00DC09B2"/>
    <w:rsid w:val="00DC0FB0"/>
    <w:rsid w:val="00DC1220"/>
    <w:rsid w:val="00DC2D95"/>
    <w:rsid w:val="00DC35D2"/>
    <w:rsid w:val="00DC3648"/>
    <w:rsid w:val="00DC4789"/>
    <w:rsid w:val="00DC4C92"/>
    <w:rsid w:val="00DC5128"/>
    <w:rsid w:val="00DC53B7"/>
    <w:rsid w:val="00DC59B6"/>
    <w:rsid w:val="00DC5FCC"/>
    <w:rsid w:val="00DC6B23"/>
    <w:rsid w:val="00DC6D50"/>
    <w:rsid w:val="00DC716A"/>
    <w:rsid w:val="00DC75A4"/>
    <w:rsid w:val="00DC76C4"/>
    <w:rsid w:val="00DC7979"/>
    <w:rsid w:val="00DC7FB9"/>
    <w:rsid w:val="00DD06DA"/>
    <w:rsid w:val="00DD0761"/>
    <w:rsid w:val="00DD0D31"/>
    <w:rsid w:val="00DD0ED2"/>
    <w:rsid w:val="00DD0F8F"/>
    <w:rsid w:val="00DD10B4"/>
    <w:rsid w:val="00DD1AE2"/>
    <w:rsid w:val="00DD1C93"/>
    <w:rsid w:val="00DD1D99"/>
    <w:rsid w:val="00DD2A27"/>
    <w:rsid w:val="00DD2BE9"/>
    <w:rsid w:val="00DD3184"/>
    <w:rsid w:val="00DD3684"/>
    <w:rsid w:val="00DD4577"/>
    <w:rsid w:val="00DD4647"/>
    <w:rsid w:val="00DD4D49"/>
    <w:rsid w:val="00DD5956"/>
    <w:rsid w:val="00DD5CA0"/>
    <w:rsid w:val="00DD5DC7"/>
    <w:rsid w:val="00DD61E8"/>
    <w:rsid w:val="00DD62C1"/>
    <w:rsid w:val="00DD64A2"/>
    <w:rsid w:val="00DD668C"/>
    <w:rsid w:val="00DD66E5"/>
    <w:rsid w:val="00DD747B"/>
    <w:rsid w:val="00DD76B9"/>
    <w:rsid w:val="00DE01BA"/>
    <w:rsid w:val="00DE0AAD"/>
    <w:rsid w:val="00DE0B29"/>
    <w:rsid w:val="00DE0D34"/>
    <w:rsid w:val="00DE0F16"/>
    <w:rsid w:val="00DE1511"/>
    <w:rsid w:val="00DE23E6"/>
    <w:rsid w:val="00DE2557"/>
    <w:rsid w:val="00DE2C70"/>
    <w:rsid w:val="00DE2D66"/>
    <w:rsid w:val="00DE3139"/>
    <w:rsid w:val="00DE3375"/>
    <w:rsid w:val="00DE3C0D"/>
    <w:rsid w:val="00DE4214"/>
    <w:rsid w:val="00DE44E2"/>
    <w:rsid w:val="00DE51B8"/>
    <w:rsid w:val="00DE52AD"/>
    <w:rsid w:val="00DE53DA"/>
    <w:rsid w:val="00DE58C9"/>
    <w:rsid w:val="00DE6977"/>
    <w:rsid w:val="00DE70F9"/>
    <w:rsid w:val="00DE714B"/>
    <w:rsid w:val="00DE71F5"/>
    <w:rsid w:val="00DE7284"/>
    <w:rsid w:val="00DE72CD"/>
    <w:rsid w:val="00DE7385"/>
    <w:rsid w:val="00DE76FA"/>
    <w:rsid w:val="00DE7D3F"/>
    <w:rsid w:val="00DE7E1A"/>
    <w:rsid w:val="00DF0095"/>
    <w:rsid w:val="00DF00D3"/>
    <w:rsid w:val="00DF1031"/>
    <w:rsid w:val="00DF1504"/>
    <w:rsid w:val="00DF1BFF"/>
    <w:rsid w:val="00DF20CC"/>
    <w:rsid w:val="00DF20D9"/>
    <w:rsid w:val="00DF24E8"/>
    <w:rsid w:val="00DF2DF6"/>
    <w:rsid w:val="00DF2F00"/>
    <w:rsid w:val="00DF3528"/>
    <w:rsid w:val="00DF3B4C"/>
    <w:rsid w:val="00DF40E0"/>
    <w:rsid w:val="00DF4E10"/>
    <w:rsid w:val="00DF57F3"/>
    <w:rsid w:val="00DF5F60"/>
    <w:rsid w:val="00DF651B"/>
    <w:rsid w:val="00DF654A"/>
    <w:rsid w:val="00DF6805"/>
    <w:rsid w:val="00DF6889"/>
    <w:rsid w:val="00DF6B2F"/>
    <w:rsid w:val="00DF71A3"/>
    <w:rsid w:val="00DF7201"/>
    <w:rsid w:val="00DF7644"/>
    <w:rsid w:val="00DF77EC"/>
    <w:rsid w:val="00E0014A"/>
    <w:rsid w:val="00E0051C"/>
    <w:rsid w:val="00E00633"/>
    <w:rsid w:val="00E00A7C"/>
    <w:rsid w:val="00E0119E"/>
    <w:rsid w:val="00E0137F"/>
    <w:rsid w:val="00E01AB7"/>
    <w:rsid w:val="00E01FA3"/>
    <w:rsid w:val="00E02084"/>
    <w:rsid w:val="00E02418"/>
    <w:rsid w:val="00E03B2F"/>
    <w:rsid w:val="00E03BFE"/>
    <w:rsid w:val="00E03C67"/>
    <w:rsid w:val="00E03C8B"/>
    <w:rsid w:val="00E040E7"/>
    <w:rsid w:val="00E04309"/>
    <w:rsid w:val="00E043DC"/>
    <w:rsid w:val="00E048CD"/>
    <w:rsid w:val="00E04982"/>
    <w:rsid w:val="00E04C3B"/>
    <w:rsid w:val="00E04E73"/>
    <w:rsid w:val="00E04EC2"/>
    <w:rsid w:val="00E0531F"/>
    <w:rsid w:val="00E05AAF"/>
    <w:rsid w:val="00E06209"/>
    <w:rsid w:val="00E0649A"/>
    <w:rsid w:val="00E067A4"/>
    <w:rsid w:val="00E06A98"/>
    <w:rsid w:val="00E07DD8"/>
    <w:rsid w:val="00E102BE"/>
    <w:rsid w:val="00E110B6"/>
    <w:rsid w:val="00E11C50"/>
    <w:rsid w:val="00E12736"/>
    <w:rsid w:val="00E1287F"/>
    <w:rsid w:val="00E12B6A"/>
    <w:rsid w:val="00E12BF5"/>
    <w:rsid w:val="00E12CA0"/>
    <w:rsid w:val="00E12D87"/>
    <w:rsid w:val="00E13540"/>
    <w:rsid w:val="00E14008"/>
    <w:rsid w:val="00E1418E"/>
    <w:rsid w:val="00E155DC"/>
    <w:rsid w:val="00E15D27"/>
    <w:rsid w:val="00E15D2E"/>
    <w:rsid w:val="00E16FF0"/>
    <w:rsid w:val="00E171ED"/>
    <w:rsid w:val="00E17305"/>
    <w:rsid w:val="00E1757B"/>
    <w:rsid w:val="00E20255"/>
    <w:rsid w:val="00E204ED"/>
    <w:rsid w:val="00E20526"/>
    <w:rsid w:val="00E20963"/>
    <w:rsid w:val="00E209F6"/>
    <w:rsid w:val="00E2166B"/>
    <w:rsid w:val="00E2204D"/>
    <w:rsid w:val="00E22121"/>
    <w:rsid w:val="00E22EEE"/>
    <w:rsid w:val="00E243CA"/>
    <w:rsid w:val="00E24A4D"/>
    <w:rsid w:val="00E24F8C"/>
    <w:rsid w:val="00E25827"/>
    <w:rsid w:val="00E2582E"/>
    <w:rsid w:val="00E265D1"/>
    <w:rsid w:val="00E266BA"/>
    <w:rsid w:val="00E268F7"/>
    <w:rsid w:val="00E26C71"/>
    <w:rsid w:val="00E27822"/>
    <w:rsid w:val="00E30021"/>
    <w:rsid w:val="00E308B6"/>
    <w:rsid w:val="00E3103E"/>
    <w:rsid w:val="00E31110"/>
    <w:rsid w:val="00E31B04"/>
    <w:rsid w:val="00E31F49"/>
    <w:rsid w:val="00E3299C"/>
    <w:rsid w:val="00E329CC"/>
    <w:rsid w:val="00E32C57"/>
    <w:rsid w:val="00E32E99"/>
    <w:rsid w:val="00E33361"/>
    <w:rsid w:val="00E33B9E"/>
    <w:rsid w:val="00E34559"/>
    <w:rsid w:val="00E34EEC"/>
    <w:rsid w:val="00E3552E"/>
    <w:rsid w:val="00E363D1"/>
    <w:rsid w:val="00E36931"/>
    <w:rsid w:val="00E3699B"/>
    <w:rsid w:val="00E36A1E"/>
    <w:rsid w:val="00E372C0"/>
    <w:rsid w:val="00E375DF"/>
    <w:rsid w:val="00E3771F"/>
    <w:rsid w:val="00E37E08"/>
    <w:rsid w:val="00E406F8"/>
    <w:rsid w:val="00E40826"/>
    <w:rsid w:val="00E4085A"/>
    <w:rsid w:val="00E40AD1"/>
    <w:rsid w:val="00E4111F"/>
    <w:rsid w:val="00E411B1"/>
    <w:rsid w:val="00E42565"/>
    <w:rsid w:val="00E42E62"/>
    <w:rsid w:val="00E42E8E"/>
    <w:rsid w:val="00E42FF8"/>
    <w:rsid w:val="00E43A71"/>
    <w:rsid w:val="00E43DD4"/>
    <w:rsid w:val="00E43EE1"/>
    <w:rsid w:val="00E44305"/>
    <w:rsid w:val="00E444F7"/>
    <w:rsid w:val="00E446A7"/>
    <w:rsid w:val="00E44F76"/>
    <w:rsid w:val="00E451F4"/>
    <w:rsid w:val="00E46187"/>
    <w:rsid w:val="00E4678B"/>
    <w:rsid w:val="00E46A43"/>
    <w:rsid w:val="00E46AC7"/>
    <w:rsid w:val="00E46DD0"/>
    <w:rsid w:val="00E47156"/>
    <w:rsid w:val="00E47952"/>
    <w:rsid w:val="00E47B69"/>
    <w:rsid w:val="00E47DE5"/>
    <w:rsid w:val="00E47FE6"/>
    <w:rsid w:val="00E5003B"/>
    <w:rsid w:val="00E50962"/>
    <w:rsid w:val="00E50C0D"/>
    <w:rsid w:val="00E5115C"/>
    <w:rsid w:val="00E51285"/>
    <w:rsid w:val="00E5165F"/>
    <w:rsid w:val="00E51AC3"/>
    <w:rsid w:val="00E51FD6"/>
    <w:rsid w:val="00E52D71"/>
    <w:rsid w:val="00E53EDB"/>
    <w:rsid w:val="00E54B3E"/>
    <w:rsid w:val="00E54DD9"/>
    <w:rsid w:val="00E5520B"/>
    <w:rsid w:val="00E55BA4"/>
    <w:rsid w:val="00E5603E"/>
    <w:rsid w:val="00E560D7"/>
    <w:rsid w:val="00E56748"/>
    <w:rsid w:val="00E56850"/>
    <w:rsid w:val="00E56A42"/>
    <w:rsid w:val="00E56E04"/>
    <w:rsid w:val="00E56E17"/>
    <w:rsid w:val="00E57399"/>
    <w:rsid w:val="00E5744A"/>
    <w:rsid w:val="00E57B17"/>
    <w:rsid w:val="00E57BF7"/>
    <w:rsid w:val="00E60236"/>
    <w:rsid w:val="00E606B4"/>
    <w:rsid w:val="00E61B2B"/>
    <w:rsid w:val="00E620D6"/>
    <w:rsid w:val="00E62172"/>
    <w:rsid w:val="00E6225E"/>
    <w:rsid w:val="00E622A0"/>
    <w:rsid w:val="00E628AB"/>
    <w:rsid w:val="00E62921"/>
    <w:rsid w:val="00E62A41"/>
    <w:rsid w:val="00E62F87"/>
    <w:rsid w:val="00E630FB"/>
    <w:rsid w:val="00E63C5F"/>
    <w:rsid w:val="00E63FA9"/>
    <w:rsid w:val="00E64B9C"/>
    <w:rsid w:val="00E64FDC"/>
    <w:rsid w:val="00E65001"/>
    <w:rsid w:val="00E6516B"/>
    <w:rsid w:val="00E65472"/>
    <w:rsid w:val="00E65C0B"/>
    <w:rsid w:val="00E65CF1"/>
    <w:rsid w:val="00E65EE5"/>
    <w:rsid w:val="00E66765"/>
    <w:rsid w:val="00E66891"/>
    <w:rsid w:val="00E669C3"/>
    <w:rsid w:val="00E672F9"/>
    <w:rsid w:val="00E6737E"/>
    <w:rsid w:val="00E67538"/>
    <w:rsid w:val="00E67C6D"/>
    <w:rsid w:val="00E70007"/>
    <w:rsid w:val="00E70085"/>
    <w:rsid w:val="00E70B75"/>
    <w:rsid w:val="00E70BE9"/>
    <w:rsid w:val="00E7116B"/>
    <w:rsid w:val="00E714BC"/>
    <w:rsid w:val="00E7179E"/>
    <w:rsid w:val="00E721B1"/>
    <w:rsid w:val="00E7230D"/>
    <w:rsid w:val="00E725EE"/>
    <w:rsid w:val="00E7297A"/>
    <w:rsid w:val="00E72A3D"/>
    <w:rsid w:val="00E72FE9"/>
    <w:rsid w:val="00E732D1"/>
    <w:rsid w:val="00E7330A"/>
    <w:rsid w:val="00E7386D"/>
    <w:rsid w:val="00E73882"/>
    <w:rsid w:val="00E74221"/>
    <w:rsid w:val="00E74670"/>
    <w:rsid w:val="00E7483D"/>
    <w:rsid w:val="00E759F4"/>
    <w:rsid w:val="00E75B44"/>
    <w:rsid w:val="00E765B0"/>
    <w:rsid w:val="00E76604"/>
    <w:rsid w:val="00E76FB4"/>
    <w:rsid w:val="00E7795B"/>
    <w:rsid w:val="00E8018B"/>
    <w:rsid w:val="00E8030E"/>
    <w:rsid w:val="00E80E8F"/>
    <w:rsid w:val="00E81263"/>
    <w:rsid w:val="00E81501"/>
    <w:rsid w:val="00E82160"/>
    <w:rsid w:val="00E829A0"/>
    <w:rsid w:val="00E82AC6"/>
    <w:rsid w:val="00E82F56"/>
    <w:rsid w:val="00E830BF"/>
    <w:rsid w:val="00E83314"/>
    <w:rsid w:val="00E8356D"/>
    <w:rsid w:val="00E839DF"/>
    <w:rsid w:val="00E83A07"/>
    <w:rsid w:val="00E83A7E"/>
    <w:rsid w:val="00E83C48"/>
    <w:rsid w:val="00E843A8"/>
    <w:rsid w:val="00E8442B"/>
    <w:rsid w:val="00E845A9"/>
    <w:rsid w:val="00E849FD"/>
    <w:rsid w:val="00E84AFE"/>
    <w:rsid w:val="00E851FA"/>
    <w:rsid w:val="00E85219"/>
    <w:rsid w:val="00E85363"/>
    <w:rsid w:val="00E8546A"/>
    <w:rsid w:val="00E8546F"/>
    <w:rsid w:val="00E854EB"/>
    <w:rsid w:val="00E854EF"/>
    <w:rsid w:val="00E85E89"/>
    <w:rsid w:val="00E860A7"/>
    <w:rsid w:val="00E86D41"/>
    <w:rsid w:val="00E871A4"/>
    <w:rsid w:val="00E871B3"/>
    <w:rsid w:val="00E871F8"/>
    <w:rsid w:val="00E87A0A"/>
    <w:rsid w:val="00E87D1B"/>
    <w:rsid w:val="00E90243"/>
    <w:rsid w:val="00E90C9E"/>
    <w:rsid w:val="00E913EB"/>
    <w:rsid w:val="00E91E05"/>
    <w:rsid w:val="00E91EF6"/>
    <w:rsid w:val="00E92737"/>
    <w:rsid w:val="00E92754"/>
    <w:rsid w:val="00E92B43"/>
    <w:rsid w:val="00E92B87"/>
    <w:rsid w:val="00E92C1F"/>
    <w:rsid w:val="00E92E2D"/>
    <w:rsid w:val="00E938E5"/>
    <w:rsid w:val="00E94D43"/>
    <w:rsid w:val="00E956BC"/>
    <w:rsid w:val="00E95D2B"/>
    <w:rsid w:val="00E976A0"/>
    <w:rsid w:val="00E9779B"/>
    <w:rsid w:val="00E97E08"/>
    <w:rsid w:val="00EA02A2"/>
    <w:rsid w:val="00EA061D"/>
    <w:rsid w:val="00EA0795"/>
    <w:rsid w:val="00EA0E2A"/>
    <w:rsid w:val="00EA0E73"/>
    <w:rsid w:val="00EA0FA2"/>
    <w:rsid w:val="00EA1A7C"/>
    <w:rsid w:val="00EA1ACC"/>
    <w:rsid w:val="00EA1F74"/>
    <w:rsid w:val="00EA241D"/>
    <w:rsid w:val="00EA261B"/>
    <w:rsid w:val="00EA2641"/>
    <w:rsid w:val="00EA2984"/>
    <w:rsid w:val="00EA2CCC"/>
    <w:rsid w:val="00EA345C"/>
    <w:rsid w:val="00EA358F"/>
    <w:rsid w:val="00EA3E67"/>
    <w:rsid w:val="00EA41D6"/>
    <w:rsid w:val="00EA48EE"/>
    <w:rsid w:val="00EA49E4"/>
    <w:rsid w:val="00EA4A39"/>
    <w:rsid w:val="00EA50F2"/>
    <w:rsid w:val="00EA5410"/>
    <w:rsid w:val="00EA5428"/>
    <w:rsid w:val="00EA5890"/>
    <w:rsid w:val="00EA599D"/>
    <w:rsid w:val="00EA5B0B"/>
    <w:rsid w:val="00EA5B71"/>
    <w:rsid w:val="00EA5CD9"/>
    <w:rsid w:val="00EA63F0"/>
    <w:rsid w:val="00EA65D8"/>
    <w:rsid w:val="00EA6C9E"/>
    <w:rsid w:val="00EA7BE1"/>
    <w:rsid w:val="00EB019B"/>
    <w:rsid w:val="00EB033C"/>
    <w:rsid w:val="00EB077F"/>
    <w:rsid w:val="00EB0E7C"/>
    <w:rsid w:val="00EB107B"/>
    <w:rsid w:val="00EB10B4"/>
    <w:rsid w:val="00EB1159"/>
    <w:rsid w:val="00EB11AD"/>
    <w:rsid w:val="00EB1BC9"/>
    <w:rsid w:val="00EB215A"/>
    <w:rsid w:val="00EB23BE"/>
    <w:rsid w:val="00EB2AD5"/>
    <w:rsid w:val="00EB2E56"/>
    <w:rsid w:val="00EB357F"/>
    <w:rsid w:val="00EB35E8"/>
    <w:rsid w:val="00EB3814"/>
    <w:rsid w:val="00EB4695"/>
    <w:rsid w:val="00EB4D02"/>
    <w:rsid w:val="00EB54F2"/>
    <w:rsid w:val="00EB595D"/>
    <w:rsid w:val="00EB6295"/>
    <w:rsid w:val="00EB693B"/>
    <w:rsid w:val="00EB6CA3"/>
    <w:rsid w:val="00EB6CD4"/>
    <w:rsid w:val="00EB6DEF"/>
    <w:rsid w:val="00EB7135"/>
    <w:rsid w:val="00EB719E"/>
    <w:rsid w:val="00EB7474"/>
    <w:rsid w:val="00EB792D"/>
    <w:rsid w:val="00EB7AAA"/>
    <w:rsid w:val="00EC0EEB"/>
    <w:rsid w:val="00EC114D"/>
    <w:rsid w:val="00EC167D"/>
    <w:rsid w:val="00EC1A7C"/>
    <w:rsid w:val="00EC214D"/>
    <w:rsid w:val="00EC24A6"/>
    <w:rsid w:val="00EC2B01"/>
    <w:rsid w:val="00EC2C90"/>
    <w:rsid w:val="00EC30FA"/>
    <w:rsid w:val="00EC341C"/>
    <w:rsid w:val="00EC3D59"/>
    <w:rsid w:val="00EC43FC"/>
    <w:rsid w:val="00EC4452"/>
    <w:rsid w:val="00EC4461"/>
    <w:rsid w:val="00EC504C"/>
    <w:rsid w:val="00EC5BAC"/>
    <w:rsid w:val="00EC5D5F"/>
    <w:rsid w:val="00EC6244"/>
    <w:rsid w:val="00EC63E4"/>
    <w:rsid w:val="00EC68F4"/>
    <w:rsid w:val="00EC6A0B"/>
    <w:rsid w:val="00EC6EFF"/>
    <w:rsid w:val="00EC72E9"/>
    <w:rsid w:val="00EC73C0"/>
    <w:rsid w:val="00EC746A"/>
    <w:rsid w:val="00EC7EF9"/>
    <w:rsid w:val="00ED0364"/>
    <w:rsid w:val="00ED07F0"/>
    <w:rsid w:val="00ED113D"/>
    <w:rsid w:val="00ED1831"/>
    <w:rsid w:val="00ED1D85"/>
    <w:rsid w:val="00ED232D"/>
    <w:rsid w:val="00ED2C4F"/>
    <w:rsid w:val="00ED305A"/>
    <w:rsid w:val="00ED374B"/>
    <w:rsid w:val="00ED37C0"/>
    <w:rsid w:val="00ED3811"/>
    <w:rsid w:val="00ED38A4"/>
    <w:rsid w:val="00ED3AB5"/>
    <w:rsid w:val="00ED477E"/>
    <w:rsid w:val="00ED4A3F"/>
    <w:rsid w:val="00ED4EFB"/>
    <w:rsid w:val="00ED5334"/>
    <w:rsid w:val="00ED5D29"/>
    <w:rsid w:val="00ED622C"/>
    <w:rsid w:val="00ED62EE"/>
    <w:rsid w:val="00ED660F"/>
    <w:rsid w:val="00ED73FA"/>
    <w:rsid w:val="00ED7A2F"/>
    <w:rsid w:val="00ED7B38"/>
    <w:rsid w:val="00ED7EC8"/>
    <w:rsid w:val="00EE007E"/>
    <w:rsid w:val="00EE08C8"/>
    <w:rsid w:val="00EE08F2"/>
    <w:rsid w:val="00EE14B4"/>
    <w:rsid w:val="00EE168C"/>
    <w:rsid w:val="00EE16EF"/>
    <w:rsid w:val="00EE1AE0"/>
    <w:rsid w:val="00EE1AF3"/>
    <w:rsid w:val="00EE1D1B"/>
    <w:rsid w:val="00EE1E99"/>
    <w:rsid w:val="00EE273D"/>
    <w:rsid w:val="00EE2B86"/>
    <w:rsid w:val="00EE2E1A"/>
    <w:rsid w:val="00EE320F"/>
    <w:rsid w:val="00EE3BEC"/>
    <w:rsid w:val="00EE412D"/>
    <w:rsid w:val="00EE4176"/>
    <w:rsid w:val="00EE447B"/>
    <w:rsid w:val="00EE471B"/>
    <w:rsid w:val="00EE4CFA"/>
    <w:rsid w:val="00EE5604"/>
    <w:rsid w:val="00EE594F"/>
    <w:rsid w:val="00EE5AAB"/>
    <w:rsid w:val="00EE5B84"/>
    <w:rsid w:val="00EE6F38"/>
    <w:rsid w:val="00EE6F51"/>
    <w:rsid w:val="00EE7274"/>
    <w:rsid w:val="00EE761F"/>
    <w:rsid w:val="00EE7A37"/>
    <w:rsid w:val="00EF00E8"/>
    <w:rsid w:val="00EF0162"/>
    <w:rsid w:val="00EF064C"/>
    <w:rsid w:val="00EF0C8A"/>
    <w:rsid w:val="00EF1C11"/>
    <w:rsid w:val="00EF2903"/>
    <w:rsid w:val="00EF2999"/>
    <w:rsid w:val="00EF36DB"/>
    <w:rsid w:val="00EF37C9"/>
    <w:rsid w:val="00EF38D5"/>
    <w:rsid w:val="00EF3B18"/>
    <w:rsid w:val="00EF3E68"/>
    <w:rsid w:val="00EF4336"/>
    <w:rsid w:val="00EF49A2"/>
    <w:rsid w:val="00EF53C7"/>
    <w:rsid w:val="00EF5650"/>
    <w:rsid w:val="00EF5AF1"/>
    <w:rsid w:val="00EF64AB"/>
    <w:rsid w:val="00EF6C05"/>
    <w:rsid w:val="00EF706B"/>
    <w:rsid w:val="00EF73DC"/>
    <w:rsid w:val="00EF7D05"/>
    <w:rsid w:val="00F00109"/>
    <w:rsid w:val="00F00188"/>
    <w:rsid w:val="00F00E15"/>
    <w:rsid w:val="00F00F15"/>
    <w:rsid w:val="00F013FF"/>
    <w:rsid w:val="00F02284"/>
    <w:rsid w:val="00F0290D"/>
    <w:rsid w:val="00F02A95"/>
    <w:rsid w:val="00F02E10"/>
    <w:rsid w:val="00F0332B"/>
    <w:rsid w:val="00F03B6E"/>
    <w:rsid w:val="00F03E80"/>
    <w:rsid w:val="00F0434C"/>
    <w:rsid w:val="00F0439D"/>
    <w:rsid w:val="00F043A5"/>
    <w:rsid w:val="00F054F3"/>
    <w:rsid w:val="00F056DD"/>
    <w:rsid w:val="00F058A2"/>
    <w:rsid w:val="00F058C7"/>
    <w:rsid w:val="00F0594B"/>
    <w:rsid w:val="00F059D2"/>
    <w:rsid w:val="00F05B99"/>
    <w:rsid w:val="00F05EAF"/>
    <w:rsid w:val="00F066AB"/>
    <w:rsid w:val="00F06944"/>
    <w:rsid w:val="00F0704D"/>
    <w:rsid w:val="00F077B0"/>
    <w:rsid w:val="00F07A76"/>
    <w:rsid w:val="00F10004"/>
    <w:rsid w:val="00F10615"/>
    <w:rsid w:val="00F1069E"/>
    <w:rsid w:val="00F110A3"/>
    <w:rsid w:val="00F11350"/>
    <w:rsid w:val="00F113AC"/>
    <w:rsid w:val="00F1182A"/>
    <w:rsid w:val="00F11E08"/>
    <w:rsid w:val="00F12611"/>
    <w:rsid w:val="00F13AB0"/>
    <w:rsid w:val="00F13D21"/>
    <w:rsid w:val="00F14814"/>
    <w:rsid w:val="00F14927"/>
    <w:rsid w:val="00F14F76"/>
    <w:rsid w:val="00F15042"/>
    <w:rsid w:val="00F150DB"/>
    <w:rsid w:val="00F15749"/>
    <w:rsid w:val="00F16372"/>
    <w:rsid w:val="00F16CEC"/>
    <w:rsid w:val="00F16FD8"/>
    <w:rsid w:val="00F17055"/>
    <w:rsid w:val="00F1707E"/>
    <w:rsid w:val="00F17645"/>
    <w:rsid w:val="00F17C7F"/>
    <w:rsid w:val="00F201A9"/>
    <w:rsid w:val="00F20A06"/>
    <w:rsid w:val="00F20F9A"/>
    <w:rsid w:val="00F21495"/>
    <w:rsid w:val="00F214E8"/>
    <w:rsid w:val="00F21EF2"/>
    <w:rsid w:val="00F22B53"/>
    <w:rsid w:val="00F2310A"/>
    <w:rsid w:val="00F2375F"/>
    <w:rsid w:val="00F23809"/>
    <w:rsid w:val="00F23912"/>
    <w:rsid w:val="00F24461"/>
    <w:rsid w:val="00F244A4"/>
    <w:rsid w:val="00F24520"/>
    <w:rsid w:val="00F246B6"/>
    <w:rsid w:val="00F25190"/>
    <w:rsid w:val="00F254A4"/>
    <w:rsid w:val="00F25DD4"/>
    <w:rsid w:val="00F2655B"/>
    <w:rsid w:val="00F26D14"/>
    <w:rsid w:val="00F2710E"/>
    <w:rsid w:val="00F2737A"/>
    <w:rsid w:val="00F27830"/>
    <w:rsid w:val="00F300F7"/>
    <w:rsid w:val="00F30553"/>
    <w:rsid w:val="00F30939"/>
    <w:rsid w:val="00F30A36"/>
    <w:rsid w:val="00F30F8C"/>
    <w:rsid w:val="00F3177E"/>
    <w:rsid w:val="00F3189C"/>
    <w:rsid w:val="00F327CF"/>
    <w:rsid w:val="00F329DD"/>
    <w:rsid w:val="00F32DE2"/>
    <w:rsid w:val="00F332D5"/>
    <w:rsid w:val="00F33531"/>
    <w:rsid w:val="00F33CAF"/>
    <w:rsid w:val="00F340E2"/>
    <w:rsid w:val="00F34869"/>
    <w:rsid w:val="00F34EA6"/>
    <w:rsid w:val="00F352D1"/>
    <w:rsid w:val="00F35596"/>
    <w:rsid w:val="00F355E8"/>
    <w:rsid w:val="00F358D6"/>
    <w:rsid w:val="00F36C0C"/>
    <w:rsid w:val="00F36D54"/>
    <w:rsid w:val="00F36EA2"/>
    <w:rsid w:val="00F37002"/>
    <w:rsid w:val="00F371B0"/>
    <w:rsid w:val="00F37AF4"/>
    <w:rsid w:val="00F4097B"/>
    <w:rsid w:val="00F40BCC"/>
    <w:rsid w:val="00F411F2"/>
    <w:rsid w:val="00F4259B"/>
    <w:rsid w:val="00F42716"/>
    <w:rsid w:val="00F4282F"/>
    <w:rsid w:val="00F42909"/>
    <w:rsid w:val="00F4293C"/>
    <w:rsid w:val="00F43138"/>
    <w:rsid w:val="00F4315E"/>
    <w:rsid w:val="00F43CAC"/>
    <w:rsid w:val="00F43D41"/>
    <w:rsid w:val="00F440C0"/>
    <w:rsid w:val="00F44234"/>
    <w:rsid w:val="00F45155"/>
    <w:rsid w:val="00F45177"/>
    <w:rsid w:val="00F45202"/>
    <w:rsid w:val="00F4538A"/>
    <w:rsid w:val="00F45442"/>
    <w:rsid w:val="00F459F0"/>
    <w:rsid w:val="00F45C57"/>
    <w:rsid w:val="00F45C7C"/>
    <w:rsid w:val="00F461A5"/>
    <w:rsid w:val="00F463F9"/>
    <w:rsid w:val="00F472BD"/>
    <w:rsid w:val="00F4758F"/>
    <w:rsid w:val="00F501B9"/>
    <w:rsid w:val="00F5177A"/>
    <w:rsid w:val="00F52150"/>
    <w:rsid w:val="00F5383A"/>
    <w:rsid w:val="00F53957"/>
    <w:rsid w:val="00F55279"/>
    <w:rsid w:val="00F553EC"/>
    <w:rsid w:val="00F558F1"/>
    <w:rsid w:val="00F55FA4"/>
    <w:rsid w:val="00F5676D"/>
    <w:rsid w:val="00F57292"/>
    <w:rsid w:val="00F57304"/>
    <w:rsid w:val="00F5740B"/>
    <w:rsid w:val="00F574AB"/>
    <w:rsid w:val="00F605D6"/>
    <w:rsid w:val="00F60D85"/>
    <w:rsid w:val="00F61231"/>
    <w:rsid w:val="00F6143D"/>
    <w:rsid w:val="00F61E2B"/>
    <w:rsid w:val="00F620FC"/>
    <w:rsid w:val="00F621EC"/>
    <w:rsid w:val="00F62FA2"/>
    <w:rsid w:val="00F636F5"/>
    <w:rsid w:val="00F64E7A"/>
    <w:rsid w:val="00F65139"/>
    <w:rsid w:val="00F65677"/>
    <w:rsid w:val="00F6604F"/>
    <w:rsid w:val="00F66AAB"/>
    <w:rsid w:val="00F66DDC"/>
    <w:rsid w:val="00F672FE"/>
    <w:rsid w:val="00F67B93"/>
    <w:rsid w:val="00F705FD"/>
    <w:rsid w:val="00F70C8C"/>
    <w:rsid w:val="00F714AD"/>
    <w:rsid w:val="00F7172C"/>
    <w:rsid w:val="00F71BFA"/>
    <w:rsid w:val="00F71D13"/>
    <w:rsid w:val="00F729AF"/>
    <w:rsid w:val="00F729D2"/>
    <w:rsid w:val="00F730B4"/>
    <w:rsid w:val="00F737EA"/>
    <w:rsid w:val="00F7422B"/>
    <w:rsid w:val="00F75082"/>
    <w:rsid w:val="00F75D3F"/>
    <w:rsid w:val="00F76235"/>
    <w:rsid w:val="00F76FAE"/>
    <w:rsid w:val="00F773BC"/>
    <w:rsid w:val="00F77526"/>
    <w:rsid w:val="00F77F8C"/>
    <w:rsid w:val="00F803C7"/>
    <w:rsid w:val="00F80D98"/>
    <w:rsid w:val="00F80F1C"/>
    <w:rsid w:val="00F8126A"/>
    <w:rsid w:val="00F81640"/>
    <w:rsid w:val="00F81AD5"/>
    <w:rsid w:val="00F81AEE"/>
    <w:rsid w:val="00F81DDA"/>
    <w:rsid w:val="00F8211C"/>
    <w:rsid w:val="00F8245A"/>
    <w:rsid w:val="00F824C5"/>
    <w:rsid w:val="00F82EE9"/>
    <w:rsid w:val="00F83147"/>
    <w:rsid w:val="00F832F9"/>
    <w:rsid w:val="00F83E58"/>
    <w:rsid w:val="00F83EA4"/>
    <w:rsid w:val="00F84287"/>
    <w:rsid w:val="00F845B2"/>
    <w:rsid w:val="00F8466E"/>
    <w:rsid w:val="00F8477E"/>
    <w:rsid w:val="00F84B5D"/>
    <w:rsid w:val="00F84CB9"/>
    <w:rsid w:val="00F853B9"/>
    <w:rsid w:val="00F858F8"/>
    <w:rsid w:val="00F86134"/>
    <w:rsid w:val="00F8673E"/>
    <w:rsid w:val="00F868EF"/>
    <w:rsid w:val="00F86CC0"/>
    <w:rsid w:val="00F86DE8"/>
    <w:rsid w:val="00F86E5B"/>
    <w:rsid w:val="00F873AF"/>
    <w:rsid w:val="00F87558"/>
    <w:rsid w:val="00F876C7"/>
    <w:rsid w:val="00F900C0"/>
    <w:rsid w:val="00F90503"/>
    <w:rsid w:val="00F9054D"/>
    <w:rsid w:val="00F91972"/>
    <w:rsid w:val="00F91B56"/>
    <w:rsid w:val="00F91EF4"/>
    <w:rsid w:val="00F922D7"/>
    <w:rsid w:val="00F92794"/>
    <w:rsid w:val="00F9369D"/>
    <w:rsid w:val="00F93DBC"/>
    <w:rsid w:val="00F94189"/>
    <w:rsid w:val="00F946B3"/>
    <w:rsid w:val="00F94EE6"/>
    <w:rsid w:val="00F951EA"/>
    <w:rsid w:val="00F951FC"/>
    <w:rsid w:val="00F95806"/>
    <w:rsid w:val="00F95A33"/>
    <w:rsid w:val="00F96160"/>
    <w:rsid w:val="00F9632F"/>
    <w:rsid w:val="00F96946"/>
    <w:rsid w:val="00F96D9D"/>
    <w:rsid w:val="00F96F5E"/>
    <w:rsid w:val="00F96FFE"/>
    <w:rsid w:val="00F97212"/>
    <w:rsid w:val="00F9740C"/>
    <w:rsid w:val="00F97725"/>
    <w:rsid w:val="00F97ED9"/>
    <w:rsid w:val="00FA0FAC"/>
    <w:rsid w:val="00FA1143"/>
    <w:rsid w:val="00FA1B61"/>
    <w:rsid w:val="00FA1CE3"/>
    <w:rsid w:val="00FA21E2"/>
    <w:rsid w:val="00FA2986"/>
    <w:rsid w:val="00FA32A4"/>
    <w:rsid w:val="00FA3AD8"/>
    <w:rsid w:val="00FA3AFC"/>
    <w:rsid w:val="00FA4099"/>
    <w:rsid w:val="00FA43A8"/>
    <w:rsid w:val="00FA4853"/>
    <w:rsid w:val="00FA4B13"/>
    <w:rsid w:val="00FA5645"/>
    <w:rsid w:val="00FA57F9"/>
    <w:rsid w:val="00FA6B2D"/>
    <w:rsid w:val="00FA76A7"/>
    <w:rsid w:val="00FB0728"/>
    <w:rsid w:val="00FB13A4"/>
    <w:rsid w:val="00FB14B8"/>
    <w:rsid w:val="00FB1B8E"/>
    <w:rsid w:val="00FB1FD0"/>
    <w:rsid w:val="00FB1FDC"/>
    <w:rsid w:val="00FB24B5"/>
    <w:rsid w:val="00FB24BA"/>
    <w:rsid w:val="00FB267E"/>
    <w:rsid w:val="00FB35DF"/>
    <w:rsid w:val="00FB3DFE"/>
    <w:rsid w:val="00FB3FFE"/>
    <w:rsid w:val="00FB421C"/>
    <w:rsid w:val="00FB426B"/>
    <w:rsid w:val="00FB451F"/>
    <w:rsid w:val="00FB480D"/>
    <w:rsid w:val="00FB48E1"/>
    <w:rsid w:val="00FB524B"/>
    <w:rsid w:val="00FB53C7"/>
    <w:rsid w:val="00FB5962"/>
    <w:rsid w:val="00FB5981"/>
    <w:rsid w:val="00FB5EC8"/>
    <w:rsid w:val="00FB6258"/>
    <w:rsid w:val="00FB6759"/>
    <w:rsid w:val="00FB676E"/>
    <w:rsid w:val="00FB67CE"/>
    <w:rsid w:val="00FB6CB4"/>
    <w:rsid w:val="00FB6CE3"/>
    <w:rsid w:val="00FB6CF9"/>
    <w:rsid w:val="00FB7A40"/>
    <w:rsid w:val="00FB7BD7"/>
    <w:rsid w:val="00FC036A"/>
    <w:rsid w:val="00FC05F4"/>
    <w:rsid w:val="00FC0C36"/>
    <w:rsid w:val="00FC1283"/>
    <w:rsid w:val="00FC1BCF"/>
    <w:rsid w:val="00FC2066"/>
    <w:rsid w:val="00FC22A8"/>
    <w:rsid w:val="00FC2745"/>
    <w:rsid w:val="00FC30F1"/>
    <w:rsid w:val="00FC331A"/>
    <w:rsid w:val="00FC3534"/>
    <w:rsid w:val="00FC3691"/>
    <w:rsid w:val="00FC38EB"/>
    <w:rsid w:val="00FC3B04"/>
    <w:rsid w:val="00FC3F33"/>
    <w:rsid w:val="00FC3F89"/>
    <w:rsid w:val="00FC41B0"/>
    <w:rsid w:val="00FC45FF"/>
    <w:rsid w:val="00FC49A8"/>
    <w:rsid w:val="00FC5512"/>
    <w:rsid w:val="00FC60E6"/>
    <w:rsid w:val="00FC6C19"/>
    <w:rsid w:val="00FC6C25"/>
    <w:rsid w:val="00FC6CD4"/>
    <w:rsid w:val="00FC6EEC"/>
    <w:rsid w:val="00FC74A1"/>
    <w:rsid w:val="00FC7618"/>
    <w:rsid w:val="00FC7AE2"/>
    <w:rsid w:val="00FC7D69"/>
    <w:rsid w:val="00FC7DEE"/>
    <w:rsid w:val="00FD017E"/>
    <w:rsid w:val="00FD0442"/>
    <w:rsid w:val="00FD04B1"/>
    <w:rsid w:val="00FD0790"/>
    <w:rsid w:val="00FD08F2"/>
    <w:rsid w:val="00FD22D5"/>
    <w:rsid w:val="00FD29B4"/>
    <w:rsid w:val="00FD2AD2"/>
    <w:rsid w:val="00FD2F73"/>
    <w:rsid w:val="00FD30C5"/>
    <w:rsid w:val="00FD4A16"/>
    <w:rsid w:val="00FD4C96"/>
    <w:rsid w:val="00FD61F8"/>
    <w:rsid w:val="00FD6386"/>
    <w:rsid w:val="00FD6504"/>
    <w:rsid w:val="00FD6514"/>
    <w:rsid w:val="00FD68A3"/>
    <w:rsid w:val="00FD772E"/>
    <w:rsid w:val="00FD7AC7"/>
    <w:rsid w:val="00FD7CE8"/>
    <w:rsid w:val="00FE0795"/>
    <w:rsid w:val="00FE09AF"/>
    <w:rsid w:val="00FE0D97"/>
    <w:rsid w:val="00FE0F16"/>
    <w:rsid w:val="00FE1259"/>
    <w:rsid w:val="00FE1307"/>
    <w:rsid w:val="00FE16CC"/>
    <w:rsid w:val="00FE2066"/>
    <w:rsid w:val="00FE250E"/>
    <w:rsid w:val="00FE273C"/>
    <w:rsid w:val="00FE2D16"/>
    <w:rsid w:val="00FE2E74"/>
    <w:rsid w:val="00FE2ED2"/>
    <w:rsid w:val="00FE3691"/>
    <w:rsid w:val="00FE3761"/>
    <w:rsid w:val="00FE3FF3"/>
    <w:rsid w:val="00FE41F5"/>
    <w:rsid w:val="00FE452A"/>
    <w:rsid w:val="00FE4547"/>
    <w:rsid w:val="00FE461A"/>
    <w:rsid w:val="00FE4D7B"/>
    <w:rsid w:val="00FE50D6"/>
    <w:rsid w:val="00FE51CD"/>
    <w:rsid w:val="00FE5C13"/>
    <w:rsid w:val="00FE6031"/>
    <w:rsid w:val="00FE6393"/>
    <w:rsid w:val="00FE643C"/>
    <w:rsid w:val="00FE66D9"/>
    <w:rsid w:val="00FE6BD0"/>
    <w:rsid w:val="00FE7CBB"/>
    <w:rsid w:val="00FE7D80"/>
    <w:rsid w:val="00FF02C7"/>
    <w:rsid w:val="00FF05B0"/>
    <w:rsid w:val="00FF07A8"/>
    <w:rsid w:val="00FF09C6"/>
    <w:rsid w:val="00FF1178"/>
    <w:rsid w:val="00FF1247"/>
    <w:rsid w:val="00FF1946"/>
    <w:rsid w:val="00FF1FCA"/>
    <w:rsid w:val="00FF20E9"/>
    <w:rsid w:val="00FF2855"/>
    <w:rsid w:val="00FF3820"/>
    <w:rsid w:val="00FF40C2"/>
    <w:rsid w:val="00FF4282"/>
    <w:rsid w:val="00FF4769"/>
    <w:rsid w:val="00FF4C75"/>
    <w:rsid w:val="00FF4EF4"/>
    <w:rsid w:val="00FF4F6F"/>
    <w:rsid w:val="00FF54D7"/>
    <w:rsid w:val="00FF591D"/>
    <w:rsid w:val="00FF6A1C"/>
    <w:rsid w:val="00FF7747"/>
    <w:rsid w:val="00FF777F"/>
    <w:rsid w:val="00FF78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B8BF0A"/>
  <w15:chartTrackingRefBased/>
  <w15:docId w15:val="{D022F663-F81E-4CCF-A788-2385D3DBE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qFormat="1"/>
    <w:lsdException w:name="header" w:uiPriority="99"/>
    <w:lsdException w:name="footer" w:uiPriority="99"/>
    <w:lsdException w:name="caption" w:semiHidden="1" w:uiPriority="35" w:unhideWhenUsed="1" w:qFormat="1"/>
    <w:lsdException w:name="footnote reference" w:uiPriority="99"/>
    <w:lsdException w:name="endnote reference" w:uiPriority="99"/>
    <w:lsdException w:name="endnote text" w:uiPriority="99"/>
    <w:lsdException w:name="toa heading" w:uiPriority="99"/>
    <w:lsdException w:name="Title" w:uiPriority="10" w:qFormat="1"/>
    <w:lsdException w:name="Default Paragraph Font" w:uiPriority="1"/>
    <w:lsdException w:name="Subtitle" w:uiPriority="11"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5596"/>
    <w:pPr>
      <w:spacing w:after="120" w:line="259" w:lineRule="auto"/>
      <w:jc w:val="both"/>
    </w:pPr>
    <w:rPr>
      <w:rFonts w:ascii="Palatino Linotype" w:eastAsiaTheme="minorHAnsi" w:hAnsi="Palatino Linotype" w:cstheme="minorBidi"/>
      <w:sz w:val="22"/>
      <w:szCs w:val="22"/>
      <w:lang w:eastAsia="en-US"/>
    </w:rPr>
  </w:style>
  <w:style w:type="paragraph" w:styleId="Ttulo1">
    <w:name w:val="heading 1"/>
    <w:basedOn w:val="Normal"/>
    <w:next w:val="Normal"/>
    <w:link w:val="Ttulo1Car"/>
    <w:uiPriority w:val="9"/>
    <w:qFormat/>
    <w:rsid w:val="00F35596"/>
    <w:pPr>
      <w:keepNext/>
      <w:keepLines/>
      <w:numPr>
        <w:numId w:val="39"/>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F35596"/>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F35596"/>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F35596"/>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F35596"/>
    <w:pPr>
      <w:keepNext/>
      <w:numPr>
        <w:numId w:val="20"/>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F35596"/>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F35596"/>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F35596"/>
    <w:pPr>
      <w:ind w:left="993"/>
      <w:outlineLvl w:val="7"/>
    </w:pPr>
    <w:rPr>
      <w:color w:val="321547"/>
      <w:szCs w:val="22"/>
      <w:u w:val="dotDotDash"/>
    </w:rPr>
  </w:style>
  <w:style w:type="paragraph" w:styleId="Ttulo9">
    <w:name w:val="heading 9"/>
    <w:basedOn w:val="Ttulo8"/>
    <w:next w:val="Normal"/>
    <w:link w:val="Ttulo9Car"/>
    <w:uiPriority w:val="9"/>
    <w:unhideWhenUsed/>
    <w:qFormat/>
    <w:rsid w:val="00F35596"/>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6D3501"/>
    <w:pPr>
      <w:tabs>
        <w:tab w:val="center" w:pos="4252"/>
        <w:tab w:val="right" w:pos="8504"/>
      </w:tabs>
    </w:pPr>
  </w:style>
  <w:style w:type="character" w:styleId="Nmerodepgina">
    <w:name w:val="page number"/>
    <w:basedOn w:val="Fuentedeprrafopredeter"/>
    <w:rsid w:val="006D3501"/>
  </w:style>
  <w:style w:type="character" w:styleId="Hipervnculo">
    <w:name w:val="Hyperlink"/>
    <w:basedOn w:val="Fuentedeprrafopredeter"/>
    <w:uiPriority w:val="99"/>
    <w:unhideWhenUsed/>
    <w:rsid w:val="00F35596"/>
    <w:rPr>
      <w:color w:val="0563C1" w:themeColor="hyperlink"/>
      <w:u w:val="single"/>
    </w:rPr>
  </w:style>
  <w:style w:type="paragraph" w:styleId="Textonotapie">
    <w:name w:val="footnote text"/>
    <w:aliases w:val="Nota a pie de página"/>
    <w:basedOn w:val="Normal"/>
    <w:link w:val="TextonotapieCar"/>
    <w:uiPriority w:val="99"/>
    <w:unhideWhenUsed/>
    <w:qFormat/>
    <w:rsid w:val="00F35596"/>
    <w:pPr>
      <w:keepLines/>
      <w:spacing w:after="40" w:line="240" w:lineRule="auto"/>
    </w:pPr>
    <w:rPr>
      <w:sz w:val="16"/>
      <w:szCs w:val="20"/>
    </w:rPr>
  </w:style>
  <w:style w:type="character" w:styleId="Refdenotaalpie">
    <w:name w:val="footnote reference"/>
    <w:basedOn w:val="Fuentedeprrafopredeter"/>
    <w:uiPriority w:val="99"/>
    <w:unhideWhenUsed/>
    <w:rsid w:val="00F35596"/>
    <w:rPr>
      <w:vertAlign w:val="superscript"/>
    </w:rPr>
  </w:style>
  <w:style w:type="table" w:styleId="Tablaconcuadrcula">
    <w:name w:val="Table Grid"/>
    <w:basedOn w:val="Tablanormal"/>
    <w:uiPriority w:val="39"/>
    <w:rsid w:val="00F35596"/>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C96011"/>
    <w:rPr>
      <w:sz w:val="16"/>
      <w:szCs w:val="16"/>
    </w:rPr>
  </w:style>
  <w:style w:type="paragraph" w:styleId="Textocomentario">
    <w:name w:val="annotation text"/>
    <w:basedOn w:val="Normal"/>
    <w:semiHidden/>
    <w:rsid w:val="00C96011"/>
    <w:rPr>
      <w:sz w:val="20"/>
      <w:szCs w:val="20"/>
    </w:rPr>
  </w:style>
  <w:style w:type="paragraph" w:styleId="Asuntodelcomentario">
    <w:name w:val="annotation subject"/>
    <w:basedOn w:val="Textocomentario"/>
    <w:next w:val="Textocomentario"/>
    <w:semiHidden/>
    <w:rsid w:val="00C96011"/>
    <w:rPr>
      <w:b/>
      <w:bCs/>
    </w:rPr>
  </w:style>
  <w:style w:type="paragraph" w:styleId="Textodeglobo">
    <w:name w:val="Balloon Text"/>
    <w:basedOn w:val="Normal"/>
    <w:link w:val="TextodegloboCar"/>
    <w:uiPriority w:val="99"/>
    <w:semiHidden/>
    <w:unhideWhenUsed/>
    <w:rsid w:val="00F35596"/>
    <w:rPr>
      <w:rFonts w:ascii="Segoe UI" w:hAnsi="Segoe UI" w:cs="Segoe UI"/>
      <w:sz w:val="18"/>
      <w:szCs w:val="18"/>
    </w:rPr>
  </w:style>
  <w:style w:type="paragraph" w:styleId="Prrafodelista">
    <w:name w:val="List Paragraph"/>
    <w:basedOn w:val="Normal"/>
    <w:uiPriority w:val="34"/>
    <w:rsid w:val="00F35596"/>
    <w:pPr>
      <w:ind w:left="720"/>
      <w:contextualSpacing/>
    </w:pPr>
  </w:style>
  <w:style w:type="paragraph" w:customStyle="1" w:styleId="General">
    <w:name w:val="General"/>
    <w:basedOn w:val="Normal"/>
    <w:rsid w:val="00314C6B"/>
    <w:pPr>
      <w:widowControl w:val="0"/>
      <w:suppressAutoHyphens/>
      <w:autoSpaceDN w:val="0"/>
      <w:textAlignment w:val="baseline"/>
    </w:pPr>
    <w:rPr>
      <w:rFonts w:eastAsia="Times" w:cs="Mangal"/>
      <w:kern w:val="3"/>
      <w:sz w:val="28"/>
      <w:szCs w:val="20"/>
      <w:lang w:eastAsia="zh-CN" w:bidi="hi-IN"/>
    </w:rPr>
  </w:style>
  <w:style w:type="character" w:customStyle="1" w:styleId="PiedepginaCar">
    <w:name w:val="Pie de página Car"/>
    <w:link w:val="Piedepgina"/>
    <w:uiPriority w:val="99"/>
    <w:rsid w:val="00314C6B"/>
    <w:rPr>
      <w:sz w:val="24"/>
      <w:szCs w:val="24"/>
      <w:lang w:val="es-ES" w:eastAsia="es-ES"/>
    </w:rPr>
  </w:style>
  <w:style w:type="paragraph" w:customStyle="1" w:styleId="Standard">
    <w:name w:val="Standard"/>
    <w:rsid w:val="00693CBF"/>
    <w:pPr>
      <w:widowControl w:val="0"/>
      <w:suppressAutoHyphens/>
      <w:autoSpaceDN w:val="0"/>
      <w:textAlignment w:val="baseline"/>
    </w:pPr>
    <w:rPr>
      <w:rFonts w:eastAsia="SimSun" w:cs="Mangal"/>
      <w:kern w:val="3"/>
      <w:sz w:val="24"/>
      <w:szCs w:val="24"/>
      <w:lang w:eastAsia="zh-CN" w:bidi="hi-IN"/>
    </w:rPr>
  </w:style>
  <w:style w:type="numbering" w:customStyle="1" w:styleId="WW8Num17">
    <w:name w:val="WW8Num17"/>
    <w:basedOn w:val="Sinlista"/>
    <w:rsid w:val="00693CBF"/>
    <w:pPr>
      <w:numPr>
        <w:numId w:val="9"/>
      </w:numPr>
    </w:pPr>
  </w:style>
  <w:style w:type="character" w:customStyle="1" w:styleId="TextonotapieCar">
    <w:name w:val="Texto nota pie Car"/>
    <w:aliases w:val="Nota a pie de página Car"/>
    <w:basedOn w:val="Fuentedeprrafopredeter"/>
    <w:link w:val="Textonotapie"/>
    <w:uiPriority w:val="99"/>
    <w:rsid w:val="00F35596"/>
    <w:rPr>
      <w:rFonts w:ascii="Palatino Linotype" w:eastAsiaTheme="minorHAnsi" w:hAnsi="Palatino Linotype" w:cstheme="minorBidi"/>
      <w:sz w:val="16"/>
      <w:lang w:eastAsia="en-US"/>
    </w:rPr>
  </w:style>
  <w:style w:type="paragraph" w:customStyle="1" w:styleId="Primer">
    <w:name w:val="Primer"/>
    <w:basedOn w:val="Prrafodelista"/>
    <w:rsid w:val="00373B33"/>
    <w:pPr>
      <w:numPr>
        <w:numId w:val="15"/>
      </w:numPr>
      <w:spacing w:after="20"/>
      <w:ind w:left="142" w:right="-129" w:hanging="142"/>
    </w:pPr>
    <w:rPr>
      <w:rFonts w:eastAsia="Calibri"/>
      <w:sz w:val="14"/>
      <w:szCs w:val="14"/>
    </w:rPr>
  </w:style>
  <w:style w:type="paragraph" w:customStyle="1" w:styleId="Segundo">
    <w:name w:val="Segundo"/>
    <w:basedOn w:val="Primer"/>
    <w:next w:val="Normal"/>
    <w:rsid w:val="00373B33"/>
    <w:pPr>
      <w:numPr>
        <w:ilvl w:val="1"/>
      </w:numPr>
    </w:pPr>
  </w:style>
  <w:style w:type="paragraph" w:customStyle="1" w:styleId="Letras">
    <w:name w:val="Letras"/>
    <w:basedOn w:val="Primer"/>
    <w:qFormat/>
    <w:rsid w:val="00373B33"/>
    <w:pPr>
      <w:numPr>
        <w:ilvl w:val="6"/>
      </w:numPr>
      <w:ind w:left="284" w:hanging="142"/>
    </w:pPr>
  </w:style>
  <w:style w:type="character" w:customStyle="1" w:styleId="Ttulo1Car">
    <w:name w:val="Título 1 Car"/>
    <w:basedOn w:val="Fuentedeprrafopredeter"/>
    <w:link w:val="Ttulo1"/>
    <w:uiPriority w:val="9"/>
    <w:rsid w:val="00F35596"/>
    <w:rPr>
      <w:rFonts w:ascii="Palatino Linotype" w:eastAsiaTheme="minorHAnsi" w:hAnsi="Palatino Linotype" w:cstheme="minorBidi"/>
      <w:b/>
      <w:bCs/>
      <w:caps/>
      <w:color w:val="E2EFD9" w:themeColor="accent6" w:themeTint="33"/>
      <w:sz w:val="22"/>
      <w:szCs w:val="22"/>
      <w:shd w:val="clear" w:color="auto" w:fill="5F2987"/>
      <w:lang w:eastAsia="en-US"/>
    </w:rPr>
  </w:style>
  <w:style w:type="character" w:customStyle="1" w:styleId="Ttulo2Car">
    <w:name w:val="Título 2 Car"/>
    <w:basedOn w:val="Fuentedeprrafopredeter"/>
    <w:link w:val="Ttulo2"/>
    <w:uiPriority w:val="9"/>
    <w:rsid w:val="00F35596"/>
    <w:rPr>
      <w:rFonts w:ascii="Palatino Linotype" w:eastAsiaTheme="minorHAnsi" w:hAnsi="Palatino Linotype" w:cstheme="minorBidi"/>
      <w:b/>
      <w:bCs/>
      <w:color w:val="5F2987"/>
      <w:sz w:val="22"/>
      <w:szCs w:val="22"/>
      <w:shd w:val="clear" w:color="auto" w:fill="E2EFD9" w:themeFill="accent6" w:themeFillTint="33"/>
      <w:lang w:eastAsia="en-US"/>
    </w:rPr>
  </w:style>
  <w:style w:type="character" w:customStyle="1" w:styleId="Ttulo3Car">
    <w:name w:val="Título 3 Car"/>
    <w:basedOn w:val="Fuentedeprrafopredeter"/>
    <w:link w:val="Ttulo3"/>
    <w:uiPriority w:val="9"/>
    <w:rsid w:val="00F35596"/>
    <w:rPr>
      <w:rFonts w:ascii="Palatino Linotype" w:eastAsiaTheme="minorHAnsi" w:hAnsi="Palatino Linotype" w:cstheme="minorBidi"/>
      <w:i/>
      <w:iCs/>
      <w:color w:val="5F2987"/>
      <w:sz w:val="22"/>
      <w:szCs w:val="22"/>
      <w:u w:val="single"/>
      <w:lang w:eastAsia="en-US"/>
    </w:rPr>
  </w:style>
  <w:style w:type="character" w:customStyle="1" w:styleId="Ttulo4Car">
    <w:name w:val="Título 4 Car"/>
    <w:basedOn w:val="Fuentedeprrafopredeter"/>
    <w:link w:val="Ttulo4"/>
    <w:uiPriority w:val="9"/>
    <w:rsid w:val="00F35596"/>
    <w:rPr>
      <w:rFonts w:ascii="Palatino Linotype" w:eastAsiaTheme="majorEastAsia" w:hAnsi="Palatino Linotype" w:cstheme="majorBidi"/>
      <w:b/>
      <w:i/>
      <w:iCs/>
      <w:color w:val="5F2987"/>
      <w:spacing w:val="-4"/>
      <w:sz w:val="22"/>
      <w:szCs w:val="22"/>
      <w:lang w:eastAsia="en-US"/>
    </w:rPr>
  </w:style>
  <w:style w:type="character" w:customStyle="1" w:styleId="Ttulo5Car">
    <w:name w:val="Título 5 Car"/>
    <w:basedOn w:val="Fuentedeprrafopredeter"/>
    <w:link w:val="Ttulo5"/>
    <w:uiPriority w:val="9"/>
    <w:rsid w:val="00F35596"/>
    <w:rPr>
      <w:rFonts w:ascii="Palatino Linotype" w:eastAsiaTheme="minorHAnsi" w:hAnsi="Palatino Linotype" w:cstheme="minorBidi"/>
      <w:i/>
      <w:iCs/>
      <w:color w:val="5F2987"/>
      <w:spacing w:val="-4"/>
      <w:sz w:val="22"/>
      <w:szCs w:val="22"/>
      <w:u w:val="single"/>
      <w:shd w:val="clear" w:color="auto" w:fill="E2EFD9" w:themeFill="accent6" w:themeFillTint="33"/>
      <w:lang w:eastAsia="en-US"/>
    </w:rPr>
  </w:style>
  <w:style w:type="character" w:customStyle="1" w:styleId="Ttulo6Car">
    <w:name w:val="Título 6 Car"/>
    <w:basedOn w:val="Fuentedeprrafopredeter"/>
    <w:link w:val="Ttulo6"/>
    <w:uiPriority w:val="9"/>
    <w:rsid w:val="00F35596"/>
    <w:rPr>
      <w:rFonts w:ascii="Palatino Linotype" w:eastAsiaTheme="majorEastAsia" w:hAnsi="Palatino Linotype" w:cstheme="majorBidi"/>
      <w:b/>
      <w:color w:val="5F2987"/>
      <w:sz w:val="22"/>
      <w:szCs w:val="22"/>
      <w:u w:val="single"/>
      <w:lang w:eastAsia="en-US"/>
    </w:rPr>
  </w:style>
  <w:style w:type="character" w:customStyle="1" w:styleId="Ttulo7Car">
    <w:name w:val="Título 7 Car"/>
    <w:basedOn w:val="Fuentedeprrafopredeter"/>
    <w:link w:val="Ttulo7"/>
    <w:uiPriority w:val="9"/>
    <w:rsid w:val="00F35596"/>
    <w:rPr>
      <w:rFonts w:ascii="Palatino Linotype" w:eastAsiaTheme="majorEastAsia" w:hAnsi="Palatino Linotype" w:cstheme="majorBidi"/>
      <w:i/>
      <w:iCs/>
      <w:color w:val="5F2987"/>
      <w:spacing w:val="-4"/>
      <w:sz w:val="22"/>
      <w:u w:val="dash"/>
      <w:lang w:eastAsia="en-US"/>
    </w:rPr>
  </w:style>
  <w:style w:type="character" w:customStyle="1" w:styleId="Ttulo8Car">
    <w:name w:val="Título 8 Car"/>
    <w:basedOn w:val="Fuentedeprrafopredeter"/>
    <w:link w:val="Ttulo8"/>
    <w:uiPriority w:val="9"/>
    <w:rsid w:val="00F35596"/>
    <w:rPr>
      <w:rFonts w:ascii="Palatino Linotype" w:eastAsiaTheme="majorEastAsia" w:hAnsi="Palatino Linotype" w:cstheme="majorBidi"/>
      <w:i/>
      <w:iCs/>
      <w:color w:val="321547"/>
      <w:spacing w:val="-4"/>
      <w:sz w:val="22"/>
      <w:szCs w:val="22"/>
      <w:u w:val="dotDotDash"/>
      <w:lang w:eastAsia="en-US"/>
    </w:rPr>
  </w:style>
  <w:style w:type="character" w:customStyle="1" w:styleId="Ttulo9Car">
    <w:name w:val="Título 9 Car"/>
    <w:basedOn w:val="Fuentedeprrafopredeter"/>
    <w:link w:val="Ttulo9"/>
    <w:uiPriority w:val="9"/>
    <w:rsid w:val="00F35596"/>
    <w:rPr>
      <w:rFonts w:ascii="Palatino Linotype" w:eastAsiaTheme="majorEastAsia" w:hAnsi="Palatino Linotype" w:cstheme="majorBidi"/>
      <w:i/>
      <w:color w:val="240F33"/>
      <w:spacing w:val="-4"/>
      <w:w w:val="99"/>
      <w:sz w:val="21"/>
      <w:szCs w:val="21"/>
      <w:u w:val="dotted"/>
      <w:lang w:eastAsia="en-US"/>
    </w:rPr>
  </w:style>
  <w:style w:type="paragraph" w:styleId="Encabezado">
    <w:name w:val="header"/>
    <w:basedOn w:val="Normal"/>
    <w:link w:val="EncabezadoCar"/>
    <w:uiPriority w:val="99"/>
    <w:unhideWhenUsed/>
    <w:rsid w:val="00F35596"/>
    <w:pPr>
      <w:tabs>
        <w:tab w:val="center" w:pos="4252"/>
        <w:tab w:val="right" w:pos="8504"/>
      </w:tabs>
    </w:pPr>
  </w:style>
  <w:style w:type="character" w:customStyle="1" w:styleId="EncabezadoCar">
    <w:name w:val="Encabezado Car"/>
    <w:basedOn w:val="Fuentedeprrafopredeter"/>
    <w:link w:val="Encabezado"/>
    <w:uiPriority w:val="99"/>
    <w:rsid w:val="00F35596"/>
    <w:rPr>
      <w:rFonts w:ascii="Palatino Linotype" w:eastAsiaTheme="minorHAnsi" w:hAnsi="Palatino Linotype" w:cstheme="minorBidi"/>
      <w:sz w:val="22"/>
      <w:szCs w:val="22"/>
      <w:lang w:eastAsia="en-US"/>
    </w:rPr>
  </w:style>
  <w:style w:type="character" w:customStyle="1" w:styleId="HeaderChar">
    <w:name w:val="Header Char"/>
    <w:basedOn w:val="Fuentedeprrafopredeter"/>
    <w:uiPriority w:val="99"/>
    <w:rsid w:val="00F35596"/>
    <w:rPr>
      <w:rFonts w:ascii="Garamond" w:hAnsi="Garamond"/>
      <w:lang w:val="es-ES"/>
    </w:rPr>
  </w:style>
  <w:style w:type="character" w:customStyle="1" w:styleId="FooterChar">
    <w:name w:val="Footer Char"/>
    <w:basedOn w:val="Fuentedeprrafopredeter"/>
    <w:uiPriority w:val="99"/>
    <w:rsid w:val="00F35596"/>
    <w:rPr>
      <w:rFonts w:ascii="Garamond" w:hAnsi="Garamond"/>
      <w:lang w:val="es-ES"/>
    </w:rPr>
  </w:style>
  <w:style w:type="character" w:styleId="Textodelmarcadordeposicin">
    <w:name w:val="Placeholder Text"/>
    <w:basedOn w:val="Fuentedeprrafopredeter"/>
    <w:uiPriority w:val="99"/>
    <w:semiHidden/>
    <w:rsid w:val="00F35596"/>
    <w:rPr>
      <w:color w:val="808080"/>
    </w:rPr>
  </w:style>
  <w:style w:type="paragraph" w:styleId="Ttulo">
    <w:name w:val="Title"/>
    <w:basedOn w:val="Normal"/>
    <w:next w:val="Normal"/>
    <w:link w:val="TtuloCar"/>
    <w:uiPriority w:val="10"/>
    <w:qFormat/>
    <w:rsid w:val="00F35596"/>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F35596"/>
    <w:rPr>
      <w:rFonts w:ascii="Palatino Linotype" w:eastAsiaTheme="majorEastAsia" w:hAnsi="Palatino Linotype" w:cstheme="majorBidi"/>
      <w:b/>
      <w:iCs/>
      <w:caps/>
      <w:color w:val="5F2987"/>
      <w:spacing w:val="-4"/>
      <w:kern w:val="28"/>
      <w:sz w:val="24"/>
      <w:szCs w:val="56"/>
      <w:lang w:eastAsia="en-US"/>
    </w:rPr>
  </w:style>
  <w:style w:type="character" w:customStyle="1" w:styleId="TitleChar">
    <w:name w:val="Title Char"/>
    <w:basedOn w:val="Fuentedeprrafopredeter"/>
    <w:uiPriority w:val="10"/>
    <w:rsid w:val="00F35596"/>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F35596"/>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F35596"/>
    <w:pPr>
      <w:numPr>
        <w:ilvl w:val="1"/>
        <w:numId w:val="17"/>
      </w:numPr>
      <w:spacing w:after="100"/>
      <w:ind w:left="1049" w:hanging="198"/>
      <w:contextualSpacing/>
    </w:pPr>
  </w:style>
  <w:style w:type="character" w:customStyle="1" w:styleId="Heading2Char">
    <w:name w:val="Heading 2 Char"/>
    <w:basedOn w:val="Fuentedeprrafopredeter"/>
    <w:uiPriority w:val="9"/>
    <w:rsid w:val="00F35596"/>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F35596"/>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F35596"/>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F35596"/>
    <w:pPr>
      <w:keepNext/>
      <w:tabs>
        <w:tab w:val="left" w:pos="482"/>
      </w:tabs>
      <w:spacing w:after="0" w:line="204" w:lineRule="auto"/>
      <w:ind w:left="198"/>
      <w:contextualSpacing/>
      <w:jc w:val="left"/>
    </w:pPr>
    <w:rPr>
      <w:i/>
      <w:noProof/>
      <w:color w:val="7030A0"/>
      <w:sz w:val="18"/>
    </w:rPr>
  </w:style>
  <w:style w:type="character" w:customStyle="1" w:styleId="Heading3Char">
    <w:name w:val="Heading 3 Char"/>
    <w:basedOn w:val="Fuentedeprrafopredeter"/>
    <w:uiPriority w:val="9"/>
    <w:rsid w:val="00F35596"/>
    <w:rPr>
      <w:rFonts w:ascii="Garamond" w:hAnsi="Garamond"/>
      <w:i/>
      <w:iCs/>
      <w:color w:val="5F2987"/>
      <w:u w:val="single"/>
      <w:lang w:val="es-ES"/>
    </w:rPr>
  </w:style>
  <w:style w:type="paragraph" w:styleId="TDC3">
    <w:name w:val="toc 3"/>
    <w:basedOn w:val="Normal"/>
    <w:next w:val="FinTDC"/>
    <w:autoRedefine/>
    <w:uiPriority w:val="39"/>
    <w:unhideWhenUsed/>
    <w:rsid w:val="00F35596"/>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F35596"/>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F35596"/>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F35596"/>
    <w:rPr>
      <w:color w:val="7F7F7F" w:themeColor="text1" w:themeTint="80"/>
      <w:sz w:val="16"/>
    </w:rPr>
  </w:style>
  <w:style w:type="character" w:customStyle="1" w:styleId="NocantarChar">
    <w:name w:val="No cantar Char"/>
    <w:basedOn w:val="Fuentedeprrafopredeter"/>
    <w:link w:val="Nocantar"/>
    <w:rsid w:val="00F35596"/>
    <w:rPr>
      <w:rFonts w:ascii="Palatino Linotype" w:eastAsiaTheme="minorHAnsi" w:hAnsi="Palatino Linotype" w:cstheme="minorBidi"/>
      <w:color w:val="7F7F7F" w:themeColor="text1" w:themeTint="80"/>
      <w:sz w:val="16"/>
      <w:szCs w:val="22"/>
      <w:lang w:eastAsia="en-US"/>
    </w:rPr>
  </w:style>
  <w:style w:type="paragraph" w:customStyle="1" w:styleId="Introduccinyconclusin">
    <w:name w:val="Introducción y conclusión"/>
    <w:basedOn w:val="Ttulo1"/>
    <w:next w:val="Normal"/>
    <w:link w:val="IntroduccinyconclusinChar"/>
    <w:qFormat/>
    <w:rsid w:val="00F35596"/>
    <w:pPr>
      <w:numPr>
        <w:numId w:val="0"/>
      </w:numPr>
      <w:ind w:firstLine="142"/>
    </w:pPr>
  </w:style>
  <w:style w:type="character" w:customStyle="1" w:styleId="IntroduccinyconclusinChar">
    <w:name w:val="Introducción y conclusión Char"/>
    <w:basedOn w:val="Ttulo1Car"/>
    <w:link w:val="Introduccinyconclusin"/>
    <w:rsid w:val="00F35596"/>
    <w:rPr>
      <w:rFonts w:ascii="Palatino Linotype" w:eastAsiaTheme="minorHAnsi" w:hAnsi="Palatino Linotype" w:cstheme="minorBidi"/>
      <w:b/>
      <w:bCs/>
      <w:caps/>
      <w:color w:val="E2EFD9" w:themeColor="accent6" w:themeTint="33"/>
      <w:sz w:val="22"/>
      <w:szCs w:val="22"/>
      <w:shd w:val="clear" w:color="auto" w:fill="5F2987"/>
      <w:lang w:eastAsia="en-US"/>
    </w:rPr>
  </w:style>
  <w:style w:type="numbering" w:customStyle="1" w:styleId="Lista1">
    <w:name w:val="Lista1"/>
    <w:basedOn w:val="Sinlista"/>
    <w:uiPriority w:val="99"/>
    <w:rsid w:val="00F35596"/>
    <w:pPr>
      <w:numPr>
        <w:numId w:val="23"/>
      </w:numPr>
    </w:pPr>
  </w:style>
  <w:style w:type="paragraph" w:customStyle="1" w:styleId="Nivel1">
    <w:name w:val="Nivel 1"/>
    <w:basedOn w:val="Normal"/>
    <w:qFormat/>
    <w:rsid w:val="00F35596"/>
    <w:pPr>
      <w:numPr>
        <w:numId w:val="17"/>
      </w:numPr>
      <w:spacing w:before="100" w:after="100"/>
      <w:ind w:left="623" w:hanging="198"/>
    </w:pPr>
  </w:style>
  <w:style w:type="paragraph" w:customStyle="1" w:styleId="Nivel3">
    <w:name w:val="Nivel 3"/>
    <w:basedOn w:val="Nivel2"/>
    <w:link w:val="Nivel3Car"/>
    <w:qFormat/>
    <w:rsid w:val="00F35596"/>
    <w:pPr>
      <w:numPr>
        <w:ilvl w:val="2"/>
      </w:numPr>
      <w:spacing w:after="0"/>
      <w:ind w:left="1474" w:hanging="198"/>
    </w:pPr>
  </w:style>
  <w:style w:type="paragraph" w:customStyle="1" w:styleId="Letra">
    <w:name w:val="Letra"/>
    <w:basedOn w:val="Nivel1"/>
    <w:qFormat/>
    <w:rsid w:val="00F35596"/>
    <w:pPr>
      <w:numPr>
        <w:numId w:val="25"/>
      </w:numPr>
      <w:spacing w:before="0" w:after="40"/>
      <w:ind w:left="936" w:hanging="227"/>
    </w:pPr>
  </w:style>
  <w:style w:type="paragraph" w:customStyle="1" w:styleId="Nmero">
    <w:name w:val="Número"/>
    <w:basedOn w:val="Normal"/>
    <w:qFormat/>
    <w:rsid w:val="00F35596"/>
    <w:pPr>
      <w:numPr>
        <w:numId w:val="26"/>
      </w:numPr>
      <w:spacing w:after="40"/>
      <w:ind w:left="936" w:hanging="227"/>
    </w:pPr>
  </w:style>
  <w:style w:type="character" w:customStyle="1" w:styleId="BalloonTextChar">
    <w:name w:val="Balloon Text Char"/>
    <w:basedOn w:val="Fuentedeprrafopredeter"/>
    <w:uiPriority w:val="99"/>
    <w:semiHidden/>
    <w:rsid w:val="00F35596"/>
    <w:rPr>
      <w:rFonts w:ascii="Segoe UI" w:hAnsi="Segoe UI" w:cs="Segoe UI"/>
      <w:sz w:val="18"/>
      <w:szCs w:val="18"/>
      <w:lang w:val="es-ES"/>
    </w:rPr>
  </w:style>
  <w:style w:type="paragraph" w:customStyle="1" w:styleId="Notaalopositor">
    <w:name w:val="Nota al opositor"/>
    <w:basedOn w:val="Normal"/>
    <w:link w:val="NotaalopositorChar"/>
    <w:qFormat/>
    <w:rsid w:val="00F35596"/>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F35596"/>
    <w:rPr>
      <w:rFonts w:ascii="Palatino Linotype" w:eastAsiaTheme="minorHAnsi" w:hAnsi="Palatino Linotype" w:cstheme="minorBidi"/>
      <w:color w:val="FF0000"/>
      <w:sz w:val="18"/>
      <w:szCs w:val="22"/>
      <w:shd w:val="solid" w:color="FFF2CC" w:themeColor="accent4" w:themeTint="33" w:fill="auto"/>
      <w:lang w:eastAsia="en-US"/>
    </w:rPr>
  </w:style>
  <w:style w:type="character" w:customStyle="1" w:styleId="FootnoteTextChar">
    <w:name w:val="Footnote Text Char"/>
    <w:aliases w:val="Nota a pie de página Char"/>
    <w:basedOn w:val="Fuentedeprrafopredeter"/>
    <w:uiPriority w:val="99"/>
    <w:rsid w:val="00F35596"/>
    <w:rPr>
      <w:rFonts w:ascii="Garamond" w:hAnsi="Garamond"/>
      <w:sz w:val="16"/>
      <w:szCs w:val="20"/>
      <w:lang w:val="es-ES"/>
    </w:rPr>
  </w:style>
  <w:style w:type="character" w:customStyle="1" w:styleId="Heading6Char">
    <w:name w:val="Heading 6 Char"/>
    <w:basedOn w:val="Fuentedeprrafopredeter"/>
    <w:uiPriority w:val="9"/>
    <w:semiHidden/>
    <w:rsid w:val="00F35596"/>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F35596"/>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F35596"/>
    <w:rPr>
      <w:rFonts w:ascii="Palatino Linotype" w:eastAsiaTheme="minorEastAsia" w:hAnsi="Palatino Linotype" w:cstheme="minorBidi"/>
      <w:smallCaps/>
      <w:color w:val="5A5A5A" w:themeColor="text1" w:themeTint="A5"/>
      <w:sz w:val="22"/>
      <w:szCs w:val="22"/>
      <w:lang w:eastAsia="en-US"/>
    </w:rPr>
  </w:style>
  <w:style w:type="character" w:customStyle="1" w:styleId="SubtitleChar">
    <w:name w:val="Subtitle Char"/>
    <w:basedOn w:val="Fuentedeprrafopredeter"/>
    <w:uiPriority w:val="11"/>
    <w:rsid w:val="00F35596"/>
    <w:rPr>
      <w:rFonts w:ascii="Garamond" w:eastAsiaTheme="minorEastAsia" w:hAnsi="Garamond"/>
      <w:smallCaps/>
      <w:color w:val="5A5A5A" w:themeColor="text1" w:themeTint="A5"/>
      <w:lang w:val="es-ES"/>
    </w:rPr>
  </w:style>
  <w:style w:type="paragraph" w:customStyle="1" w:styleId="Nivel1SM">
    <w:name w:val="Nivel 1 SM"/>
    <w:basedOn w:val="Nivel1"/>
    <w:qFormat/>
    <w:rsid w:val="00F35596"/>
    <w:pPr>
      <w:ind w:left="0"/>
    </w:pPr>
  </w:style>
  <w:style w:type="paragraph" w:customStyle="1" w:styleId="Nivel2SM">
    <w:name w:val="Nivel 2 SM"/>
    <w:basedOn w:val="Nivel2"/>
    <w:qFormat/>
    <w:rsid w:val="00F35596"/>
    <w:pPr>
      <w:ind w:left="567"/>
    </w:pPr>
  </w:style>
  <w:style w:type="paragraph" w:customStyle="1" w:styleId="Nivel3SM">
    <w:name w:val="Nivel 3 SM"/>
    <w:basedOn w:val="Nivel3"/>
    <w:qFormat/>
    <w:rsid w:val="00F35596"/>
    <w:pPr>
      <w:ind w:left="963"/>
    </w:pPr>
  </w:style>
  <w:style w:type="paragraph" w:styleId="Encabezadodelista">
    <w:name w:val="toa heading"/>
    <w:basedOn w:val="Normal"/>
    <w:next w:val="Normal"/>
    <w:uiPriority w:val="99"/>
    <w:unhideWhenUsed/>
    <w:rsid w:val="00F35596"/>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F35596"/>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F35596"/>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F35596"/>
    <w:rPr>
      <w:rFonts w:ascii="Palatino Linotype" w:eastAsiaTheme="minorHAnsi" w:hAnsi="Palatino Linotype" w:cstheme="minorBidi"/>
      <w:sz w:val="22"/>
      <w:szCs w:val="22"/>
      <w:shd w:val="clear" w:color="auto" w:fill="E7E6E6" w:themeFill="background2"/>
      <w:lang w:eastAsia="en-US"/>
    </w:rPr>
  </w:style>
  <w:style w:type="character" w:customStyle="1" w:styleId="TextodegloboCar">
    <w:name w:val="Texto de globo Car"/>
    <w:basedOn w:val="Fuentedeprrafopredeter"/>
    <w:link w:val="Textodeglobo"/>
    <w:uiPriority w:val="99"/>
    <w:semiHidden/>
    <w:rsid w:val="00F35596"/>
    <w:rPr>
      <w:rFonts w:ascii="Segoe UI" w:eastAsiaTheme="minorHAnsi" w:hAnsi="Segoe UI" w:cs="Segoe UI"/>
      <w:sz w:val="18"/>
      <w:szCs w:val="18"/>
      <w:lang w:eastAsia="en-US"/>
    </w:rPr>
  </w:style>
  <w:style w:type="character" w:styleId="Mencinsinresolver">
    <w:name w:val="Unresolved Mention"/>
    <w:basedOn w:val="Fuentedeprrafopredeter"/>
    <w:uiPriority w:val="99"/>
    <w:semiHidden/>
    <w:unhideWhenUsed/>
    <w:rsid w:val="00F35596"/>
    <w:rPr>
      <w:color w:val="605E5C"/>
      <w:shd w:val="clear" w:color="auto" w:fill="E1DFDD"/>
    </w:rPr>
  </w:style>
  <w:style w:type="paragraph" w:styleId="TDC5">
    <w:name w:val="toc 5"/>
    <w:basedOn w:val="Normal"/>
    <w:next w:val="FinTDC"/>
    <w:autoRedefine/>
    <w:uiPriority w:val="39"/>
    <w:unhideWhenUsed/>
    <w:rsid w:val="00F35596"/>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F35596"/>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F35596"/>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F35596"/>
    <w:rPr>
      <w:rFonts w:ascii="Palatino Linotype" w:eastAsiaTheme="minorHAnsi" w:hAnsi="Palatino Linotype" w:cstheme="minorBidi"/>
      <w:iCs/>
      <w:noProof/>
      <w:color w:val="171717" w:themeColor="background2" w:themeShade="1A"/>
      <w:lang w:eastAsia="en-US"/>
    </w:rPr>
  </w:style>
  <w:style w:type="paragraph" w:styleId="Bibliografa">
    <w:name w:val="Bibliography"/>
    <w:basedOn w:val="Normal"/>
    <w:next w:val="Normal"/>
    <w:uiPriority w:val="37"/>
    <w:unhideWhenUsed/>
    <w:rsid w:val="00F35596"/>
    <w:pPr>
      <w:spacing w:line="240" w:lineRule="auto"/>
      <w:ind w:left="567" w:hanging="567"/>
    </w:pPr>
  </w:style>
  <w:style w:type="paragraph" w:customStyle="1" w:styleId="Ttuloimagen">
    <w:name w:val="Título imagen"/>
    <w:basedOn w:val="PiedeImagen"/>
    <w:next w:val="Imagen"/>
    <w:link w:val="TtuloimagenCar"/>
    <w:qFormat/>
    <w:rsid w:val="00F35596"/>
    <w:pPr>
      <w:keepNext/>
      <w:spacing w:after="0"/>
    </w:pPr>
    <w:rPr>
      <w:i w:val="0"/>
      <w:smallCaps/>
      <w:sz w:val="20"/>
    </w:rPr>
  </w:style>
  <w:style w:type="character" w:customStyle="1" w:styleId="TtuloimagenCar">
    <w:name w:val="Título imagen Car"/>
    <w:basedOn w:val="ImagenCar"/>
    <w:link w:val="Ttuloimagen"/>
    <w:rsid w:val="00F35596"/>
    <w:rPr>
      <w:rFonts w:ascii="Palatino Linotype" w:eastAsiaTheme="minorHAnsi" w:hAnsi="Palatino Linotype" w:cstheme="minorBidi"/>
      <w:iCs w:val="0"/>
      <w:smallCaps/>
      <w:noProof/>
      <w:color w:val="3B3838" w:themeColor="background2" w:themeShade="40"/>
      <w:lang w:eastAsia="en-US"/>
    </w:rPr>
  </w:style>
  <w:style w:type="paragraph" w:styleId="TDC6">
    <w:name w:val="toc 6"/>
    <w:basedOn w:val="TDC5"/>
    <w:next w:val="FinTDC"/>
    <w:autoRedefine/>
    <w:uiPriority w:val="39"/>
    <w:unhideWhenUsed/>
    <w:rsid w:val="00F35596"/>
    <w:pPr>
      <w:ind w:left="1100"/>
    </w:pPr>
  </w:style>
  <w:style w:type="paragraph" w:styleId="Sinespaciado">
    <w:name w:val="No Spacing"/>
    <w:link w:val="SinespaciadoCar"/>
    <w:uiPriority w:val="1"/>
    <w:qFormat/>
    <w:rsid w:val="00F35596"/>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F35596"/>
    <w:rPr>
      <w:rFonts w:asciiTheme="minorHAnsi" w:eastAsiaTheme="minorEastAsia" w:hAnsiTheme="minorHAnsi" w:cstheme="minorBidi"/>
      <w:sz w:val="22"/>
      <w:szCs w:val="22"/>
    </w:rPr>
  </w:style>
  <w:style w:type="paragraph" w:customStyle="1" w:styleId="Nmeroromano">
    <w:name w:val="Número romano"/>
    <w:basedOn w:val="Prrafodelista"/>
    <w:qFormat/>
    <w:rsid w:val="00F35596"/>
    <w:pPr>
      <w:numPr>
        <w:numId w:val="44"/>
      </w:numPr>
      <w:spacing w:after="100"/>
      <w:ind w:left="567" w:hanging="113"/>
    </w:pPr>
  </w:style>
  <w:style w:type="paragraph" w:customStyle="1" w:styleId="Saltodettulos">
    <w:name w:val="Salto de títulos"/>
    <w:basedOn w:val="Normal"/>
    <w:rsid w:val="00F35596"/>
    <w:pPr>
      <w:spacing w:after="0" w:line="240" w:lineRule="auto"/>
    </w:pPr>
    <w:rPr>
      <w:color w:val="FFFFFF"/>
      <w:sz w:val="2"/>
    </w:rPr>
  </w:style>
  <w:style w:type="paragraph" w:styleId="TDC7">
    <w:name w:val="toc 7"/>
    <w:basedOn w:val="Normal"/>
    <w:next w:val="FinTDC"/>
    <w:autoRedefine/>
    <w:uiPriority w:val="39"/>
    <w:unhideWhenUsed/>
    <w:rsid w:val="00F35596"/>
    <w:pPr>
      <w:spacing w:after="0" w:line="20" w:lineRule="atLeast"/>
      <w:ind w:left="1418"/>
      <w:jc w:val="left"/>
    </w:pPr>
    <w:rPr>
      <w:i/>
      <w:color w:val="5F2987"/>
      <w:sz w:val="12"/>
    </w:rPr>
  </w:style>
  <w:style w:type="paragraph" w:customStyle="1" w:styleId="FinTDC">
    <w:name w:val="FinTDC"/>
    <w:basedOn w:val="Nivel1"/>
    <w:qFormat/>
    <w:rsid w:val="00F35596"/>
    <w:pPr>
      <w:numPr>
        <w:numId w:val="0"/>
      </w:numPr>
      <w:spacing w:before="0" w:after="0" w:line="240" w:lineRule="auto"/>
      <w:jc w:val="center"/>
    </w:pPr>
    <w:rPr>
      <w:vanish/>
      <w:sz w:val="2"/>
    </w:rPr>
  </w:style>
  <w:style w:type="paragraph" w:styleId="TDC8">
    <w:name w:val="toc 8"/>
    <w:basedOn w:val="Normal"/>
    <w:next w:val="FinTDC"/>
    <w:autoRedefine/>
    <w:uiPriority w:val="39"/>
    <w:unhideWhenUsed/>
    <w:rsid w:val="00F35596"/>
    <w:pPr>
      <w:spacing w:after="0" w:line="240" w:lineRule="auto"/>
      <w:jc w:val="left"/>
    </w:pPr>
    <w:rPr>
      <w:sz w:val="15"/>
    </w:rPr>
  </w:style>
  <w:style w:type="paragraph" w:styleId="TDC9">
    <w:name w:val="toc 9"/>
    <w:basedOn w:val="TDC8"/>
    <w:next w:val="FinTDC"/>
    <w:autoRedefine/>
    <w:uiPriority w:val="39"/>
    <w:unhideWhenUsed/>
    <w:rsid w:val="00F35596"/>
    <w:pPr>
      <w:ind w:left="1760"/>
    </w:pPr>
  </w:style>
  <w:style w:type="paragraph" w:customStyle="1" w:styleId="Apartado0">
    <w:name w:val="Apartado 0"/>
    <w:basedOn w:val="Ttulo1"/>
    <w:next w:val="Normal"/>
    <w:link w:val="Apartado0Car"/>
    <w:qFormat/>
    <w:rsid w:val="00F35596"/>
    <w:pPr>
      <w:numPr>
        <w:numId w:val="43"/>
      </w:numPr>
      <w:ind w:left="357" w:hanging="357"/>
    </w:pPr>
  </w:style>
  <w:style w:type="character" w:customStyle="1" w:styleId="Apartado0Car">
    <w:name w:val="Apartado 0 Car"/>
    <w:basedOn w:val="Ttulo1Car"/>
    <w:link w:val="Apartado0"/>
    <w:rsid w:val="00F35596"/>
    <w:rPr>
      <w:rFonts w:ascii="Palatino Linotype" w:eastAsiaTheme="minorHAnsi" w:hAnsi="Palatino Linotype" w:cstheme="minorBidi"/>
      <w:b/>
      <w:bCs/>
      <w:caps/>
      <w:color w:val="E2EFD9" w:themeColor="accent6" w:themeTint="33"/>
      <w:sz w:val="22"/>
      <w:szCs w:val="22"/>
      <w:shd w:val="clear" w:color="auto" w:fill="5F2987"/>
      <w:lang w:eastAsia="en-US"/>
    </w:rPr>
  </w:style>
  <w:style w:type="paragraph" w:customStyle="1" w:styleId="Nivel4">
    <w:name w:val="Nivel 4"/>
    <w:basedOn w:val="Nivel3"/>
    <w:link w:val="Nivel4Car"/>
    <w:qFormat/>
    <w:rsid w:val="00F35596"/>
    <w:pPr>
      <w:numPr>
        <w:ilvl w:val="3"/>
      </w:numPr>
      <w:ind w:left="1899" w:hanging="198"/>
    </w:pPr>
  </w:style>
  <w:style w:type="paragraph" w:customStyle="1" w:styleId="Nivel5">
    <w:name w:val="Nivel 5"/>
    <w:basedOn w:val="Nivel4"/>
    <w:link w:val="Nivel5Car"/>
    <w:qFormat/>
    <w:rsid w:val="00F35596"/>
    <w:pPr>
      <w:numPr>
        <w:ilvl w:val="4"/>
      </w:numPr>
      <w:ind w:left="2155" w:hanging="170"/>
    </w:pPr>
  </w:style>
  <w:style w:type="character" w:customStyle="1" w:styleId="Nivel2Car">
    <w:name w:val="Nivel 2 Car"/>
    <w:basedOn w:val="Fuentedeprrafopredeter"/>
    <w:link w:val="Nivel2"/>
    <w:rsid w:val="00F35596"/>
    <w:rPr>
      <w:rFonts w:ascii="Palatino Linotype" w:eastAsiaTheme="minorHAnsi" w:hAnsi="Palatino Linotype" w:cstheme="minorBidi"/>
      <w:sz w:val="22"/>
      <w:szCs w:val="22"/>
      <w:lang w:eastAsia="en-US"/>
    </w:rPr>
  </w:style>
  <w:style w:type="character" w:customStyle="1" w:styleId="Nivel3Car">
    <w:name w:val="Nivel 3 Car"/>
    <w:basedOn w:val="Nivel2Car"/>
    <w:link w:val="Nivel3"/>
    <w:rsid w:val="00F35596"/>
    <w:rPr>
      <w:rFonts w:ascii="Palatino Linotype" w:eastAsiaTheme="minorHAnsi" w:hAnsi="Palatino Linotype" w:cstheme="minorBidi"/>
      <w:sz w:val="22"/>
      <w:szCs w:val="22"/>
      <w:lang w:eastAsia="en-US"/>
    </w:rPr>
  </w:style>
  <w:style w:type="character" w:customStyle="1" w:styleId="Nivel4Car">
    <w:name w:val="Nivel 4 Car"/>
    <w:basedOn w:val="Nivel3Car"/>
    <w:link w:val="Nivel4"/>
    <w:rsid w:val="00F35596"/>
    <w:rPr>
      <w:rFonts w:ascii="Palatino Linotype" w:eastAsiaTheme="minorHAnsi" w:hAnsi="Palatino Linotype" w:cstheme="minorBidi"/>
      <w:sz w:val="22"/>
      <w:szCs w:val="22"/>
      <w:lang w:eastAsia="en-US"/>
    </w:rPr>
  </w:style>
  <w:style w:type="paragraph" w:customStyle="1" w:styleId="Nivel6">
    <w:name w:val="Nivel 6"/>
    <w:basedOn w:val="Nivel5"/>
    <w:link w:val="Nivel6Car"/>
    <w:qFormat/>
    <w:rsid w:val="00F35596"/>
    <w:pPr>
      <w:numPr>
        <w:ilvl w:val="5"/>
      </w:numPr>
      <w:ind w:left="2438" w:hanging="227"/>
    </w:pPr>
  </w:style>
  <w:style w:type="character" w:customStyle="1" w:styleId="Nivel5Car">
    <w:name w:val="Nivel 5 Car"/>
    <w:basedOn w:val="Nivel4Car"/>
    <w:link w:val="Nivel5"/>
    <w:rsid w:val="00F35596"/>
    <w:rPr>
      <w:rFonts w:ascii="Palatino Linotype" w:eastAsiaTheme="minorHAnsi" w:hAnsi="Palatino Linotype" w:cstheme="minorBidi"/>
      <w:sz w:val="22"/>
      <w:szCs w:val="22"/>
      <w:lang w:eastAsia="en-US"/>
    </w:rPr>
  </w:style>
  <w:style w:type="paragraph" w:customStyle="1" w:styleId="Nivel7">
    <w:name w:val="Nivel 7"/>
    <w:basedOn w:val="Nivel5"/>
    <w:link w:val="Nivel7Car"/>
    <w:qFormat/>
    <w:rsid w:val="00F35596"/>
    <w:pPr>
      <w:numPr>
        <w:ilvl w:val="6"/>
      </w:numPr>
      <w:ind w:left="2722" w:hanging="170"/>
    </w:pPr>
  </w:style>
  <w:style w:type="character" w:customStyle="1" w:styleId="Nivel6Car">
    <w:name w:val="Nivel 6 Car"/>
    <w:basedOn w:val="Nivel5Car"/>
    <w:link w:val="Nivel6"/>
    <w:rsid w:val="00F35596"/>
    <w:rPr>
      <w:rFonts w:ascii="Palatino Linotype" w:eastAsiaTheme="minorHAnsi" w:hAnsi="Palatino Linotype" w:cstheme="minorBidi"/>
      <w:sz w:val="22"/>
      <w:szCs w:val="22"/>
      <w:lang w:eastAsia="en-US"/>
    </w:rPr>
  </w:style>
  <w:style w:type="character" w:customStyle="1" w:styleId="Nivel7Car">
    <w:name w:val="Nivel 7 Car"/>
    <w:basedOn w:val="Nivel5Car"/>
    <w:link w:val="Nivel7"/>
    <w:rsid w:val="00F35596"/>
    <w:rPr>
      <w:rFonts w:ascii="Palatino Linotype" w:eastAsiaTheme="minorHAnsi" w:hAnsi="Palatino Linotype" w:cstheme="minorBidi"/>
      <w:sz w:val="22"/>
      <w:szCs w:val="22"/>
      <w:lang w:eastAsia="en-US"/>
    </w:rPr>
  </w:style>
  <w:style w:type="paragraph" w:styleId="Descripcin">
    <w:name w:val="caption"/>
    <w:basedOn w:val="Normal"/>
    <w:next w:val="Normal"/>
    <w:uiPriority w:val="35"/>
    <w:unhideWhenUsed/>
    <w:qFormat/>
    <w:rsid w:val="00F35596"/>
    <w:pPr>
      <w:spacing w:after="200" w:line="240" w:lineRule="auto"/>
    </w:pPr>
    <w:rPr>
      <w:i/>
      <w:iCs/>
      <w:color w:val="44546A" w:themeColor="text2"/>
      <w:sz w:val="18"/>
      <w:szCs w:val="18"/>
    </w:rPr>
  </w:style>
  <w:style w:type="paragraph" w:customStyle="1" w:styleId="Ttulo10">
    <w:name w:val="Título 10"/>
    <w:basedOn w:val="Ttulo9"/>
    <w:link w:val="Ttulo10Car"/>
    <w:qFormat/>
    <w:rsid w:val="00F35596"/>
    <w:pPr>
      <w:ind w:left="1276"/>
    </w:pPr>
    <w:rPr>
      <w:w w:val="97"/>
    </w:rPr>
  </w:style>
  <w:style w:type="character" w:customStyle="1" w:styleId="Ttulo10Car">
    <w:name w:val="Título 10 Car"/>
    <w:basedOn w:val="Ttulo9Car"/>
    <w:link w:val="Ttulo10"/>
    <w:rsid w:val="00F35596"/>
    <w:rPr>
      <w:rFonts w:ascii="Palatino Linotype" w:eastAsiaTheme="majorEastAsia" w:hAnsi="Palatino Linotype" w:cstheme="majorBidi"/>
      <w:i/>
      <w:color w:val="240F33"/>
      <w:spacing w:val="-4"/>
      <w:w w:val="97"/>
      <w:sz w:val="21"/>
      <w:szCs w:val="21"/>
      <w:u w:val="dotted"/>
      <w:lang w:eastAsia="en-US"/>
    </w:rPr>
  </w:style>
  <w:style w:type="paragraph" w:customStyle="1" w:styleId="Comentario">
    <w:name w:val="Comentario"/>
    <w:basedOn w:val="Notaalopositor"/>
    <w:qFormat/>
    <w:rsid w:val="00F35596"/>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F35596"/>
    <w:pPr>
      <w:numPr>
        <w:ilvl w:val="7"/>
      </w:numPr>
      <w:ind w:left="3005" w:hanging="170"/>
    </w:pPr>
  </w:style>
  <w:style w:type="character" w:customStyle="1" w:styleId="Nivel8Car">
    <w:name w:val="Nivel 8 Car"/>
    <w:basedOn w:val="Nivel7Car"/>
    <w:link w:val="Nivel8"/>
    <w:rsid w:val="00F35596"/>
    <w:rPr>
      <w:rFonts w:ascii="Palatino Linotype" w:eastAsiaTheme="minorHAnsi" w:hAnsi="Palatino Linotype" w:cstheme="minorBidi"/>
      <w:sz w:val="22"/>
      <w:szCs w:val="22"/>
      <w:lang w:eastAsia="en-US"/>
    </w:rPr>
  </w:style>
  <w:style w:type="paragraph" w:customStyle="1" w:styleId="Advertencia">
    <w:name w:val="Advertencia"/>
    <w:basedOn w:val="Normal"/>
    <w:next w:val="Normal"/>
    <w:link w:val="AdvertenciaCar"/>
    <w:qFormat/>
    <w:rsid w:val="00F35596"/>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F35596"/>
    <w:rPr>
      <w:rFonts w:ascii="Palatino Linotype" w:eastAsiaTheme="minorHAnsi" w:hAnsi="Palatino Linotype" w:cstheme="minorBidi"/>
      <w:color w:val="C00000"/>
      <w:sz w:val="22"/>
      <w:szCs w:val="22"/>
      <w:shd w:val="clear" w:color="auto" w:fill="FBE4D5" w:themeFill="accent2" w:themeFillTint="33"/>
      <w:lang w:eastAsia="en-US"/>
    </w:rPr>
  </w:style>
  <w:style w:type="paragraph" w:styleId="Textonotaalfinal">
    <w:name w:val="endnote text"/>
    <w:basedOn w:val="Normal"/>
    <w:link w:val="TextonotaalfinalCar"/>
    <w:uiPriority w:val="99"/>
    <w:unhideWhenUsed/>
    <w:rsid w:val="00F35596"/>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F35596"/>
    <w:rPr>
      <w:rFonts w:ascii="Palatino Linotype" w:eastAsiaTheme="minorHAnsi" w:hAnsi="Palatino Linotype" w:cstheme="minorBidi"/>
      <w:lang w:eastAsia="en-US"/>
    </w:rPr>
  </w:style>
  <w:style w:type="character" w:styleId="Refdenotaalfinal">
    <w:name w:val="endnote reference"/>
    <w:basedOn w:val="Fuentedeprrafopredeter"/>
    <w:uiPriority w:val="99"/>
    <w:unhideWhenUsed/>
    <w:rsid w:val="00F35596"/>
    <w:rPr>
      <w:vertAlign w:val="superscript"/>
    </w:rPr>
  </w:style>
  <w:style w:type="character" w:styleId="Hipervnculovisitado">
    <w:name w:val="FollowedHyperlink"/>
    <w:basedOn w:val="Fuentedeprrafopredeter"/>
    <w:rsid w:val="00C00C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336365">
      <w:bodyDiv w:val="1"/>
      <w:marLeft w:val="0"/>
      <w:marRight w:val="0"/>
      <w:marTop w:val="0"/>
      <w:marBottom w:val="0"/>
      <w:divBdr>
        <w:top w:val="none" w:sz="0" w:space="0" w:color="auto"/>
        <w:left w:val="none" w:sz="0" w:space="0" w:color="auto"/>
        <w:bottom w:val="none" w:sz="0" w:space="0" w:color="auto"/>
        <w:right w:val="none" w:sz="0" w:space="0" w:color="auto"/>
      </w:divBdr>
      <w:divsChild>
        <w:div w:id="1873034288">
          <w:marLeft w:val="0"/>
          <w:marRight w:val="0"/>
          <w:marTop w:val="0"/>
          <w:marBottom w:val="0"/>
          <w:divBdr>
            <w:top w:val="none" w:sz="0" w:space="0" w:color="auto"/>
            <w:left w:val="none" w:sz="0" w:space="0" w:color="auto"/>
            <w:bottom w:val="none" w:sz="0" w:space="0" w:color="auto"/>
            <w:right w:val="none" w:sz="0" w:space="0" w:color="auto"/>
          </w:divBdr>
          <w:divsChild>
            <w:div w:id="77334631">
              <w:marLeft w:val="0"/>
              <w:marRight w:val="0"/>
              <w:marTop w:val="0"/>
              <w:marBottom w:val="0"/>
              <w:divBdr>
                <w:top w:val="none" w:sz="0" w:space="0" w:color="auto"/>
                <w:left w:val="none" w:sz="0" w:space="0" w:color="auto"/>
                <w:bottom w:val="none" w:sz="0" w:space="0" w:color="auto"/>
                <w:right w:val="none" w:sz="0" w:space="0" w:color="auto"/>
              </w:divBdr>
              <w:divsChild>
                <w:div w:id="1558008564">
                  <w:marLeft w:val="0"/>
                  <w:marRight w:val="0"/>
                  <w:marTop w:val="0"/>
                  <w:marBottom w:val="0"/>
                  <w:divBdr>
                    <w:top w:val="none" w:sz="0" w:space="0" w:color="auto"/>
                    <w:left w:val="none" w:sz="0" w:space="0" w:color="auto"/>
                    <w:bottom w:val="none" w:sz="0" w:space="0" w:color="auto"/>
                    <w:right w:val="none" w:sz="0" w:space="0" w:color="auto"/>
                  </w:divBdr>
                  <w:divsChild>
                    <w:div w:id="322316770">
                      <w:marLeft w:val="0"/>
                      <w:marRight w:val="0"/>
                      <w:marTop w:val="0"/>
                      <w:marBottom w:val="0"/>
                      <w:divBdr>
                        <w:top w:val="none" w:sz="0" w:space="0" w:color="auto"/>
                        <w:left w:val="none" w:sz="0" w:space="0" w:color="auto"/>
                        <w:bottom w:val="none" w:sz="0" w:space="0" w:color="auto"/>
                        <w:right w:val="none" w:sz="0" w:space="0" w:color="auto"/>
                      </w:divBdr>
                      <w:divsChild>
                        <w:div w:id="1506166112">
                          <w:marLeft w:val="960"/>
                          <w:marRight w:val="96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74523372">
      <w:bodyDiv w:val="1"/>
      <w:marLeft w:val="0"/>
      <w:marRight w:val="0"/>
      <w:marTop w:val="0"/>
      <w:marBottom w:val="0"/>
      <w:divBdr>
        <w:top w:val="none" w:sz="0" w:space="0" w:color="auto"/>
        <w:left w:val="none" w:sz="0" w:space="0" w:color="auto"/>
        <w:bottom w:val="none" w:sz="0" w:space="0" w:color="auto"/>
        <w:right w:val="none" w:sz="0" w:space="0" w:color="auto"/>
      </w:divBdr>
    </w:div>
    <w:div w:id="1095439855">
      <w:bodyDiv w:val="1"/>
      <w:marLeft w:val="0"/>
      <w:marRight w:val="0"/>
      <w:marTop w:val="0"/>
      <w:marBottom w:val="0"/>
      <w:divBdr>
        <w:top w:val="none" w:sz="0" w:space="0" w:color="auto"/>
        <w:left w:val="none" w:sz="0" w:space="0" w:color="auto"/>
        <w:bottom w:val="none" w:sz="0" w:space="0" w:color="auto"/>
        <w:right w:val="none" w:sz="0" w:space="0" w:color="auto"/>
      </w:divBdr>
      <w:divsChild>
        <w:div w:id="2128814791">
          <w:marLeft w:val="0"/>
          <w:marRight w:val="0"/>
          <w:marTop w:val="0"/>
          <w:marBottom w:val="0"/>
          <w:divBdr>
            <w:top w:val="none" w:sz="0" w:space="0" w:color="auto"/>
            <w:left w:val="none" w:sz="0" w:space="0" w:color="auto"/>
            <w:bottom w:val="none" w:sz="0" w:space="0" w:color="auto"/>
            <w:right w:val="none" w:sz="0" w:space="0" w:color="auto"/>
          </w:divBdr>
          <w:divsChild>
            <w:div w:id="1579438479">
              <w:marLeft w:val="0"/>
              <w:marRight w:val="0"/>
              <w:marTop w:val="0"/>
              <w:marBottom w:val="0"/>
              <w:divBdr>
                <w:top w:val="none" w:sz="0" w:space="0" w:color="auto"/>
                <w:left w:val="none" w:sz="0" w:space="0" w:color="auto"/>
                <w:bottom w:val="none" w:sz="0" w:space="0" w:color="auto"/>
                <w:right w:val="none" w:sz="0" w:space="0" w:color="auto"/>
              </w:divBdr>
              <w:divsChild>
                <w:div w:id="834565377">
                  <w:marLeft w:val="0"/>
                  <w:marRight w:val="0"/>
                  <w:marTop w:val="0"/>
                  <w:marBottom w:val="0"/>
                  <w:divBdr>
                    <w:top w:val="none" w:sz="0" w:space="0" w:color="auto"/>
                    <w:left w:val="none" w:sz="0" w:space="0" w:color="auto"/>
                    <w:bottom w:val="none" w:sz="0" w:space="0" w:color="auto"/>
                    <w:right w:val="none" w:sz="0" w:space="0" w:color="auto"/>
                  </w:divBdr>
                  <w:divsChild>
                    <w:div w:id="12740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458492">
      <w:bodyDiv w:val="1"/>
      <w:marLeft w:val="0"/>
      <w:marRight w:val="0"/>
      <w:marTop w:val="0"/>
      <w:marBottom w:val="0"/>
      <w:divBdr>
        <w:top w:val="none" w:sz="0" w:space="0" w:color="auto"/>
        <w:left w:val="none" w:sz="0" w:space="0" w:color="auto"/>
        <w:bottom w:val="none" w:sz="0" w:space="0" w:color="auto"/>
        <w:right w:val="none" w:sz="0" w:space="0" w:color="auto"/>
      </w:divBdr>
    </w:div>
    <w:div w:id="1699312443">
      <w:bodyDiv w:val="1"/>
      <w:marLeft w:val="0"/>
      <w:marRight w:val="0"/>
      <w:marTop w:val="0"/>
      <w:marBottom w:val="0"/>
      <w:divBdr>
        <w:top w:val="none" w:sz="0" w:space="0" w:color="auto"/>
        <w:left w:val="none" w:sz="0" w:space="0" w:color="auto"/>
        <w:bottom w:val="none" w:sz="0" w:space="0" w:color="auto"/>
        <w:right w:val="none" w:sz="0" w:space="0" w:color="auto"/>
      </w:divBdr>
    </w:div>
    <w:div w:id="1700660857">
      <w:bodyDiv w:val="1"/>
      <w:marLeft w:val="0"/>
      <w:marRight w:val="0"/>
      <w:marTop w:val="0"/>
      <w:marBottom w:val="0"/>
      <w:divBdr>
        <w:top w:val="none" w:sz="0" w:space="0" w:color="auto"/>
        <w:left w:val="none" w:sz="0" w:space="0" w:color="auto"/>
        <w:bottom w:val="none" w:sz="0" w:space="0" w:color="auto"/>
        <w:right w:val="none" w:sz="0" w:space="0" w:color="auto"/>
      </w:divBdr>
      <w:divsChild>
        <w:div w:id="1389454489">
          <w:marLeft w:val="0"/>
          <w:marRight w:val="0"/>
          <w:marTop w:val="0"/>
          <w:marBottom w:val="0"/>
          <w:divBdr>
            <w:top w:val="none" w:sz="0" w:space="0" w:color="auto"/>
            <w:left w:val="none" w:sz="0" w:space="0" w:color="auto"/>
            <w:bottom w:val="none" w:sz="0" w:space="0" w:color="auto"/>
            <w:right w:val="none" w:sz="0" w:space="0" w:color="auto"/>
          </w:divBdr>
          <w:divsChild>
            <w:div w:id="1309629425">
              <w:marLeft w:val="0"/>
              <w:marRight w:val="0"/>
              <w:marTop w:val="0"/>
              <w:marBottom w:val="0"/>
              <w:divBdr>
                <w:top w:val="none" w:sz="0" w:space="0" w:color="auto"/>
                <w:left w:val="none" w:sz="0" w:space="0" w:color="auto"/>
                <w:bottom w:val="none" w:sz="0" w:space="0" w:color="auto"/>
                <w:right w:val="none" w:sz="0" w:space="0" w:color="auto"/>
              </w:divBdr>
              <w:divsChild>
                <w:div w:id="1478843824">
                  <w:marLeft w:val="0"/>
                  <w:marRight w:val="0"/>
                  <w:marTop w:val="0"/>
                  <w:marBottom w:val="0"/>
                  <w:divBdr>
                    <w:top w:val="none" w:sz="0" w:space="0" w:color="auto"/>
                    <w:left w:val="none" w:sz="0" w:space="0" w:color="auto"/>
                    <w:bottom w:val="none" w:sz="0" w:space="0" w:color="auto"/>
                    <w:right w:val="none" w:sz="0" w:space="0" w:color="auto"/>
                  </w:divBdr>
                  <w:divsChild>
                    <w:div w:id="2088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745040">
      <w:bodyDiv w:val="1"/>
      <w:marLeft w:val="0"/>
      <w:marRight w:val="0"/>
      <w:marTop w:val="0"/>
      <w:marBottom w:val="0"/>
      <w:divBdr>
        <w:top w:val="none" w:sz="0" w:space="0" w:color="auto"/>
        <w:left w:val="none" w:sz="0" w:space="0" w:color="auto"/>
        <w:bottom w:val="none" w:sz="0" w:space="0" w:color="auto"/>
        <w:right w:val="none" w:sz="0" w:space="0" w:color="auto"/>
      </w:divBdr>
    </w:div>
    <w:div w:id="1874616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sepg.pap.hacienda.gob.es/sitios/sepg/es-ES/Presupuestos/PGE/ProyectoPGE2023/Documents/LIBROAMARILLO2023.pdf" TargetMode="External"/><Relationship Id="rId18" Type="http://schemas.openxmlformats.org/officeDocument/2006/relationships/image" Target="media/image7.png"/><Relationship Id="rId26" Type="http://schemas.openxmlformats.org/officeDocument/2006/relationships/image" Target="media/image11.png"/><Relationship Id="rId39" Type="http://schemas.microsoft.com/office/2007/relationships/hdphoto" Target="media/hdphoto2.wdp"/><Relationship Id="rId21" Type="http://schemas.openxmlformats.org/officeDocument/2006/relationships/image" Target="media/image8.png"/><Relationship Id="rId34" Type="http://schemas.openxmlformats.org/officeDocument/2006/relationships/hyperlink" Target="https://ec.europa.eu/eurostat/statistics-explained/index.php/Government_expenditure_by_function_%E2%80%93_COFOG" TargetMode="External"/><Relationship Id="rId42" Type="http://schemas.openxmlformats.org/officeDocument/2006/relationships/hyperlink" Target="https://www.piie.com/blogs/realtime-economics/secular-stagnation-not-over" TargetMode="External"/><Relationship Id="rId47" Type="http://schemas.openxmlformats.org/officeDocument/2006/relationships/image" Target="media/image24.png"/><Relationship Id="rId50" Type="http://schemas.microsoft.com/office/2007/relationships/hdphoto" Target="media/hdphoto3.wdp"/><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sepg.pap.hacienda.gob.es/sitios/sepg/es-ES/Presupuestos/PGE/ProyectoPGE2023/Documents/LIBROSALMON2023.pdf" TargetMode="External"/><Relationship Id="rId29" Type="http://schemas.openxmlformats.org/officeDocument/2006/relationships/image" Target="media/image14.png"/><Relationship Id="rId11" Type="http://schemas.openxmlformats.org/officeDocument/2006/relationships/hyperlink" Target="https://www.sepg.pap.hacienda.gob.es/sitios/sepg/es-ES/Presupuestos/PGE/ProyectoPGE2023/Documents/LIBROSALMON2023.pdf" TargetMode="External"/><Relationship Id="rId24" Type="http://schemas.openxmlformats.org/officeDocument/2006/relationships/hyperlink" Target="https://www.boe.es/doue/2013/174/L00001-00727.pdf" TargetMode="External"/><Relationship Id="rId32" Type="http://schemas.openxmlformats.org/officeDocument/2006/relationships/image" Target="media/image16.png"/><Relationship Id="rId37" Type="http://schemas.openxmlformats.org/officeDocument/2006/relationships/image" Target="media/image19.png"/><Relationship Id="rId40" Type="http://schemas.openxmlformats.org/officeDocument/2006/relationships/image" Target="media/image21.png"/><Relationship Id="rId45" Type="http://schemas.openxmlformats.org/officeDocument/2006/relationships/hyperlink" Target="https://youtu.be/df5csVeBcrQ?t=1140" TargetMode="External"/><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www.europapress.es/economia/noticia-presupuestos-generales-estado-2023-politicas-dedicara-mas-gasto-cuales-menos-20221004180420.html" TargetMode="External"/><Relationship Id="rId14" Type="http://schemas.openxmlformats.org/officeDocument/2006/relationships/image" Target="media/image4.png"/><Relationship Id="rId22" Type="http://schemas.openxmlformats.org/officeDocument/2006/relationships/hyperlink" Target="https://www.europapress.es/economia/noticia-presupuestos-generales-estado-2023-politicas-dedicara-mas-gasto-cuales-menos-20221004180420.html"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8.png"/><Relationship Id="rId43" Type="http://schemas.openxmlformats.org/officeDocument/2006/relationships/hyperlink" Target="https://www.piie.com/events/summers-and-blanchard-debate-future-interest-rates" TargetMode="External"/><Relationship Id="rId48" Type="http://schemas.openxmlformats.org/officeDocument/2006/relationships/hyperlink" Target="https://data.oecd.org/gga/general-government-spending.htm" TargetMode="External"/><Relationship Id="rId56" Type="http://schemas.openxmlformats.org/officeDocument/2006/relationships/footer" Target="footer2.xml"/><Relationship Id="rId8" Type="http://schemas.openxmlformats.org/officeDocument/2006/relationships/hyperlink" Target="https://www.bde.es/f/webbde/SES/Secciones/Publicaciones/PublicacionesSeriadas/DocumentosOcasionales/22/Fich/do2217.pdf" TargetMode="External"/><Relationship Id="rId51" Type="http://schemas.openxmlformats.org/officeDocument/2006/relationships/image" Target="media/image26.emf"/><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0.png"/><Relationship Id="rId46" Type="http://schemas.openxmlformats.org/officeDocument/2006/relationships/image" Target="media/image23.png"/><Relationship Id="rId59" Type="http://schemas.openxmlformats.org/officeDocument/2006/relationships/fontTable" Target="fontTable.xml"/><Relationship Id="rId20" Type="http://schemas.openxmlformats.org/officeDocument/2006/relationships/hyperlink" Target="https://www.sepg.pap.hacienda.gob.es/sitios/sepg/es-ES/Presupuestos/PGE/ProyectoPGE2023/Documents/LIBROAMARILLO2023.pdf" TargetMode="External"/><Relationship Id="rId41" Type="http://schemas.openxmlformats.org/officeDocument/2006/relationships/image" Target="media/image22.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3.png"/><Relationship Id="rId36" Type="http://schemas.microsoft.com/office/2007/relationships/hdphoto" Target="media/hdphoto1.wdp"/><Relationship Id="rId49" Type="http://schemas.openxmlformats.org/officeDocument/2006/relationships/image" Target="media/image25.png"/><Relationship Id="rId57" Type="http://schemas.openxmlformats.org/officeDocument/2006/relationships/header" Target="header3.xml"/><Relationship Id="rId10" Type="http://schemas.openxmlformats.org/officeDocument/2006/relationships/image" Target="media/image2.png"/><Relationship Id="rId31" Type="http://schemas.openxmlformats.org/officeDocument/2006/relationships/hyperlink" Target="https://doi.org/10.1787/3d5c5d31-en" TargetMode="External"/><Relationship Id="rId44" Type="http://schemas.openxmlformats.org/officeDocument/2006/relationships/hyperlink" Target="https://youtu.be/df5csVeBcrQ?t=538" TargetMode="External"/><Relationship Id="rId52" Type="http://schemas.openxmlformats.org/officeDocument/2006/relationships/image" Target="media/image27.emf"/><Relationship Id="rId6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3" Type="http://schemas.openxmlformats.org/officeDocument/2006/relationships/hyperlink" Target="https://www.tcu.es/repositorio/563a0f7f-5f0f-4d18-8528-f3c49849485f/N44DasiElnuevomarconormativodelaContabilidadNacional.pdf" TargetMode="External"/><Relationship Id="rId2" Type="http://schemas.openxmlformats.org/officeDocument/2006/relationships/hyperlink" Target="https://www.sepg.pap.hacienda.gob.es/sitios/sepg/es-ES/Presupuestos/PGE/PGE2023/Paginas/Presupin.aspx" TargetMode="External"/><Relationship Id="rId1" Type="http://schemas.openxmlformats.org/officeDocument/2006/relationships/hyperlink" Target="https://www.sepg.pap.hacienda.gob.es/sitios/sepg/es-ES/Presupuestos/PGE/PGE2023/Paginas/PGE2023.asp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5CADD484FB4AA0ADBFD184F99D4D98"/>
        <w:category>
          <w:name w:val="General"/>
          <w:gallery w:val="placeholder"/>
        </w:category>
        <w:types>
          <w:type w:val="bbPlcHdr"/>
        </w:types>
        <w:behaviors>
          <w:behavior w:val="content"/>
        </w:behaviors>
        <w:guid w:val="{82E46C70-7F1D-48E0-86AE-E86752E43ED9}"/>
      </w:docPartPr>
      <w:docPartBody>
        <w:p w:rsidR="00661B66" w:rsidRDefault="00F33CF6" w:rsidP="00F33CF6">
          <w:pPr>
            <w:pStyle w:val="375CADD484FB4AA0ADBFD184F99D4D98"/>
          </w:pPr>
          <w:r w:rsidRPr="00722470">
            <w:rPr>
              <w:rStyle w:val="Textodelmarcadordeposicin"/>
            </w:rPr>
            <w:t>[Título]</w:t>
          </w:r>
        </w:p>
      </w:docPartBody>
    </w:docPart>
    <w:docPart>
      <w:docPartPr>
        <w:name w:val="790E9A66856B49AC9572A387D93F9C12"/>
        <w:category>
          <w:name w:val="General"/>
          <w:gallery w:val="placeholder"/>
        </w:category>
        <w:types>
          <w:type w:val="bbPlcHdr"/>
        </w:types>
        <w:behaviors>
          <w:behavior w:val="content"/>
        </w:behaviors>
        <w:guid w:val="{9C496FCD-ADCB-44BC-A964-61D733E935E8}"/>
      </w:docPartPr>
      <w:docPartBody>
        <w:p w:rsidR="00661B66" w:rsidRDefault="00F33CF6" w:rsidP="00F33CF6">
          <w:pPr>
            <w:pStyle w:val="790E9A66856B49AC9572A387D93F9C12"/>
          </w:pPr>
          <w:r w:rsidRPr="001B5103">
            <w:rPr>
              <w:rStyle w:val="Textodelmarcadordeposicin"/>
            </w:rPr>
            <w:t>[Title]</w:t>
          </w:r>
        </w:p>
      </w:docPartBody>
    </w:docPart>
    <w:docPart>
      <w:docPartPr>
        <w:name w:val="C3882E3CCB614C28954E7F3F1C55EF2E"/>
        <w:category>
          <w:name w:val="General"/>
          <w:gallery w:val="placeholder"/>
        </w:category>
        <w:types>
          <w:type w:val="bbPlcHdr"/>
        </w:types>
        <w:behaviors>
          <w:behavior w:val="content"/>
        </w:behaviors>
        <w:guid w:val="{F3F64230-5702-4F2D-B667-06AB9BA088DB}"/>
      </w:docPartPr>
      <w:docPartBody>
        <w:p w:rsidR="00661B66" w:rsidRDefault="00F33CF6" w:rsidP="00F33CF6">
          <w:pPr>
            <w:pStyle w:val="C3882E3CCB614C28954E7F3F1C55EF2E"/>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CF6"/>
    <w:rsid w:val="00085075"/>
    <w:rsid w:val="003A710D"/>
    <w:rsid w:val="004E10C9"/>
    <w:rsid w:val="005D7ADF"/>
    <w:rsid w:val="00661B66"/>
    <w:rsid w:val="006B4206"/>
    <w:rsid w:val="007934BC"/>
    <w:rsid w:val="00A75B17"/>
    <w:rsid w:val="00A85E5F"/>
    <w:rsid w:val="00AC0BCD"/>
    <w:rsid w:val="00AC25DC"/>
    <w:rsid w:val="00B27794"/>
    <w:rsid w:val="00B94BD2"/>
    <w:rsid w:val="00C26B7D"/>
    <w:rsid w:val="00C97910"/>
    <w:rsid w:val="00D4628E"/>
    <w:rsid w:val="00D72D96"/>
    <w:rsid w:val="00DF0D22"/>
    <w:rsid w:val="00E5471F"/>
    <w:rsid w:val="00F33CF6"/>
    <w:rsid w:val="00F8555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33CF6"/>
    <w:rPr>
      <w:color w:val="808080"/>
    </w:rPr>
  </w:style>
  <w:style w:type="paragraph" w:customStyle="1" w:styleId="375CADD484FB4AA0ADBFD184F99D4D98">
    <w:name w:val="375CADD484FB4AA0ADBFD184F99D4D98"/>
    <w:rsid w:val="00F33CF6"/>
  </w:style>
  <w:style w:type="paragraph" w:customStyle="1" w:styleId="790E9A66856B49AC9572A387D93F9C12">
    <w:name w:val="790E9A66856B49AC9572A387D93F9C12"/>
    <w:rsid w:val="00F33CF6"/>
  </w:style>
  <w:style w:type="paragraph" w:customStyle="1" w:styleId="C3882E3CCB614C28954E7F3F1C55EF2E">
    <w:name w:val="C3882E3CCB614C28954E7F3F1C55EF2E"/>
    <w:rsid w:val="00F33C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20AECF-A78A-4AE4-9F2B-11AE29987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temas.dotx</Template>
  <TotalTime>1408</TotalTime>
  <Pages>36</Pages>
  <Words>13808</Words>
  <Characters>75950</Characters>
  <Application>Microsoft Office Word</Application>
  <DocSecurity>0</DocSecurity>
  <Lines>632</Lines>
  <Paragraphs>179</Paragraphs>
  <ScaleCrop>false</ScaleCrop>
  <HeadingPairs>
    <vt:vector size="2" baseType="variant">
      <vt:variant>
        <vt:lpstr>Título</vt:lpstr>
      </vt:variant>
      <vt:variant>
        <vt:i4>1</vt:i4>
      </vt:variant>
    </vt:vector>
  </HeadingPairs>
  <TitlesOfParts>
    <vt:vector size="1" baseType="lpstr">
      <vt:lpstr>4.B.6</vt:lpstr>
    </vt:vector>
  </TitlesOfParts>
  <Company/>
  <LinksUpToDate>false</LinksUpToDate>
  <CharactersWithSpaces>89579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4.B.6</dc:title>
  <dc:subject>El gasto público. Causas de su crecimiento. El debate sobre el tamaño del sector público.</dc:subject>
  <dc:creator>Víctor Gutiérrez Marcos</dc:creator>
  <cp:keywords/>
  <cp:lastModifiedBy>Víctor Gutiérrez Marcos</cp:lastModifiedBy>
  <dcterms:created xsi:type="dcterms:W3CDTF">2023-09-21T08:02:00Z</dcterms:created>
  <dcterms:modified xsi:type="dcterms:W3CDTF">2026-01-15T23:34:00Z</dcterms:modified>
  <dc:description>© 2023 Víctor Gutiérrez Marcos · Licencia CC BY-NC-ND 4.0 (https://creativecommons.org/licenses/by-nc-nd/4.0/deed.es): puedes compartirlo citando al autor, sin fines comerciales y sin modificarlo.</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2023 Víctor Gutiérrez Marcos · CC BY-NC-ND 4.0</vt:lpwstr>
  </property>
  <property fmtid="{D5CDD505-2E9C-101B-9397-08002B2CF9AE}" pid="3" name="URL de la licencia">
    <vt:lpwstr>https://creativecommons.org/licenses/by-nc-nd/4.0/</vt:lpwstr>
  </property>
</Properties>
</file>