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32.png" ContentType="image/png"/>
  <Override PartName="/word/media/rId151.png" ContentType="image/png"/>
  <Override PartName="/word/media/rId143.png" ContentType="image/png"/>
  <Override PartName="/word/media/rId147.png" ContentType="image/png"/>
  <Override PartName="/word/media/rId56.png" ContentType="image/png"/>
  <Override PartName="/word/media/rId38.png" ContentType="image/png"/>
  <Override PartName="/word/media/rId49.png" ContentType="image/png"/>
  <Override PartName="/word/media/rId73.png" ContentType="image/png"/>
  <Override PartName="/word/media/rId22.png" ContentType="image/png"/>
  <Override PartName="/word/media/rId159.png" ContentType="image/png"/>
  <Override PartName="/word/media/rId66.png" ContentType="image/png"/>
  <Override PartName="/word/media/rId31.png" ContentType="image/png"/>
  <Override PartName="/word/media/rId11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1" w:name="introducció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I, 10′ (I.1, 2′; I.2, 5′; I.3, 3′); II, 5′ (II.1, 0′30″; II.2, 3′30″; II.3, 1′); III, 12′ (III.1, 2′30″; III.2, 3′30″;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9" w:name="X71f534b4cdd64c3c6c7a75da5470e7aafa576ae"/>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5" w:name="problemas-primal-y-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45"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3" w:name="b-modelo"/>
    <w:p>
      <w:pPr>
        <w:pStyle w:val="Heading4"/>
      </w:pPr>
      <w:r>
        <w:t xml:space="preserve">b) Modelo</w:t>
      </w:r>
    </w:p>
    <w:bookmarkStart w:id="29" w:name="i-supuestos"/>
    <w:p>
      <w:pPr>
        <w:pStyle w:val="Heading5"/>
      </w:pPr>
      <w:r>
        <w:t xml:space="preserve">i) Supuestos</w:t>
      </w:r>
    </w:p>
    <w:p>
      <w:pPr>
        <w:numPr>
          <w:ilvl w:val="0"/>
          <w:numId w:val="1018"/>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5" w:name="ii-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0"/>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9"/>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4"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2" name="Picture"/>
            <a:graphic>
              <a:graphicData uri="http://schemas.openxmlformats.org/drawingml/2006/picture">
                <pic:pic>
                  <pic:nvPicPr>
                    <pic:cNvPr descr="C:\Users\vgutierrez\Documents\src\victorgutierrezmarcos.github.io-revision\oposicion\temario\fuentes\3A09\graficos/primal.png" id="33" name="Picture"/>
                    <pic:cNvPicPr>
                      <a:picLocks noChangeArrowheads="1" noChangeAspect="1"/>
                    </pic:cNvPicPr>
                  </pic:nvPicPr>
                  <pic:blipFill>
                    <a:blip r:embed="rId31"/>
                    <a:stretch>
                      <a:fillRect/>
                    </a:stretch>
                  </pic:blipFill>
                  <pic:spPr bwMode="auto">
                    <a:xfrm>
                      <a:off x="0" y="0"/>
                      <a:ext cx="2688152" cy="2272238"/>
                    </a:xfrm>
                    <a:prstGeom prst="rect">
                      <a:avLst/>
                    </a:prstGeom>
                    <a:noFill/>
                    <a:ln w="9525">
                      <a:noFill/>
                      <a:headEnd/>
                      <a:tailEnd/>
                    </a:ln>
                  </pic:spPr>
                </pic:pic>
              </a:graphicData>
            </a:graphic>
          </wp:inline>
        </w:drawing>
      </w:r>
    </w:p>
    <w:bookmarkEnd w:id="34"/>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5"/>
    <w:bookmarkStart w:id="42" w:name="Xee0fe5705837d24383fbf47e6e89e518ec7c9c1"/>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36"/>
      </w:r>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37"/>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m:oMath>
        <m:r>
          <m:rPr>
            <m:sty m:val="p"/>
          </m:rPr>
          <m:t>◼</m:t>
        </m:r>
      </m:oMath>
    </w:p>
    <w:p>
      <w:pPr>
        <w:numPr>
          <w:ilvl w:val="2"/>
          <w:numId w:val="1024"/>
        </w:numPr>
      </w:pPr>
      <w:r>
        <w:rPr>
          <w:i/>
          <w:iCs/>
        </w:rPr>
        <w:t xml:space="preserve">Gráficamente</w:t>
      </w:r>
      <w:r>
        <w:t xml:space="preserve"> </w:t>
      </w:r>
      <w:r>
        <w:t xml:space="preserve">(gráfico 3):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41"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9" name="Picture"/>
            <a:graphic>
              <a:graphicData uri="http://schemas.openxmlformats.org/drawingml/2006/picture">
                <pic:pic>
                  <pic:nvPicPr>
                    <pic:cNvPr descr="C:\Users\vgutierrez\Documents\src\victorgutierrezmarcos.github.io-revision\oposicion\temario\fuentes\3A09\graficos/cuasiconvexidad-fiu.png" id="40" name="Picture"/>
                    <pic:cNvPicPr>
                      <a:picLocks noChangeArrowheads="1" noChangeAspect="1"/>
                    </pic:cNvPicPr>
                  </pic:nvPicPr>
                  <pic:blipFill>
                    <a:blip r:embed="rId38"/>
                    <a:stretch>
                      <a:fillRect/>
                    </a:stretch>
                  </pic:blipFill>
                  <pic:spPr bwMode="auto">
                    <a:xfrm>
                      <a:off x="0" y="0"/>
                      <a:ext cx="3581400" cy="2567681"/>
                    </a:xfrm>
                    <a:prstGeom prst="rect">
                      <a:avLst/>
                    </a:prstGeom>
                    <a:noFill/>
                    <a:ln w="9525">
                      <a:noFill/>
                      <a:headEnd/>
                      <a:tailEnd/>
                    </a:ln>
                  </pic:spPr>
                </pic:pic>
              </a:graphicData>
            </a:graphic>
          </wp:inline>
        </w:drawing>
      </w:r>
    </w:p>
    <w:bookmarkEnd w:id="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42"/>
    <w:bookmarkEnd w:id="43"/>
    <w:bookmarkStart w:id="44" w:name="c-valoració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4"/>
    <w:bookmarkEnd w:id="45"/>
    <w:bookmarkStart w:id="64" w:name="problema-dual-minimización-del-gasto"/>
    <w:p>
      <w:pPr>
        <w:pStyle w:val="Heading3"/>
      </w:pPr>
      <w:r>
        <w:t xml:space="preserve">I.2.2.</w:t>
      </w:r>
      <w:r>
        <w:t xml:space="preserve"> </w:t>
      </w:r>
      <w:r>
        <w:t xml:space="preserve">Problema dual: minimización del gasto</w:t>
      </w:r>
    </w:p>
    <w:bookmarkStart w:id="46" w:name="a-idea-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46"/>
    <w:bookmarkStart w:id="62" w:name="b-modelo-1"/>
    <w:p>
      <w:pPr>
        <w:pStyle w:val="Heading4"/>
      </w:pPr>
      <w:r>
        <w:t xml:space="preserve">b) Modelo</w:t>
      </w:r>
    </w:p>
    <w:bookmarkStart w:id="47" w:name="i-supuestos-1"/>
    <w:p>
      <w:pPr>
        <w:pStyle w:val="Heading5"/>
      </w:pPr>
      <w:r>
        <w:t xml:space="preserve">i) Supuestos</w:t>
      </w:r>
    </w:p>
    <w:p>
      <w:pPr>
        <w:numPr>
          <w:ilvl w:val="0"/>
          <w:numId w:val="1027"/>
        </w:numPr>
      </w:pPr>
      <w:r>
        <w:t xml:space="preserve">Son idénticos a los del primal: solo cambia la formulación del problema.</w:t>
      </w:r>
    </w:p>
    <w:bookmarkEnd w:id="47"/>
    <w:bookmarkStart w:id="53" w:name="ii-desarrollo-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8"/>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8"/>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52"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50" name="Picture"/>
            <a:graphic>
              <a:graphicData uri="http://schemas.openxmlformats.org/drawingml/2006/picture">
                <pic:pic>
                  <pic:nvPicPr>
                    <pic:cNvPr descr="C:\Users\vgutierrez\Documents\src\victorgutierrezmarcos.github.io-revision\oposicion\temario\fuentes\3A09\graficos/dual.png" id="51" name="Picture"/>
                    <pic:cNvPicPr>
                      <a:picLocks noChangeArrowheads="1" noChangeAspect="1"/>
                    </pic:cNvPicPr>
                  </pic:nvPicPr>
                  <pic:blipFill>
                    <a:blip r:embed="rId49"/>
                    <a:stretch>
                      <a:fillRect/>
                    </a:stretch>
                  </pic:blipFill>
                  <pic:spPr bwMode="auto">
                    <a:xfrm>
                      <a:off x="0" y="0"/>
                      <a:ext cx="2654512" cy="2275296"/>
                    </a:xfrm>
                    <a:prstGeom prst="rect">
                      <a:avLst/>
                    </a:prstGeom>
                    <a:noFill/>
                    <a:ln w="9525">
                      <a:noFill/>
                      <a:headEnd/>
                      <a:tailEnd/>
                    </a:ln>
                  </pic:spPr>
                </pic:pic>
              </a:graphicData>
            </a:graphic>
          </wp:inline>
        </w:drawing>
      </w:r>
    </w:p>
    <w:bookmarkEnd w:id="5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3"/>
    <w:bookmarkStart w:id="61" w:name="X7d303b0783c5a0d4bd1c448bf099f6e0e0c4b4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54"/>
      </w:r>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5"/>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p>
    <w:p>
      <w:pPr>
        <w:pStyle w:val="FirstParagraph"/>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9"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7" name="Picture"/>
            <a:graphic>
              <a:graphicData uri="http://schemas.openxmlformats.org/drawingml/2006/picture">
                <pic:pic>
                  <pic:nvPicPr>
                    <pic:cNvPr descr="C:\Users\vgutierrez\Documents\src\victorgutierrezmarcos.github.io-revision\oposicion\temario\fuentes\3A09\graficos/concavidad-fg.png" id="58" name="Picture"/>
                    <pic:cNvPicPr>
                      <a:picLocks noChangeArrowheads="1" noChangeAspect="1"/>
                    </pic:cNvPicPr>
                  </pic:nvPicPr>
                  <pic:blipFill>
                    <a:blip r:embed="rId56"/>
                    <a:stretch>
                      <a:fillRect/>
                    </a:stretch>
                  </pic:blipFill>
                  <pic:spPr bwMode="auto">
                    <a:xfrm>
                      <a:off x="0" y="0"/>
                      <a:ext cx="3282950" cy="3020801"/>
                    </a:xfrm>
                    <a:prstGeom prst="rect">
                      <a:avLst/>
                    </a:prstGeom>
                    <a:noFill/>
                    <a:ln w="9525">
                      <a:noFill/>
                      <a:headEnd/>
                      <a:tailEnd/>
                    </a:ln>
                  </pic:spPr>
                </pic:pic>
              </a:graphicData>
            </a:graphic>
          </wp:inline>
        </w:drawing>
      </w:r>
    </w:p>
    <w:bookmarkEnd w:id="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2): cada propiedad de la demanda marshalliana y de la FIU tiene su correspondiente en la demanda hicksiana y la función de gasto.</w:t>
      </w:r>
    </w:p>
    <w:bookmarkStart w:id="60" w:name="tab:pares-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6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61"/>
    <w:bookmarkEnd w:id="62"/>
    <w:bookmarkStart w:id="63" w:name="c-valoración-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63"/>
    <w:bookmarkEnd w:id="64"/>
    <w:bookmarkEnd w:id="65"/>
    <w:bookmarkStart w:id="78" w:name="relaciones-de-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70" w:name="X2dd2e041c89abe07466ad6ebf75cf135e134b9f"/>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9"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7" name="Picture"/>
            <a:graphic>
              <a:graphicData uri="http://schemas.openxmlformats.org/drawingml/2006/picture">
                <pic:pic>
                  <pic:nvPicPr>
                    <pic:cNvPr descr="C:\Users\vgutierrez\Documents\src\victorgutierrezmarcos.github.io-revision\oposicion\temario\fuentes\3A09\graficos/primal-dual.png" id="68" name="Picture"/>
                    <pic:cNvPicPr>
                      <a:picLocks noChangeArrowheads="1" noChangeAspect="1"/>
                    </pic:cNvPicPr>
                  </pic:nvPicPr>
                  <pic:blipFill>
                    <a:blip r:embed="rId66"/>
                    <a:stretch>
                      <a:fillRect/>
                    </a:stretch>
                  </pic:blipFill>
                  <pic:spPr bwMode="auto">
                    <a:xfrm>
                      <a:off x="0" y="0"/>
                      <a:ext cx="3000088" cy="2342576"/>
                    </a:xfrm>
                    <a:prstGeom prst="rect">
                      <a:avLst/>
                    </a:prstGeom>
                    <a:noFill/>
                    <a:ln w="9525">
                      <a:noFill/>
                      <a:headEnd/>
                      <a:tailEnd/>
                    </a:ln>
                  </pic:spPr>
                </pic:pic>
              </a:graphicData>
            </a:graphic>
          </wp:inline>
        </w:drawing>
      </w:r>
    </w:p>
    <w:bookmarkEnd w:id="6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70"/>
    <w:bookmarkStart w:id="72" w:name="X821095d29f6674a5dab40acded09f0071ebcd1f"/>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71"/>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72"/>
    <w:bookmarkStart w:id="77" w:name="esquema-de-dualidad"/>
    <w:p>
      <w:pPr>
        <w:pStyle w:val="Heading4"/>
      </w:pPr>
      <w:r>
        <w:t xml:space="preserve">Esquema de dualidad</w:t>
      </w:r>
    </w:p>
    <w:p>
      <w:pPr>
        <w:numPr>
          <w:ilvl w:val="0"/>
          <w:numId w:val="1043"/>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6"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 title="" id="74" name="Picture"/>
            <a:graphic>
              <a:graphicData uri="http://schemas.openxmlformats.org/drawingml/2006/picture">
                <pic:pic>
                  <pic:nvPicPr>
                    <pic:cNvPr descr="C:\Users\vgutierrez\Documents\src\victorgutierrezmarcos.github.io-revision\oposicion\temario\fuentes\3A09\graficos/esquema-dualidad.png" id="75" name="Picture"/>
                    <pic:cNvPicPr>
                      <a:picLocks noChangeArrowheads="1" noChangeAspect="1"/>
                    </pic:cNvPicPr>
                  </pic:nvPicPr>
                  <pic:blipFill>
                    <a:blip r:embed="rId73"/>
                    <a:stretch>
                      <a:fillRect/>
                    </a:stretch>
                  </pic:blipFill>
                  <pic:spPr bwMode="auto">
                    <a:xfrm>
                      <a:off x="0" y="0"/>
                      <a:ext cx="5969000" cy="3051645"/>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7"/>
    <w:bookmarkEnd w:id="78"/>
    <w:bookmarkEnd w:id="79"/>
    <w:bookmarkStart w:id="115"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80" w:name="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7"/>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8"/>
        </w:numPr>
      </w:pPr>
      <w:r>
        <w:rPr>
          <w:i/>
          <w:iCs/>
        </w:rPr>
        <w:t xml:space="preserve">sencillez de estimación</w:t>
      </w:r>
      <w:r>
        <w:t xml:space="preserve">: a ser posible, linealidad en los parámetros.</w:t>
      </w:r>
    </w:p>
    <w:bookmarkEnd w:id="80"/>
    <w:bookmarkStart w:id="113" w:name="pasos-que-sigue-la-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8" w:name="Xe667511b6d0ed2d2bd4c17ec39391f3b2daeab7"/>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81"/>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6" w:name="sistema-lineal-de-gasto-les"/>
    <w:p>
      <w:pPr>
        <w:pStyle w:val="Heading4"/>
      </w:pPr>
      <w:r>
        <w:t xml:space="preserve">Sistema lineal de gasto (LES)</w:t>
      </w:r>
    </w:p>
    <w:bookmarkStart w:id="82" w:name="a-idea-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82"/>
    <w:bookmarkStart w:id="83" w:name="b-modelo-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83"/>
    <w:bookmarkStart w:id="84" w:name="c-evidencia-empí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4"/>
    <w:bookmarkStart w:id="85" w:name="d-valoració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5"/>
    <w:bookmarkEnd w:id="86"/>
    <w:bookmarkStart w:id="91" w:name="modelo-de-rotterdam"/>
    <w:p>
      <w:pPr>
        <w:pStyle w:val="Heading4"/>
      </w:pPr>
      <w:r>
        <w:t xml:space="preserve">Modelo de Rotterdam</w:t>
      </w:r>
    </w:p>
    <w:bookmarkStart w:id="87" w:name="a-idea-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7"/>
    <w:bookmarkStart w:id="88" w:name="b-modelo-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8"/>
    <w:bookmarkStart w:id="89" w:name="c-evidencia-empírica-1"/>
    <w:p>
      <w:pPr>
        <w:pStyle w:val="Heading5"/>
      </w:pPr>
      <w:r>
        <w:t xml:space="preserve">c) Evidencia empírica</w:t>
      </w:r>
    </w:p>
    <w:p>
      <w:pPr>
        <w:numPr>
          <w:ilvl w:val="0"/>
          <w:numId w:val="1061"/>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9"/>
    <w:bookmarkStart w:id="90" w:name="d-valoración-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90"/>
    <w:bookmarkEnd w:id="91"/>
    <w:bookmarkStart w:id="96" w:name="translog"/>
    <w:p>
      <w:pPr>
        <w:pStyle w:val="Heading4"/>
      </w:pPr>
      <w:r>
        <w:t xml:space="preserve">Translog</w:t>
      </w:r>
    </w:p>
    <w:bookmarkStart w:id="92" w:name="a-idea-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92"/>
    <w:bookmarkStart w:id="93" w:name="b-modelo-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93"/>
    <w:bookmarkStart w:id="94" w:name="c-evidencia-empírica-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94"/>
    <w:bookmarkStart w:id="95" w:name="d-valoración-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5"/>
    <w:bookmarkEnd w:id="96"/>
    <w:bookmarkStart w:id="102" w:name="sistema-casi-ideal-de-demanda-aids"/>
    <w:p>
      <w:pPr>
        <w:pStyle w:val="Heading4"/>
      </w:pPr>
      <w:r>
        <w:t xml:space="preserve">Sistema casi ideal de demanda (AIDS)</w:t>
      </w:r>
    </w:p>
    <w:bookmarkStart w:id="97" w:name="a-idea-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7"/>
    <w:bookmarkStart w:id="98" w:name="b-modelo-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(III.2);</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8"/>
    <w:bookmarkStart w:id="99" w:name="c-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9"/>
    <w:bookmarkStart w:id="100" w:name="d-evidencia-empí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00"/>
    <w:bookmarkStart w:id="101" w:name="e-valoració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01"/>
    <w:bookmarkEnd w:id="102"/>
    <w:bookmarkStart w:id="107" w:name="aids-cuadrático-quaids"/>
    <w:p>
      <w:pPr>
        <w:pStyle w:val="Heading4"/>
      </w:pPr>
      <w:r>
        <w:t xml:space="preserve">AIDS cuadrático (QUAIDS)</w:t>
      </w:r>
    </w:p>
    <w:bookmarkStart w:id="103" w:name="a-idea-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03"/>
    <w:bookmarkStart w:id="104" w:name="b-modelo-6"/>
    <w:p>
      <w:pPr>
        <w:pStyle w:val="Heading5"/>
      </w:pPr>
      <w:r>
        <w:t xml:space="preserve">b) Modelo</w:t>
      </w:r>
    </w:p>
    <w:p>
      <w:pPr>
        <w:numPr>
          <w:ilvl w:val="0"/>
          <w:numId w:val="1077"/>
        </w:numPr>
      </w:pPr>
      <w:r>
        <w:t xml:space="preserve">Se añade al AIDS un término cuadrático en el logaritmo del gasto:</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4"/>
    <w:bookmarkStart w:id="106" w:name="c-valoración-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5" w:name="tab: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5"/>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6"/>
    <w:bookmarkEnd w:id="107"/>
    <w:bookmarkEnd w:id="108"/>
    <w:bookmarkStart w:id="109" w:name="Xc15a10e5baf44120a54f7c8ffd6de9c6f6aca53"/>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09"/>
    <w:bookmarkStart w:id="110" w:name="muestra-de-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10"/>
    <w:bookmarkStart w:id="111" w:name="X11e43f01e28c2a8cc16a0dac0d333b258c2b647"/>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11"/>
    <w:bookmarkStart w:id="112" w:name="resultados-de-las-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keepNext/>
        <w:numPr>
          <w:ilvl w:val="0"/>
          <w:numId w:val="1083"/>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12"/>
    <w:bookmarkEnd w:id="113"/>
    <w:bookmarkStart w:id="114" w:name="valoració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14"/>
    <w:bookmarkEnd w:id="115"/>
    <w:bookmarkStart w:id="166" w:name="aplicaciones-de-la-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22" w:name="X588f5c22433f4d1e4de6b22a1afee4f3ce1cc2d"/>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6"/>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7"/>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21"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9" name="Picture"/>
            <a:graphic>
              <a:graphicData uri="http://schemas.openxmlformats.org/drawingml/2006/picture">
                <pic:pic>
                  <pic:nvPicPr>
                    <pic:cNvPr descr="C:\Users\vgutierrez\Documents\src\victorgutierrezmarcos.github.io-revision\oposicion\temario\fuentes\3A09\graficos/recuperar-utilidad.png" id="120" name="Picture"/>
                    <pic:cNvPicPr>
                      <a:picLocks noChangeArrowheads="1" noChangeAspect="1"/>
                    </pic:cNvPicPr>
                  </pic:nvPicPr>
                  <pic:blipFill>
                    <a:blip r:embed="rId118"/>
                    <a:stretch>
                      <a:fillRect/>
                    </a:stretch>
                  </pic:blipFill>
                  <pic:spPr bwMode="auto">
                    <a:xfrm>
                      <a:off x="0" y="0"/>
                      <a:ext cx="3211103" cy="2538301"/>
                    </a:xfrm>
                    <a:prstGeom prst="rect">
                      <a:avLst/>
                    </a:prstGeom>
                    <a:noFill/>
                    <a:ln w="9525">
                      <a:noFill/>
                      <a:headEnd/>
                      <a:tailEnd/>
                    </a:ln>
                  </pic:spPr>
                </pic:pic>
              </a:graphicData>
            </a:graphic>
          </wp:inline>
        </w:drawing>
      </w:r>
    </w:p>
    <w:bookmarkEnd w:id="121"/>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22"/>
    <w:bookmarkStart w:id="131"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24"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m:oMath>
        <m:r>
          <m:rPr>
            <m:sty m:val="p"/>
          </m:rPr>
          <m:t>◼</m:t>
        </m:r>
      </m:oMath>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23"/>
      </w:r>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(13)):</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24"/>
    <w:bookmarkStart w:id="126" w:name="Xef20607d60c8523bacd85388fa3bf7a6d6587c7"/>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5" w:name="tab:slutsky-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5"/>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6"/>
    <w:bookmarkStart w:id="128" w:name="X169064eaf6163e9bb6e49759595c02c4aeec0a8"/>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7" w:name="tab:slutsky-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7"/>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8"/>
    <w:bookmarkStart w:id="130" w:name="X963b721e859de5ae05bc921dcdf3554cfc912bb"/>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9"/>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30"/>
    <w:bookmarkEnd w:id="131"/>
    <w:bookmarkStart w:id="165" w:name="X16fbe024173e2295b4adbcb7a3554a81b5ae0e8"/>
    <w:p>
      <w:pPr>
        <w:pStyle w:val="Heading2"/>
      </w:pPr>
      <w:r>
        <w:t xml:space="preserve">III.3.</w:t>
      </w:r>
      <w:r>
        <w:t xml:space="preserve"> </w:t>
      </w:r>
      <w:r>
        <w:t xml:space="preserve">Análisis de bienestar del consumidor individual</w:t>
      </w:r>
    </w:p>
    <w:bookmarkStart w:id="136" w:name="idea-1"/>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5"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problema.png" id="134" name="Picture"/>
                    <pic:cNvPicPr>
                      <a:picLocks noChangeArrowheads="1" noChangeAspect="1"/>
                    </pic:cNvPicPr>
                  </pic:nvPicPr>
                  <pic:blipFill>
                    <a:blip r:embed="rId132"/>
                    <a:stretch>
                      <a:fillRect/>
                    </a:stretch>
                  </pic:blipFill>
                  <pic:spPr bwMode="auto">
                    <a:xfrm>
                      <a:off x="0" y="0"/>
                      <a:ext cx="2993971" cy="2256947"/>
                    </a:xfrm>
                    <a:prstGeom prst="rect">
                      <a:avLst/>
                    </a:prstGeom>
                    <a:noFill/>
                    <a:ln w="9525">
                      <a:noFill/>
                      <a:headEnd/>
                      <a:tailEnd/>
                    </a:ln>
                  </pic:spPr>
                </pic:pic>
              </a:graphicData>
            </a:graphic>
          </wp:inline>
        </w:drawing>
      </w:r>
    </w:p>
    <w:bookmarkEnd w:id="135"/>
    <w:p>
      <w:pPr>
        <w:pStyle w:val="Piedeimagen"/>
      </w:pPr>
      <w:r>
        <w:t xml:space="preserve">Fuente: elaboración propia.</w:t>
      </w:r>
    </w:p>
    <w:bookmarkEnd w:id="136"/>
    <w:bookmarkStart w:id="164" w:name="Xcfd008ef96d67a8320853afc75a4ad7c3b225d9"/>
    <w:p>
      <w:pPr>
        <w:pStyle w:val="Heading3"/>
      </w:pPr>
      <w:r>
        <w:t xml:space="preserve">III.3.2.</w:t>
      </w:r>
      <w:r>
        <w:t xml:space="preserve"> </w:t>
      </w:r>
      <w:r>
        <w:t xml:space="preserve">Medición de la variación del bienestar del consumidor individual</w:t>
      </w:r>
    </w:p>
    <w:bookmarkStart w:id="141" w:name="X1fc56320b6168869029d8c3fa807cc2401d7198"/>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40"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8" name="Picture"/>
            <a:graphic>
              <a:graphicData uri="http://schemas.openxmlformats.org/drawingml/2006/picture">
                <pic:pic>
                  <pic:nvPicPr>
                    <pic:cNvPr descr="C:\Users\vgutierrez\Documents\src\victorgutierrezmarcos.github.io-revision\oposicion\temario\fuentes\3A09\graficos/bienestar-delta-ec.png" id="139" name="Picture"/>
                    <pic:cNvPicPr>
                      <a:picLocks noChangeArrowheads="1" noChangeAspect="1"/>
                    </pic:cNvPicPr>
                  </pic:nvPicPr>
                  <pic:blipFill>
                    <a:blip r:embed="rId137"/>
                    <a:stretch>
                      <a:fillRect/>
                    </a:stretch>
                  </pic:blipFill>
                  <pic:spPr bwMode="auto">
                    <a:xfrm>
                      <a:off x="0" y="0"/>
                      <a:ext cx="2984500" cy="1670809"/>
                    </a:xfrm>
                    <a:prstGeom prst="rect">
                      <a:avLst/>
                    </a:prstGeom>
                    <a:noFill/>
                    <a:ln w="9525">
                      <a:noFill/>
                      <a:headEnd/>
                      <a:tailEnd/>
                    </a:ln>
                  </pic:spPr>
                </pic:pic>
              </a:graphicData>
            </a:graphic>
          </wp:inline>
        </w:drawing>
      </w:r>
    </w:p>
    <w:bookmarkEnd w:id="14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41"/>
    <w:bookmarkStart w:id="155" w:name="Xaf96a4649bd8cbbc83c9509d373be26c7129868"/>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42"/>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6"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44" name="Picture"/>
            <a:graphic>
              <a:graphicData uri="http://schemas.openxmlformats.org/drawingml/2006/picture">
                <pic:pic>
                  <pic:nvPicPr>
                    <pic:cNvPr descr="C:\Users\vgutierrez\Documents\src\victorgutierrezmarcos.github.io-revision\oposicion\temario\fuentes\3A09\graficos/bienestar-vc.png" id="145" name="Picture"/>
                    <pic:cNvPicPr>
                      <a:picLocks noChangeArrowheads="1" noChangeAspect="1"/>
                    </pic:cNvPicPr>
                  </pic:nvPicPr>
                  <pic:blipFill>
                    <a:blip r:embed="rId143"/>
                    <a:stretch>
                      <a:fillRect/>
                    </a:stretch>
                  </pic:blipFill>
                  <pic:spPr bwMode="auto">
                    <a:xfrm>
                      <a:off x="0" y="0"/>
                      <a:ext cx="3282950" cy="3862134"/>
                    </a:xfrm>
                    <a:prstGeom prst="rect">
                      <a:avLst/>
                    </a:prstGeom>
                    <a:noFill/>
                    <a:ln w="9525">
                      <a:noFill/>
                      <a:headEnd/>
                      <a:tailEnd/>
                    </a:ln>
                  </pic:spPr>
                </pic:pic>
              </a:graphicData>
            </a:graphic>
          </wp:inline>
        </w:drawing>
      </w:r>
    </w:p>
    <w:bookmarkEnd w:id="14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50"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8" name="Picture"/>
            <a:graphic>
              <a:graphicData uri="http://schemas.openxmlformats.org/drawingml/2006/picture">
                <pic:pic>
                  <pic:nvPicPr>
                    <pic:cNvPr descr="C:\Users\vgutierrez\Documents\src\victorgutierrezmarcos.github.io-revision\oposicion\temario\fuentes\3A09\graficos/bienestar-ve.png" id="149" name="Picture"/>
                    <pic:cNvPicPr>
                      <a:picLocks noChangeArrowheads="1" noChangeAspect="1"/>
                    </pic:cNvPicPr>
                  </pic:nvPicPr>
                  <pic:blipFill>
                    <a:blip r:embed="rId147"/>
                    <a:stretch>
                      <a:fillRect/>
                    </a:stretch>
                  </pic:blipFill>
                  <pic:spPr bwMode="auto">
                    <a:xfrm>
                      <a:off x="0" y="0"/>
                      <a:ext cx="3282950" cy="3865321"/>
                    </a:xfrm>
                    <a:prstGeom prst="rect">
                      <a:avLst/>
                    </a:prstGeom>
                    <a:noFill/>
                    <a:ln w="9525">
                      <a:noFill/>
                      <a:headEnd/>
                      <a:tailEnd/>
                    </a:ln>
                  </pic:spPr>
                </pic:pic>
              </a:graphicData>
            </a:graphic>
          </wp:inline>
        </w:drawing>
      </w:r>
    </w:p>
    <w:bookmarkEnd w:id="1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54"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52" name="Picture"/>
            <a:graphic>
              <a:graphicData uri="http://schemas.openxmlformats.org/drawingml/2006/picture">
                <pic:pic>
                  <pic:nvPicPr>
                    <pic:cNvPr descr="C:\Users\vgutierrez\Documents\src\victorgutierrezmarcos.github.io-revision\oposicion\temario\fuentes\3A09\graficos/bienestar-vc-ve.png" id="153" name="Picture"/>
                    <pic:cNvPicPr>
                      <a:picLocks noChangeArrowheads="1" noChangeAspect="1"/>
                    </pic:cNvPicPr>
                  </pic:nvPicPr>
                  <pic:blipFill>
                    <a:blip r:embed="rId151"/>
                    <a:stretch>
                      <a:fillRect/>
                    </a:stretch>
                  </pic:blipFill>
                  <pic:spPr bwMode="auto">
                    <a:xfrm>
                      <a:off x="0" y="0"/>
                      <a:ext cx="3700780" cy="4191280"/>
                    </a:xfrm>
                    <a:prstGeom prst="rect">
                      <a:avLst/>
                    </a:prstGeom>
                    <a:noFill/>
                    <a:ln w="9525">
                      <a:noFill/>
                      <a:headEnd/>
                      <a:tailEnd/>
                    </a:ln>
                  </pic:spPr>
                </pic:pic>
              </a:graphicData>
            </a:graphic>
          </wp:inline>
        </w:drawing>
      </w:r>
    </w:p>
    <w:bookmarkEnd w:id="15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5"/>
    <w:bookmarkStart w:id="156" w:name="Xc06de061893a483a0907c38a7edce71dc3931c0"/>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12"/>
        </w:numPr>
      </w:pPr>
      <w:r>
        <w:t xml:space="preserve">Acotan las medidas exactas, para cualquier número de precios y tipo de bien:</w:t>
      </w:r>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w:t>
      </w:r>
      <m:oMath>
        <m:r>
          <m:rPr>
            <m:sty m:val="p"/>
          </m:rPr>
          <m:t>◼</m:t>
        </m:r>
      </m:oMath>
      <w:r>
        <w:t xml:space="preserve">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6"/>
    <w:bookmarkStart w:id="163" w:name="X10fc17a453d4026ed618adb8fb9b668b866e628"/>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157"/>
      </w:r>
      <w:r>
        <w:t xml:space="preserve"> </w:t>
      </w:r>
      <w:r>
        <w:t xml:space="preserve">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158"/>
      </w:r>
    </w:p>
    <w:bookmarkStart w:id="162"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60" name="Picture"/>
            <a:graphic>
              <a:graphicData uri="http://schemas.openxmlformats.org/drawingml/2006/picture">
                <pic:pic>
                  <pic:nvPicPr>
                    <pic:cNvPr descr="C:\Users\vgutierrez\Documents\src\victorgutierrezmarcos.github.io-revision\oposicion\temario\fuentes\3A09\graficos/indice-konus-laspeyres.png" id="161" name="Picture"/>
                    <pic:cNvPicPr>
                      <a:picLocks noChangeArrowheads="1" noChangeAspect="1"/>
                    </pic:cNvPicPr>
                  </pic:nvPicPr>
                  <pic:blipFill>
                    <a:blip r:embed="rId159"/>
                    <a:stretch>
                      <a:fillRect/>
                    </a:stretch>
                  </pic:blipFill>
                  <pic:spPr bwMode="auto">
                    <a:xfrm>
                      <a:off x="0" y="0"/>
                      <a:ext cx="3581400" cy="1982175"/>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63"/>
    <w:bookmarkEnd w:id="164"/>
    <w:bookmarkEnd w:id="165"/>
    <w:bookmarkEnd w:id="166"/>
    <w:bookmarkStart w:id="167" w:name="conclusió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20"/>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20"/>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20"/>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7"/>
    <w:bookmarkStart w:id="170"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8" w:name="tab: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8"/>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9"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9"/>
    <w:bookmarkEnd w:id="170"/>
    <w:bookmarkStart w:id="173"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71" w:name="der: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m:oMath>
        <m:r>
          <m:rPr>
            <m:sty m:val="p"/>
          </m:rPr>
          <m:t>◼</m:t>
        </m:r>
      </m:oMath>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m:oMath>
        <m:r>
          <m:rPr>
            <m:sty m:val="p"/>
          </m:rPr>
          <m:t>◼</m:t>
        </m:r>
      </m:oMath>
    </w:p>
    <w:bookmarkEnd w:id="171"/>
    <w:bookmarkStart w:id="172" w:name="der: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m:oMath>
        <m:r>
          <m:rPr>
            <m:sty m:val="p"/>
          </m:rPr>
          <m:t>◼</m:t>
        </m:r>
      </m:oMath>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m:oMath>
        <m:r>
          <m:rPr>
            <m:sty m:val="p"/>
          </m:rPr>
          <m:t>◼</m:t>
        </m:r>
      </m:oMath>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72"/>
    <w:bookmarkEnd w:id="173"/>
    <w:bookmarkStart w:id="174" w:name="anexo: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74"/>
    <w:bookmarkStart w:id="176" w:name="anexo: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m:oMath>
        <m:r>
          <m:rPr>
            <m:sty m:val="p"/>
          </m:rPr>
          <m:t>◼</m:t>
        </m:r>
      </m:oMath>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m:oMath>
        <m:r>
          <m:rPr>
            <m:sty m:val="p"/>
          </m:rPr>
          <m:t>◼</m:t>
        </m:r>
      </m:oMath>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m:oMath>
        <m:r>
          <m:rPr>
            <m:sty m:val="p"/>
          </m:rPr>
          <m:t>◼</m:t>
        </m:r>
      </m:oMath>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m:oMath>
        <m:r>
          <m:rPr>
            <m:sty m:val="p"/>
          </m:rPr>
          <m:t>◼</m:t>
        </m:r>
      </m:oMath>
    </w:p>
    <w:p>
      <w:pPr>
        <w:numPr>
          <w:ilvl w:val="0"/>
          <w:numId w:val="1130"/>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75" w:name="tab: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75"/>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76"/>
    <w:bookmarkStart w:id="177" w:name="anexo: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m:oMath>
        <m:r>
          <m:rPr>
            <m:sty m:val="p"/>
          </m:rPr>
          <m:t>◼</m:t>
        </m:r>
      </m:oMath>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7"/>
    <w:bookmarkStart w:id="179" w:name="anexo:test"/>
    <w:p>
      <w:pPr>
        <w:pStyle w:val="Heading1"/>
      </w:pPr>
      <w:r>
        <w:t xml:space="preserve">F. Anexo: aspectos relevantes para el test</w:t>
      </w:r>
    </w:p>
    <w:p>
      <w:pPr>
        <w:pStyle w:val="Cajadeanotaciones"/>
      </w:pPr>
      <w:r>
        <w:t xml:space="preserve">Preguntas tipo test:</w:t>
      </w:r>
      <w:r>
        <w:t xml:space="preserve"> </w:t>
      </w:r>
      <w:hyperlink r:id="rId178">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9"/>
    <w:bookmarkStart w:id="314" w:name="bibliography"/>
    <w:p>
      <w:pPr>
        <w:pStyle w:val="Heading1"/>
      </w:pPr>
      <w:r>
        <w:t xml:space="preserve">Bibliografía</w:t>
      </w:r>
    </w:p>
    <w:bookmarkStart w:id="313" w:name="refs"/>
    <w:bookmarkStart w:id="181"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80">
        <w:r>
          <w:rPr>
            <w:rStyle w:val="Hyperlink"/>
          </w:rPr>
          <w:t xml:space="preserve">https://doi.org/10.2307/2525382</w:t>
        </w:r>
      </w:hyperlink>
      <w:r>
        <w:t xml:space="preserve">.</w:t>
      </w:r>
    </w:p>
    <w:bookmarkEnd w:id="181"/>
    <w:bookmarkStart w:id="183"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82">
        <w:r>
          <w:rPr>
            <w:rStyle w:val="Hyperlink"/>
          </w:rPr>
          <w:t xml:space="preserve">https://argos.gva.es/documents/166658342/166714754/Ejemplar+3070/2957e02b-f135-4235-98a6-bfc909292066</w:t>
        </w:r>
      </w:hyperlink>
      <w:r>
        <w:t xml:space="preserve">.</w:t>
      </w:r>
    </w:p>
    <w:bookmarkEnd w:id="183"/>
    <w:bookmarkStart w:id="184"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84"/>
    <w:bookmarkStart w:id="185"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85"/>
    <w:bookmarkStart w:id="187"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86">
        <w:r>
          <w:rPr>
            <w:rStyle w:val="Hyperlink"/>
          </w:rPr>
          <w:t xml:space="preserve">https://doi.org/10.1162/003465397557015</w:t>
        </w:r>
      </w:hyperlink>
      <w:r>
        <w:t xml:space="preserve">.</w:t>
      </w:r>
    </w:p>
    <w:bookmarkEnd w:id="187"/>
    <w:bookmarkStart w:id="189"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8">
        <w:r>
          <w:rPr>
            <w:rStyle w:val="Hyperlink"/>
          </w:rPr>
          <w:t xml:space="preserve">https://doi.org/10.2307/1913731</w:t>
        </w:r>
      </w:hyperlink>
      <w:r>
        <w:t xml:space="preserve">.</w:t>
      </w:r>
    </w:p>
    <w:bookmarkEnd w:id="189"/>
    <w:bookmarkStart w:id="191"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90">
        <w:r>
          <w:rPr>
            <w:rStyle w:val="Hyperlink"/>
          </w:rPr>
          <w:t xml:space="preserve">https://doi.org/10.2307/1937885</w:t>
        </w:r>
      </w:hyperlink>
      <w:r>
        <w:t xml:space="preserve">.</w:t>
      </w:r>
    </w:p>
    <w:bookmarkEnd w:id="191"/>
    <w:bookmarkStart w:id="193"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92">
        <w:r>
          <w:rPr>
            <w:rStyle w:val="Hyperlink"/>
          </w:rPr>
          <w:t xml:space="preserve">https://doi.org/10.1016/0014-2921(69)90017-8</w:t>
        </w:r>
      </w:hyperlink>
      <w:r>
        <w:t xml:space="preserve">.</w:t>
      </w:r>
    </w:p>
    <w:bookmarkEnd w:id="193"/>
    <w:bookmarkStart w:id="195"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94">
        <w:r>
          <w:rPr>
            <w:rStyle w:val="Hyperlink"/>
          </w:rPr>
          <w:t xml:space="preserve">https://doi.org/10.1057/9780230226203.0411</w:t>
        </w:r>
      </w:hyperlink>
      <w:r>
        <w:t xml:space="preserve">.</w:t>
      </w:r>
    </w:p>
    <w:bookmarkEnd w:id="195"/>
    <w:bookmarkStart w:id="197"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96">
        <w:r>
          <w:rPr>
            <w:rStyle w:val="Hyperlink"/>
          </w:rPr>
          <w:t xml:space="preserve">https://doi.org/10.1111/1468-0262.00394</w:t>
        </w:r>
      </w:hyperlink>
      <w:r>
        <w:t xml:space="preserve">.</w:t>
      </w:r>
    </w:p>
    <w:bookmarkEnd w:id="197"/>
    <w:bookmarkStart w:id="198"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8"/>
    <w:bookmarkStart w:id="199"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9"/>
    <w:bookmarkStart w:id="20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00"/>
    <w:bookmarkStart w:id="202"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01">
        <w:r>
          <w:rPr>
            <w:rStyle w:val="Hyperlink"/>
          </w:rPr>
          <w:t xml:space="preserve">https://doi.org/10.2307/1911983</w:t>
        </w:r>
      </w:hyperlink>
      <w:r>
        <w:t xml:space="preserve">.</w:t>
      </w:r>
    </w:p>
    <w:bookmarkEnd w:id="202"/>
    <w:bookmarkStart w:id="204"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03">
        <w:r>
          <w:rPr>
            <w:rStyle w:val="Hyperlink"/>
          </w:rPr>
          <w:t xml:space="preserve">https://doi.org/10.1596/0-8018-5254-4</w:t>
        </w:r>
      </w:hyperlink>
      <w:r>
        <w:t xml:space="preserve">.</w:t>
      </w:r>
    </w:p>
    <w:bookmarkEnd w:id="204"/>
    <w:bookmarkStart w:id="205"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05"/>
    <w:bookmarkStart w:id="206"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06"/>
    <w:bookmarkStart w:id="207"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7"/>
    <w:bookmarkStart w:id="209"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8">
        <w:r>
          <w:rPr>
            <w:rStyle w:val="Hyperlink"/>
          </w:rPr>
          <w:t xml:space="preserve">https://doi.org/10.1016/0304-4076(76)90009-9</w:t>
        </w:r>
      </w:hyperlink>
      <w:r>
        <w:t xml:space="preserve">.</w:t>
      </w:r>
    </w:p>
    <w:bookmarkEnd w:id="209"/>
    <w:bookmarkStart w:id="21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10">
        <w:r>
          <w:rPr>
            <w:rStyle w:val="Hyperlink"/>
          </w:rPr>
          <w:t xml:space="preserve">https://doi.org/10.1086/260489</w:t>
        </w:r>
      </w:hyperlink>
      <w:r>
        <w:t xml:space="preserve">.</w:t>
      </w:r>
    </w:p>
    <w:bookmarkEnd w:id="211"/>
    <w:bookmarkStart w:id="212"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12"/>
    <w:bookmarkStart w:id="214"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13">
        <w:r>
          <w:rPr>
            <w:rStyle w:val="Hyperlink"/>
          </w:rPr>
          <w:t xml:space="preserve">https://doi.org/10.2307/2296107</w:t>
        </w:r>
      </w:hyperlink>
      <w:r>
        <w:t xml:space="preserve">.</w:t>
      </w:r>
    </w:p>
    <w:bookmarkEnd w:id="214"/>
    <w:bookmarkStart w:id="216"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15">
        <w:r>
          <w:rPr>
            <w:rStyle w:val="Hyperlink"/>
          </w:rPr>
          <w:t xml:space="preserve">https://doi.org/10.3386/w12311</w:t>
        </w:r>
      </w:hyperlink>
      <w:r>
        <w:t xml:space="preserve">.</w:t>
      </w:r>
    </w:p>
    <w:bookmarkEnd w:id="216"/>
    <w:bookmarkStart w:id="218"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17">
        <w:r>
          <w:rPr>
            <w:rStyle w:val="Hyperlink"/>
          </w:rPr>
          <w:t xml:space="preserve">https://doi.org/10.2307/1909472</w:t>
        </w:r>
      </w:hyperlink>
      <w:r>
        <w:t xml:space="preserve">.</w:t>
      </w:r>
    </w:p>
    <w:bookmarkEnd w:id="218"/>
    <w:bookmarkStart w:id="220"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9">
        <w:r>
          <w:rPr>
            <w:rStyle w:val="Hyperlink"/>
          </w:rPr>
          <w:t xml:space="preserve">https://doi.org/10.1017/CBO9780511984082.003</w:t>
        </w:r>
      </w:hyperlink>
      <w:r>
        <w:t xml:space="preserve">.</w:t>
      </w:r>
    </w:p>
    <w:bookmarkEnd w:id="220"/>
    <w:bookmarkStart w:id="221"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21"/>
    <w:bookmarkStart w:id="22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22"/>
    <w:bookmarkStart w:id="224"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23">
        <w:r>
          <w:rPr>
            <w:rStyle w:val="Hyperlink"/>
          </w:rPr>
          <w:t xml:space="preserve">https://doi.org/10.2307/2967467</w:t>
        </w:r>
      </w:hyperlink>
      <w:r>
        <w:t xml:space="preserve">.</w:t>
      </w:r>
    </w:p>
    <w:bookmarkEnd w:id="224"/>
    <w:bookmarkStart w:id="226"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25">
        <w:r>
          <w:rPr>
            <w:rStyle w:val="Hyperlink"/>
          </w:rPr>
          <w:t xml:space="preserve">https://doi.org/10.2307/2967517</w:t>
        </w:r>
      </w:hyperlink>
      <w:r>
        <w:t xml:space="preserve">.</w:t>
      </w:r>
    </w:p>
    <w:bookmarkEnd w:id="226"/>
    <w:bookmarkStart w:id="227" w:name="ref-Hicks1956Revision"/>
    <w:p>
      <w:pPr>
        <w:pStyle w:val="Bibliography"/>
      </w:pPr>
      <w:r>
        <w:t xml:space="preserve">———. 1956.</w:t>
      </w:r>
      <w:r>
        <w:t xml:space="preserve"> </w:t>
      </w:r>
      <w:r>
        <w:rPr>
          <w:i/>
          <w:iCs/>
        </w:rPr>
        <w:t xml:space="preserve">A Revision of Demand Theory</w:t>
      </w:r>
      <w:r>
        <w:t xml:space="preserve">. Oxford: Clarendon Press.</w:t>
      </w:r>
    </w:p>
    <w:bookmarkEnd w:id="227"/>
    <w:bookmarkStart w:id="229"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28">
        <w:r>
          <w:rPr>
            <w:rStyle w:val="Hyperlink"/>
          </w:rPr>
          <w:t xml:space="preserve">https://doi.org/10.2307/2548574</w:t>
        </w:r>
      </w:hyperlink>
      <w:r>
        <w:t xml:space="preserve">.</w:t>
      </w:r>
    </w:p>
    <w:bookmarkEnd w:id="229"/>
    <w:bookmarkStart w:id="23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30">
        <w:r>
          <w:rPr>
            <w:rStyle w:val="Hyperlink"/>
          </w:rPr>
          <w:t xml:space="preserve">https://doi.org/10.1086/254387</w:t>
        </w:r>
      </w:hyperlink>
      <w:r>
        <w:t xml:space="preserve">.</w:t>
      </w:r>
    </w:p>
    <w:bookmarkEnd w:id="231"/>
    <w:bookmarkStart w:id="233"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32">
        <w:r>
          <w:rPr>
            <w:rStyle w:val="Hyperlink"/>
          </w:rPr>
          <w:t xml:space="preserve">https://doi.org/10.2307/2549382</w:t>
        </w:r>
      </w:hyperlink>
      <w:r>
        <w:t xml:space="preserve">.</w:t>
      </w:r>
    </w:p>
    <w:bookmarkEnd w:id="233"/>
    <w:bookmarkStart w:id="234"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34"/>
    <w:bookmarkStart w:id="236"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35">
        <w:r>
          <w:rPr>
            <w:rStyle w:val="Hyperlink"/>
          </w:rPr>
          <w:t xml:space="preserve">https://www.ine.es/daco/daco42/daco4213/resmeto06.pdf</w:t>
        </w:r>
      </w:hyperlink>
      <w:r>
        <w:t xml:space="preserve">.</w:t>
      </w:r>
    </w:p>
    <w:bookmarkEnd w:id="236"/>
    <w:bookmarkStart w:id="238"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37">
        <w:r>
          <w:rPr>
            <w:rStyle w:val="Hyperlink"/>
          </w:rPr>
          <w:t xml:space="preserve">https://www.ine.es/jaxiT3/Tabla.htm?t=76156</w:t>
        </w:r>
      </w:hyperlink>
      <w:r>
        <w:t xml:space="preserve">.</w:t>
      </w:r>
    </w:p>
    <w:bookmarkEnd w:id="238"/>
    <w:bookmarkStart w:id="240"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9">
        <w:r>
          <w:rPr>
            <w:rStyle w:val="Hyperlink"/>
          </w:rPr>
          <w:t xml:space="preserve">https://www.ine.es/metodologia/t25/metodologia_IPC_base_2025.pdf</w:t>
        </w:r>
      </w:hyperlink>
      <w:r>
        <w:t xml:space="preserve">.</w:t>
      </w:r>
    </w:p>
    <w:bookmarkEnd w:id="240"/>
    <w:bookmarkStart w:id="242"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41">
        <w:r>
          <w:rPr>
            <w:rStyle w:val="Hyperlink"/>
          </w:rPr>
          <w:t xml:space="preserve">https://www.ine.es/metodologia/t25/principales_caracteristicas_base_2025.pdf</w:t>
        </w:r>
      </w:hyperlink>
      <w:r>
        <w:t xml:space="preserve">.</w:t>
      </w:r>
    </w:p>
    <w:bookmarkEnd w:id="242"/>
    <w:bookmarkStart w:id="244"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43">
        <w:r>
          <w:rPr>
            <w:rStyle w:val="Hyperlink"/>
          </w:rPr>
          <w:t xml:space="preserve">https://www.ine.es/dyngs/Prensa/EPF2025.htm</w:t>
        </w:r>
      </w:hyperlink>
      <w:r>
        <w:t xml:space="preserve">.</w:t>
      </w:r>
    </w:p>
    <w:bookmarkEnd w:id="244"/>
    <w:bookmarkStart w:id="246"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45">
        <w:r>
          <w:rPr>
            <w:rStyle w:val="Hyperlink"/>
          </w:rPr>
          <w:t xml:space="preserve">https://www.ine.es/dyngs/Prensa/CNA2025.htm</w:t>
        </w:r>
      </w:hyperlink>
      <w:r>
        <w:t xml:space="preserve">.</w:t>
      </w:r>
    </w:p>
    <w:bookmarkEnd w:id="246"/>
    <w:bookmarkStart w:id="248"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47">
        <w:r>
          <w:rPr>
            <w:rStyle w:val="Hyperlink"/>
          </w:rPr>
          <w:t xml:space="preserve">https://www.ine.es/metodologia/t25/t2530p458.pdf</w:t>
        </w:r>
      </w:hyperlink>
      <w:r>
        <w:t xml:space="preserve">.</w:t>
      </w:r>
    </w:p>
    <w:bookmarkEnd w:id="248"/>
    <w:bookmarkStart w:id="24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9"/>
    <w:bookmarkStart w:id="251"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50">
        <w:r>
          <w:rPr>
            <w:rStyle w:val="Hyperlink"/>
          </w:rPr>
          <w:t xml:space="preserve">https://doi.org/10.2307/1911539</w:t>
        </w:r>
      </w:hyperlink>
      <w:r>
        <w:t xml:space="preserve">.</w:t>
      </w:r>
    </w:p>
    <w:bookmarkEnd w:id="251"/>
    <w:bookmarkStart w:id="253"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52">
        <w:r>
          <w:rPr>
            <w:rStyle w:val="Hyperlink"/>
          </w:rPr>
          <w:t xml:space="preserve">https://doi.org/10.2307/2295996</w:t>
        </w:r>
      </w:hyperlink>
      <w:r>
        <w:t xml:space="preserve">.</w:t>
      </w:r>
    </w:p>
    <w:bookmarkEnd w:id="253"/>
    <w:bookmarkStart w:id="255"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54">
        <w:r>
          <w:rPr>
            <w:rStyle w:val="Hyperlink"/>
          </w:rPr>
          <w:t xml:space="preserve">https://ww2.amstat.org/meetings/proceedings/2021/data/assets/pdf/1913738.pdf</w:t>
        </w:r>
      </w:hyperlink>
      <w:r>
        <w:t xml:space="preserve">.</w:t>
      </w:r>
    </w:p>
    <w:bookmarkEnd w:id="255"/>
    <w:bookmarkStart w:id="257"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56">
        <w:r>
          <w:rPr>
            <w:rStyle w:val="Hyperlink"/>
          </w:rPr>
          <w:t xml:space="preserve">https://doi.org/10.2307/1906997</w:t>
        </w:r>
      </w:hyperlink>
      <w:r>
        <w:t xml:space="preserve">.</w:t>
      </w:r>
    </w:p>
    <w:bookmarkEnd w:id="257"/>
    <w:bookmarkStart w:id="258"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58"/>
    <w:bookmarkStart w:id="260"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9">
        <w:r>
          <w:rPr>
            <w:rStyle w:val="Hyperlink"/>
          </w:rPr>
          <w:t xml:space="preserve">https://doi.org/10.2307/1909167</w:t>
        </w:r>
      </w:hyperlink>
      <w:r>
        <w:t xml:space="preserve">.</w:t>
      </w:r>
    </w:p>
    <w:bookmarkEnd w:id="260"/>
    <w:bookmarkStart w:id="262"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61">
        <w:r>
          <w:rPr>
            <w:rStyle w:val="Hyperlink"/>
          </w:rPr>
          <w:t xml:space="preserve">https://doi.org/10.2307/1912704</w:t>
        </w:r>
      </w:hyperlink>
      <w:r>
        <w:t xml:space="preserve">.</w:t>
      </w:r>
    </w:p>
    <w:bookmarkEnd w:id="262"/>
    <w:bookmarkStart w:id="264"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63">
        <w:r>
          <w:rPr>
            <w:rStyle w:val="Hyperlink"/>
          </w:rPr>
          <w:t xml:space="preserve">https://www.thelatinlibrary.com/cicero/leg3.shtml</w:t>
        </w:r>
      </w:hyperlink>
      <w:r>
        <w:t xml:space="preserve">.</w:t>
      </w:r>
    </w:p>
    <w:bookmarkEnd w:id="264"/>
    <w:bookmarkStart w:id="26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5">
        <w:r>
          <w:rPr>
            <w:rStyle w:val="Hyperlink"/>
          </w:rPr>
          <w:t xml:space="preserve">https://www.marxists.org/reference/subject/economics/marshall/bk1ch01.htm</w:t>
        </w:r>
      </w:hyperlink>
      <w:r>
        <w:t xml:space="preserve">.</w:t>
      </w:r>
    </w:p>
    <w:bookmarkEnd w:id="266"/>
    <w:bookmarkStart w:id="26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7"/>
    <w:bookmarkStart w:id="26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68"/>
    <w:bookmarkStart w:id="270"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9">
        <w:r>
          <w:rPr>
            <w:rStyle w:val="Hyperlink"/>
          </w:rPr>
          <w:t xml:space="preserve">https://doi.org/10.2307/2296067</w:t>
        </w:r>
      </w:hyperlink>
      <w:r>
        <w:t xml:space="preserve">.</w:t>
      </w:r>
    </w:p>
    <w:bookmarkEnd w:id="270"/>
    <w:bookmarkStart w:id="272"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71">
        <w:r>
          <w:rPr>
            <w:rStyle w:val="Hyperlink"/>
          </w:rPr>
          <w:t xml:space="preserve">https://www.boe.es/buscar/act.php?id=BOE-A-2015-11724</w:t>
        </w:r>
      </w:hyperlink>
      <w:r>
        <w:t xml:space="preserve">.</w:t>
      </w:r>
    </w:p>
    <w:bookmarkEnd w:id="272"/>
    <w:bookmarkStart w:id="274"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73">
        <w:r>
          <w:rPr>
            <w:rStyle w:val="Hyperlink"/>
          </w:rPr>
          <w:t xml:space="preserve">https://www.lamoncloa.gob.es/serviciosdeprensa/notasprensa/inclusion/Paginas/2025/121225-revalorizacion-pensiones.aspx</w:t>
        </w:r>
      </w:hyperlink>
      <w:r>
        <w:t xml:space="preserve">.</w:t>
      </w:r>
    </w:p>
    <w:bookmarkEnd w:id="274"/>
    <w:bookmarkStart w:id="276"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75">
        <w:r>
          <w:rPr>
            <w:rStyle w:val="Hyperlink"/>
          </w:rPr>
          <w:t xml:space="preserve">https://doi.org/10.2307/2296792</w:t>
        </w:r>
      </w:hyperlink>
      <w:r>
        <w:t xml:space="preserve">.</w:t>
      </w:r>
    </w:p>
    <w:bookmarkEnd w:id="276"/>
    <w:bookmarkStart w:id="278"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77">
        <w:r>
          <w:rPr>
            <w:rStyle w:val="Hyperlink"/>
          </w:rPr>
          <w:t xml:space="preserve">https://doi.org/10.2307/1911540</w:t>
        </w:r>
      </w:hyperlink>
      <w:r>
        <w:t xml:space="preserve">.</w:t>
      </w:r>
    </w:p>
    <w:bookmarkEnd w:id="278"/>
    <w:bookmarkStart w:id="279"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9"/>
    <w:bookmarkStart w:id="281"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80">
        <w:r>
          <w:rPr>
            <w:rStyle w:val="Hyperlink"/>
          </w:rPr>
          <w:t xml:space="preserve">https://doi.org/10.2307/1911416</w:t>
        </w:r>
      </w:hyperlink>
      <w:r>
        <w:t xml:space="preserve">.</w:t>
      </w:r>
    </w:p>
    <w:bookmarkEnd w:id="281"/>
    <w:bookmarkStart w:id="282"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82"/>
    <w:bookmarkStart w:id="284"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83">
        <w:r>
          <w:rPr>
            <w:rStyle w:val="Hyperlink"/>
          </w:rPr>
          <w:t xml:space="preserve">https://doi.org/10.2307/1905479</w:t>
        </w:r>
      </w:hyperlink>
      <w:r>
        <w:t xml:space="preserve">.</w:t>
      </w:r>
    </w:p>
    <w:bookmarkEnd w:id="284"/>
    <w:bookmarkStart w:id="286"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85">
        <w:r>
          <w:rPr>
            <w:rStyle w:val="Hyperlink"/>
          </w:rPr>
          <w:t xml:space="preserve">https://doi.org/10.2307/2548836</w:t>
        </w:r>
      </w:hyperlink>
      <w:r>
        <w:t xml:space="preserve">.</w:t>
      </w:r>
    </w:p>
    <w:bookmarkEnd w:id="286"/>
    <w:bookmarkStart w:id="288"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87">
        <w:r>
          <w:rPr>
            <w:rStyle w:val="Hyperlink"/>
          </w:rPr>
          <w:t xml:space="preserve">https://doi.org/10.2307/2549561</w:t>
        </w:r>
      </w:hyperlink>
      <w:r>
        <w:t xml:space="preserve">.</w:t>
      </w:r>
    </w:p>
    <w:bookmarkEnd w:id="288"/>
    <w:bookmarkStart w:id="289"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9"/>
    <w:bookmarkStart w:id="291"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90">
        <w:r>
          <w:rPr>
            <w:rStyle w:val="Hyperlink"/>
          </w:rPr>
          <w:t xml:space="preserve">https://www.funcas.es/wp-content/uploads/Migracion/Articulos/FUNCAS_CIE/228art02.pdf</w:t>
        </w:r>
      </w:hyperlink>
      <w:r>
        <w:t xml:space="preserve">.</w:t>
      </w:r>
    </w:p>
    <w:bookmarkEnd w:id="291"/>
    <w:bookmarkStart w:id="29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92"/>
    <w:bookmarkStart w:id="293"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93"/>
    <w:bookmarkStart w:id="2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94">
        <w:r>
          <w:rPr>
            <w:rStyle w:val="Hyperlink"/>
          </w:rPr>
          <w:t xml:space="preserve">https://doi.org/10.2307/2227743</w:t>
        </w:r>
      </w:hyperlink>
      <w:r>
        <w:t xml:space="preserve">.</w:t>
      </w:r>
    </w:p>
    <w:bookmarkEnd w:id="295"/>
    <w:bookmarkStart w:id="297"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96">
        <w:r>
          <w:rPr>
            <w:rStyle w:val="Hyperlink"/>
          </w:rPr>
          <w:t xml:space="preserve">https://doi.org/10.2307/1910254</w:t>
        </w:r>
      </w:hyperlink>
      <w:r>
        <w:t xml:space="preserve">.</w:t>
      </w:r>
    </w:p>
    <w:bookmarkEnd w:id="297"/>
    <w:bookmarkStart w:id="298"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98"/>
    <w:bookmarkStart w:id="300"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9">
        <w:r>
          <w:rPr>
            <w:rStyle w:val="Hyperlink"/>
          </w:rPr>
          <w:t xml:space="preserve">https://www.nobelprize.org/prizes/economic-sciences/2015/summary/</w:t>
        </w:r>
      </w:hyperlink>
      <w:r>
        <w:t xml:space="preserve">.</w:t>
      </w:r>
    </w:p>
    <w:bookmarkEnd w:id="300"/>
    <w:bookmarkStart w:id="302"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01">
        <w:r>
          <w:rPr>
            <w:rStyle w:val="Hyperlink"/>
          </w:rPr>
          <w:t xml:space="preserve">https://doi.org/10.2307/1911889</w:t>
        </w:r>
      </w:hyperlink>
      <w:r>
        <w:t xml:space="preserve">.</w:t>
      </w:r>
    </w:p>
    <w:bookmarkEnd w:id="302"/>
    <w:bookmarkStart w:id="304"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03">
        <w:r>
          <w:rPr>
            <w:rStyle w:val="Hyperlink"/>
          </w:rPr>
          <w:t xml:space="preserve">https://eur-lex.europa.eu/legal-content/ES/TXT/?uri=CELEX:32013R0549</w:t>
        </w:r>
      </w:hyperlink>
      <w:r>
        <w:t xml:space="preserve">.</w:t>
      </w:r>
    </w:p>
    <w:bookmarkEnd w:id="304"/>
    <w:bookmarkStart w:id="306"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05">
        <w:r>
          <w:rPr>
            <w:rStyle w:val="Hyperlink"/>
          </w:rPr>
          <w:t xml:space="preserve">https://api.bls.gov/publicAPI/v1/timeseries/data/SUUR0000SA0</w:t>
        </w:r>
      </w:hyperlink>
      <w:r>
        <w:t xml:space="preserve">.</w:t>
      </w:r>
    </w:p>
    <w:bookmarkEnd w:id="306"/>
    <w:bookmarkStart w:id="308"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07">
        <w:r>
          <w:rPr>
            <w:rStyle w:val="Hyperlink"/>
          </w:rPr>
          <w:t xml:space="preserve">https://doi.org/10.2307/2525564</w:t>
        </w:r>
      </w:hyperlink>
      <w:r>
        <w:t xml:space="preserve">.</w:t>
      </w:r>
    </w:p>
    <w:bookmarkEnd w:id="308"/>
    <w:bookmarkStart w:id="30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9"/>
    <w:bookmarkStart w:id="310"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10"/>
    <w:bookmarkStart w:id="312"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11">
        <w:r>
          <w:rPr>
            <w:rStyle w:val="Hyperlink"/>
          </w:rPr>
          <w:t xml:space="preserve">https://doi.org/10.1080/01621459.1943.10501775</w:t>
        </w:r>
      </w:hyperlink>
      <w:r>
        <w:t xml:space="preserve">.</w:t>
      </w:r>
    </w:p>
    <w:bookmarkEnd w:id="312"/>
    <w:bookmarkEnd w:id="313"/>
    <w:bookmarkEnd w:id="31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30">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36">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37">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r>
        <w:rPr>
          <w:rStyle w:val="Referenciaatema"/>
        </w:rPr>
        <w:t xml:space="preserve">[ver tema 3.A.21]</w:t>
      </w:r>
      <w:r>
        <w:t xml:space="preserve">.</w:t>
      </w:r>
    </w:p>
  </w:footnote>
  <w:footnote w:id="48">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m:oMath>
        <m:r>
          <m:rPr>
            <m:sty m:val="p"/>
          </m:rPr>
          <m:t>◼</m:t>
        </m:r>
      </m:oMath>
    </w:p>
  </w:footnote>
  <w:footnote w:id="54">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55">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71">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81">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r>
        <w:rPr>
          <w:rStyle w:val="Referenciaatema"/>
        </w:rPr>
        <w:t xml:space="preserve">[ver tema 3.A.11]</w:t>
      </w:r>
      <w:r>
        <w:t xml:space="preserve">.</w:t>
      </w:r>
    </w:p>
  </w:footnote>
  <w:footnote w:id="116">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w:t>
      </w:r>
      <m:oMath>
        <m:r>
          <m:rPr>
            <m:sty m:val="p"/>
          </m:rPr>
          <m:t>◼</m:t>
        </m:r>
      </m:oMath>
      <w:r>
        <w:t xml:space="preserve">La integrabilidad solo restringe de verdad con tres bienes o más.</w:t>
      </w:r>
    </w:p>
  </w:footnote>
  <w:footnote w:id="117">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3">
    <w:p>
      <w:pPr>
        <w:pStyle w:val="FootnoteText"/>
      </w:pPr>
      <w:r>
        <w:rPr>
          <w:rStyle w:val="FootnoteReference"/>
        </w:rPr>
        <w:footnoteRef/>
      </w:r>
    </w:p>
    <w:p>
      <w:pPr>
        <w:pStyle w:val="FootnoteText"/>
      </w:pPr>
      <w:r>
        <w:t xml:space="preserve">Paso a paso, multiplicando los dos lados de (29)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m:oMath>
        <m:r>
          <m:rPr>
            <m:sty m:val="p"/>
          </m:rPr>
          <m:t>◼</m:t>
        </m:r>
      </m:oMath>
    </w:p>
  </w:footnote>
  <w:footnote w:id="129">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42">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 w:id="157">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m:oMath>
        <m:r>
          <m:rPr>
            <m:sty m:val="p"/>
          </m:rPr>
          <m:t>◼</m:t>
        </m:r>
      </m:oMath>
    </w:p>
  </w:footnote>
  <w:footnote w:id="158">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m:oMath>
        <m:r>
          <m:rPr>
            <m:sty m:val="p"/>
          </m:rPr>
          <m:t>◼</m:t>
        </m:r>
      </m:oMath>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56" Target="media/rId56.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159" Target="media/rId159.png" /><Relationship Type="http://schemas.openxmlformats.org/officeDocument/2006/relationships/image" Id="rId66" Target="media/rId66.png" /><Relationship Type="http://schemas.openxmlformats.org/officeDocument/2006/relationships/image" Id="rId31" Target="media/rId31.png" /><Relationship Type="http://schemas.openxmlformats.org/officeDocument/2006/relationships/image" Id="rId118" Target="media/rId118.png" /><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2026-10-17T14:12:46Z</dcterms:created>
  <dcterms:modified xsi:type="dcterms:W3CDTF">2026-10-17T14:12:46Z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3A09</vt:lpwstr>
  </property>
  <property fmtid="{D5CDD505-2E9C-101B-9397-08002B2CF9AE}" pid="4" name="bibliography">
    <vt:lpwstr>C:\Users\vgutierrez\Documents\src\victorgutierrezmarcos.github.io-revision\oposicion\temario\fuentes\3A09\3A09.bib</vt:lpwstr>
  </property>
  <property fmtid="{D5CDD505-2E9C-101B-9397-08002B2CF9AE}" pid="5" name="carpeta">
    <vt:lpwstr>tercer-ejercicio</vt:lpwstr>
  </property>
  <property fmtid="{D5CDD505-2E9C-101B-9397-08002B2CF9AE}" pid="6" name="codigo">
    <vt:lpwstr>3.A.9</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17/10/2026</vt:lpwstr>
  </property>
  <property fmtid="{D5CDD505-2E9C-101B-9397-08002B2CF9AE}" pid="9" name="ejercicio">
    <vt:lpwstr>Tercer ejercicio</vt:lpwstr>
  </property>
  <property fmtid="{D5CDD505-2E9C-101B-9397-08002B2CF9AE}" pid="10" name="fecha">
    <vt:lpwstr>17/10/2026</vt:lpwstr>
  </property>
  <property fmtid="{D5CDD505-2E9C-101B-9397-08002B2CF9AE}" pid="11" name="fecha-cita">
    <vt:lpwstr>2026/10/17</vt:lpwstr>
  </property>
  <property fmtid="{D5CDD505-2E9C-101B-9397-08002B2CF9AE}" pid="12" name="fecha-iso">
    <vt:lpwstr>2026-10-17</vt:lpwstr>
  </property>
  <property fmtid="{D5CDD505-2E9C-101B-9397-08002B2CF9AE}" pid="13" name="graficos-docx">
    <vt:lpwstr>C:\Users\vgutierrez\Documents\src\victorgutierrezmarcos.github.io-revision\oposicion\temario\fuentes\3A09\graficos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5 · Bibliografía: 4</vt:lpwstr>
  </property>
  <property fmtid="{D5CDD505-2E9C-101B-9397-08002B2CF9AE}" pid="17"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18" name="reference-section-title">
    <vt:lpwstr>Bibliografía</vt:lpwstr>
  </property>
  <property fmtid="{D5CDD505-2E9C-101B-9397-08002B2CF9AE}" pid="19" name="resumen">
    <vt:lpwstr>Demanda hicksiana, función de gasto, lema de Shephard e identidad de Roy, integrabilidad, sistemas de demanda (AIDS, Rotterdam) y variación compensatoria.</vt:lpwstr>
  </property>
  <property fmtid="{D5CDD505-2E9C-101B-9397-08002B2CF9AE}" pid="20" name="titulo">
    <vt:lpwstr>Teoría de la demanda del consumidor (II). Dualidad e integrabilidad de las preferencias. Sistemas de demanda utilizados en estudios empíricos. Medidas de cambio en el bienestar.</vt:lpwstr>
  </property>
  <property fmtid="{D5CDD505-2E9C-101B-9397-08002B2CF9AE}" pid="21" name="titulo-seo">
    <vt:lpwstr>Dualidad del consumidor y medidas de bienestar</vt:lpwstr>
  </property>
</Properties>
</file>