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117.png" ContentType="image/png"/>
  <Override PartName="/word/media/rId195.png" ContentType="image/png"/>
  <Override PartName="/word/media/rId166.png" ContentType="image/png"/>
  <Override PartName="/word/media/rId49.png" ContentType="image/png"/>
  <Override PartName="/word/media/rId83.png" ContentType="image/png"/>
  <Override PartName="/word/media/rId105.png" ContentType="image/png"/>
  <Override PartName="/word/media/rId190.png" ContentType="image/png"/>
  <Override PartName="/word/media/rId126.png" ContentType="image/png"/>
  <Override PartName="/word/media/rId161.png" ContentType="image/png"/>
  <Override PartName="/word/media/rId135.png" ContentType="image/png"/>
  <Override PartName="/word/media/rId70.png" ContentType="image/png"/>
  <Override PartName="/word/media/rId61.png" ContentType="image/png"/>
  <Override PartName="/word/media/rId143.png" ContentType="image/png"/>
  <Override PartName="/word/media/rId41.png" ContentType="image/png"/>
  <Override PartName="/word/media/rId173.png" ContentType="image/png"/>
  <Override PartName="/word/media/rId205.png" ContentType="image/png"/>
  <Override PartName="/word/media/rId9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17/10/2026</w:t>
      </w:r>
    </w:p>
    <w:p>
      <w:pPr>
        <w:pStyle w:val="Paginasdeltema"/>
      </w:pPr>
      <w:r>
        <w:t xml:space="preserve">Tema: 36 págs. · Anexos: 8 · Bibliografía: 3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r>
        <w:rPr>
          <w:rStyle w:val="Referenciaatema"/>
        </w:rPr>
        <w:t xml:space="preserve">[ver tema 3.A.8]</w:t>
      </w:r>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w:t>
      </w:r>
      <w:r>
        <w:t xml:space="preserve"> </w:t>
      </w:r>
      <w:r>
        <w:rPr>
          <w:rStyle w:val="Referenciaatema"/>
        </w:rPr>
        <w:t xml:space="preserve">[ver tema 3.A.8]</w:t>
      </w:r>
      <w:r>
        <w:t xml:space="preserve">, y los productores transforman factores en productos con la tecnología disponible y al menor coste posible</w:t>
      </w:r>
      <w:r>
        <w:t xml:space="preserve"> </w:t>
      </w:r>
      <w:r>
        <w:rPr>
          <w:rStyle w:val="Referenciaatema"/>
        </w:rPr>
        <w:t xml:space="preserve">[ver tema 3.A.11]</w:t>
      </w:r>
      <w:r>
        <w:t xml:space="preserve"> </w:t>
      </w:r>
      <w:r>
        <w:rPr>
          <w:rStyle w:val="Referenciaatema"/>
        </w:rPr>
        <w:t xml:space="preserve">[ver tema 3.A.12]</w:t>
      </w:r>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2"/>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la pérdida de eficiencia del monopolio o del oligopolio se mide como distancia al equilibrio competitivo. Es también la versión más sencilla del primer teorema fundamental de la economía del bienestar</w:t>
      </w:r>
      <w:r>
        <w:t xml:space="preserve"> </w:t>
      </w:r>
      <w:r>
        <w:rPr>
          <w:rStyle w:val="Referenciaatema"/>
        </w:rPr>
        <w:t xml:space="preserve">[ver tema 3.A.22]</w:t>
      </w:r>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r>
        <w:rPr>
          <w:rStyle w:val="Referenciaatema"/>
        </w:rPr>
        <w:t xml:space="preserve">[ver tema 4.A.15]</w:t>
      </w:r>
      <w:r>
        <w:t xml:space="preserve"> </w:t>
      </w:r>
      <w:r>
        <w:t xml:space="preserve">y el punto de partida para saber quién soporta un impuesto y cuánto bienestar destruye</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w:t>
      </w:r>
      <w:r>
        <w:rPr>
          <w:rStyle w:val="Referenciaatema"/>
        </w:rPr>
        <w:t xml:space="preserve">[ver tema 3.A.2]</w:t>
      </w:r>
      <w:r>
        <w:t xml:space="preserve">. Las herramientas llegan con los precursores del marginalismo:</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estudia todos los mercados a la vez</w:t>
      </w:r>
      <w:r>
        <w:t xml:space="preserve"> </w:t>
      </w:r>
      <w:r>
        <w:rPr>
          <w:rStyle w:val="Referenciaatema"/>
        </w:rPr>
        <w:t xml:space="preserve">[ver tema 3.A.21]</w:t>
      </w:r>
      <w:r>
        <w:t xml:space="preserve">, y Alfred</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r>
        <w:rPr>
          <w:rStyle w:val="Referenciaatema"/>
        </w:rPr>
        <w:t xml:space="preserve">[ver tema 3.A.3]</w:t>
      </w:r>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r>
        <w:rPr>
          <w:rStyle w:val="Referenciaatema"/>
        </w:rPr>
        <w:t xml:space="preserve">[ver tema 3.A.12]</w:t>
      </w:r>
      <w:r>
        <w:t xml:space="preserve">; las dinámicas de ajuste, con el modelo de la telaraña</w:t>
      </w:r>
      <w:r>
        <w:t xml:space="preserve"> </w:t>
      </w:r>
      <w:r>
        <w:t xml:space="preserve">(</w:t>
      </w:r>
      <w:hyperlink w:anchor="ref-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5 rasgos de la competencia perfecta;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w:t>
      </w:r>
      <w:r>
        <w:rPr>
          <w:smallCaps/>
        </w:rPr>
        <w:t xml:space="preserve">Marshall</w:t>
      </w:r>
      <w:r>
        <w:t xml:space="preserve">: periodo de mercado, corto y largo plazo)</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(idea de los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23"/>
    <w:bookmarkStart w:id="55" w:name="X7381ab0a9d9824c0661231bda6db6ac08494b82"/>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III el número de empresas está fijo.</w:t>
      </w:r>
    </w:p>
    <w:p>
      <w:pPr>
        <w:pStyle w:val="Notaalopositor"/>
      </w:pPr>
      <w:r>
        <w:rPr>
          <w:b/>
          <w:bCs/>
        </w:rPr>
        <w:t xml:space="preserve">Nota al opositor. </w:t>
      </w:r>
      <w:r>
        <w:t xml:space="preserve">En el cante de I (8′30″): qué es la competencia perfecta y por qué un mercado aislado, con la cita del corral de</w:t>
      </w:r>
      <w:r>
        <w:t xml:space="preserve"> </w:t>
      </w:r>
      <w:r>
        <w:rPr>
          <w:smallCaps/>
        </w:rPr>
        <w:t xml:space="preserve">Marshall</w:t>
      </w:r>
      <w:r>
        <w:t xml:space="preserve"> </w:t>
      </w:r>
      <w:r>
        <w:t xml:space="preserve">y el numerario (1′30″); los supuestos en una lista corta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26" w:name="idea"/>
    <w:p>
      <w:pPr>
        <w:pStyle w:val="Heading2"/>
      </w:pPr>
      <w:r>
        <w:t xml:space="preserve">I.1.</w:t>
      </w:r>
      <w:r>
        <w:t xml:space="preserve"> </w:t>
      </w:r>
      <w:r>
        <w:t xml:space="preserve">Idea</w:t>
      </w:r>
    </w:p>
    <w:p>
      <w:pPr>
        <w:keepNext/>
        <w:numPr>
          <w:ilvl w:val="0"/>
          <w:numId w:val="1009"/>
        </w:numPr>
      </w:pPr>
      <w:r>
        <w:rPr>
          <w:i/>
          <w:iCs/>
        </w:rPr>
        <w:t xml:space="preserve">Qué es la competencia perfecta</w:t>
      </w:r>
      <w:r>
        <w:t xml:space="preserve">: un mercado en el que ningún agente tiene poder sobre el precio. El modelo descansa en 5 rasgos:</w:t>
      </w:r>
    </w:p>
    <w:p>
      <w:pPr>
        <w:numPr>
          <w:ilvl w:val="1"/>
          <w:numId w:val="1010"/>
        </w:numPr>
      </w:pPr>
      <w:r>
        <w:rPr>
          <w:i/>
          <w:iCs/>
        </w:rPr>
        <w:t xml:space="preserve">agentes racionales</w:t>
      </w:r>
      <w:r>
        <w:t xml:space="preserve">: los consumidores maximizan su utilidad y las empresas, su beneficio;</w:t>
      </w:r>
    </w:p>
    <w:p>
      <w:pPr>
        <w:numPr>
          <w:ilvl w:val="1"/>
          <w:numId w:val="1010"/>
        </w:numPr>
      </w:pPr>
      <w:r>
        <w:rPr>
          <w:i/>
          <w:iCs/>
        </w:rPr>
        <w:t xml:space="preserve">información perfecta</w:t>
      </w:r>
      <w:r>
        <w:t xml:space="preserve">: no es incompleta ni asimétrica; los consumidores conocen las características del producto y las empresas, su tecnología y el precio;</w:t>
      </w:r>
      <w:r>
        <w:rPr>
          <w:rStyle w:val="FootnoteReference"/>
        </w:rPr>
        <w:footnoteReference w:id="24"/>
      </w:r>
    </w:p>
    <w:p>
      <w:pPr>
        <w:numPr>
          <w:ilvl w:val="1"/>
          <w:numId w:val="1010"/>
        </w:numPr>
      </w:pPr>
      <w:r>
        <w:rPr>
          <w:i/>
          <w:iCs/>
        </w:rPr>
        <w:t xml:space="preserve">producto homogéneo</w:t>
      </w:r>
      <w:r>
        <w:t xml:space="preserve">: los consumidores ven como sustitutivos perfectos las unidades de todas las empresas, de modo que solo les importa el precio;</w:t>
      </w:r>
    </w:p>
    <w:p>
      <w:pPr>
        <w:numPr>
          <w:ilvl w:val="1"/>
          <w:numId w:val="1010"/>
        </w:numPr>
      </w:pPr>
      <w:r>
        <w:rPr>
          <w:i/>
          <w:iCs/>
        </w:rPr>
        <w:t xml:space="preserve">atomicidad</w:t>
      </w:r>
      <w:r>
        <w:t xml:space="preserve">: hay muchos compradores y muchos vendedores, cada uno pequeño respecto al mercado, y sus decisiones individuales no mueven el precio: todos son</w:t>
      </w:r>
      <w:r>
        <w:t xml:space="preserve"> </w:t>
      </w:r>
      <w:r>
        <w:rPr>
          <w:b/>
          <w:bCs/>
        </w:rPr>
        <w:t xml:space="preserve">precio-aceptantes</w:t>
      </w:r>
      <w:r>
        <w:t xml:space="preserve">. El precio lo determinan las decisiones de todos juntos, no las de ninguno en particular;</w:t>
      </w:r>
    </w:p>
    <w:p>
      <w:pPr>
        <w:numPr>
          <w:ilvl w:val="1"/>
          <w:numId w:val="1010"/>
        </w:numPr>
      </w:pPr>
      <w:r>
        <w:rPr>
          <w:i/>
          <w:iCs/>
        </w:rPr>
        <w:t xml:space="preserve">libre entrada y salida a largo plazo</w:t>
      </w:r>
      <w:r>
        <w:t xml:space="preserve">: si hay beneficios extraordinarios, entran empresas hasta agotarlos, y si hay pérdidas, salen.</w:t>
      </w:r>
    </w:p>
    <w:p>
      <w:pPr>
        <w:keepNext/>
        <w:numPr>
          <w:ilvl w:val="0"/>
          <w:numId w:val="1009"/>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25"/>
      </w:r>
      <w:r>
        <w:t xml:space="preserve"> </w:t>
      </w:r>
      <w:r>
        <w:t xml:space="preserve">Se justifica cuando el mercado es pequeño respecto al conjunto de la economía:</w:t>
      </w:r>
    </w:p>
    <w:p>
      <w:pPr>
        <w:numPr>
          <w:ilvl w:val="1"/>
          <w:numId w:val="1011"/>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1"/>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09"/>
        </w:numPr>
      </w:pPr>
      <w:r>
        <w:t xml:space="preserve">No es renunciar a la interdependencia, sino ir por pasos.</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09"/>
        </w:numPr>
      </w:pPr>
      <w:r>
        <w:rPr>
          <w:i/>
          <w:iCs/>
        </w:rPr>
        <w:t xml:space="preserve">Cómo se modeliza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2"/>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2"/>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09"/>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r>
        <w:rPr>
          <w:rStyle w:val="Referenciaatema"/>
        </w:rPr>
        <w:t xml:space="preserve">[ver tema 3.A.21]</w:t>
      </w:r>
      <w:r>
        <w:t xml:space="preserve">. Los 2 enfoques no se oponen: con utilidad cuasilineal, el equilibrio general de esta economía con numerario coincide con el equilibrio parcial del mercado del bien (anexo D).</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r>
        <w:rPr>
          <w:rStyle w:val="Referenciaatema"/>
        </w:rPr>
        <w:t xml:space="preserve">[ver tema 3.A.21]</w:t>
      </w:r>
      <w:r>
        <w:t xml:space="preserve">. Conviene decirlo en el cante para que el equilibrio parcial no parezca un equilibrio general con un solo mercado.</w:t>
      </w:r>
    </w:p>
    <w:bookmarkEnd w:id="26"/>
    <w:bookmarkStart w:id="54" w:name="modelo"/>
    <w:p>
      <w:pPr>
        <w:pStyle w:val="Heading2"/>
      </w:pPr>
      <w:r>
        <w:t xml:space="preserve">I.2.</w:t>
      </w:r>
      <w:r>
        <w:t xml:space="preserve"> </w:t>
      </w:r>
      <w:r>
        <w:t xml:space="preserve">Modelo</w:t>
      </w:r>
    </w:p>
    <w:bookmarkStart w:id="28" w:name="i-supuestos"/>
    <w:p>
      <w:pPr>
        <w:pStyle w:val="Heading4"/>
      </w:pPr>
      <w:r>
        <w:t xml:space="preserve">i) Supuestos</w:t>
      </w:r>
    </w:p>
    <w:p>
      <w:pPr>
        <w:pStyle w:val="FirstParagraph"/>
        <w:keepNext/>
      </w:pPr>
      <w:r>
        <w:t xml:space="preserve">Una vez justificado el enfoque, describimos la economía. Los 5 rasgos de I.1 se traducen así en el modelo:</w:t>
      </w:r>
    </w:p>
    <w:p>
      <w:pPr>
        <w:numPr>
          <w:ilvl w:val="0"/>
          <w:numId w:val="1013"/>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(producto homogéneo e información perfecta).</w:t>
      </w:r>
    </w:p>
    <w:p>
      <w:pPr>
        <w:keepNext/>
        <w:numPr>
          <w:ilvl w:val="0"/>
          <w:numId w:val="1013"/>
        </w:numPr>
      </w:pPr>
      <w:r>
        <w:rPr>
          <w:b/>
          <w:bCs/>
        </w:rPr>
        <w:t xml:space="preserve">Agentes precio-aceptantes</w:t>
      </w:r>
      <w:r>
        <w:t xml:space="preserve"> </w:t>
      </w:r>
      <w:r>
        <w:t xml:space="preserve">(atomicidad), que optimizan (racionalidad):</w:t>
      </w:r>
    </w:p>
    <w:p>
      <w:pPr>
        <w:numPr>
          <w:ilvl w:val="1"/>
          <w:numId w:val="1014"/>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27"/>
      </w:r>
    </w:p>
    <w:p>
      <w:pPr>
        <w:numPr>
          <w:ilvl w:val="1"/>
          <w:numId w:val="1014"/>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3"/>
        </w:numPr>
      </w:pPr>
      <w:r>
        <w:rPr>
          <w:b/>
          <w:bCs/>
        </w:rPr>
        <w:t xml:space="preserve">Número de empresas fijo y todos los factores variables</w:t>
      </w:r>
      <w:r>
        <w:t xml:space="preserve">: en los bloques I y II no hay entrada ni salida y no hay costes hundidos. Es el largo plazo sin libre entrada; el corto plazo y la libre entrada, el quinto rasgo, se estudian en el bloque III. Por eso la oferta de mercado de I y II no es perfectamente elástica.</w:t>
      </w:r>
    </w:p>
    <w:bookmarkEnd w:id="28"/>
    <w:bookmarkStart w:id="47" w:name="ii-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38" w:name="X9fc0444852c2964da4c7f3b2b66f4564265650e"/>
    <w:p>
      <w:pPr>
        <w:pStyle w:val="Heading5"/>
      </w:pPr>
      <w:r>
        <w:t xml:space="preserve">Consumidores: curva de demanda individual y de mercado</w:t>
      </w:r>
    </w:p>
    <w:p>
      <w:pPr>
        <w:numPr>
          <w:ilvl w:val="0"/>
          <w:numId w:val="1015"/>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r>
        <w:rPr>
          <w:rStyle w:val="Referenciaatema"/>
        </w:rPr>
        <w:t xml:space="preserve">[ver tema 3.A.8]</w:t>
      </w:r>
      <w:r>
        <w:t xml:space="preserve">,</w:t>
      </w:r>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29"/>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30"/>
      </w:r>
    </w:p>
    <w:p>
      <w:pPr>
        <w:numPr>
          <w:ilvl w:val="0"/>
          <w:numId w:val="1015"/>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5"/>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31"/>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6"/>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r>
        <w:rPr>
          <w:rStyle w:val="Referenciaatema"/>
        </w:rPr>
        <w:t xml:space="preserve">[ver tema 3.A.8]</w:t>
      </w:r>
      <w:r>
        <w:t xml:space="preserve">. Sin efecto renta, coincide con la hicksiana</w:t>
      </w:r>
      <w:r>
        <w:t xml:space="preserve"> </w:t>
      </w:r>
      <w:r>
        <w:rPr>
          <w:rStyle w:val="Referenciaatema"/>
        </w:rPr>
        <w:t xml:space="preserve">[ver tema 3.A.9]</w:t>
      </w:r>
      <w:r>
        <w:t xml:space="preserve">.</w:t>
      </w:r>
      <w:r>
        <w:rPr>
          <w:rStyle w:val="FootnoteReference"/>
        </w:rPr>
        <w:footnoteReference w:id="32"/>
      </w:r>
    </w:p>
    <w:p>
      <w:pPr>
        <w:numPr>
          <w:ilvl w:val="1"/>
          <w:numId w:val="1016"/>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5"/>
        </w:numPr>
      </w:pPr>
      <w:r>
        <w:rPr>
          <w:b/>
          <w:bCs/>
        </w:rPr>
        <w:t xml:space="preserve">Demanda de mercado</w:t>
      </w:r>
      <w:r>
        <w:t xml:space="preserve">: la suma horizontal de las individuales (gráfico 1): a cada precio se suman las cantidades que compra cada consumidor,</w:t>
      </w:r>
      <w:r>
        <w:rPr>
          <w:rStyle w:val="FootnoteReference"/>
        </w:rPr>
        <w:footnoteReference w:id="33"/>
      </w:r>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5"/>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37" w:name="fig:agregacion-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35" name="Picture"/>
            <a:graphic>
              <a:graphicData uri="http://schemas.openxmlformats.org/drawingml/2006/picture">
                <pic:pic>
                  <pic:nvPicPr>
                    <pic:cNvPr descr="C:\Users\vgutierrez\Documents\src\victorgutierrezmarcos.github.io-revision\oposicion\temario\fuentes\3A16\graficos/agregacion-demanda.png" id="36" name="Picture"/>
                    <pic:cNvPicPr>
                      <a:picLocks noChangeArrowheads="1" noChangeAspect="1"/>
                    </pic:cNvPicPr>
                  </pic:nvPicPr>
                  <pic:blipFill>
                    <a:blip r:embed="rId34"/>
                    <a:stretch>
                      <a:fillRect/>
                    </a:stretch>
                  </pic:blipFill>
                  <pic:spPr bwMode="auto">
                    <a:xfrm>
                      <a:off x="0" y="0"/>
                      <a:ext cx="5073650" cy="1713792"/>
                    </a:xfrm>
                    <a:prstGeom prst="rect">
                      <a:avLst/>
                    </a:prstGeom>
                    <a:noFill/>
                    <a:ln w="9525">
                      <a:noFill/>
                      <a:headEnd/>
                      <a:tailEnd/>
                    </a:ln>
                  </pic:spPr>
                </pic:pic>
              </a:graphicData>
            </a:graphic>
          </wp:inline>
        </w:drawing>
      </w:r>
    </w:p>
    <w:bookmarkEnd w:id="3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38"/>
    <w:bookmarkStart w:id="46" w:name="X263f96a3e288f3f6d8f4ddc285f5a100a9a10d2"/>
    <w:p>
      <w:pPr>
        <w:pStyle w:val="Heading5"/>
      </w:pPr>
      <w:r>
        <w:t xml:space="preserve">Productores: curva de oferta individual y de mercado</w:t>
      </w:r>
    </w:p>
    <w:p>
      <w:pPr>
        <w:numPr>
          <w:ilvl w:val="0"/>
          <w:numId w:val="1017"/>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r>
        <w:rPr>
          <w:rStyle w:val="Referenciaatema"/>
        </w:rPr>
        <w:t xml:space="preserve">[ver tema 3.A.11]</w:t>
      </w:r>
      <w:r>
        <w:t xml:space="preserve">. Elige su producción en</w:t>
      </w:r>
      <w:r>
        <w:t xml:space="preserve"> </w:t>
      </w:r>
      <w:r>
        <w:rPr>
          <w:b/>
          <w:bCs/>
        </w:rPr>
        <w:t xml:space="preserve">2 etapas</w:t>
      </w:r>
      <w:r>
        <w:t xml:space="preserve"> </w:t>
      </w:r>
      <w:r>
        <w:rPr>
          <w:rStyle w:val="Referenciaatema"/>
        </w:rPr>
        <w:t xml:space="preserve">[ver tema 3.A.12]</w:t>
      </w:r>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39"/>
      </w:r>
      <w:r>
        <w:t xml:space="preserve"> </w:t>
      </w:r>
      <w:r>
        <w:t xml:space="preserve">Después elige la producción que maximiza el beneficio.</w:t>
      </w:r>
    </w:p>
    <w:p>
      <w:pPr>
        <w:numPr>
          <w:ilvl w:val="0"/>
          <w:numId w:val="1017"/>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40"/>
      </w:r>
    </w:p>
    <w:p>
      <w:pPr>
        <w:numPr>
          <w:ilvl w:val="0"/>
          <w:numId w:val="1017"/>
        </w:numPr>
      </w:pPr>
      <w:r>
        <w:rPr>
          <w:i/>
          <w:iCs/>
        </w:rPr>
        <w:t xml:space="preserve">Problema</w:t>
      </w:r>
      <w:r>
        <w:t xml:space="preserve">: dado el precio, la empresa elige la producción que maximiza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7"/>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r>
        <w:rPr>
          <w:rStyle w:val="Referenciaatema"/>
        </w:rPr>
        <w:t xml:space="preserve">[ver tema 3.A.17]</w:t>
      </w:r>
      <w:r>
        <w:t xml:space="preserve">.</w:t>
      </w:r>
    </w:p>
    <w:p>
      <w:pPr>
        <w:numPr>
          <w:ilvl w:val="0"/>
          <w:numId w:val="1017"/>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7"/>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 I y II,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 III.1).</w:t>
      </w:r>
    </w:p>
    <w:p>
      <w:pPr>
        <w:numPr>
          <w:ilvl w:val="1"/>
          <w:numId w:val="1018"/>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8"/>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2). Este salto es el que pone en riesgo la existencia del equilibrio (II.1.1) y el que fija el tamaño de las empresas con libre entrada (III.3). Los casos según la forma de los costes están en el anexo B.</w:t>
      </w:r>
    </w:p>
    <w:p>
      <w:pPr>
        <w:numPr>
          <w:ilvl w:val="0"/>
          <w:numId w:val="1017"/>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44" w:name="fig:oferta-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42" name="Picture"/>
            <a:graphic>
              <a:graphicData uri="http://schemas.openxmlformats.org/drawingml/2006/picture">
                <pic:pic>
                  <pic:nvPicPr>
                    <pic:cNvPr descr="C:\Users\vgutierrez\Documents\src\victorgutierrezmarcos.github.io-revision\oposicion\temario\fuentes\3A16\graficos/oferta-empresa.png" id="43" name="Picture"/>
                    <pic:cNvPicPr>
                      <a:picLocks noChangeArrowheads="1" noChangeAspect="1"/>
                    </pic:cNvPicPr>
                  </pic:nvPicPr>
                  <pic:blipFill>
                    <a:blip r:embed="rId41"/>
                    <a:stretch>
                      <a:fillRect/>
                    </a:stretch>
                  </pic:blipFill>
                  <pic:spPr bwMode="auto">
                    <a:xfrm>
                      <a:off x="0" y="0"/>
                      <a:ext cx="3282950" cy="2410267"/>
                    </a:xfrm>
                    <a:prstGeom prst="rect">
                      <a:avLst/>
                    </a:prstGeom>
                    <a:noFill/>
                    <a:ln w="9525">
                      <a:noFill/>
                      <a:headEnd/>
                      <a:tailEnd/>
                    </a:ln>
                  </pic:spPr>
                </pic:pic>
              </a:graphicData>
            </a:graphic>
          </wp:inline>
        </w:drawing>
      </w:r>
    </w:p>
    <w:bookmarkEnd w:id="4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p>
      <w:pPr>
        <w:numPr>
          <w:ilvl w:val="0"/>
          <w:numId w:val="1019"/>
        </w:numPr>
      </w:pPr>
      <w:r>
        <w:rPr>
          <w:b/>
          <w:bCs/>
        </w:rPr>
        <w:t xml:space="preserve">Oferta de mercado</w:t>
      </w:r>
      <w:r>
        <w:t xml:space="preserve">: la suma horizontal de las individuales (gráfico 3, izquierda),</w:t>
      </w:r>
      <w:r>
        <w:rPr>
          <w:rStyle w:val="FootnoteReference"/>
        </w:rPr>
        <w:footnoteReference w:id="45"/>
      </w:r>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19"/>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46"/>
    <w:bookmarkEnd w:id="47"/>
    <w:bookmarkStart w:id="53" w:name="X77dcd809b4c944edf6d3939720790bc5087a316"/>
    <w:p>
      <w:pPr>
        <w:pStyle w:val="Heading4"/>
      </w:pPr>
      <w:r>
        <w:t xml:space="preserve">iii) Implicaciones: el equilibrio competitivo</w:t>
      </w:r>
    </w:p>
    <w:p>
      <w:pPr>
        <w:numPr>
          <w:ilvl w:val="0"/>
          <w:numId w:val="1020"/>
        </w:numPr>
      </w:pPr>
      <w:r>
        <w:t xml:space="preserve">Las curvas de demanda y de oferta dicen qué haría cada agente a cada precio. Falta saber qué precio se forma y qué se produce y consume: lo dice el concepto de equilibrio.</w:t>
      </w:r>
    </w:p>
    <w:p>
      <w:pPr>
        <w:keepNext/>
        <w:numPr>
          <w:ilvl w:val="0"/>
          <w:numId w:val="1020"/>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1"/>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1"/>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1"/>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0"/>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2"/>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48"/>
      </w:r>
    </w:p>
    <w:p>
      <w:pPr>
        <w:numPr>
          <w:ilvl w:val="0"/>
          <w:numId w:val="1020"/>
        </w:numPr>
      </w:pPr>
      <w:r>
        <w:rPr>
          <w:i/>
          <w:iCs/>
        </w:rPr>
        <w:t xml:space="preserve">Interpretación gráfica</w:t>
      </w:r>
      <w:r>
        <w:t xml:space="preserve">: el equilibrio es el corte de la demanda y la oferta de mercado (gráfico 3,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(II.2).</w:t>
      </w:r>
    </w:p>
    <w:bookmarkStart w:id="52" w:name="fig: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50" name="Picture"/>
            <a:graphic>
              <a:graphicData uri="http://schemas.openxmlformats.org/drawingml/2006/picture">
                <pic:pic>
                  <pic:nvPicPr>
                    <pic:cNvPr descr="C:\Users\vgutierrez\Documents\src\victorgutierrezmarcos.github.io-revision\oposicion\temario\fuentes\3A16\graficos/equilibrio.png" id="51" name="Picture"/>
                    <pic:cNvPicPr>
                      <a:picLocks noChangeArrowheads="1" noChangeAspect="1"/>
                    </pic:cNvPicPr>
                  </pic:nvPicPr>
                  <pic:blipFill>
                    <a:blip r:embed="rId49"/>
                    <a:stretch>
                      <a:fillRect/>
                    </a:stretch>
                  </pic:blipFill>
                  <pic:spPr bwMode="auto">
                    <a:xfrm>
                      <a:off x="0" y="0"/>
                      <a:ext cx="4825830" cy="1929720"/>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numPr>
          <w:ilvl w:val="0"/>
          <w:numId w:val="1023"/>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53"/>
    <w:bookmarkEnd w:id="54"/>
    <w:bookmarkEnd w:id="55"/>
    <w:bookmarkStart w:id="134" w:name="X37e5b3a08ef21cf40eefaa0bbf103ad8c5a4f89"/>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4"/>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4"/>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 II (12′):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01" w:name="análisis-positivo-del-equilibrio"/>
    <w:p>
      <w:pPr>
        <w:pStyle w:val="Heading2"/>
      </w:pPr>
      <w:r>
        <w:t xml:space="preserve">II.1.</w:t>
      </w:r>
      <w:r>
        <w:t xml:space="preserve"> </w:t>
      </w:r>
      <w:r>
        <w:t xml:space="preserve">Análisis positivo del equilibrio</w:t>
      </w:r>
    </w:p>
    <w:p>
      <w:pPr>
        <w:keepNext/>
        <w:numPr>
          <w:ilvl w:val="0"/>
          <w:numId w:val="1025"/>
        </w:numPr>
      </w:pPr>
      <w:r>
        <w:rPr>
          <w:i/>
          <w:iCs/>
        </w:rPr>
        <w:t xml:space="preserve">Las 3 preguntas</w:t>
      </w:r>
      <w:r>
        <w:t xml:space="preserve">, cada una presupone la anterior:</w:t>
      </w:r>
    </w:p>
    <w:p>
      <w:pPr>
        <w:numPr>
          <w:ilvl w:val="1"/>
          <w:numId w:val="1026"/>
        </w:numPr>
      </w:pPr>
      <w:r>
        <w:rPr>
          <w:b/>
          <w:bCs/>
        </w:rPr>
        <w:t xml:space="preserve">existencia</w:t>
      </w:r>
      <w:r>
        <w:t xml:space="preserve">: ¿hay algún precio que vacíe el mercado? Si no, el modelo no describe nada;</w:t>
      </w:r>
    </w:p>
    <w:p>
      <w:pPr>
        <w:numPr>
          <w:ilvl w:val="1"/>
          <w:numId w:val="1026"/>
        </w:numPr>
      </w:pPr>
      <w:r>
        <w:rPr>
          <w:b/>
          <w:bCs/>
        </w:rPr>
        <w:t xml:space="preserve">unicidad</w:t>
      </w:r>
      <w:r>
        <w:t xml:space="preserve">: ¿hay solo uno? Si hay varios, el modelo no predice cuál se alcanza y la estática comparativa pierde sentido;</w:t>
      </w:r>
    </w:p>
    <w:p>
      <w:pPr>
        <w:numPr>
          <w:ilvl w:val="1"/>
          <w:numId w:val="1026"/>
        </w:numPr>
      </w:pPr>
      <w:r>
        <w:rPr>
          <w:b/>
          <w:bCs/>
        </w:rPr>
        <w:t xml:space="preserve">estabilidad</w:t>
      </w:r>
      <w:r>
        <w:t xml:space="preserve">: si el mercado está fuera del equilibrio, ¿lo llevan a él las fuerzas del mercado? Un equilibrio inestable es una curiosidad matemática.</w:t>
      </w:r>
    </w:p>
    <w:bookmarkStart w:id="66" w:name="existencia"/>
    <w:p>
      <w:pPr>
        <w:pStyle w:val="Heading3"/>
      </w:pPr>
      <w:r>
        <w:t xml:space="preserve">II.1.1.</w:t>
      </w:r>
      <w:r>
        <w:t xml:space="preserve"> </w:t>
      </w:r>
      <w:r>
        <w:t xml:space="preserve">Existencia</w:t>
      </w:r>
    </w:p>
    <w:bookmarkStart w:id="56" w:name="a-idea"/>
    <w:p>
      <w:pPr>
        <w:pStyle w:val="Heading4"/>
      </w:pPr>
      <w:r>
        <w:t xml:space="preserve">a) Idea</w:t>
      </w:r>
    </w:p>
    <w:p>
      <w:pPr>
        <w:numPr>
          <w:ilvl w:val="0"/>
          <w:numId w:val="1027"/>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56"/>
    <w:bookmarkStart w:id="60" w:name="b-modelo"/>
    <w:p>
      <w:pPr>
        <w:pStyle w:val="Heading4"/>
      </w:pPr>
      <w:r>
        <w:t xml:space="preserve">b) Modelo</w:t>
      </w:r>
    </w:p>
    <w:bookmarkStart w:id="57" w:name="i-supuestos-1"/>
    <w:p>
      <w:pPr>
        <w:pStyle w:val="Heading5"/>
      </w:pPr>
      <w:r>
        <w:t xml:space="preserve">i) Supuestos</w:t>
      </w:r>
    </w:p>
    <w:p>
      <w:pPr>
        <w:numPr>
          <w:ilvl w:val="0"/>
          <w:numId w:val="1028"/>
        </w:numPr>
      </w:pPr>
      <w:r>
        <w:t xml:space="preserve">Los de I.2:</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8"/>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57"/>
    <w:bookmarkStart w:id="58" w:name="ii-desarrollo-1"/>
    <w:p>
      <w:pPr>
        <w:pStyle w:val="Heading5"/>
      </w:pPr>
      <w:r>
        <w:t xml:space="preserve">ii) Desarrollo</w:t>
      </w:r>
    </w:p>
    <w:p>
      <w:pPr>
        <w:numPr>
          <w:ilvl w:val="0"/>
          <w:numId w:val="1029"/>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r>
        <w:rPr>
          <w:rStyle w:val="Referenciaatema"/>
        </w:rPr>
        <w:t xml:space="preserve">[ver tema 3.A.21]</w:t>
      </w:r>
      <w:r>
        <w:t xml:space="preserve">.</w:t>
      </w:r>
    </w:p>
    <w:bookmarkEnd w:id="58"/>
    <w:bookmarkStart w:id="59" w:name="iii-implicaciones"/>
    <w:p>
      <w:pPr>
        <w:pStyle w:val="Heading5"/>
      </w:pPr>
      <w:r>
        <w:t xml:space="preserve">iii) Implicaciones</w:t>
      </w:r>
    </w:p>
    <w:p>
      <w:pPr>
        <w:numPr>
          <w:ilvl w:val="0"/>
          <w:numId w:val="1030"/>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(II.1.2).</w:t>
      </w:r>
    </w:p>
    <w:bookmarkEnd w:id="59"/>
    <w:bookmarkEnd w:id="60"/>
    <w:bookmarkStart w:id="65" w:name="c-valoración"/>
    <w:p>
      <w:pPr>
        <w:pStyle w:val="Heading4"/>
      </w:pPr>
      <w:r>
        <w:t xml:space="preserve">c) Valoración</w:t>
      </w:r>
    </w:p>
    <w:p>
      <w:pPr>
        <w:keepNext/>
        <w:numPr>
          <w:ilvl w:val="0"/>
          <w:numId w:val="1031"/>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(I.2). Con una sola empresa, si a ese precio la demanda es menor que</w:t>
      </w:r>
      <w:r>
        <w:t xml:space="preserve"> </w:t>
      </w:r>
      <m:oMath>
        <m:bar>
          <m:barPr>
            <m:pos m:val="top"/>
          </m:barPr>
          <m:e>
            <m:r>
              <m:t>q</m:t>
            </m:r>
          </m:e>
        </m:bar>
      </m:oMath>
      <w:r>
        <w:t xml:space="preserve">, oferta y demanda no se cortan: no hay equilibrio competitivo (gráfico 4).</w:t>
      </w:r>
    </w:p>
    <w:p>
      <w:pPr>
        <w:numPr>
          <w:ilvl w:val="1"/>
          <w:numId w:val="1032"/>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r>
        <w:rPr>
          <w:rStyle w:val="Referenciaatema"/>
        </w:rPr>
        <w:t xml:space="preserve">[ver tema 3.A.17]</w:t>
      </w:r>
      <w:r>
        <w:t xml:space="preserve"> </w:t>
      </w:r>
      <w:r>
        <w:rPr>
          <w:rStyle w:val="Referenciaatema"/>
        </w:rPr>
        <w:t xml:space="preserve">[ver tema 3.A.20]</w:t>
      </w:r>
      <w:r>
        <w:t xml:space="preserve">.</w:t>
      </w:r>
    </w:p>
    <w:bookmarkStart w:id="64" w:name="fig:no-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62" name="Picture"/>
            <a:graphic>
              <a:graphicData uri="http://schemas.openxmlformats.org/drawingml/2006/picture">
                <pic:pic>
                  <pic:nvPicPr>
                    <pic:cNvPr descr="C:\Users\vgutierrez\Documents\src\victorgutierrezmarcos.github.io-revision\oposicion\temario\fuentes\3A16\graficos/no-convexidad.png" id="63" name="Picture"/>
                    <pic:cNvPicPr>
                      <a:picLocks noChangeArrowheads="1" noChangeAspect="1"/>
                    </pic:cNvPicPr>
                  </pic:nvPicPr>
                  <pic:blipFill>
                    <a:blip r:embed="rId61"/>
                    <a:stretch>
                      <a:fillRect/>
                    </a:stretch>
                  </pic:blipFill>
                  <pic:spPr bwMode="auto">
                    <a:xfrm>
                      <a:off x="0" y="0"/>
                      <a:ext cx="2431264" cy="24190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 </w:t>
      </w:r>
      <w:r>
        <w:t xml:space="preserve">y § 10.F)</w:t>
      </w:r>
      <w:r>
        <w:t xml:space="preserve">.</w:t>
      </w:r>
    </w:p>
    <w:bookmarkEnd w:id="65"/>
    <w:bookmarkEnd w:id="66"/>
    <w:bookmarkStart w:id="77" w:name="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67" w:name="a-idea-1"/>
    <w:p>
      <w:pPr>
        <w:pStyle w:val="Heading4"/>
      </w:pPr>
      <w:r>
        <w:t xml:space="preserve">a) Idea</w:t>
      </w:r>
    </w:p>
    <w:p>
      <w:pPr>
        <w:numPr>
          <w:ilvl w:val="0"/>
          <w:numId w:val="1033"/>
        </w:numPr>
      </w:pPr>
      <w:r>
        <w:t xml:space="preserve">Que exista un equilibrio no implica que sea único. En un solo mercado, la respuesta depende de las pendientes de las curvas.</w:t>
      </w:r>
    </w:p>
    <w:bookmarkEnd w:id="67"/>
    <w:bookmarkStart w:id="75" w:name="b-modelo-1"/>
    <w:p>
      <w:pPr>
        <w:pStyle w:val="Heading4"/>
      </w:pPr>
      <w:r>
        <w:t xml:space="preserve">b) Modelo</w:t>
      </w:r>
    </w:p>
    <w:bookmarkStart w:id="68" w:name="i-supuestos-2"/>
    <w:p>
      <w:pPr>
        <w:pStyle w:val="Heading5"/>
      </w:pPr>
      <w:r>
        <w:t xml:space="preserve">i) Supuestos</w:t>
      </w:r>
    </w:p>
    <w:p>
      <w:pPr>
        <w:numPr>
          <w:ilvl w:val="0"/>
          <w:numId w:val="1034"/>
        </w:numPr>
      </w:pPr>
      <w:r>
        <w:t xml:space="preserve">Los de la existencia: demanda estrictamente decreciente y oferta no decreciente.</w:t>
      </w:r>
    </w:p>
    <w:bookmarkEnd w:id="68"/>
    <w:bookmarkStart w:id="69" w:name="ii-desarrollo-2"/>
    <w:p>
      <w:pPr>
        <w:pStyle w:val="Heading5"/>
      </w:pPr>
      <w:r>
        <w:t xml:space="preserve">ii) Desarrollo</w:t>
      </w:r>
    </w:p>
    <w:p>
      <w:pPr>
        <w:numPr>
          <w:ilvl w:val="0"/>
          <w:numId w:val="1035"/>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69"/>
    <w:bookmarkStart w:id="74" w:name="iii-implicaciones-1"/>
    <w:p>
      <w:pPr>
        <w:pStyle w:val="Heading5"/>
      </w:pPr>
      <w:r>
        <w:t xml:space="preserve">iii) Implicaciones</w:t>
      </w:r>
    </w:p>
    <w:p>
      <w:pPr>
        <w:keepNext/>
        <w:numPr>
          <w:ilvl w:val="0"/>
          <w:numId w:val="1036"/>
        </w:numPr>
      </w:pPr>
      <w:r>
        <w:rPr>
          <w:i/>
          <w:iCs/>
        </w:rPr>
        <w:t xml:space="preserve">Casos de multiplicidad</w:t>
      </w:r>
      <w:r>
        <w:t xml:space="preserve">:</w:t>
      </w:r>
    </w:p>
    <w:p>
      <w:pPr>
        <w:numPr>
          <w:ilvl w:val="1"/>
          <w:numId w:val="1037"/>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5). La asignación es única, sin intercambio: lo indeterminado es el precio;</w:t>
      </w:r>
    </w:p>
    <w:p>
      <w:pPr>
        <w:numPr>
          <w:ilvl w:val="1"/>
          <w:numId w:val="1037"/>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(III.3);</w:t>
      </w:r>
    </w:p>
    <w:p>
      <w:pPr>
        <w:numPr>
          <w:ilvl w:val="1"/>
          <w:numId w:val="1037"/>
        </w:numPr>
      </w:pPr>
      <w:r>
        <w:rPr>
          <w:i/>
          <w:iCs/>
        </w:rPr>
        <w:t xml:space="preserve">pendientes anómalas</w:t>
      </w:r>
      <w:r>
        <w:t xml:space="preserve">: si la oferta de la industria es decreciente (economías externas, III.3) o la demanda creciente (un bien</w:t>
      </w:r>
      <w:r>
        <w:t xml:space="preserve"> </w:t>
      </w:r>
      <w:r>
        <w:rPr>
          <w:smallCaps/>
        </w:rPr>
        <w:t xml:space="preserve">Giffen</w:t>
      </w:r>
      <w:r>
        <w:t xml:space="preserve">, imposible con utilidad cuasilineal), las curvas pueden cortarse varias veces y hay varios equilibrios, unos estables y otros no (II.1.3).</w:t>
      </w:r>
    </w:p>
    <w:bookmarkStart w:id="73" w:name="fig: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71" name="Picture"/>
            <a:graphic>
              <a:graphicData uri="http://schemas.openxmlformats.org/drawingml/2006/picture">
                <pic:pic>
                  <pic:nvPicPr>
                    <pic:cNvPr descr="C:\Users\vgutierrez\Documents\src\victorgutierrezmarcos.github.io-revision\oposicion\temario\fuentes\3A16\graficos/multiplicidad.png" id="72" name="Picture"/>
                    <pic:cNvPicPr>
                      <a:picLocks noChangeArrowheads="1" noChangeAspect="1"/>
                    </pic:cNvPicPr>
                  </pic:nvPicPr>
                  <pic:blipFill>
                    <a:blip r:embed="rId70"/>
                    <a:stretch>
                      <a:fillRect/>
                    </a:stretch>
                  </pic:blipFill>
                  <pic:spPr bwMode="auto">
                    <a:xfrm>
                      <a:off x="0" y="0"/>
                      <a:ext cx="2686050" cy="2142864"/>
                    </a:xfrm>
                    <a:prstGeom prst="rect">
                      <a:avLst/>
                    </a:prstGeom>
                    <a:noFill/>
                    <a:ln w="9525">
                      <a:noFill/>
                      <a:headEnd/>
                      <a:tailEnd/>
                    </a:ln>
                  </pic:spPr>
                </pic:pic>
              </a:graphicData>
            </a:graphic>
          </wp:inline>
        </w:drawing>
      </w:r>
    </w:p>
    <w:bookmarkEnd w:id="7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74"/>
    <w:bookmarkEnd w:id="75"/>
    <w:bookmarkStart w:id="76" w:name="c-valoración-1"/>
    <w:p>
      <w:pPr>
        <w:pStyle w:val="Heading4"/>
      </w:pPr>
      <w:r>
        <w:t xml:space="preserve">c) Valoración</w:t>
      </w:r>
    </w:p>
    <w:p>
      <w:pPr>
        <w:numPr>
          <w:ilvl w:val="0"/>
          <w:numId w:val="1038"/>
        </w:numPr>
      </w:pPr>
      <w:r>
        <w:t xml:space="preserve">Con varios equilibrios el modelo no predice a cuál se llega y la estática comparativa pierde sentido: hace falta saber cuáles son estables. Es la pregunta siguiente.</w:t>
      </w:r>
    </w:p>
    <w:bookmarkEnd w:id="76"/>
    <w:bookmarkEnd w:id="77"/>
    <w:bookmarkStart w:id="100" w:name="estabilidad-dinámicas-de-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78" w:name="a-idea-2"/>
    <w:p>
      <w:pPr>
        <w:pStyle w:val="Heading4"/>
      </w:pPr>
      <w:r>
        <w:t xml:space="preserve">a) Idea</w:t>
      </w:r>
    </w:p>
    <w:p>
      <w:pPr>
        <w:keepNext/>
        <w:numPr>
          <w:ilvl w:val="0"/>
          <w:numId w:val="1039"/>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39"/>
        </w:numPr>
      </w:pPr>
      <w:r>
        <w:rPr>
          <w:i/>
          <w:iCs/>
        </w:rPr>
        <w:t xml:space="preserve">Por qué importa</w:t>
      </w:r>
      <w:r>
        <w:t xml:space="preserve">:</w:t>
      </w:r>
    </w:p>
    <w:p>
      <w:pPr>
        <w:numPr>
          <w:ilvl w:val="1"/>
          <w:numId w:val="1041"/>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(II.3);</w:t>
      </w:r>
    </w:p>
    <w:p>
      <w:pPr>
        <w:numPr>
          <w:ilvl w:val="1"/>
          <w:numId w:val="104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1"/>
        </w:numPr>
      </w:pPr>
      <w:r>
        <w:t xml:space="preserve">si no lo es, el mercado puede alejarse del equilibrio o quedarse oscilando a su alrededor, y eso puede justificar la intervención pública para reconducirlo, como en la estabilización de los precios agrarios</w:t>
      </w:r>
      <w:r>
        <w:t xml:space="preserve"> </w:t>
      </w:r>
      <w:r>
        <w:rPr>
          <w:rStyle w:val="Referenciaatema"/>
        </w:rPr>
        <w:t xml:space="preserve">[ver tema 3.B.38]</w:t>
      </w:r>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39"/>
        </w:numPr>
      </w:pPr>
      <w:r>
        <w:rPr>
          <w:i/>
          <w:iCs/>
        </w:rPr>
        <w:t xml:space="preserve">3 dinámicas de ajuste</w:t>
      </w:r>
      <w:r>
        <w:t xml:space="preserve">, según qué variable reacciona al desequilibrio:</w:t>
      </w:r>
    </w:p>
    <w:p>
      <w:pPr>
        <w:numPr>
          <w:ilvl w:val="1"/>
          <w:numId w:val="1042"/>
        </w:numPr>
      </w:pPr>
      <w:r>
        <w:rPr>
          <w:b/>
          <w:bCs/>
        </w:rPr>
        <w:t xml:space="preserve">ajuste walrasiano</w:t>
      </w:r>
      <w:r>
        <w:t xml:space="preserve"> </w:t>
      </w:r>
      <w:r>
        <w:t xml:space="preserve">(por precios): el precio sube si hay exceso de demanda y baja si hay exceso de oferta;</w:t>
      </w:r>
    </w:p>
    <w:p>
      <w:pPr>
        <w:numPr>
          <w:ilvl w:val="1"/>
          <w:numId w:val="1042"/>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2"/>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39"/>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78"/>
    <w:bookmarkStart w:id="88" w:name="b-modelo-2"/>
    <w:p>
      <w:pPr>
        <w:pStyle w:val="Heading4"/>
      </w:pPr>
      <w:r>
        <w:t xml:space="preserve">b) Modelo</w:t>
      </w:r>
    </w:p>
    <w:bookmarkStart w:id="80" w:name="i-supuestos-3"/>
    <w:p>
      <w:pPr>
        <w:pStyle w:val="Heading5"/>
      </w:pPr>
      <w:r>
        <w:t xml:space="preserve">i) Supuestos</w:t>
      </w:r>
    </w:p>
    <w:p>
      <w:pPr>
        <w:numPr>
          <w:ilvl w:val="0"/>
          <w:numId w:val="1043"/>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 I.2 (o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3"/>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79"/>
      </w:r>
    </w:p>
    <w:p>
      <w:pPr>
        <w:numPr>
          <w:ilvl w:val="0"/>
          <w:numId w:val="1043"/>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III, § 6)</w:t>
      </w:r>
      <w:r>
        <w:t xml:space="preserve">: cuando el precio de demanda supera al de oferta, la cantidad producida tiende a aumentar.</w:t>
      </w:r>
    </w:p>
    <w:bookmarkEnd w:id="80"/>
    <w:bookmarkStart w:id="81" w:name="ii-desarrollo-3"/>
    <w:p>
      <w:pPr>
        <w:pStyle w:val="Heading5"/>
      </w:pPr>
      <w:r>
        <w:t xml:space="preserve">ii) Desarrollo</w:t>
      </w:r>
    </w:p>
    <w:p>
      <w:pPr>
        <w:numPr>
          <w:ilvl w:val="0"/>
          <w:numId w:val="1044"/>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4"/>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81"/>
    <w:bookmarkStart w:id="87" w:name="iii-implicaciones-2"/>
    <w:p>
      <w:pPr>
        <w:pStyle w:val="Heading5"/>
      </w:pPr>
      <w:r>
        <w:t xml:space="preserve">iii) Implicaciones</w:t>
      </w:r>
    </w:p>
    <w:p>
      <w:pPr>
        <w:numPr>
          <w:ilvl w:val="0"/>
          <w:numId w:val="1045"/>
        </w:numPr>
      </w:pPr>
      <w:r>
        <w:rPr>
          <w:i/>
          <w:iCs/>
        </w:rPr>
        <w:t xml:space="preserve">Cuándo coinciden</w:t>
      </w:r>
      <w:r>
        <w:t xml:space="preserve">: con la oferta creciente y la demanda decreciente, los 2 ajustes son estables (primera columna de la tabla 1 y primer panel del gráfico 6). Es el caso del modelo de I.2.</w:t>
      </w:r>
    </w:p>
    <w:p>
      <w:pPr>
        <w:keepNext/>
        <w:numPr>
          <w:ilvl w:val="0"/>
          <w:numId w:val="1045"/>
        </w:numPr>
      </w:pPr>
      <w:r>
        <w:rPr>
          <w:i/>
          <w:iCs/>
        </w:rPr>
        <w:t xml:space="preserve">Cuándo difieren</w:t>
      </w:r>
      <w:r>
        <w:t xml:space="preserve">: si las 2 curvas tienen pendiente negativa, lo que ocurre con una oferta de la industria con economías externas (III.3)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6"/>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6"/>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82" w:name="tab:estabilidad-parcial"/>
    <w:p>
      <w:pPr>
        <w:pStyle w:val="TableCaption"/>
      </w:pPr>
      <w:r>
        <w:t xml:space="preserve">Tabla 1.–</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1.–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8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21</w:t>
        </w:r>
      </w:hyperlink>
      <w:r>
        <w:rPr>
          <w:i/>
          <w:iCs/>
        </w:rPr>
        <w:t xml:space="preserve">)</w:t>
      </w:r>
      <w:r>
        <w:rPr>
          <w:i/>
          <w:iCs/>
        </w:rPr>
        <w:t xml:space="preserve">.</w:t>
      </w:r>
    </w:p>
    <w:bookmarkStart w:id="86" w:name="fig:estabilidad-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84" name="Picture"/>
            <a:graphic>
              <a:graphicData uri="http://schemas.openxmlformats.org/drawingml/2006/picture">
                <pic:pic>
                  <pic:nvPicPr>
                    <pic:cNvPr descr="C:\Users\vgutierrez\Documents\src\victorgutierrezmarcos.github.io-revision\oposicion\temario\fuentes\3A16\graficos/estabilidad-parcial.png" id="85" name="Picture"/>
                    <pic:cNvPicPr>
                      <a:picLocks noChangeArrowheads="1" noChangeAspect="1"/>
                    </pic:cNvPicPr>
                  </pic:nvPicPr>
                  <pic:blipFill>
                    <a:blip r:embed="rId83"/>
                    <a:stretch>
                      <a:fillRect/>
                    </a:stretch>
                  </pic:blipFill>
                  <pic:spPr bwMode="auto">
                    <a:xfrm>
                      <a:off x="0" y="0"/>
                      <a:ext cx="5969000" cy="2438127"/>
                    </a:xfrm>
                    <a:prstGeom prst="rect">
                      <a:avLst/>
                    </a:prstGeom>
                    <a:noFill/>
                    <a:ln w="9525">
                      <a:noFill/>
                      <a:headEnd/>
                      <a:tailEnd/>
                    </a:ln>
                  </pic:spPr>
                </pic:pic>
              </a:graphicData>
            </a:graphic>
          </wp:inline>
        </w:drawing>
      </w:r>
    </w:p>
    <w:bookmarkEnd w:id="86"/>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21</w:t>
        </w:r>
      </w:hyperlink>
      <w:r>
        <w:t xml:space="preserve">)</w:t>
      </w:r>
      <w:r>
        <w:t xml:space="preserve">.</w:t>
      </w:r>
    </w:p>
    <w:p>
      <w:pPr>
        <w:numPr>
          <w:ilvl w:val="0"/>
          <w:numId w:val="1047"/>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7"/>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87"/>
    <w:bookmarkEnd w:id="88"/>
    <w:bookmarkStart w:id="97" w:name="c-extensiones-el-modelo-de-la-telarañ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sistematizó.</w:t>
      </w:r>
    </w:p>
    <w:bookmarkStart w:id="90" w:name="i-supuestos-4"/>
    <w:p>
      <w:pPr>
        <w:pStyle w:val="Heading5"/>
      </w:pPr>
      <w:r>
        <w:t xml:space="preserve">i) Supuestos</w:t>
      </w:r>
    </w:p>
    <w:p>
      <w:pPr>
        <w:numPr>
          <w:ilvl w:val="0"/>
          <w:numId w:val="1048"/>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8"/>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89"/>
      </w:r>
    </w:p>
    <w:p>
      <w:pPr>
        <w:numPr>
          <w:ilvl w:val="0"/>
          <w:numId w:val="1048"/>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90"/>
    <w:bookmarkStart w:id="95" w:name="ii-desarrollo-4"/>
    <w:p>
      <w:pPr>
        <w:pStyle w:val="Heading5"/>
      </w:pPr>
      <w:r>
        <w:t xml:space="preserve">ii) Desarrollo</w:t>
      </w:r>
    </w:p>
    <w:p>
      <w:pPr>
        <w:numPr>
          <w:ilvl w:val="0"/>
          <w:numId w:val="1049"/>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E).</w:t>
      </w:r>
    </w:p>
    <w:p>
      <w:pPr>
        <w:numPr>
          <w:ilvl w:val="0"/>
          <w:numId w:val="1049"/>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7).</w:t>
      </w:r>
    </w:p>
    <w:p>
      <w:pPr>
        <w:keepNext/>
        <w:numPr>
          <w:ilvl w:val="0"/>
          <w:numId w:val="1049"/>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0"/>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49"/>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94" w:name="fig: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92" name="Picture"/>
            <a:graphic>
              <a:graphicData uri="http://schemas.openxmlformats.org/drawingml/2006/picture">
                <pic:pic>
                  <pic:nvPicPr>
                    <pic:cNvPr descr="C:\Users\vgutierrez\Documents\src\victorgutierrezmarcos.github.io-revision\oposicion\temario\fuentes\3A16\graficos/telarana.png" id="93" name="Picture"/>
                    <pic:cNvPicPr>
                      <a:picLocks noChangeArrowheads="1" noChangeAspect="1"/>
                    </pic:cNvPicPr>
                  </pic:nvPicPr>
                  <pic:blipFill>
                    <a:blip r:embed="rId91"/>
                    <a:stretch>
                      <a:fillRect/>
                    </a:stretch>
                  </pic:blipFill>
                  <pic:spPr bwMode="auto">
                    <a:xfrm>
                      <a:off x="0" y="0"/>
                      <a:ext cx="5969000" cy="2450246"/>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95"/>
    <w:bookmarkStart w:id="96" w:name="iii-implicaciones-3"/>
    <w:p>
      <w:pPr>
        <w:pStyle w:val="Heading5"/>
      </w:pPr>
      <w:r>
        <w:t xml:space="preserve">iii) Implicaciones</w:t>
      </w:r>
    </w:p>
    <w:p>
      <w:pPr>
        <w:numPr>
          <w:ilvl w:val="0"/>
          <w:numId w:val="1051"/>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1"/>
        </w:numPr>
      </w:pPr>
      <w:r>
        <w:t xml:space="preserve">Los ciclos tienen un coste: se produce demasiado en unos periodos y demasiado poco en otros, y los precios fluctúan más de lo que justifican las perturbaciones.</w:t>
      </w:r>
    </w:p>
    <w:bookmarkEnd w:id="96"/>
    <w:bookmarkEnd w:id="97"/>
    <w:bookmarkStart w:id="98" w:name="d-evidencia-empírica"/>
    <w:p>
      <w:pPr>
        <w:pStyle w:val="Heading4"/>
      </w:pPr>
      <w:r>
        <w:t xml:space="preserve">d) Evidencia empírica</w:t>
      </w:r>
    </w:p>
    <w:p>
      <w:pPr>
        <w:numPr>
          <w:ilvl w:val="0"/>
          <w:numId w:val="1052"/>
        </w:numPr>
      </w:pPr>
      <w:r>
        <w:rPr>
          <w:smallCaps/>
        </w:rPr>
        <w:t xml:space="preserve">Ezekiel</w:t>
      </w:r>
      <w:r>
        <w:t xml:space="preserve"> </w:t>
      </w:r>
      <w:r>
        <w:t xml:space="preserve">(</w:t>
      </w:r>
      <w:hyperlink w:anchor="ref-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2"/>
        </w:numPr>
      </w:pPr>
      <w:r>
        <w:t xml:space="preserve">En el laboratorio,</w:t>
      </w:r>
      <w:r>
        <w:t xml:space="preserve"> </w:t>
      </w:r>
      <w:r>
        <w:rPr>
          <w:smallCaps/>
        </w:rPr>
        <w:t xml:space="preserve">Hommes</w:t>
      </w:r>
      <w:r>
        <w:t xml:space="preserve"> </w:t>
      </w:r>
      <w:r>
        <w:t xml:space="preserve">et al. (</w:t>
      </w:r>
      <w:hyperlink w:anchor="ref-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98"/>
    <w:bookmarkStart w:id="99" w:name="e-valoración"/>
    <w:p>
      <w:pPr>
        <w:pStyle w:val="Heading4"/>
      </w:pPr>
      <w:r>
        <w:t xml:space="preserve">e) Valoración</w:t>
      </w:r>
    </w:p>
    <w:p>
      <w:pPr>
        <w:numPr>
          <w:ilvl w:val="0"/>
          <w:numId w:val="1053"/>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r>
        <w:rPr>
          <w:rStyle w:val="Referenciaatema"/>
        </w:rPr>
        <w:t xml:space="preserve">[ver tema 3.A.6]</w:t>
      </w:r>
      <w:r>
        <w:t xml:space="preserve">. Con expectativas adaptativas</w:t>
      </w:r>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r>
        <w:rPr>
          <w:rStyle w:val="Referenciaatema"/>
        </w:rPr>
        <w:t xml:space="preserve">[ver tema 3.A.5]</w:t>
      </w:r>
      <w:r>
        <w:t xml:space="preserve">. Las 2 versiones, y el ciclo límite que aparece con curvas no lineales, están en el anexo E.</w:t>
      </w:r>
    </w:p>
    <w:p>
      <w:pPr>
        <w:numPr>
          <w:ilvl w:val="0"/>
          <w:numId w:val="1053"/>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3"/>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99"/>
    <w:bookmarkEnd w:id="100"/>
    <w:bookmarkEnd w:id="101"/>
    <w:bookmarkStart w:id="115" w:name="X5e3613a03088544993b6a5e7f20184a746717c4"/>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r>
        <w:rPr>
          <w:rStyle w:val="Referenciaatema"/>
        </w:rPr>
        <w:t xml:space="preserve">[ver tema 3.A.22]</w:t>
      </w:r>
      <w:r>
        <w:t xml:space="preserve">.</w:t>
      </w:r>
    </w:p>
    <w:bookmarkStart w:id="109" w:name="optimalidad-de-pareto-los-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4"/>
        </w:numPr>
      </w:pPr>
      <w:r>
        <w:rPr>
          <w:i/>
          <w:iCs/>
        </w:rPr>
        <w:t xml:space="preserve">Antecedente</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4"/>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r>
        <w:rPr>
          <w:rStyle w:val="Referenciaatema"/>
        </w:rPr>
        <w:t xml:space="preserve">[ver tema 3.A.24]</w:t>
      </w:r>
      <w:r>
        <w:t xml:space="preserve">.</w:t>
      </w:r>
    </w:p>
    <w:p>
      <w:pPr>
        <w:keepNext/>
        <w:numPr>
          <w:ilvl w:val="0"/>
          <w:numId w:val="1054"/>
        </w:numPr>
      </w:pPr>
      <w:r>
        <w:t xml:space="preserve">En equilibrio parcial con utilidad cuasilineal, la eficiencia se estudia con los</w:t>
      </w:r>
      <w:r>
        <w:t xml:space="preserve"> </w:t>
      </w:r>
      <w:r>
        <w:rPr>
          <w:b/>
          <w:bCs/>
        </w:rPr>
        <w:t xml:space="preserve">excedentes</w:t>
      </w:r>
      <w:r>
        <w:t xml:space="preserve">, medidos en numerario (gráfico 8):</w:t>
      </w:r>
    </w:p>
    <w:p>
      <w:pPr>
        <w:numPr>
          <w:ilvl w:val="1"/>
          <w:numId w:val="1055"/>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02"/>
      </w:r>
      <w:r>
        <w:t xml:space="preserve"> </w:t>
      </w:r>
      <w:r>
        <w:t xml:space="preserve">Con utilidad cuasilineal es una medida exacta del bienestar: su variación coincide con las variaciones compensatoria y equivalente</w:t>
      </w:r>
      <w:r>
        <w:t xml:space="preserve"> </w:t>
      </w:r>
      <w:r>
        <w:rPr>
          <w:rStyle w:val="Referenciaatema"/>
        </w:rPr>
        <w:t xml:space="preserve">[ver tema 3.A.9]</w:t>
      </w:r>
      <w:r>
        <w:t xml:space="preserve">;</w:t>
      </w:r>
    </w:p>
    <w:p>
      <w:pPr>
        <w:numPr>
          <w:ilvl w:val="1"/>
          <w:numId w:val="1055"/>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03"/>
      </w:r>
    </w:p>
    <w:p>
      <w:pPr>
        <w:numPr>
          <w:ilvl w:val="1"/>
          <w:numId w:val="1055"/>
        </w:numPr>
      </w:pPr>
      <w:r>
        <w:rPr>
          <w:b/>
          <w:bCs/>
        </w:rPr>
        <w:t xml:space="preserve">excedente total</w:t>
      </w:r>
      <w:r>
        <w:t xml:space="preserve"> </w:t>
      </w:r>
      <w:r>
        <w:t xml:space="preserve">(ET): su suma, la ganancia neta de producir y consumir el bien:</w:t>
      </w:r>
    </w:p>
    <w:p>
      <w:pPr>
        <w:pStyle w:val="FirstParagraph"/>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4"/>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A).</w:t>
      </w:r>
      <w:r>
        <w:rPr>
          <w:rStyle w:val="FootnoteReference"/>
        </w:rPr>
        <w:footnoteReference w:id="104"/>
      </w:r>
    </w:p>
    <w:p>
      <w:pPr>
        <w:numPr>
          <w:ilvl w:val="0"/>
          <w:numId w:val="1054"/>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(I.2). Además, cada unidad la consumen quienes más la valoran y la producen quienes menos coste tienen.</w:t>
      </w:r>
    </w:p>
    <w:bookmarkStart w:id="108" w:name="fig: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06" name="Picture"/>
            <a:graphic>
              <a:graphicData uri="http://schemas.openxmlformats.org/drawingml/2006/picture">
                <pic:pic>
                  <pic:nvPicPr>
                    <pic:cNvPr descr="C:\Users\vgutierrez\Documents\src\victorgutierrezmarcos.github.io-revision\oposicion\temario\fuentes\3A16\graficos/excedentes.png" id="107" name="Picture"/>
                    <pic:cNvPicPr>
                      <a:picLocks noChangeArrowheads="1" noChangeAspect="1"/>
                    </pic:cNvPicPr>
                  </pic:nvPicPr>
                  <pic:blipFill>
                    <a:blip r:embed="rId105"/>
                    <a:stretch>
                      <a:fillRect/>
                    </a:stretch>
                  </pic:blipFill>
                  <pic:spPr bwMode="auto">
                    <a:xfrm>
                      <a:off x="0" y="0"/>
                      <a:ext cx="2828829" cy="212544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10.D</w:t>
        </w:r>
      </w:hyperlink>
      <w:r>
        <w:t xml:space="preserve">)</w:t>
      </w:r>
      <w:r>
        <w:t xml:space="preserve">.</w:t>
      </w:r>
    </w:p>
    <w:bookmarkEnd w:id="109"/>
    <w:bookmarkStart w:id="114" w:name="Xf6b71314e4bd9502f3b430192fabe484e5fec32"/>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10"/>
      </w:r>
    </w:p>
    <w:bookmarkStart w:id="112" w:name="X8d4837e936b22851e30f91a44f2ca81d1012e14"/>
    <w:p>
      <w:pPr>
        <w:pStyle w:val="Heading4"/>
      </w:pPr>
      <w:r>
        <w:t xml:space="preserve">Primer teorema fundamental de la economía del bienestar (1TFEB)</w:t>
      </w:r>
    </w:p>
    <w:p>
      <w:pPr>
        <w:numPr>
          <w:ilvl w:val="0"/>
          <w:numId w:val="1056"/>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6"/>
        </w:numPr>
      </w:pPr>
      <w:r>
        <w:rPr>
          <w:i/>
          <w:iCs/>
        </w:rPr>
        <w:t xml:space="preserve">Demostración en equilibrio parcial</w:t>
      </w:r>
      <w:r>
        <w:t xml:space="preserve">: buscamos las cantidades que maximizan el excedente total, sujetas a que se consuma lo que se produce:</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7"/>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(15) son exactamente las del equilibrio competitivo (8)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A).</w:t>
      </w:r>
    </w:p>
    <w:p>
      <w:pPr>
        <w:keepNext/>
        <w:numPr>
          <w:ilvl w:val="0"/>
          <w:numId w:val="1056"/>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 III.3), ni la forma cuasilineal, que solo simplifica la medida del bienestar. Cuando falla alguno de los 3, el equilibrio deja de ser eficiente:</w:t>
      </w:r>
      <w:r>
        <w:rPr>
          <w:rStyle w:val="FootnoteReference"/>
        </w:rPr>
        <w:footnoteReference w:id="111"/>
      </w:r>
    </w:p>
    <w:p>
      <w:pPr>
        <w:numPr>
          <w:ilvl w:val="1"/>
          <w:numId w:val="1058"/>
        </w:numPr>
      </w:pPr>
      <w:r>
        <w:t xml:space="preserve">con poder de mercado, el precio supera al coste marginal</w:t>
      </w:r>
      <w:r>
        <w:t xml:space="preserve"> </w:t>
      </w:r>
      <w:r>
        <w:rPr>
          <w:rStyle w:val="Referenciaatema"/>
        </w:rPr>
        <w:t xml:space="preserve">[ver tema 3.A.17]</w:t>
      </w:r>
      <w:r>
        <w:t xml:space="preserve">;</w:t>
      </w:r>
    </w:p>
    <w:p>
      <w:pPr>
        <w:numPr>
          <w:ilvl w:val="1"/>
          <w:numId w:val="1058"/>
        </w:numPr>
      </w:pPr>
      <w:r>
        <w:t xml:space="preserve">con externalidades o bienes públicos, el coste o el beneficio marginal privado no es el social</w:t>
      </w:r>
      <w:r>
        <w:t xml:space="preserve"> </w:t>
      </w:r>
      <w:r>
        <w:rPr>
          <w:rStyle w:val="Referenciaatema"/>
        </w:rPr>
        <w:t xml:space="preserve">[ver tema 3.A.23]</w:t>
      </w:r>
      <w:r>
        <w:t xml:space="preserve">;</w:t>
      </w:r>
    </w:p>
    <w:p>
      <w:pPr>
        <w:numPr>
          <w:ilvl w:val="1"/>
          <w:numId w:val="1058"/>
        </w:numPr>
      </w:pPr>
      <w:r>
        <w:t xml:space="preserve">con un impuesto, el precio del consumidor se separa del precio del productor (II.3.2).</w:t>
      </w:r>
    </w:p>
    <w:p>
      <w:pPr>
        <w:numPr>
          <w:ilvl w:val="0"/>
          <w:numId w:val="1056"/>
        </w:numPr>
      </w:pPr>
      <w:r>
        <w:rPr>
          <w:i/>
          <w:iCs/>
        </w:rPr>
        <w:t xml:space="preserve">Interpretación</w:t>
      </w:r>
      <w:r>
        <w:t xml:space="preserve">: es la expresión formal de la «mano invisible» de</w:t>
      </w:r>
      <w:r>
        <w:t xml:space="preserve"> </w:t>
      </w:r>
      <w:r>
        <w:rPr>
          <w:smallCaps/>
        </w:rPr>
        <w:t xml:space="preserve">Smith</w:t>
      </w:r>
      <w:r>
        <w:t xml:space="preserve"> </w:t>
      </w:r>
      <w:r>
        <w:rPr>
          <w:rStyle w:val="Referenciaatema"/>
        </w:rPr>
        <w:t xml:space="preserve">[ver tema 3.A.2]</w:t>
      </w:r>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12"/>
    <w:bookmarkStart w:id="113" w:name="X7f8aff33acd132d4bfed736052763b8221204bc"/>
    <w:p>
      <w:pPr>
        <w:pStyle w:val="Heading4"/>
      </w:pPr>
      <w:r>
        <w:t xml:space="preserve">Segundo teorema fundamental de la economía del bienestar (2TFEB)</w:t>
      </w:r>
    </w:p>
    <w:p>
      <w:pPr>
        <w:numPr>
          <w:ilvl w:val="0"/>
          <w:numId w:val="1059"/>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59"/>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59"/>
        </w:numPr>
      </w:pPr>
      <w:r>
        <w:rPr>
          <w:i/>
          <w:iCs/>
        </w:rPr>
        <w:t xml:space="preserve">En general</w:t>
      </w:r>
      <w:r>
        <w:t xml:space="preserve"> </w:t>
      </w:r>
      <w:r>
        <w:t xml:space="preserve">exige más que el 1TFEB: preferencias y tecnologías convexas, y su demostración usa el teorema del hiperplano separador</w:t>
      </w:r>
      <w:r>
        <w:t xml:space="preserve"> </w:t>
      </w:r>
      <w:r>
        <w:rPr>
          <w:rStyle w:val="Referenciaatema"/>
        </w:rPr>
        <w:t xml:space="preserve">[ver tema 3.A.22]</w:t>
      </w:r>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59"/>
        </w:numPr>
      </w:pPr>
      <w:r>
        <w:rPr>
          <w:i/>
          <w:iCs/>
        </w:rPr>
        <w:t xml:space="preserve">Por qué importa</w:t>
      </w:r>
      <w:r>
        <w:t xml:space="preserve">: separa eficiencia y equidad. La redistribución puede hacerse con transferencias de suma fija, sin alterar los precios.</w:t>
      </w:r>
    </w:p>
    <w:p>
      <w:pPr>
        <w:numPr>
          <w:ilvl w:val="0"/>
          <w:numId w:val="1059"/>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13"/>
    <w:bookmarkEnd w:id="114"/>
    <w:bookmarkEnd w:id="115"/>
    <w:bookmarkStart w:id="133" w:name="análisis-de-estática-comparativa"/>
    <w:p>
      <w:pPr>
        <w:pStyle w:val="Heading2"/>
      </w:pPr>
      <w:r>
        <w:t xml:space="preserve">II.3.</w:t>
      </w:r>
      <w:r>
        <w:t xml:space="preserve"> </w:t>
      </w:r>
      <w:r>
        <w:t xml:space="preserve">Análisis de estática comparativa</w:t>
      </w:r>
    </w:p>
    <w:p>
      <w:pPr>
        <w:numPr>
          <w:ilvl w:val="0"/>
          <w:numId w:val="1060"/>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0"/>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(II.1.3),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Samuelson1947Foundations">
        <w:r>
          <w:rPr>
            <w:rStyle w:val="Hyperlink"/>
          </w:rPr>
          <w:t xml:space="preserve">1947</w:t>
        </w:r>
      </w:hyperlink>
      <w:r>
        <w:t xml:space="preserve">)</w:t>
      </w:r>
      <w:r>
        <w:t xml:space="preserve">.</w:t>
      </w:r>
    </w:p>
    <w:p>
      <w:pPr>
        <w:numPr>
          <w:ilvl w:val="0"/>
          <w:numId w:val="1060"/>
        </w:numPr>
      </w:pPr>
      <w:r>
        <w:t xml:space="preserve">La demanda se desplaza con las preferencias; la oferta, con la tecnología o los precios de los factores.</w:t>
      </w:r>
      <w:r>
        <w:rPr>
          <w:rStyle w:val="FootnoteReference"/>
        </w:rPr>
        <w:footnoteReference w:id="116"/>
      </w:r>
      <w:r>
        <w:t xml:space="preserve"> </w:t>
      </w:r>
      <w:r>
        <w:t xml:space="preserve">Los impuestos separan el precio que pagan unos del que reciben otros.</w:t>
      </w:r>
    </w:p>
    <w:bookmarkStart w:id="121" w:name="X644c3209e0780e1b21d8cc692e8a23f3fc68376"/>
    <w:p>
      <w:pPr>
        <w:pStyle w:val="Heading3"/>
      </w:pPr>
      <w:r>
        <w:t xml:space="preserve">II.3.1.</w:t>
      </w:r>
      <w:r>
        <w:t xml:space="preserve"> </w:t>
      </w:r>
      <w:r>
        <w:t xml:space="preserve">Cambios en las preferencias y en la tecnología</w:t>
      </w:r>
    </w:p>
    <w:p>
      <w:pPr>
        <w:keepNext/>
        <w:numPr>
          <w:ilvl w:val="0"/>
          <w:numId w:val="1061"/>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9, izquierda).</w:t>
      </w:r>
    </w:p>
    <w:p>
      <w:pPr>
        <w:numPr>
          <w:ilvl w:val="1"/>
          <w:numId w:val="1062"/>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1"/>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oferta hacia abajo: baja el precio y sube la cantidad (gráfico 9, derecha).</w:t>
      </w:r>
    </w:p>
    <w:p>
      <w:pPr>
        <w:numPr>
          <w:ilvl w:val="1"/>
          <w:numId w:val="1063"/>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20" w:name="fig:choques"/>
    <w:p>
      <w:pPr>
        <w:pStyle w:val="ImageCaption"/>
      </w:pPr>
      <w:r>
        <w:t xml:space="preserve">Gráfico 9.–</w:t>
      </w:r>
      <w:r>
        <w:t xml:space="preserve"> </w:t>
      </w:r>
      <w:r>
        <w:t xml:space="preserve">Estática comparativa: aumento de la demanda (izquierda) y mejora tecnológica que desplaza la oferta (derecha)</w:t>
      </w:r>
    </w:p>
    <w:p>
      <w:pPr>
        <w:pStyle w:val="CaptionedFigure"/>
      </w:pPr>
      <w:r>
        <w:drawing>
          <wp:inline>
            <wp:extent cx="5217278" cy="2464904"/>
            <wp:effectExtent b="0" l="0" r="0" t="0"/>
            <wp:docPr descr="" title="" id="118" name="Picture"/>
            <a:graphic>
              <a:graphicData uri="http://schemas.openxmlformats.org/drawingml/2006/picture">
                <pic:pic>
                  <pic:nvPicPr>
                    <pic:cNvPr descr="C:\Users\vgutierrez\Documents\src\victorgutierrezmarcos.github.io-revision\oposicion\temario\fuentes\3A16\graficos/choques.png" id="119" name="Picture"/>
                    <pic:cNvPicPr>
                      <a:picLocks noChangeArrowheads="1" noChangeAspect="1"/>
                    </pic:cNvPicPr>
                  </pic:nvPicPr>
                  <pic:blipFill>
                    <a:blip r:embed="rId117"/>
                    <a:stretch>
                      <a:fillRect/>
                    </a:stretch>
                  </pic:blipFill>
                  <pic:spPr bwMode="auto">
                    <a:xfrm>
                      <a:off x="0" y="0"/>
                      <a:ext cx="5217278" cy="246490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21"/>
    <w:bookmarkStart w:id="132" w:name="introducción-de-un-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22" w:name="a-idea-3"/>
    <w:p>
      <w:pPr>
        <w:pStyle w:val="Heading4"/>
      </w:pPr>
      <w:r>
        <w:t xml:space="preserve">a) Idea</w:t>
      </w:r>
    </w:p>
    <w:p>
      <w:pPr>
        <w:numPr>
          <w:ilvl w:val="0"/>
          <w:numId w:val="1064"/>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22"/>
    <w:bookmarkStart w:id="131" w:name="b-modelo-3"/>
    <w:p>
      <w:pPr>
        <w:pStyle w:val="Heading4"/>
      </w:pPr>
      <w:r>
        <w:t xml:space="preserve">b) Modelo</w:t>
      </w:r>
    </w:p>
    <w:bookmarkStart w:id="123" w:name="i-supuestos-5"/>
    <w:p>
      <w:pPr>
        <w:pStyle w:val="Heading5"/>
      </w:pPr>
      <w:r>
        <w:t xml:space="preserve">i) Supuestos</w:t>
      </w:r>
    </w:p>
    <w:p>
      <w:pPr>
        <w:numPr>
          <w:ilvl w:val="0"/>
          <w:numId w:val="1065"/>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23"/>
    <w:bookmarkStart w:id="125" w:name="ii-desarrollo-5"/>
    <w:p>
      <w:pPr>
        <w:pStyle w:val="Heading5"/>
      </w:pPr>
      <w:r>
        <w:t xml:space="preserve">ii) Desarrollo</w:t>
      </w:r>
    </w:p>
    <w:p>
      <w:pPr>
        <w:numPr>
          <w:ilvl w:val="0"/>
          <w:numId w:val="1066"/>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6"/>
        </w:numPr>
      </w:pPr>
      <w:r>
        <w:rPr>
          <w:i/>
          <w:iCs/>
        </w:rPr>
        <w:t xml:space="preserve">Reparto del impuesto</w:t>
      </w:r>
      <w:r>
        <w:t xml:space="preserve">: derivando (17)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7"/>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10).</w:t>
      </w:r>
    </w:p>
    <w:p>
      <w:pPr>
        <w:numPr>
          <w:ilvl w:val="1"/>
          <w:numId w:val="1067"/>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24"/>
      </w:r>
    </w:p>
    <w:p>
      <w:pPr>
        <w:numPr>
          <w:ilvl w:val="0"/>
          <w:numId w:val="1066"/>
        </w:numPr>
      </w:pPr>
      <w:r>
        <w:rPr>
          <w:i/>
          <w:iCs/>
        </w:rPr>
        <w:t xml:space="preserve">Casos extremos</w:t>
      </w:r>
      <w:r>
        <w:t xml:space="preserve">: con la demanda perfectamente inelástica o la oferta perfectamente elástica (a largo plazo, con libre entrada y costes constantes, III.3), lo soportan por entero los consumidores; con la demanda perfectamente elástica o la oferta perfectamente inelástica (un factor fijo, como el suelo), los vendedores.</w:t>
      </w:r>
    </w:p>
    <w:p>
      <w:pPr>
        <w:numPr>
          <w:ilvl w:val="0"/>
          <w:numId w:val="1066"/>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25"/>
    <w:bookmarkStart w:id="130" w:name="iii-implicaciones-4"/>
    <w:p>
      <w:pPr>
        <w:pStyle w:val="Heading5"/>
      </w:pPr>
      <w:r>
        <w:t xml:space="preserve">iii) Implicaciones</w:t>
      </w:r>
    </w:p>
    <w:p>
      <w:pPr>
        <w:numPr>
          <w:ilvl w:val="0"/>
          <w:numId w:val="1068"/>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Harberger1964Measurement">
        <w:r>
          <w:rPr>
            <w:rStyle w:val="Hyperlink"/>
          </w:rPr>
          <w:t xml:space="preserve">1964</w:t>
        </w:r>
      </w:hyperlink>
      <w:r>
        <w:t xml:space="preserve">)</w:t>
      </w:r>
      <w:r>
        <w:t xml:space="preserve">:</w:t>
      </w:r>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69"/>
        </w:numPr>
      </w:pPr>
      <w:r>
        <w:t xml:space="preserve">Crece con el cuadrado del impuesto y con las elasticidades: un impuesto destruye poco bienestar si recae sobre un mercado inelástico</w:t>
      </w:r>
      <w:r>
        <w:t xml:space="preserve"> </w:t>
      </w:r>
      <w:r>
        <w:rPr>
          <w:rStyle w:val="Referenciaatema"/>
        </w:rPr>
        <w:t xml:space="preserve">[ver tema 4.B.9]</w:t>
      </w:r>
      <w:r>
        <w:t xml:space="preserve">.</w:t>
      </w:r>
    </w:p>
    <w:p>
      <w:pPr>
        <w:numPr>
          <w:ilvl w:val="1"/>
          <w:numId w:val="1069"/>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29" w:name="fig: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27" name="Picture"/>
            <a:graphic>
              <a:graphicData uri="http://schemas.openxmlformats.org/drawingml/2006/picture">
                <pic:pic>
                  <pic:nvPicPr>
                    <pic:cNvPr descr="C:\Users\vgutierrez\Documents\src\victorgutierrezmarcos.github.io-revision\oposicion\temario\fuentes\3A16\graficos/incidencia.png" id="128" name="Picture"/>
                    <pic:cNvPicPr>
                      <a:picLocks noChangeArrowheads="1" noChangeAspect="1"/>
                    </pic:cNvPicPr>
                  </pic:nvPicPr>
                  <pic:blipFill>
                    <a:blip r:embed="rId126"/>
                    <a:stretch>
                      <a:fillRect/>
                    </a:stretch>
                  </pic:blipFill>
                  <pic:spPr bwMode="auto">
                    <a:xfrm>
                      <a:off x="0" y="0"/>
                      <a:ext cx="3282950" cy="2275743"/>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C).</w:t>
      </w:r>
    </w:p>
    <w:p>
      <w:pPr>
        <w:numPr>
          <w:ilvl w:val="0"/>
          <w:numId w:val="1070"/>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30"/>
    <w:bookmarkEnd w:id="131"/>
    <w:bookmarkEnd w:id="132"/>
    <w:bookmarkEnd w:id="133"/>
    <w:bookmarkEnd w:id="134"/>
    <w:bookmarkStart w:id="183" w:name="Xe211a2e2cbe4ef18eac9827af2e6f1a9e09a85f"/>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1"/>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1"/>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 III (6′): los plazos de</w:t>
      </w:r>
      <w:r>
        <w:t xml:space="preserve"> </w:t>
      </w:r>
      <w:r>
        <w:rPr>
          <w:smallCaps/>
        </w:rPr>
        <w:t xml:space="preserve">Marshall</w:t>
      </w:r>
      <w:r>
        <w:t xml:space="preserve"> </w:t>
      </w:r>
      <w:r>
        <w:t xml:space="preserve">con el pescado (o el aceite del enganche) y la clasificación moderna de la tabla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tabla del beneficio económico y la caja del pescado son de profundización, pero el pescado conviene citarlo: cierra el enganche.</w:t>
      </w:r>
    </w:p>
    <w:p>
      <w:pPr>
        <w:keepNext/>
        <w:numPr>
          <w:ilvl w:val="0"/>
          <w:numId w:val="1072"/>
        </w:numPr>
      </w:pPr>
      <w:r>
        <w:rPr>
          <w:b/>
          <w:bCs/>
        </w:rPr>
        <w:t xml:space="preserve">Análisis de plazos de</w:t>
      </w:r>
      <w:r>
        <w:rPr>
          <w:b/>
          <w:bCs/>
        </w:rPr>
        <w:t xml:space="preserve"> </w:t>
      </w:r>
      <w:r>
        <w:rPr>
          <w:b/>
          <w:bCs/>
          <w:smallCaps/>
        </w:rPr>
        <w:t xml:space="preserve">Marshall</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w:t>
      </w:r>
      <w:r>
        <w:t xml:space="preserve">: el plazo no es un tiempo de calendario, sino el tiempo de que disponen los agentes para ajustarse:</w:t>
      </w:r>
    </w:p>
    <w:p>
      <w:pPr>
        <w:numPr>
          <w:ilvl w:val="1"/>
          <w:numId w:val="1073"/>
        </w:numPr>
      </w:pPr>
      <w:r>
        <w:t xml:space="preserve">en el</w:t>
      </w:r>
      <w:r>
        <w:t xml:space="preserve"> </w:t>
      </w:r>
      <w:r>
        <w:rPr>
          <w:i/>
          <w:iCs/>
        </w:rPr>
        <w:t xml:space="preserve">periodo de mercado</w:t>
      </w:r>
      <w:r>
        <w:t xml:space="preserve">, la cantidad está dada (el pescado ya está en la lonja; el aceite de la campaña ya está en las almazaras): la oferta es vertical y la demanda fija el precio;</w:t>
      </w:r>
    </w:p>
    <w:p>
      <w:pPr>
        <w:numPr>
          <w:ilvl w:val="1"/>
          <w:numId w:val="1073"/>
        </w:numPr>
      </w:pPr>
      <w:r>
        <w:t xml:space="preserve">a</w:t>
      </w:r>
      <w:r>
        <w:t xml:space="preserve"> </w:t>
      </w:r>
      <w:r>
        <w:rPr>
          <w:i/>
          <w:iCs/>
        </w:rPr>
        <w:t xml:space="preserve">corto plazo</w:t>
      </w:r>
      <w:r>
        <w:t xml:space="preserve">, las empresas ajustan la producción con el equipo que tienen, que se toma como prácticamente fijo (más o menos barcos que salen a faenar; más o menos cuidados en los olivares existentes);</w:t>
      </w:r>
    </w:p>
    <w:p>
      <w:pPr>
        <w:numPr>
          <w:ilvl w:val="1"/>
          <w:numId w:val="1073"/>
        </w:numPr>
      </w:pPr>
      <w:r>
        <w:t xml:space="preserve">a</w:t>
      </w:r>
      <w:r>
        <w:t xml:space="preserve"> </w:t>
      </w:r>
      <w:r>
        <w:rPr>
          <w:i/>
          <w:iCs/>
        </w:rPr>
        <w:t xml:space="preserve">largo plazo</w:t>
      </w:r>
      <w:r>
        <w:t xml:space="preserve">, ajustan el propio equipo a la demanda que esperan, y entran y salen empresas (barcos nuevos; olivos nuevos, que tardan años en dar fruto); el precio tiende a su</w:t>
      </w:r>
      <w:r>
        <w:t xml:space="preserve"> </w:t>
      </w:r>
      <w:r>
        <w:rPr>
          <w:i/>
          <w:iCs/>
        </w:rPr>
        <w:t xml:space="preserve">valor normal</w:t>
      </w:r>
      <w:r>
        <w:t xml:space="preserve">.</w:t>
      </w:r>
    </w:p>
    <w:bookmarkStart w:id="138" w:name="fig:marshall-periodos"/>
    <w:p>
      <w:pPr>
        <w:pStyle w:val="ImageCaption"/>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Pr>
      <w:r>
        <w:drawing>
          <wp:inline>
            <wp:extent cx="2574999" cy="2269179"/>
            <wp:effectExtent b="0" l="0" r="0" t="0"/>
            <wp:docPr descr="" title="" id="136" name="Picture"/>
            <a:graphic>
              <a:graphicData uri="http://schemas.openxmlformats.org/drawingml/2006/picture">
                <pic:pic>
                  <pic:nvPicPr>
                    <pic:cNvPr descr="C:\Users\vgutierrez\Documents\src\victorgutierrezmarcos.github.io-revision\oposicion\temario\fuentes\3A16\graficos/marshall-periodos.png" id="137" name="Picture"/>
                    <pic:cNvPicPr>
                      <a:picLocks noChangeArrowheads="1" noChangeAspect="1"/>
                    </pic:cNvPicPr>
                  </pic:nvPicPr>
                  <pic:blipFill>
                    <a:blip r:embed="rId135"/>
                    <a:stretch>
                      <a:fillRect/>
                    </a:stretch>
                  </pic:blipFill>
                  <pic:spPr bwMode="auto">
                    <a:xfrm>
                      <a:off x="0" y="0"/>
                      <a:ext cx="2574999" cy="2269179"/>
                    </a:xfrm>
                    <a:prstGeom prst="rect">
                      <a:avLst/>
                    </a:prstGeom>
                    <a:noFill/>
                    <a:ln w="9525">
                      <a:noFill/>
                      <a:headEnd/>
                      <a:tailEnd/>
                    </a:ln>
                  </pic:spPr>
                </pic:pic>
              </a:graphicData>
            </a:graphic>
          </wp:inline>
        </w:drawing>
      </w:r>
    </w:p>
    <w:bookmarkEnd w:id="138"/>
    <w:p>
      <w:pPr>
        <w:pStyle w:val="Piedeimagen"/>
      </w:pPr>
      <w:r>
        <w:t xml:space="preserve">Fuente: elaboración propia a partir de</w:t>
      </w:r>
      <w:r>
        <w:t xml:space="preserve"> </w:t>
      </w:r>
      <w:r>
        <w:rPr>
          <w:smallCaps/>
        </w:rPr>
        <w:t xml:space="preserve">De Vroey</w:t>
      </w:r>
      <w:r>
        <w:t xml:space="preserve"> </w:t>
      </w:r>
      <w:r>
        <w:t xml:space="preserve">(</w:t>
      </w:r>
      <w:hyperlink w:anchor="ref-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w:t>
      </w:r>
    </w:p>
    <w:p>
      <w:pPr>
        <w:pStyle w:val="Cajadeanotaciones"/>
      </w:pPr>
      <w:r>
        <w:rPr>
          <w:b/>
          <w:bCs/>
        </w:rPr>
        <w:t xml:space="preserve">El mercado de pescado de</w:t>
      </w:r>
      <w:r>
        <w:rPr>
          <w:b/>
          <w:bCs/>
        </w:rPr>
        <w:t xml:space="preserve"> </w:t>
      </w:r>
      <w:r>
        <w:rPr>
          <w:b/>
          <w:bCs/>
          <w:smallCaps/>
        </w:rPr>
        <w:t xml:space="preserve">Marshall</w:t>
      </w:r>
      <w:r>
        <w:rPr>
          <w:b/>
          <w:bCs/>
        </w:rPr>
        <w:t xml:space="preserve">: equilibrio temporal y equilibrio normal</w:t>
      </w:r>
      <w:r>
        <w:t xml:space="preserve"> </w:t>
      </w:r>
      <w:r>
        <w:t xml:space="preserve">(gráfico 11).</w:t>
      </w:r>
    </w:p>
    <w:p>
      <w:pPr>
        <w:pStyle w:val="Cajadeanotaciones"/>
        <w:numPr>
          <w:ilvl w:val="0"/>
          <w:numId w:val="1074"/>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4"/>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39"/>
      </w:r>
    </w:p>
    <w:p>
      <w:pPr>
        <w:pStyle w:val="Cajadeanotaciones"/>
        <w:numPr>
          <w:ilvl w:val="0"/>
          <w:numId w:val="1074"/>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 III.3</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4"/>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r>
        <w:rPr>
          <w:rStyle w:val="Referenciaatema"/>
        </w:rPr>
        <w:t xml:space="preserve">[ver tema 3.A.4]</w:t>
      </w:r>
      <w:r>
        <w:t xml:space="preserve">.</w:t>
      </w:r>
    </w:p>
    <w:p>
      <w:pPr>
        <w:numPr>
          <w:ilvl w:val="0"/>
          <w:numId w:val="1075"/>
        </w:numPr>
      </w:pPr>
      <w:r>
        <w:t xml:space="preserve">La</w:t>
      </w:r>
      <w:r>
        <w:t xml:space="preserve"> </w:t>
      </w:r>
      <w:r>
        <w:rPr>
          <w:b/>
          <w:bCs/>
        </w:rPr>
        <w:t xml:space="preserve">clasificación moderna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w:t>
      </w:r>
      <w:r>
        <w:t xml:space="preserve">traduce esos plazos a supuestos del modelo: el</w:t>
      </w:r>
      <w:r>
        <w:t xml:space="preserve"> </w:t>
      </w:r>
      <w:r>
        <w:rPr>
          <w:i/>
          <w:iCs/>
        </w:rPr>
        <w:t xml:space="preserve">corto plazo</w:t>
      </w:r>
      <w:r>
        <w:t xml:space="preserve">, con algún factor fijo y un número fijo de empresas; el</w:t>
      </w:r>
      <w:r>
        <w:t xml:space="preserve"> </w:t>
      </w:r>
      <w:r>
        <w:rPr>
          <w:i/>
          <w:iCs/>
        </w:rPr>
        <w:t xml:space="preserve">largo plazo sin libre entrada</w:t>
      </w:r>
      <w:r>
        <w:t xml:space="preserve">, con todos los factores variables y el mismo número de empresas, y el</w:t>
      </w:r>
      <w:r>
        <w:t xml:space="preserve"> </w:t>
      </w:r>
      <w:r>
        <w:rPr>
          <w:i/>
          <w:iCs/>
        </w:rPr>
        <w:t xml:space="preserve">largo plazo con libre entrada</w:t>
      </w:r>
      <w:r>
        <w:t xml:space="preserve">, en el que el número de empresas es endógeno (tabla 2).</w:t>
      </w:r>
    </w:p>
    <w:bookmarkStart w:id="140" w:name="tab:plazos"/>
    <w:p>
      <w:pPr>
        <w:pStyle w:val="TableCaption"/>
      </w:pPr>
      <w:r>
        <w:t xml:space="preserve">Tabla 2.–</w:t>
      </w:r>
      <w:r>
        <w:t xml:space="preserve"> </w:t>
      </w:r>
      <w:r>
        <w:t xml:space="preserve">Los plazos en el análisis de la competencia perfecta</w:t>
      </w:r>
    </w:p>
    <w:tbl>
      <w:tblPr>
        <w:tblStyle w:val="Table"/>
        <w:tblW w:type="auto" w:w="0"/>
        <w:tblLook w:firstRow="1" w:lastRow="0" w:firstColumn="0" w:lastColumn="0" w:noHBand="0" w:noVBand="0" w:val="0020"/>
        <w:tblCaption w:val="Tabla 2.–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40"/>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10.F</w:t>
        </w:r>
      </w:hyperlink>
      <w:r>
        <w:rPr>
          <w:i/>
          <w:iCs/>
        </w:rPr>
        <w:t xml:space="preserve">)</w:t>
      </w:r>
      <w:r>
        <w:rPr>
          <w:i/>
          <w:iCs/>
        </w:rPr>
        <w:t xml:space="preserve"> </w:t>
      </w:r>
      <w:r>
        <w:rPr>
          <w:i/>
          <w:iCs/>
        </w:rPr>
        <w:t xml:space="preserve">y</w:t>
      </w:r>
      <w:r>
        <w:rPr>
          <w:i/>
          <w:iCs/>
        </w:rPr>
        <w:t xml:space="preserve"> </w:t>
      </w:r>
      <w:r>
        <w:rPr>
          <w:i/>
          <w:iCs/>
          <w:smallCaps/>
        </w:rPr>
        <w:t xml:space="preserve">Marshall</w:t>
      </w:r>
      <w:r>
        <w:rPr>
          <w:i/>
          <w:iCs/>
        </w:rPr>
        <w:t xml:space="preserve"> </w:t>
      </w:r>
      <w:r>
        <w:rPr>
          <w:i/>
          <w:iCs/>
        </w:rPr>
        <w:t xml:space="preserve">(</w:t>
      </w:r>
      <w:hyperlink w:anchor="ref-Marshall1890Principles">
        <w:r>
          <w:rPr>
            <w:rStyle w:val="Hyperlink"/>
            <w:i/>
            <w:iCs/>
          </w:rPr>
          <w:t xml:space="preserve">1890, lib. V</w:t>
        </w:r>
      </w:hyperlink>
      <w:r>
        <w:rPr>
          <w:i/>
          <w:iCs/>
        </w:rPr>
        <w:t xml:space="preserve">, cap. V)</w:t>
      </w:r>
      <w:r>
        <w:rPr>
          <w:i/>
          <w:iCs/>
        </w:rPr>
        <w:t xml:space="preserve">.</w:t>
      </w:r>
    </w:p>
    <w:bookmarkStart w:id="150" w:name="corto-plazo"/>
    <w:p>
      <w:pPr>
        <w:pStyle w:val="Heading2"/>
      </w:pPr>
      <w:r>
        <w:t xml:space="preserve">III.1.</w:t>
      </w:r>
      <w:r>
        <w:t xml:space="preserve"> </w:t>
      </w:r>
      <w:r>
        <w:t xml:space="preserve">Corto plazo</w:t>
      </w:r>
    </w:p>
    <w:p>
      <w:pPr>
        <w:pStyle w:val="FirstParagraph"/>
      </w:pPr>
      <w:r>
        <w:t xml:space="preserve">Empezamos por el plazo más breve en el que las empresas producen: el de las que ya están en el mercado y no pueden cambiar su equipo.</w:t>
      </w:r>
    </w:p>
    <w:bookmarkStart w:id="141" w:name="i-supuestos-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r>
        <w:rPr>
          <w:rStyle w:val="Referenciaatema"/>
        </w:rPr>
        <w:t xml:space="preserve">[ver tema 3.A.11]</w:t>
      </w:r>
      <w:r>
        <w:t xml:space="preserve"> </w:t>
      </w:r>
      <w:r>
        <w:rPr>
          <w:rStyle w:val="Referenciaatema"/>
        </w:rPr>
        <w:t xml:space="preserve">[ver tema 3.A.12]</w:t>
      </w:r>
      <w:r>
        <w:t xml:space="preserve">.</w:t>
      </w:r>
    </w:p>
    <w:bookmarkEnd w:id="141"/>
    <w:bookmarkStart w:id="147" w:name="ii-desarrollo-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42"/>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r>
        <w:rPr>
          <w:rStyle w:val="Referenciaatema"/>
        </w:rPr>
        <w:t xml:space="preserve">[ver tema 3.A.12]</w:t>
      </w:r>
      <w:r>
        <w:t xml:space="preserve">.</w:t>
      </w:r>
    </w:p>
    <w:p>
      <w:pPr>
        <w:numPr>
          <w:ilvl w:val="0"/>
          <w:numId w:val="1077"/>
        </w:numPr>
      </w:pPr>
      <w:r>
        <w:rPr>
          <w:i/>
          <w:iCs/>
        </w:rPr>
        <w:t xml:space="preserve">Oferta a corto plazo</w:t>
      </w:r>
      <w:r>
        <w:t xml:space="preserve">: la de la empresa es el coste marginal por encima del mínimo del CVMe (gráfico 12);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46" w:name="fig:oferta-corto-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44" name="Picture"/>
            <a:graphic>
              <a:graphicData uri="http://schemas.openxmlformats.org/drawingml/2006/picture">
                <pic:pic>
                  <pic:nvPicPr>
                    <pic:cNvPr descr="C:\Users\vgutierrez\Documents\src\victorgutierrezmarcos.github.io-revision\oposicion\temario\fuentes\3A16\graficos/oferta-corto-plazo.png" id="145" name="Picture"/>
                    <pic:cNvPicPr>
                      <a:picLocks noChangeArrowheads="1" noChangeAspect="1"/>
                    </pic:cNvPicPr>
                  </pic:nvPicPr>
                  <pic:blipFill>
                    <a:blip r:embed="rId143"/>
                    <a:stretch>
                      <a:fillRect/>
                    </a:stretch>
                  </pic:blipFill>
                  <pic:spPr bwMode="auto">
                    <a:xfrm>
                      <a:off x="0" y="0"/>
                      <a:ext cx="4775200" cy="194708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47"/>
    <w:bookmarkStart w:id="149" w:name="iii-implicaciones-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los pescadores, o de quien tenía aceite en plena sequía.</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r>
        <w:rPr>
          <w:rStyle w:val="Referenciaatema"/>
        </w:rPr>
        <w:t xml:space="preserve">[ver tema 3.A.12]</w:t>
      </w:r>
      <w:r>
        <w:t xml:space="preserve">. El coste contable solo recoge los pagos efectivos, de modo que el beneficio económico es el contable menos el coste de oportunidad de los recursos propios (tabla 3). Cuando la teoría dice que el beneficio es nulo a largo plazo (III.3), se refiere al económico: la empresa gana lo mismo que ganaría en su mejor alternativa.</w:t>
      </w:r>
    </w:p>
    <w:bookmarkStart w:id="148" w:name="tab:beneficio-economico"/>
    <w:p>
      <w:pPr>
        <w:pStyle w:val="TableCaption"/>
      </w:pPr>
      <w:r>
        <w:t xml:space="preserve">Tabla 3.–</w:t>
      </w:r>
      <w:r>
        <w:t xml:space="preserve"> </w:t>
      </w:r>
      <w:r>
        <w:t xml:space="preserve">Beneficio contable y beneficio económico: un ejemplo</w:t>
      </w:r>
    </w:p>
    <w:tbl>
      <w:tblPr>
        <w:tblStyle w:val="Table"/>
        <w:tblW w:type="auto" w:w="0"/>
        <w:tblLook w:firstRow="1" w:lastRow="0" w:firstColumn="0" w:lastColumn="0" w:noHBand="0" w:noVBand="0" w:val="0020"/>
        <w:tblCaption w:val="Tabla 3.– Beneficio contable y beneficio económico: un ejemplo"/>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Situación 1</w:t>
            </w:r>
          </w:p>
        </w:tc>
        <w:tc>
          <w:tcPr>
            <w:vAlign w:val="center"/>
          </w:tcPr>
          <w:p>
            <w:pPr>
              <w:pStyle w:val="Celdatceeazulpalido"/>
              <w:jc w:val="center"/>
            </w:pPr>
            <w:r>
              <w:rPr>
                <w:b/>
                <w:bCs/>
              </w:rPr>
              <w:t xml:space="preserve">Situación 2</w:t>
            </w:r>
          </w:p>
        </w:tc>
        <w:tc>
          <w:tcPr>
            <w:vAlign w:val="center"/>
          </w:tcPr>
          <w:p>
            <w:pPr>
              <w:pStyle w:val="Celdatceeazulpalido"/>
              <w:jc w:val="center"/>
            </w:pPr>
            <w:r>
              <w:rPr>
                <w:b/>
                <w:bCs/>
              </w:rPr>
              <w:t xml:space="preserve">Situación 3</w:t>
            </w:r>
          </w:p>
        </w:tc>
      </w:tr>
      <w:tr>
        <w:tc>
          <w:tcPr>
            <w:vAlign w:val="center"/>
          </w:tcPr>
          <w:p>
            <w:pPr>
              <w:pStyle w:val="Compact"/>
              <w:jc w:val="left"/>
            </w:pPr>
            <w:r>
              <w:t xml:space="preserve">Ingresos</w:t>
            </w:r>
          </w:p>
        </w:tc>
        <w:tc>
          <w:tcPr>
            <w:vAlign w:val="center"/>
          </w:tcPr>
          <w:p>
            <w:pPr>
              <w:pStyle w:val="Compact"/>
              <w:jc w:val="center"/>
            </w:pPr>
            <w:r>
              <w:t xml:space="preserve">1.000</w:t>
            </w:r>
          </w:p>
        </w:tc>
        <w:tc>
          <w:tcPr>
            <w:vAlign w:val="center"/>
          </w:tcPr>
          <w:p>
            <w:pPr>
              <w:pStyle w:val="Compact"/>
              <w:jc w:val="center"/>
            </w:pPr>
            <w:r>
              <w:t xml:space="preserve">1.000</w:t>
            </w:r>
          </w:p>
        </w:tc>
        <w:tc>
          <w:tcPr>
            <w:vAlign w:val="center"/>
          </w:tcPr>
          <w:p>
            <w:pPr>
              <w:pStyle w:val="Compact"/>
              <w:jc w:val="center"/>
            </w:pPr>
            <w:r>
              <w:t xml:space="preserve">1.000</w:t>
            </w:r>
          </w:p>
        </w:tc>
      </w:tr>
      <w:tr>
        <w:tc>
          <w:tcPr>
            <w:vAlign w:val="center"/>
          </w:tcPr>
          <w:p>
            <w:pPr>
              <w:pStyle w:val="Compact"/>
              <w:jc w:val="left"/>
            </w:pPr>
            <w:r>
              <w:t xml:space="preserve">Costes explícitos</w:t>
            </w:r>
          </w:p>
        </w:tc>
        <w:tc>
          <w:tcPr>
            <w:vAlign w:val="center"/>
          </w:tcPr>
          <w:p>
            <w:pPr>
              <w:pStyle w:val="Compact"/>
              <w:jc w:val="center"/>
            </w:pPr>
            <w:r>
              <w:t xml:space="preserve">600</w:t>
            </w:r>
          </w:p>
        </w:tc>
        <w:tc>
          <w:tcPr>
            <w:vAlign w:val="center"/>
          </w:tcPr>
          <w:p>
            <w:pPr>
              <w:pStyle w:val="Compact"/>
              <w:jc w:val="center"/>
            </w:pPr>
            <w:r>
              <w:t xml:space="preserve">600</w:t>
            </w:r>
          </w:p>
        </w:tc>
        <w:tc>
          <w:tcPr>
            <w:vAlign w:val="center"/>
          </w:tcPr>
          <w:p>
            <w:pPr>
              <w:pStyle w:val="Compact"/>
              <w:jc w:val="center"/>
            </w:pPr>
            <w:r>
              <w:t xml:space="preserve">600</w:t>
            </w:r>
          </w:p>
        </w:tc>
      </w:tr>
      <w:tr>
        <w:tc>
          <w:tcPr>
            <w:vAlign w:val="center"/>
          </w:tcPr>
          <w:p>
            <w:pPr>
              <w:pStyle w:val="Compact"/>
              <w:jc w:val="left"/>
            </w:pPr>
            <w:r>
              <w:rPr>
                <w:b/>
                <w:bCs/>
              </w:rPr>
              <w:t xml:space="preserve">Beneficio contable</w:t>
            </w:r>
          </w:p>
        </w:tc>
        <w:tc>
          <w:tcPr>
            <w:vAlign w:val="center"/>
          </w:tcPr>
          <w:p>
            <w:pPr>
              <w:pStyle w:val="Compact"/>
              <w:jc w:val="center"/>
            </w:pPr>
            <w:r>
              <w:t xml:space="preserve">400</w:t>
            </w:r>
          </w:p>
        </w:tc>
        <w:tc>
          <w:tcPr>
            <w:vAlign w:val="center"/>
          </w:tcPr>
          <w:p>
            <w:pPr>
              <w:pStyle w:val="Compact"/>
              <w:jc w:val="center"/>
            </w:pPr>
            <w:r>
              <w:t xml:space="preserve">400</w:t>
            </w:r>
          </w:p>
        </w:tc>
        <w:tc>
          <w:tcPr>
            <w:vAlign w:val="center"/>
          </w:tcPr>
          <w:p>
            <w:pPr>
              <w:pStyle w:val="Compact"/>
              <w:jc w:val="center"/>
            </w:pPr>
            <w:r>
              <w:t xml:space="preserve">400</w:t>
            </w:r>
          </w:p>
        </w:tc>
      </w:tr>
      <w:tr>
        <w:tc>
          <w:tcPr>
            <w:vAlign w:val="center"/>
          </w:tcPr>
          <w:p>
            <w:pPr>
              <w:pStyle w:val="Compact"/>
              <w:jc w:val="left"/>
            </w:pPr>
            <w:r>
              <w:t xml:space="preserve">Coste de oportunidad de los recursos propios</w:t>
            </w:r>
          </w:p>
        </w:tc>
        <w:tc>
          <w:tcPr>
            <w:vAlign w:val="center"/>
          </w:tcPr>
          <w:p>
            <w:pPr>
              <w:pStyle w:val="Compact"/>
              <w:jc w:val="center"/>
            </w:pPr>
            <w:r>
              <w:t xml:space="preserve">300</w:t>
            </w:r>
          </w:p>
        </w:tc>
        <w:tc>
          <w:tcPr>
            <w:vAlign w:val="center"/>
          </w:tcPr>
          <w:p>
            <w:pPr>
              <w:pStyle w:val="Compact"/>
              <w:jc w:val="center"/>
            </w:pPr>
            <w:r>
              <w:t xml:space="preserve">400</w:t>
            </w:r>
          </w:p>
        </w:tc>
        <w:tc>
          <w:tcPr>
            <w:vAlign w:val="center"/>
          </w:tcPr>
          <w:p>
            <w:pPr>
              <w:pStyle w:val="Compact"/>
              <w:jc w:val="center"/>
            </w:pPr>
            <w:r>
              <w:t xml:space="preserve">550</w:t>
            </w:r>
          </w:p>
        </w:tc>
      </w:tr>
      <w:tr>
        <w:tc>
          <w:tcPr>
            <w:vAlign w:val="center"/>
          </w:tcPr>
          <w:p>
            <w:pPr>
              <w:pStyle w:val="Celdatceesalvia"/>
              <w:jc w:val="left"/>
            </w:pPr>
            <w:r>
              <w:rPr>
                <w:b/>
                <w:bCs/>
              </w:rPr>
              <w:t xml:space="preserve">Beneficio económico</w:t>
            </w:r>
          </w:p>
        </w:tc>
        <w:tc>
          <w:tcPr>
            <w:vAlign w:val="center"/>
          </w:tcPr>
          <w:p>
            <w:pPr>
              <w:pStyle w:val="Celdatceesalvia"/>
              <w:jc w:val="center"/>
            </w:pPr>
            <w:r>
              <w:rPr>
                <w:rStyle w:val="Textoverde"/>
                <w:b/>
                <w:bCs/>
              </w:rPr>
              <w:t xml:space="preserve">100</w:t>
            </w:r>
            <w:r>
              <w:br/>
            </w:r>
            <w:r>
              <w:t xml:space="preserve">extraordinario</w:t>
            </w:r>
          </w:p>
        </w:tc>
        <w:tc>
          <w:tcPr>
            <w:vAlign w:val="center"/>
          </w:tcPr>
          <w:p>
            <w:pPr>
              <w:pStyle w:val="Celdatceesalvia"/>
              <w:jc w:val="center"/>
            </w:pPr>
            <w:r>
              <w:rPr>
                <w:rStyle w:val="Textoazul"/>
                <w:b/>
                <w:bCs/>
              </w:rPr>
              <w:t xml:space="preserve">0</w:t>
            </w:r>
            <w:r>
              <w:br/>
            </w:r>
            <w:r>
              <w:t xml:space="preserve">normal</w:t>
            </w:r>
          </w:p>
        </w:tc>
        <w:tc>
          <w:tcPr>
            <w:vAlign w:val="center"/>
          </w:tcPr>
          <w:p>
            <w:pPr>
              <w:pStyle w:val="Celdatceesalvia"/>
              <w:jc w:val="center"/>
            </w:pPr>
            <w:r>
              <w:rPr>
                <w:rStyle w:val="Textorojo"/>
                <w:b/>
                <w:bCs/>
              </w:rPr>
              <w:t xml:space="preserve">−150</w:t>
            </w:r>
            <w:r>
              <w:br/>
            </w:r>
            <w:r>
              <w:t xml:space="preserve">pérdida económica</w:t>
            </w:r>
          </w:p>
        </w:tc>
      </w:tr>
    </w:tbl>
    <w:bookmarkEnd w:id="148"/>
    <w:p>
      <w:pPr>
        <w:pStyle w:val="BodyText"/>
      </w:pPr>
      <w:r>
        <w:rPr>
          <w:i/>
          <w:iCs/>
        </w:rPr>
        <w:t xml:space="preserve">Fuente: elaboración propia (ejemplo numérico).</w:t>
      </w:r>
    </w:p>
    <w:bookmarkEnd w:id="149"/>
    <w:bookmarkEnd w:id="150"/>
    <w:bookmarkStart w:id="154" w:name="largo-plazo-sin-libre-entrada"/>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51" w:name="i-supuestos-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I y II.</w:t>
      </w:r>
    </w:p>
    <w:bookmarkEnd w:id="151"/>
    <w:bookmarkStart w:id="152" w:name="ii-desarrollo-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(I.2).</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r>
        <w:rPr>
          <w:rStyle w:val="Referenciaatema"/>
        </w:rPr>
        <w:t xml:space="preserve">[ver tema 3.A.12]</w:t>
      </w:r>
      <w:r>
        <w:t xml:space="preserve">.</w:t>
      </w:r>
    </w:p>
    <w:bookmarkEnd w:id="152"/>
    <w:bookmarkStart w:id="153" w:name="iii-implicaciones-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53"/>
    <w:bookmarkEnd w:id="154"/>
    <w:bookmarkStart w:id="182" w:name="largo-plazo-con-libre-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55" w:name="a-idea-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quinto rasgo de la competencia perfecta (I.1) y una aproximación razonable cuando se piensa en plazos largos. El número de empresas activas pasa a ser endógeno. ¿Qué precio rige entonces, y cuántas empresas hay?</w:t>
      </w:r>
    </w:p>
    <w:bookmarkEnd w:id="155"/>
    <w:bookmarkStart w:id="171" w:name="b-modelo-4"/>
    <w:p>
      <w:pPr>
        <w:pStyle w:val="Heading4"/>
      </w:pPr>
      <w:r>
        <w:t xml:space="preserve">b) Modelo</w:t>
      </w:r>
    </w:p>
    <w:bookmarkStart w:id="157" w:name="i-supuestos-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56"/>
      </w:r>
    </w:p>
    <w:bookmarkEnd w:id="157"/>
    <w:bookmarkStart w:id="165" w:name="ii-desarrollo-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13):</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158"/>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159"/>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r>
        <w:rPr>
          <w:rStyle w:val="Referenciaatema"/>
        </w:rPr>
        <w:t xml:space="preserve">[ver tema 3.A.17]</w:t>
      </w:r>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160"/>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164" w:name="fig:libre-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162" name="Picture"/>
            <a:graphic>
              <a:graphicData uri="http://schemas.openxmlformats.org/drawingml/2006/picture">
                <pic:pic>
                  <pic:nvPicPr>
                    <pic:cNvPr descr="C:\Users\vgutierrez\Documents\src\victorgutierrezmarcos.github.io-revision\oposicion\temario\fuentes\3A16\graficos/libre-entrada.png" id="163" name="Picture"/>
                    <pic:cNvPicPr>
                      <a:picLocks noChangeArrowheads="1" noChangeAspect="1"/>
                    </pic:cNvPicPr>
                  </pic:nvPicPr>
                  <pic:blipFill>
                    <a:blip r:embed="rId161"/>
                    <a:stretch>
                      <a:fillRect/>
                    </a:stretch>
                  </pic:blipFill>
                  <pic:spPr bwMode="auto">
                    <a:xfrm>
                      <a:off x="0" y="0"/>
                      <a:ext cx="5670550" cy="318542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bookmarkEnd w:id="165"/>
    <w:bookmarkStart w:id="170" w:name="iii-implicaciones-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dura lo que tardan en llegar barcos nuevos. Es nulo el beneficio</w:t>
      </w:r>
      <w:r>
        <w:t xml:space="preserve"> </w:t>
      </w:r>
      <w:r>
        <w:rPr>
          <w:i/>
          <w:iCs/>
        </w:rPr>
        <w:t xml:space="preserve">económico</w:t>
      </w:r>
      <w:r>
        <w:t xml:space="preserve">: las empresas siguen cubriendo el coste de oportunidad de sus recursos (tabla 3).</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(II.2.2).</w:t>
      </w:r>
    </w:p>
    <w:p>
      <w:pPr>
        <w:keepNext/>
        <w:numPr>
          <w:ilvl w:val="0"/>
          <w:numId w:val="1089"/>
        </w:numPr>
      </w:pPr>
      <w:r>
        <w:rPr>
          <w:i/>
          <w:iCs/>
        </w:rPr>
        <w:t xml:space="preserve">Del corto al largo plazo</w:t>
      </w:r>
      <w:r>
        <w:t xml:space="preserve"> </w:t>
      </w:r>
      <w:r>
        <w:t xml:space="preserve">(gráfico 14):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169" w:name="fig:corto-largo-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167" name="Picture"/>
            <a:graphic>
              <a:graphicData uri="http://schemas.openxmlformats.org/drawingml/2006/picture">
                <pic:pic>
                  <pic:nvPicPr>
                    <pic:cNvPr descr="C:\Users\vgutierrez\Documents\src\victorgutierrezmarcos.github.io-revision\oposicion\temario\fuentes\3A16\graficos/corto-largo-industria.png" id="168" name="Picture"/>
                    <pic:cNvPicPr>
                      <a:picLocks noChangeArrowheads="1" noChangeAspect="1"/>
                    </pic:cNvPicPr>
                  </pic:nvPicPr>
                  <pic:blipFill>
                    <a:blip r:embed="rId166"/>
                    <a:stretch>
                      <a:fillRect/>
                    </a:stretch>
                  </pic:blipFill>
                  <pic:spPr bwMode="auto">
                    <a:xfrm>
                      <a:off x="0" y="0"/>
                      <a:ext cx="4434381" cy="2125444"/>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r>
        <w:rPr>
          <w:rStyle w:val="Referenciaatema"/>
        </w:rPr>
        <w:t xml:space="preserve">[ver tema 3.A.19]</w:t>
      </w:r>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170"/>
    <w:bookmarkEnd w:id="171"/>
    <w:bookmarkStart w:id="179" w:name="Xe44f1824d7fa1dbe56edaa14454d2e78c74482d"/>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172" w:name="i-supuestos-9"/>
    <w:p>
      <w:pPr>
        <w:pStyle w:val="Heading5"/>
      </w:pPr>
      <w:r>
        <w:t xml:space="preserve">i) Supuestos</w:t>
      </w:r>
    </w:p>
    <w:p>
      <w:pPr>
        <w:numPr>
          <w:ilvl w:val="0"/>
          <w:numId w:val="1093"/>
        </w:numPr>
      </w:pPr>
      <w:r>
        <w:rPr>
          <w:smallCaps/>
        </w:rPr>
        <w:t xml:space="preserve">Marshall</w:t>
      </w:r>
      <w:r>
        <w:t xml:space="preserve"> </w:t>
      </w:r>
      <w:r>
        <w:t xml:space="preserve">(</w:t>
      </w:r>
      <w:hyperlink w:anchor="ref-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172"/>
    <w:bookmarkStart w:id="177" w:name="ii-desarrollo-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15: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(III.3, b).</w:t>
      </w:r>
    </w:p>
    <w:bookmarkStart w:id="176" w:name="fig:oferta-largo-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174" name="Picture"/>
            <a:graphic>
              <a:graphicData uri="http://schemas.openxmlformats.org/drawingml/2006/picture">
                <pic:pic>
                  <pic:nvPicPr>
                    <pic:cNvPr descr="C:\Users\vgutierrez\Documents\src\victorgutierrezmarcos.github.io-revision\oposicion\temario\fuentes\3A16\graficos/oferta-largo-plazo.png" id="175" name="Picture"/>
                    <pic:cNvPicPr>
                      <a:picLocks noChangeArrowheads="1" noChangeAspect="1"/>
                    </pic:cNvPicPr>
                  </pic:nvPicPr>
                  <pic:blipFill>
                    <a:blip r:embed="rId173"/>
                    <a:stretch>
                      <a:fillRect/>
                    </a:stretch>
                  </pic:blipFill>
                  <pic:spPr bwMode="auto">
                    <a:xfrm>
                      <a:off x="0" y="0"/>
                      <a:ext cx="5670550" cy="1681727"/>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w:t>
      </w:r>
    </w:p>
    <w:bookmarkEnd w:id="177"/>
    <w:bookmarkStart w:id="178" w:name="iii-implicaciones-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r>
        <w:rPr>
          <w:rStyle w:val="Referenciaatema"/>
        </w:rPr>
        <w:t xml:space="preserve">[ver tema 3.A.23]</w:t>
      </w:r>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6 (II.1.2 y II.1.3).</w:t>
      </w:r>
    </w:p>
    <w:p>
      <w:pPr>
        <w:numPr>
          <w:ilvl w:val="0"/>
          <w:numId w:val="1097"/>
        </w:numPr>
      </w:pPr>
      <w:r>
        <w:t xml:space="preserve">Las economías externas explican la concentración geográfica de industrias y parte del comercio entre países parecidos</w:t>
      </w:r>
      <w:r>
        <w:t xml:space="preserve"> </w:t>
      </w:r>
      <w:r>
        <w:rPr>
          <w:rStyle w:val="Referenciaatema"/>
        </w:rPr>
        <w:t xml:space="preserve">[ver tema 3.B.6]</w:t>
      </w:r>
      <w:r>
        <w:t xml:space="preserve">.</w:t>
      </w:r>
    </w:p>
    <w:bookmarkEnd w:id="178"/>
    <w:bookmarkEnd w:id="179"/>
    <w:bookmarkStart w:id="180" w:name="d-evidencia-empírica-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r>
        <w:rPr>
          <w:rStyle w:val="Referenciaatema"/>
        </w:rPr>
        <w:t xml:space="preserve">[ver tema 3.A.12]</w:t>
      </w:r>
      <w:r>
        <w:t xml:space="preserve">. Por encima de esa escala el tamaño de cada empresa queda indeterminado, como con rendimientos constantes, lo que es compatible con que en un mismo mercado competitivo convivan empresas de tamaños muy distintos.</w:t>
      </w:r>
    </w:p>
    <w:bookmarkEnd w:id="180"/>
    <w:bookmarkStart w:id="181" w:name="e-valoración-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r>
        <w:rPr>
          <w:rStyle w:val="Referenciaatema"/>
        </w:rPr>
        <w:t xml:space="preserve">[ver tema 3.A.15]</w:t>
      </w:r>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r>
        <w:rPr>
          <w:rStyle w:val="Referenciaatema"/>
        </w:rPr>
        <w:t xml:space="preserve">[ver tema 3.A.15]</w:t>
      </w:r>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r>
        <w:rPr>
          <w:rStyle w:val="Referenciaatema"/>
        </w:rPr>
        <w:t xml:space="preserve">[ver tema 3.A.17]</w:t>
      </w:r>
      <w:r>
        <w:t xml:space="preserve"> </w:t>
      </w:r>
      <w:r>
        <w:rPr>
          <w:rStyle w:val="Referenciaatema"/>
        </w:rPr>
        <w:t xml:space="preserve">[ver tema 3.A.20]</w:t>
      </w:r>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181"/>
    <w:bookmarkEnd w:id="182"/>
    <w:bookmarkEnd w:id="183"/>
    <w:bookmarkStart w:id="184" w:name="conclusió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(I).</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(II).</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(III).</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r>
        <w:rPr>
          <w:rStyle w:val="Referenciaatema"/>
        </w:rPr>
        <w:t xml:space="preserve">[ver tema 3.A.17]</w:t>
      </w:r>
      <w:r>
        <w:t xml:space="preserve">, la defensa de la competencia trata de acercar los mercados a su resultado</w:t>
      </w:r>
      <w:r>
        <w:t xml:space="preserve"> </w:t>
      </w:r>
      <w:r>
        <w:rPr>
          <w:rStyle w:val="Referenciaatema"/>
        </w:rPr>
        <w:t xml:space="preserve">[ver tema 4.A.15]</w:t>
      </w:r>
      <w:r>
        <w:t xml:space="preserve">, y el análisis de impuestos, subvenciones y controles de precios empieza por este modelo</w:t>
      </w:r>
      <w:r>
        <w:t xml:space="preserve"> </w:t>
      </w:r>
      <w:r>
        <w:rPr>
          <w:rStyle w:val="Referenciaatema"/>
        </w:rPr>
        <w:t xml:space="preserve">[ver tema 4.B.8]</w:t>
      </w:r>
      <w:r>
        <w:t xml:space="preserve"> </w:t>
      </w:r>
      <w:r>
        <w:rPr>
          <w:rStyle w:val="Referenciaatema"/>
        </w:rPr>
        <w:t xml:space="preserve">[ver tema 4.B.9]</w:t>
      </w:r>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r>
        <w:rPr>
          <w:rStyle w:val="Referenciaatema"/>
        </w:rPr>
        <w:t xml:space="preserve">[ver tema 3.A.21]</w:t>
      </w:r>
      <w:r>
        <w:t xml:space="preserve">, y para la relación entre equilibrio, eficiencia y fallos de mercado, la economía del bienestar</w:t>
      </w:r>
      <w:r>
        <w:t xml:space="preserve"> </w:t>
      </w:r>
      <w:r>
        <w:rPr>
          <w:rStyle w:val="Referenciaatema"/>
        </w:rPr>
        <w:t xml:space="preserve">[ver tema 3.A.22]</w:t>
      </w:r>
      <w:r>
        <w:t xml:space="preserve"> </w:t>
      </w:r>
      <w:r>
        <w:rPr>
          <w:rStyle w:val="Referenciaatema"/>
        </w:rPr>
        <w:t xml:space="preserve">[ver tema 3.A.23]</w:t>
      </w:r>
      <w:r>
        <w:t xml:space="preserve">.</w:t>
      </w:r>
    </w:p>
    <w:p>
      <w:pPr>
        <w:numPr>
          <w:ilvl w:val="1"/>
          <w:numId w:val="1103"/>
        </w:numPr>
      </w:pPr>
      <w:r>
        <w:t xml:space="preserve">Al relajar la atomicidad o la homogeneidad del producto se llega al monopolio, la competencia monopolística y el oligopolio</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al relajar la información perfecta, a la economía de la información</w:t>
      </w:r>
      <w:r>
        <w:t xml:space="preserve"> </w:t>
      </w:r>
      <w:r>
        <w:rPr>
          <w:rStyle w:val="Referenciaatema"/>
        </w:rPr>
        <w:t xml:space="preserve">[ver tema 3.A.13]</w:t>
      </w:r>
      <w:r>
        <w:t xml:space="preserve">, y la amenaza de entrada puede bastar para disciplinar a pocas empresas en los mercados impugnables</w:t>
      </w:r>
      <w:r>
        <w:t xml:space="preserve"> </w:t>
      </w:r>
      <w:r>
        <w:rPr>
          <w:rStyle w:val="Referenciaatema"/>
        </w:rPr>
        <w:t xml:space="preserve">[ver tema 3.A.15]</w:t>
      </w:r>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r>
        <w:rPr>
          <w:rStyle w:val="Referenciaatema"/>
        </w:rPr>
        <w:t xml:space="preserve">[ver tema 3.A.6]</w:t>
      </w:r>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r>
        <w:rPr>
          <w:rStyle w:val="Referenciaatema"/>
        </w:rPr>
        <w:t xml:space="preserve">[ver tema 3.A.3]</w:t>
      </w:r>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barcos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4"/>
    <w:bookmarkStart w:id="189" w:name="anexo:1tfeb"/>
    <w:p>
      <w:pPr>
        <w:pStyle w:val="Heading1"/>
      </w:pPr>
      <w:r>
        <w:t xml:space="preserve">A. Anexo: el primer teorema del bienestar</w:t>
      </w:r>
      <w:r>
        <w:br/>
      </w:r>
      <w:r>
        <w:t xml:space="preserve">en equilibrio parcial</w:t>
      </w:r>
    </w:p>
    <w:p>
      <w:pPr>
        <w:pStyle w:val="FirstParagraph"/>
      </w:pPr>
      <w:r>
        <w:t xml:space="preserve">Este anexo demuestra, paso a paso, el resultado de II.2: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186"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185"/>
      </w:r>
    </w:p>
    <w:bookmarkEnd w:id="186"/>
    <w:bookmarkStart w:id="187" w:name="demostració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(14)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 I.2 cumple exactamente esas condiciones con</w:t>
      </w:r>
      <w:r>
        <w:t xml:space="preserve"> </w:t>
      </w:r>
      <m:oMath>
        <m:r>
          <m:t>λ</m:t>
        </m:r>
        <m:r>
          <m:rPr>
            <m:sty m:val="p"/>
          </m:rPr>
          <m:t>=</m:t>
        </m:r>
        <m:sSup>
          <m:e>
            <m:r>
              <m:t>p</m:t>
            </m:r>
          </m:e>
          <m:sup>
            <m:r>
              <m:rPr>
                <m:sty m:val="p"/>
              </m:rPr>
              <m:t>*</m:t>
            </m:r>
          </m:sup>
        </m:sSup>
      </m:oMath>
      <w:r>
        <w:t xml:space="preserve">: la del consumidor (3), con su caso de esquina; la de la empresa (6), y el vaciado (8).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187"/>
    <w:bookmarkStart w:id="188"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188"/>
    <w:bookmarkEnd w:id="189"/>
    <w:bookmarkStart w:id="194" w:name="anexo: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r>
        <w:rPr>
          <w:rStyle w:val="Referenciaatema"/>
        </w:rPr>
        <w:t xml:space="preserve">[ver tema 3.A.12]</w:t>
      </w:r>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(I.2).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16,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I y II.</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(III.3).</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(III.1).</w:t>
      </w:r>
    </w:p>
    <w:bookmarkStart w:id="193" w:name="fig:geometria-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191" name="Picture"/>
            <a:graphic>
              <a:graphicData uri="http://schemas.openxmlformats.org/drawingml/2006/picture">
                <pic:pic>
                  <pic:nvPicPr>
                    <pic:cNvPr descr="C:\Users\vgutierrez\Documents\src\victorgutierrezmarcos.github.io-revision\oposicion\temario\fuentes\3A16\graficos/geometria-costes.png" id="192" name="Picture"/>
                    <pic:cNvPicPr>
                      <a:picLocks noChangeArrowheads="1" noChangeAspect="1"/>
                    </pic:cNvPicPr>
                  </pic:nvPicPr>
                  <pic:blipFill>
                    <a:blip r:embed="rId190"/>
                    <a:stretch>
                      <a:fillRect/>
                    </a:stretch>
                  </pic:blipFill>
                  <pic:spPr bwMode="auto">
                    <a:xfrm>
                      <a:off x="0" y="0"/>
                      <a:ext cx="5491480" cy="5468178"/>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194"/>
    <w:bookmarkStart w:id="199" w:name="anexo:controles"/>
    <w:p>
      <w:pPr>
        <w:pStyle w:val="Heading1"/>
      </w:pPr>
      <w:r>
        <w:t xml:space="preserve">C. Anexo: precios máximos y mínimos</w:t>
      </w:r>
    </w:p>
    <w:p>
      <w:pPr>
        <w:numPr>
          <w:ilvl w:val="0"/>
          <w:numId w:val="1108"/>
        </w:numPr>
      </w:pPr>
      <w:r>
        <w:rPr>
          <w:i/>
          <w:iCs/>
        </w:rPr>
        <w:t xml:space="preserve">Idea</w:t>
      </w:r>
      <w:r>
        <w:t xml:space="preserve">: el equilibrio de I.2 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17).</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(II.3.2);</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r>
        <w:rPr>
          <w:rStyle w:val="Referenciaatema"/>
        </w:rPr>
        <w:t xml:space="preserve">[ver tema 3.B.38]</w:t>
      </w:r>
      <w:r>
        <w:t xml:space="preserve">.</w:t>
      </w:r>
    </w:p>
    <w:bookmarkStart w:id="198" w:name="fig:controles-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196" name="Picture"/>
            <a:graphic>
              <a:graphicData uri="http://schemas.openxmlformats.org/drawingml/2006/picture">
                <pic:pic>
                  <pic:nvPicPr>
                    <pic:cNvPr descr="C:\Users\vgutierrez\Documents\src\victorgutierrezmarcos.github.io-revision\oposicion\temario\fuentes\3A16\graficos/controles-precios.png" id="197" name="Picture"/>
                    <pic:cNvPicPr>
                      <a:picLocks noChangeArrowheads="1" noChangeAspect="1"/>
                    </pic:cNvPicPr>
                  </pic:nvPicPr>
                  <pic:blipFill>
                    <a:blip r:embed="rId195"/>
                    <a:stretch>
                      <a:fillRect/>
                    </a:stretch>
                  </pic:blipFill>
                  <pic:spPr bwMode="auto">
                    <a:xfrm>
                      <a:off x="0" y="0"/>
                      <a:ext cx="5299850" cy="2269179"/>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Rodríguez Álvarez</w:t>
      </w:r>
      <w:r>
        <w:t xml:space="preserve"> </w:t>
      </w:r>
      <w:r>
        <w:t xml:space="preserve">(</w:t>
      </w:r>
      <w:hyperlink w:anchor="ref-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10.C</w:t>
        </w:r>
      </w:hyperlink>
      <w:r>
        <w:t xml:space="preserve">)</w:t>
      </w:r>
      <w:r>
        <w:t xml:space="preserve">.</w:t>
      </w:r>
    </w:p>
    <w:bookmarkEnd w:id="199"/>
    <w:bookmarkStart w:id="201" w:name="anexo:parcial-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(I.2).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r>
        <w:rPr>
          <w:rStyle w:val="Referenciaatema"/>
        </w:rPr>
        <w:t xml:space="preserve">[ver tema 3.A.21]</w:t>
      </w:r>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 I.2,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r>
        <w:rPr>
          <w:rStyle w:val="Referenciaatema"/>
        </w:rPr>
        <w:t xml:space="preserve">[ver tema 3.A.21]</w:t>
      </w:r>
      <w:r>
        <w:t xml:space="preserve">.</w:t>
      </w:r>
    </w:p>
    <w:bookmarkStart w:id="200" w:name="qué-estudia-cada-tema-del-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r>
        <w:rPr>
          <w:rStyle w:val="Referenciaatema"/>
        </w:rPr>
        <w:t xml:space="preserve">[ver tema 3.A.21]</w:t>
      </w:r>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r>
        <w:rPr>
          <w:rStyle w:val="Referenciaatema"/>
        </w:rPr>
        <w:t xml:space="preserve">[ver tema 3.A.22]</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r>
        <w:rPr>
          <w:rStyle w:val="Referenciaatema"/>
        </w:rPr>
        <w:t xml:space="preserve">[ver tema 3.A.23]</w:t>
      </w:r>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r>
        <w:rPr>
          <w:rStyle w:val="Referenciaatema"/>
        </w:rPr>
        <w:t xml:space="preserve">[ver tema 3.A.24]</w:t>
      </w:r>
      <w:r>
        <w:t xml:space="preserve">: el óptimo que maximiza el bienestar social no tiene por qué coincidir con el que alcanza el mercado; elegir entre óptimos exige juicios de valor y es materia de la elección colectiva.</w:t>
      </w:r>
    </w:p>
    <w:bookmarkEnd w:id="200"/>
    <w:bookmarkEnd w:id="201"/>
    <w:bookmarkStart w:id="210" w:name="anexo:telarana"/>
    <w:p>
      <w:pPr>
        <w:pStyle w:val="Heading1"/>
      </w:pPr>
      <w:r>
        <w:t xml:space="preserve">E. Anexo: el modelo de la telaraña</w:t>
      </w:r>
    </w:p>
    <w:p>
      <w:pPr>
        <w:pStyle w:val="FirstParagraph"/>
      </w:pPr>
      <w:r>
        <w:t xml:space="preserve">Este anexo desarrolla el modelo de II.1.3 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02" w:name="e.1.-expectativas-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(23)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02"/>
    <w:bookmarkStart w:id="203" w:name="e.2.-expectativas-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(23)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(23).</w:t>
      </w:r>
    </w:p>
    <w:p>
      <w:pPr>
        <w:pStyle w:val="FirstParagraph"/>
      </w:pPr>
      <m:oMath>
        <m:r>
          <m:rPr>
            <m:sty m:val="p"/>
          </m:rPr>
          <m:t>◼</m:t>
        </m:r>
      </m:oMath>
    </w:p>
    <w:bookmarkEnd w:id="203"/>
    <w:bookmarkStart w:id="204" w:name="e.3.-expectativas-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r>
        <w:rPr>
          <w:rStyle w:val="Referenciaatema"/>
        </w:rPr>
        <w:t xml:space="preserve">[ver tema 3.A.6]</w:t>
      </w:r>
      <w:r>
        <w:t xml:space="preserve">.</w:t>
      </w:r>
    </w:p>
    <w:p>
      <w:pPr>
        <w:pStyle w:val="FirstParagraph"/>
      </w:pPr>
      <m:oMath>
        <m:r>
          <m:rPr>
            <m:sty m:val="p"/>
          </m:rPr>
          <m:t>◼</m:t>
        </m:r>
      </m:oMath>
    </w:p>
    <w:bookmarkEnd w:id="204"/>
    <w:bookmarkStart w:id="209" w:name="e.4.-curvas-no-lineales-el-ciclo-límite"/>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18).</w:t>
      </w:r>
    </w:p>
    <w:bookmarkStart w:id="208" w:name="fig:telarana-ciclo-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06" name="Picture"/>
            <a:graphic>
              <a:graphicData uri="http://schemas.openxmlformats.org/drawingml/2006/picture">
                <pic:pic>
                  <pic:nvPicPr>
                    <pic:cNvPr descr="C:\Users\vgutierrez\Documents\src\victorgutierrezmarcos.github.io-revision\oposicion\temario\fuentes\3A16\graficos/telarana-ciclo-limite.png" id="207" name="Picture"/>
                    <pic:cNvPicPr>
                      <a:picLocks noChangeArrowheads="1" noChangeAspect="1"/>
                    </pic:cNvPicPr>
                  </pic:nvPicPr>
                  <pic:blipFill>
                    <a:blip r:embed="rId205"/>
                    <a:stretch>
                      <a:fillRect/>
                    </a:stretch>
                  </pic:blipFill>
                  <pic:spPr bwMode="auto">
                    <a:xfrm>
                      <a:off x="0" y="0"/>
                      <a:ext cx="2486311" cy="2052048"/>
                    </a:xfrm>
                    <a:prstGeom prst="rect">
                      <a:avLst/>
                    </a:prstGeom>
                    <a:noFill/>
                    <a:ln w="9525">
                      <a:noFill/>
                      <a:headEnd/>
                      <a:tailEnd/>
                    </a:ln>
                  </pic:spPr>
                </pic:pic>
              </a:graphicData>
            </a:graphic>
          </wp:inline>
        </w:drawing>
      </w:r>
    </w:p>
    <w:bookmarkEnd w:id="208"/>
    <w:p>
      <w:pPr>
        <w:pStyle w:val="Piedeimagen"/>
      </w:pPr>
      <w:r>
        <w:t xml:space="preserve">Fuente: elaboración propia a partir de</w:t>
      </w:r>
      <w:r>
        <w:t xml:space="preserve"> </w:t>
      </w:r>
      <w:r>
        <w:rPr>
          <w:smallCaps/>
        </w:rPr>
        <w:t xml:space="preserve">Ezekiel</w:t>
      </w:r>
      <w:r>
        <w:t xml:space="preserve"> </w:t>
      </w:r>
      <w:r>
        <w:t xml:space="preserve">(</w:t>
      </w:r>
      <w:hyperlink w:anchor="ref-Ezekiel1938Cobweb">
        <w:r>
          <w:rPr>
            <w:rStyle w:val="Hyperlink"/>
          </w:rPr>
          <w:t xml:space="preserve">1938</w:t>
        </w:r>
      </w:hyperlink>
      <w:r>
        <w:t xml:space="preserve">)</w:t>
      </w:r>
      <w:r>
        <w:t xml:space="preserve">.</w:t>
      </w:r>
    </w:p>
    <w:bookmarkEnd w:id="209"/>
    <w:bookmarkEnd w:id="210"/>
    <w:bookmarkStart w:id="213" w:name="anexo: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11">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12" w:name="preguntas-probables-del-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2"/>
    <w:bookmarkEnd w:id="213"/>
    <w:bookmarkStart w:id="293" w:name="bibliography"/>
    <w:p>
      <w:pPr>
        <w:pStyle w:val="Heading1"/>
      </w:pPr>
      <w:r>
        <w:t xml:space="preserve">Bibliografía</w:t>
      </w:r>
    </w:p>
    <w:bookmarkStart w:id="292" w:name="refs"/>
    <w:bookmarkStart w:id="214" w:name="ref-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4"/>
    <w:bookmarkStart w:id="215" w:name="ref-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15"/>
    <w:bookmarkStart w:id="217"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16">
        <w:r>
          <w:rPr>
            <w:rStyle w:val="Hyperlink"/>
          </w:rPr>
          <w:t xml:space="preserve">https://doi.org/10.2307/2228949</w:t>
        </w:r>
      </w:hyperlink>
      <w:r>
        <w:t xml:space="preserve">.</w:t>
      </w:r>
    </w:p>
    <w:bookmarkEnd w:id="217"/>
    <w:bookmarkStart w:id="218" w:name="ref-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18"/>
    <w:bookmarkStart w:id="219" w:name="ref-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19"/>
    <w:bookmarkStart w:id="221" w:name="ref-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20">
        <w:r>
          <w:rPr>
            <w:rStyle w:val="Hyperlink"/>
          </w:rPr>
          <w:t xml:space="preserve">https://doi.org/10.31389/lsepress.ame</w:t>
        </w:r>
      </w:hyperlink>
      <w:r>
        <w:t xml:space="preserve">.</w:t>
      </w:r>
    </w:p>
    <w:bookmarkEnd w:id="221"/>
    <w:bookmarkStart w:id="222"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22"/>
    <w:bookmarkStart w:id="224" w:name="ref-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23">
        <w:r>
          <w:rPr>
            <w:rStyle w:val="Hyperlink"/>
          </w:rPr>
          <w:t xml:space="preserve">https://www.ec.europa.eu/agrifood/api/oliveOil/prices?memberStateCodes=ES</w:t>
        </w:r>
      </w:hyperlink>
      <w:r>
        <w:t xml:space="preserve">.</w:t>
      </w:r>
    </w:p>
    <w:bookmarkEnd w:id="224"/>
    <w:bookmarkStart w:id="226" w:name="ref-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25">
        <w:r>
          <w:rPr>
            <w:rStyle w:val="Hyperlink"/>
          </w:rPr>
          <w:t xml:space="preserve">https://www.ec.europa.eu/agrifood/api/oliveOil/production?memberStateCodes=ES&amp;granularity=annual</w:t>
        </w:r>
      </w:hyperlink>
      <w:r>
        <w:t xml:space="preserve">.</w:t>
      </w:r>
    </w:p>
    <w:bookmarkEnd w:id="226"/>
    <w:bookmarkStart w:id="227"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27"/>
    <w:bookmarkStart w:id="228" w:name="ref-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28"/>
    <w:bookmarkStart w:id="230" w:name="ref-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29">
        <w:r>
          <w:rPr>
            <w:rStyle w:val="Hyperlink"/>
          </w:rPr>
          <w:t xml:space="preserve">https://doi.org/10.1017/cbo9780511843617</w:t>
        </w:r>
      </w:hyperlink>
      <w:r>
        <w:t xml:space="preserve">.</w:t>
      </w:r>
    </w:p>
    <w:bookmarkEnd w:id="230"/>
    <w:bookmarkStart w:id="232" w:name="ref-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31">
        <w:r>
          <w:rPr>
            <w:rStyle w:val="Hyperlink"/>
          </w:rPr>
          <w:t xml:space="preserve">https://doi.org/10.2307/1906814</w:t>
        </w:r>
      </w:hyperlink>
      <w:r>
        <w:t xml:space="preserve">.</w:t>
      </w:r>
    </w:p>
    <w:bookmarkEnd w:id="232"/>
    <w:bookmarkStart w:id="23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3"/>
    <w:bookmarkStart w:id="234"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34"/>
    <w:bookmarkStart w:id="236" w:name="ref-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35">
        <w:r>
          <w:rPr>
            <w:rStyle w:val="Hyperlink"/>
          </w:rPr>
          <w:t xml:space="preserve">https://doi.org/10.2307/1881734</w:t>
        </w:r>
      </w:hyperlink>
      <w:r>
        <w:t xml:space="preserve">.</w:t>
      </w:r>
    </w:p>
    <w:bookmarkEnd w:id="236"/>
    <w:bookmarkStart w:id="238"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37">
        <w:r>
          <w:rPr>
            <w:rStyle w:val="Hyperlink"/>
          </w:rPr>
          <w:t xml:space="preserve">https://doi.org/10.2307/1906943</w:t>
        </w:r>
      </w:hyperlink>
      <w:r>
        <w:t xml:space="preserve">.</w:t>
      </w:r>
    </w:p>
    <w:bookmarkEnd w:id="238"/>
    <w:bookmarkStart w:id="240"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39">
        <w:r>
          <w:rPr>
            <w:rStyle w:val="Hyperlink"/>
          </w:rPr>
          <w:t xml:space="preserve">https://doi.org/10.1111/j.1467-999X.1961.tb00819.x</w:t>
        </w:r>
      </w:hyperlink>
      <w:r>
        <w:t xml:space="preserve">.</w:t>
      </w:r>
    </w:p>
    <w:bookmarkEnd w:id="240"/>
    <w:bookmarkStart w:id="242"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41">
        <w:r>
          <w:rPr>
            <w:rStyle w:val="Hyperlink"/>
          </w:rPr>
          <w:t xml:space="preserve">https://doi.org/10.1086/260629</w:t>
        </w:r>
      </w:hyperlink>
      <w:r>
        <w:t xml:space="preserve">.</w:t>
      </w:r>
    </w:p>
    <w:bookmarkEnd w:id="242"/>
    <w:bookmarkStart w:id="243" w:name="ref-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43"/>
    <w:bookmarkStart w:id="244" w:name="ref-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44"/>
    <w:bookmarkStart w:id="245" w:name="ref-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45"/>
    <w:bookmarkStart w:id="247" w:name="ref-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46">
        <w:r>
          <w:rPr>
            <w:rStyle w:val="Hyperlink"/>
          </w:rPr>
          <w:t xml:space="preserve">https://servicios.ine.es/wstempus/js/ES/DATOS_SERIE/IPC291663?nult=60</w:t>
        </w:r>
      </w:hyperlink>
      <w:r>
        <w:t xml:space="preserve">.</w:t>
      </w:r>
    </w:p>
    <w:bookmarkEnd w:id="247"/>
    <w:bookmarkStart w:id="248" w:name="ref-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48"/>
    <w:bookmarkStart w:id="250" w:name="ref-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49">
        <w:r>
          <w:rPr>
            <w:rStyle w:val="Hyperlink"/>
          </w:rPr>
          <w:t xml:space="preserve">https://doi.org/10.1017/s0370164600042760</w:t>
        </w:r>
      </w:hyperlink>
      <w:r>
        <w:t xml:space="preserve">.</w:t>
      </w:r>
    </w:p>
    <w:bookmarkEnd w:id="250"/>
    <w:bookmarkStart w:id="251"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251"/>
    <w:bookmarkStart w:id="253" w:name="ref-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252">
        <w:r>
          <w:rPr>
            <w:rStyle w:val="Hyperlink"/>
          </w:rPr>
          <w:t xml:space="preserve">https://doi.org/10.2307/2967618</w:t>
        </w:r>
      </w:hyperlink>
      <w:r>
        <w:t xml:space="preserve">.</w:t>
      </w:r>
    </w:p>
    <w:bookmarkEnd w:id="253"/>
    <w:bookmarkStart w:id="255"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54">
        <w:r>
          <w:rPr>
            <w:rStyle w:val="Hyperlink"/>
          </w:rPr>
          <w:t xml:space="preserve">https://doi.org/10.1086/259131</w:t>
        </w:r>
      </w:hyperlink>
      <w:r>
        <w:t xml:space="preserve">.</w:t>
      </w:r>
    </w:p>
    <w:bookmarkEnd w:id="255"/>
    <w:bookmarkStart w:id="257" w:name="ref-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56">
        <w:r>
          <w:rPr>
            <w:rStyle w:val="Hyperlink"/>
          </w:rPr>
          <w:t xml:space="preserve">https://doi.org/10.2307/1905465</w:t>
        </w:r>
      </w:hyperlink>
      <w:r>
        <w:t xml:space="preserve">.</w:t>
      </w:r>
    </w:p>
    <w:bookmarkEnd w:id="257"/>
    <w:bookmarkStart w:id="258"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258"/>
    <w:bookmarkStart w:id="260" w:name="ref-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59">
        <w:r>
          <w:rPr>
            <w:rStyle w:val="Hyperlink"/>
          </w:rPr>
          <w:t xml:space="preserve">https://doi.org/10.2307/2967550</w:t>
        </w:r>
      </w:hyperlink>
      <w:r>
        <w:t xml:space="preserve">.</w:t>
      </w:r>
    </w:p>
    <w:bookmarkEnd w:id="260"/>
    <w:bookmarkStart w:id="26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1">
        <w:r>
          <w:rPr>
            <w:rStyle w:val="Hyperlink"/>
          </w:rPr>
          <w:t xml:space="preserve">https://www.marxists.org/reference/subject/economics/marshall/bk1ch01.htm</w:t>
        </w:r>
      </w:hyperlink>
      <w:r>
        <w:t xml:space="preserve">.</w:t>
      </w:r>
    </w:p>
    <w:bookmarkEnd w:id="262"/>
    <w:bookmarkStart w:id="26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3"/>
    <w:bookmarkStart w:id="265" w:name="ref-Molina1597Iustitia"/>
    <w:p>
      <w:pPr>
        <w:pStyle w:val="Bibliography"/>
      </w:pPr>
      <w:r>
        <w:t xml:space="preserve">Molina, Luis de. 1597.</w:t>
      </w:r>
      <w:r>
        <w:t xml:space="preserve"> </w:t>
      </w:r>
      <w:r>
        <w:rPr>
          <w:i/>
          <w:iCs/>
        </w:rPr>
        <w:t xml:space="preserve">De iustitia et iure</w:t>
      </w:r>
      <w:r>
        <w:t xml:space="preserve">. Vol. 2.</w:t>
      </w:r>
      <w:r>
        <w:t xml:space="preserve"> </w:t>
      </w:r>
      <w:hyperlink r:id="rId264">
        <w:r>
          <w:rPr>
            <w:rStyle w:val="Hyperlink"/>
          </w:rPr>
          <w:t xml:space="preserve">https://www.hetwebsite.net/het/profiles/molina.htm</w:t>
        </w:r>
      </w:hyperlink>
      <w:r>
        <w:t xml:space="preserve">.</w:t>
      </w:r>
    </w:p>
    <w:bookmarkEnd w:id="265"/>
    <w:bookmarkStart w:id="266" w:name="ref-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266"/>
    <w:bookmarkStart w:id="268" w:name="ref-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267">
        <w:r>
          <w:rPr>
            <w:rStyle w:val="Hyperlink"/>
          </w:rPr>
          <w:t xml:space="preserve">https://doi.org/10.2307/1909635</w:t>
        </w:r>
      </w:hyperlink>
      <w:r>
        <w:t xml:space="preserve">.</w:t>
      </w:r>
    </w:p>
    <w:bookmarkEnd w:id="268"/>
    <w:bookmarkStart w:id="269" w:name="ref-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269"/>
    <w:bookmarkStart w:id="270" w:name="ref-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270"/>
    <w:bookmarkStart w:id="271"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271"/>
    <w:bookmarkStart w:id="272" w:name="ref-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272"/>
    <w:bookmarkStart w:id="273" w:name="ref-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273"/>
    <w:bookmarkStart w:id="274" w:name="ref-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274"/>
    <w:bookmarkStart w:id="275"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275"/>
    <w:bookmarkStart w:id="276" w:name="ref-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276"/>
    <w:bookmarkStart w:id="278"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277">
        <w:r>
          <w:rPr>
            <w:rStyle w:val="Hyperlink"/>
          </w:rPr>
          <w:t xml:space="preserve">https://www.gutenberg.org/cache/epub/3300/pg3300.txt</w:t>
        </w:r>
      </w:hyperlink>
      <w:r>
        <w:t xml:space="preserve">.</w:t>
      </w:r>
    </w:p>
    <w:bookmarkEnd w:id="278"/>
    <w:bookmarkStart w:id="280" w:name="ref-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279">
        <w:r>
          <w:rPr>
            <w:rStyle w:val="Hyperlink"/>
          </w:rPr>
          <w:t xml:space="preserve">https://doi.org/10.1086/466541</w:t>
        </w:r>
      </w:hyperlink>
      <w:r>
        <w:t xml:space="preserve">.</w:t>
      </w:r>
    </w:p>
    <w:bookmarkEnd w:id="280"/>
    <w:bookmarkStart w:id="282"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281">
        <w:r>
          <w:rPr>
            <w:rStyle w:val="Hyperlink"/>
          </w:rPr>
          <w:t xml:space="preserve">https://doi.org/10.1086/258464</w:t>
        </w:r>
      </w:hyperlink>
      <w:r>
        <w:t xml:space="preserve">.</w:t>
      </w:r>
    </w:p>
    <w:bookmarkEnd w:id="282"/>
    <w:bookmarkStart w:id="283"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83"/>
    <w:bookmarkStart w:id="285" w:name="ref-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284">
        <w:r>
          <w:rPr>
            <w:rStyle w:val="Hyperlink"/>
          </w:rPr>
          <w:t xml:space="preserve">https://hetwebsite.net/het/profiles/jenkin.htm</w:t>
        </w:r>
      </w:hyperlink>
      <w:r>
        <w:t xml:space="preserve">.</w:t>
      </w:r>
    </w:p>
    <w:bookmarkEnd w:id="285"/>
    <w:bookmarkStart w:id="28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286"/>
    <w:bookmarkStart w:id="28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287"/>
    <w:bookmarkStart w:id="289" w:name="ref-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288">
        <w:r>
          <w:rPr>
            <w:rStyle w:val="Hyperlink"/>
          </w:rPr>
          <w:t xml:space="preserve">https://doi.org/10.1086/261484</w:t>
        </w:r>
      </w:hyperlink>
      <w:r>
        <w:t xml:space="preserve">.</w:t>
      </w:r>
    </w:p>
    <w:bookmarkEnd w:id="289"/>
    <w:bookmarkStart w:id="29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290">
        <w:r>
          <w:rPr>
            <w:rStyle w:val="Hyperlink"/>
          </w:rPr>
          <w:t xml:space="preserve">https://archive.org/details/lmentsdconomiep01walrgoog</w:t>
        </w:r>
      </w:hyperlink>
      <w:r>
        <w:t xml:space="preserve">.</w:t>
      </w:r>
    </w:p>
    <w:bookmarkEnd w:id="291"/>
    <w:bookmarkEnd w:id="292"/>
    <w:bookmarkEnd w:id="29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La clasificación en 4 estructuras es una simplificación expositiva</w:t>
      </w:r>
      <w:r>
        <w:t xml:space="preserve"> </w:t>
      </w:r>
      <w:r>
        <w:rPr>
          <w:rStyle w:val="Referenciaatema"/>
        </w:rPr>
        <w:t xml:space="preserve">[ver tema 3.A.17]</w:t>
      </w:r>
      <w:r>
        <w:t xml:space="preserve"> </w:t>
      </w:r>
      <w:r>
        <w:rPr>
          <w:rStyle w:val="Referenciaatema"/>
        </w:rPr>
        <w:t xml:space="preserve">[ver tema 3.A.18]</w:t>
      </w:r>
      <w:r>
        <w:t xml:space="preserve"> </w:t>
      </w:r>
      <w:r>
        <w:rPr>
          <w:rStyle w:val="Referenciaatema"/>
        </w:rPr>
        <w:t xml:space="preserve">[ver tema 3.A.19]</w:t>
      </w:r>
      <w:r>
        <w:t xml:space="preserve">. Hay otras, como las</w:t>
      </w:r>
      <w:r>
        <w:t xml:space="preserve"> </w:t>
      </w:r>
      <w:r>
        <w:rPr>
          <w:i/>
          <w:iCs/>
        </w:rPr>
        <w:t xml:space="preserve">plataformas</w:t>
      </w:r>
      <w:r>
        <w:t xml:space="preserve">, en las que la utilidad de cada usuario aumenta con el número de usuarios (efectos de red).</w:t>
      </w:r>
    </w:p>
  </w:footnote>
  <w:footnote w:id="24">
    <w:p>
      <w:pPr>
        <w:pStyle w:val="FootnoteText"/>
      </w:pPr>
      <w:r>
        <w:rPr>
          <w:rStyle w:val="FootnoteReference"/>
        </w:rPr>
        <w:footnoteRef/>
      </w:r>
      <w:r>
        <w:t xml:space="preserve"> </w:t>
      </w:r>
      <w:r>
        <w:t xml:space="preserve">Todos los agentes conocen el precio, de modo que el intercambio solo puede darse al precio de mercado: nadie pagaría más por un producto idéntico que se vende más barato. Al relajar este supuesto se llega a la economía de la información</w:t>
      </w:r>
      <w:r>
        <w:t xml:space="preserve"> </w:t>
      </w:r>
      <w:r>
        <w:rPr>
          <w:rStyle w:val="Referenciaatema"/>
        </w:rPr>
        <w:t xml:space="preserve">[ver tema 3.A.13]</w:t>
      </w:r>
      <w:r>
        <w:t xml:space="preserve">.</w:t>
      </w:r>
    </w:p>
  </w:footnote>
  <w:footnote w:id="25">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con su método del equilibrio parcial.</w:t>
      </w:r>
    </w:p>
  </w:footnote>
  <w:footnote w:id="27">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D).</w:t>
      </w:r>
    </w:p>
  </w:footnote>
  <w:footnote w:id="29">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30">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31">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r>
        <w:rPr>
          <w:rStyle w:val="Referenciaatema"/>
        </w:rPr>
        <w:t xml:space="preserve">[ver tema 3.A.8]</w:t>
      </w:r>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32">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r>
        <w:rPr>
          <w:rStyle w:val="Referenciaatema"/>
        </w:rPr>
        <w:t xml:space="preserve">[ver tema 3.A.18]</w:t>
      </w:r>
      <w:r>
        <w:t xml:space="preserve">.</w:t>
      </w:r>
    </w:p>
  </w:footnote>
  <w:footnote w:id="3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Gorman1961Class">
        <w:r>
          <w:rPr>
            <w:rStyle w:val="Hyperlink"/>
          </w:rPr>
          <w:t xml:space="preserve">1961</w:t>
        </w:r>
      </w:hyperlink>
      <w:r>
        <w:t xml:space="preserve">)</w:t>
      </w:r>
      <w:r>
        <w:t xml:space="preserve"> </w:t>
      </w:r>
      <w:r>
        <w:rPr>
          <w:rStyle w:val="Referenciaatema"/>
        </w:rPr>
        <w:t xml:space="preserve">[ver tema 3.A.8]</w:t>
      </w:r>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3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r>
        <w:rPr>
          <w:rStyle w:val="Referenciaatema"/>
        </w:rPr>
        <w:t xml:space="preserve">[ver tema 3.A.12]</w:t>
      </w:r>
      <w:r>
        <w:t xml:space="preserve">; aquí solo importa su forma como función de</w:t>
      </w:r>
      <w:r>
        <w:t xml:space="preserve"> </w:t>
      </w:r>
      <m:oMath>
        <m:r>
          <m:t>q</m:t>
        </m:r>
      </m:oMath>
      <w:r>
        <w:t xml:space="preserve">.</w:t>
      </w:r>
    </w:p>
  </w:footnote>
  <w:footnote w:id="4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r>
        <w:rPr>
          <w:rStyle w:val="Referenciaatema"/>
        </w:rPr>
        <w:t xml:space="preserve">[ver tema 3.A.12]</w:t>
      </w:r>
      <w:r>
        <w:t xml:space="preserve">. Con rendimientos crecientes en todo el dominio, el problema de la empresa precio-aceptante no tiene solución: siempre ganaría más produciendo más. Con rendimientos constantes, el tamaño de la empresa queda indeterminado (III.3).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r>
        <w:rPr>
          <w:rStyle w:val="Referenciaatema"/>
        </w:rPr>
        <w:t xml:space="preserve">[ver tema 3.A.12]</w:t>
      </w:r>
      <w:r>
        <w:t xml:space="preserve">.</w:t>
      </w:r>
    </w:p>
  </w:footnote>
  <w:footnote w:id="45">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r>
        <w:rPr>
          <w:rStyle w:val="Referenciaatema"/>
        </w:rPr>
        <w:t xml:space="preserve">[ver tema 3.A.12]</w:t>
      </w:r>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48">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79">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r>
        <w:rPr>
          <w:rStyle w:val="Referenciaatema"/>
        </w:rPr>
        <w:t xml:space="preserve">[ver tema 3.A.21]</w:t>
      </w:r>
      <w:r>
        <w:t xml:space="preserve">.</w:t>
      </w:r>
    </w:p>
  </w:footnote>
  <w:footnote w:id="89">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02">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medir la utilidad de un puente o de una carretera</w:t>
      </w:r>
      <w:r>
        <w:t xml:space="preserve"> </w:t>
      </w:r>
      <w:r>
        <w:rPr>
          <w:rStyle w:val="Referenciaatema"/>
        </w:rPr>
        <w:t xml:space="preserve">[ver tema 3.A.9]</w:t>
      </w:r>
      <w:r>
        <w:t xml:space="preserve">.</w:t>
      </w:r>
    </w:p>
  </w:footnote>
  <w:footnote w:id="103">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04">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10">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1Coefficient">
        <w:r>
          <w:rPr>
            <w:rStyle w:val="Hyperlink"/>
          </w:rPr>
          <w:t xml:space="preserve">1951</w:t>
        </w:r>
      </w:hyperlink>
      <w:r>
        <w:t xml:space="preserve">)</w:t>
      </w:r>
      <w:r>
        <w:t xml:space="preserve">, por separado</w:t>
      </w:r>
      <w:r>
        <w:t xml:space="preserve"> </w:t>
      </w:r>
      <w:r>
        <w:rPr>
          <w:rStyle w:val="Referenciaatema"/>
        </w:rPr>
        <w:t xml:space="preserve">[ver tema 3.A.22]</w:t>
      </w:r>
      <w:r>
        <w:t xml:space="preserve">.</w:t>
      </w:r>
    </w:p>
  </w:footnote>
  <w:footnote w:id="111">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16">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24">
    <w:p>
      <w:pPr>
        <w:pStyle w:val="FootnoteText"/>
      </w:pPr>
      <w:r>
        <w:rPr>
          <w:rStyle w:val="FootnoteReference"/>
        </w:rPr>
        <w:footnoteRef/>
      </w:r>
      <w:r>
        <w:t xml:space="preserve"> </w:t>
      </w:r>
      <w:r>
        <w:rPr>
          <w:smallCaps/>
        </w:rPr>
        <w:t xml:space="preserve">Jenkin</w:t>
      </w:r>
      <w:r>
        <w:t xml:space="preserve"> </w:t>
      </w:r>
      <w:r>
        <w:t xml:space="preserve">(</w:t>
      </w:r>
      <w:hyperlink w:anchor="ref-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39">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42">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3),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56">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158">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(II.1.2).</w:t>
      </w:r>
    </w:p>
  </w:footnote>
  <w:footnote w:id="159">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160">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r>
        <w:rPr>
          <w:rStyle w:val="Referenciaatema"/>
        </w:rPr>
        <w:t xml:space="preserve">[ver tema 3.A.11]</w:t>
      </w:r>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185">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117" Target="media/rId117.png" /><Relationship Type="http://schemas.openxmlformats.org/officeDocument/2006/relationships/image" Id="rId195" Target="media/rId195.png" /><Relationship Type="http://schemas.openxmlformats.org/officeDocument/2006/relationships/image" Id="rId166" Target="media/rId166.png" /><Relationship Type="http://schemas.openxmlformats.org/officeDocument/2006/relationships/image" Id="rId49" Target="media/rId49.png" /><Relationship Type="http://schemas.openxmlformats.org/officeDocument/2006/relationships/image" Id="rId83" Target="media/rId83.png" /><Relationship Type="http://schemas.openxmlformats.org/officeDocument/2006/relationships/image" Id="rId105" Target="media/rId105.png" /><Relationship Type="http://schemas.openxmlformats.org/officeDocument/2006/relationships/image" Id="rId190" Target="media/rId190.png" /><Relationship Type="http://schemas.openxmlformats.org/officeDocument/2006/relationships/image" Id="rId126" Target="media/rId126.png" /><Relationship Type="http://schemas.openxmlformats.org/officeDocument/2006/relationships/image" Id="rId161" Target="media/rId161.png" /><Relationship Type="http://schemas.openxmlformats.org/officeDocument/2006/relationships/image" Id="rId135" Target="media/rId135.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143" Target="media/rId143.png" /><Relationship Type="http://schemas.openxmlformats.org/officeDocument/2006/relationships/image" Id="rId41" Target="media/rId41.png" /><Relationship Type="http://schemas.openxmlformats.org/officeDocument/2006/relationships/image" Id="rId173" Target="media/rId173.png" /><Relationship Type="http://schemas.openxmlformats.org/officeDocument/2006/relationships/image" Id="rId205" Target="media/rId205.png" /><Relationship Type="http://schemas.openxmlformats.org/officeDocument/2006/relationships/image" Id="rId91" Target="media/rId91.png" /><Relationship Type="http://schemas.openxmlformats.org/officeDocument/2006/relationships/hyperlink" Id="rId290" Target="https://archive.org/details/lmentsdconomiep01walrgoog" TargetMode="External" /><Relationship Type="http://schemas.openxmlformats.org/officeDocument/2006/relationships/hyperlink" Id="rId229" Target="https://doi.org/10.1017/cbo9780511843617" TargetMode="External" /><Relationship Type="http://schemas.openxmlformats.org/officeDocument/2006/relationships/hyperlink" Id="rId249" Target="https://doi.org/10.1017/s0370164600042760" TargetMode="External" /><Relationship Type="http://schemas.openxmlformats.org/officeDocument/2006/relationships/hyperlink" Id="rId281" Target="https://doi.org/10.1086/258464" TargetMode="External" /><Relationship Type="http://schemas.openxmlformats.org/officeDocument/2006/relationships/hyperlink" Id="rId254"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288" Target="https://doi.org/10.1086/261484" TargetMode="External" /><Relationship Type="http://schemas.openxmlformats.org/officeDocument/2006/relationships/hyperlink" Id="rId279" Target="https://doi.org/10.1086/466541" TargetMode="External" /><Relationship Type="http://schemas.openxmlformats.org/officeDocument/2006/relationships/hyperlink" Id="rId239" Target="https://doi.org/10.1111/j.1467-999X.1961.tb00819.x" TargetMode="External" /><Relationship Type="http://schemas.openxmlformats.org/officeDocument/2006/relationships/hyperlink" Id="rId235" Target="https://doi.org/10.2307/1881734" TargetMode="External" /><Relationship Type="http://schemas.openxmlformats.org/officeDocument/2006/relationships/hyperlink" Id="rId256" Target="https://doi.org/10.2307/1905465" TargetMode="External" /><Relationship Type="http://schemas.openxmlformats.org/officeDocument/2006/relationships/hyperlink" Id="rId231" Target="https://doi.org/10.2307/1906814" TargetMode="External" /><Relationship Type="http://schemas.openxmlformats.org/officeDocument/2006/relationships/hyperlink" Id="rId237" Target="https://doi.org/10.2307/1906943" TargetMode="External" /><Relationship Type="http://schemas.openxmlformats.org/officeDocument/2006/relationships/hyperlink" Id="rId267" Target="https://doi.org/10.2307/1909635" TargetMode="External" /><Relationship Type="http://schemas.openxmlformats.org/officeDocument/2006/relationships/hyperlink" Id="rId216" Target="https://doi.org/10.2307/2228949" TargetMode="External" /><Relationship Type="http://schemas.openxmlformats.org/officeDocument/2006/relationships/hyperlink" Id="rId259" Target="https://doi.org/10.2307/2967550" TargetMode="External" /><Relationship Type="http://schemas.openxmlformats.org/officeDocument/2006/relationships/hyperlink" Id="rId252" Target="https://doi.org/10.2307/2967618" TargetMode="External" /><Relationship Type="http://schemas.openxmlformats.org/officeDocument/2006/relationships/hyperlink" Id="rId220" Target="https://doi.org/10.31389/lsepress.ame" TargetMode="External" /><Relationship Type="http://schemas.openxmlformats.org/officeDocument/2006/relationships/hyperlink" Id="rId284" Target="https://hetwebsite.net/het/profiles/jenkin.htm" TargetMode="External" /><Relationship Type="http://schemas.openxmlformats.org/officeDocument/2006/relationships/hyperlink" Id="rId246" Target="https://servicios.ine.es/wstempus/js/ES/DATOS_SERIE/IPC291663?nult=60" TargetMode="External" /><Relationship Type="http://schemas.openxmlformats.org/officeDocument/2006/relationships/hyperlink" Id="rId223" Target="https://www.ec.europa.eu/agrifood/api/oliveOil/prices?memberStateCodes=ES" TargetMode="External" /><Relationship Type="http://schemas.openxmlformats.org/officeDocument/2006/relationships/hyperlink" Id="rId225" Target="https://www.ec.europa.eu/agrifood/api/oliveOil/production?memberStateCodes=ES&amp;granularity=annual" TargetMode="External" /><Relationship Type="http://schemas.openxmlformats.org/officeDocument/2006/relationships/hyperlink" Id="rId277" Target="https://www.gutenberg.org/cache/epub/3300/pg3300.txt" TargetMode="External" /><Relationship Type="http://schemas.openxmlformats.org/officeDocument/2006/relationships/hyperlink" Id="rId264" Target="https://www.hetwebsite.net/het/profiles/molina.htm" TargetMode="External" /><Relationship Type="http://schemas.openxmlformats.org/officeDocument/2006/relationships/hyperlink" Id="rId261" Target="https://www.marxists.org/reference/subject/economics/marshall/bk1ch01.htm" TargetMode="External" /><Relationship Type="http://schemas.openxmlformats.org/officeDocument/2006/relationships/hyperlink" Id="rId211"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0" Target="https://archive.org/details/lmentsdconomiep01walrgoog" TargetMode="External" /><Relationship Type="http://schemas.openxmlformats.org/officeDocument/2006/relationships/hyperlink" Id="rId229" Target="https://doi.org/10.1017/cbo9780511843617" TargetMode="External" /><Relationship Type="http://schemas.openxmlformats.org/officeDocument/2006/relationships/hyperlink" Id="rId249" Target="https://doi.org/10.1017/s0370164600042760" TargetMode="External" /><Relationship Type="http://schemas.openxmlformats.org/officeDocument/2006/relationships/hyperlink" Id="rId281" Target="https://doi.org/10.1086/258464" TargetMode="External" /><Relationship Type="http://schemas.openxmlformats.org/officeDocument/2006/relationships/hyperlink" Id="rId254" Target="https://doi.org/10.1086/259131" TargetMode="External" /><Relationship Type="http://schemas.openxmlformats.org/officeDocument/2006/relationships/hyperlink" Id="rId241" Target="https://doi.org/10.1086/260629" TargetMode="External" /><Relationship Type="http://schemas.openxmlformats.org/officeDocument/2006/relationships/hyperlink" Id="rId288" Target="https://doi.org/10.1086/261484" TargetMode="External" /><Relationship Type="http://schemas.openxmlformats.org/officeDocument/2006/relationships/hyperlink" Id="rId279" Target="https://doi.org/10.1086/466541" TargetMode="External" /><Relationship Type="http://schemas.openxmlformats.org/officeDocument/2006/relationships/hyperlink" Id="rId239" Target="https://doi.org/10.1111/j.1467-999X.1961.tb00819.x" TargetMode="External" /><Relationship Type="http://schemas.openxmlformats.org/officeDocument/2006/relationships/hyperlink" Id="rId235" Target="https://doi.org/10.2307/1881734" TargetMode="External" /><Relationship Type="http://schemas.openxmlformats.org/officeDocument/2006/relationships/hyperlink" Id="rId256" Target="https://doi.org/10.2307/1905465" TargetMode="External" /><Relationship Type="http://schemas.openxmlformats.org/officeDocument/2006/relationships/hyperlink" Id="rId231" Target="https://doi.org/10.2307/1906814" TargetMode="External" /><Relationship Type="http://schemas.openxmlformats.org/officeDocument/2006/relationships/hyperlink" Id="rId237" Target="https://doi.org/10.2307/1906943" TargetMode="External" /><Relationship Type="http://schemas.openxmlformats.org/officeDocument/2006/relationships/hyperlink" Id="rId267" Target="https://doi.org/10.2307/1909635" TargetMode="External" /><Relationship Type="http://schemas.openxmlformats.org/officeDocument/2006/relationships/hyperlink" Id="rId216" Target="https://doi.org/10.2307/2228949" TargetMode="External" /><Relationship Type="http://schemas.openxmlformats.org/officeDocument/2006/relationships/hyperlink" Id="rId259" Target="https://doi.org/10.2307/2967550" TargetMode="External" /><Relationship Type="http://schemas.openxmlformats.org/officeDocument/2006/relationships/hyperlink" Id="rId252" Target="https://doi.org/10.2307/2967618" TargetMode="External" /><Relationship Type="http://schemas.openxmlformats.org/officeDocument/2006/relationships/hyperlink" Id="rId220" Target="https://doi.org/10.31389/lsepress.ame" TargetMode="External" /><Relationship Type="http://schemas.openxmlformats.org/officeDocument/2006/relationships/hyperlink" Id="rId284" Target="https://hetwebsite.net/het/profiles/jenkin.htm" TargetMode="External" /><Relationship Type="http://schemas.openxmlformats.org/officeDocument/2006/relationships/hyperlink" Id="rId246" Target="https://servicios.ine.es/wstempus/js/ES/DATOS_SERIE/IPC291663?nult=60" TargetMode="External" /><Relationship Type="http://schemas.openxmlformats.org/officeDocument/2006/relationships/hyperlink" Id="rId223" Target="https://www.ec.europa.eu/agrifood/api/oliveOil/prices?memberStateCodes=ES" TargetMode="External" /><Relationship Type="http://schemas.openxmlformats.org/officeDocument/2006/relationships/hyperlink" Id="rId225" Target="https://www.ec.europa.eu/agrifood/api/oliveOil/production?memberStateCodes=ES&amp;granularity=annual" TargetMode="External" /><Relationship Type="http://schemas.openxmlformats.org/officeDocument/2006/relationships/hyperlink" Id="rId277" Target="https://www.gutenberg.org/cache/epub/3300/pg3300.txt" TargetMode="External" /><Relationship Type="http://schemas.openxmlformats.org/officeDocument/2006/relationships/hyperlink" Id="rId264" Target="https://www.hetwebsite.net/het/profiles/molina.htm" TargetMode="External" /><Relationship Type="http://schemas.openxmlformats.org/officeDocument/2006/relationships/hyperlink" Id="rId261" Target="https://www.marxists.org/reference/subject/economics/marshall/bk1ch01.htm" TargetMode="External" /><Relationship Type="http://schemas.openxmlformats.org/officeDocument/2006/relationships/hyperlink" Id="rId211"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language>es-ES</dc:language>
  <cp:keywords/>
  <dcterms:created xsi:type="dcterms:W3CDTF">2026-10-17T14:24:04Z</dcterms:created>
  <dcterms:modified xsi:type="dcterms:W3CDTF">2026-10-17T14:24:04Z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3A16</vt:lpwstr>
  </property>
  <property fmtid="{D5CDD505-2E9C-101B-9397-08002B2CF9AE}" pid="4" name="bibliography">
    <vt:lpwstr>C:\Users\vgutierrez\Documents\src\victorgutierrezmarcos.github.io-revision\oposicion\temario\fuentes\3A16\3A16.bib</vt:lpwstr>
  </property>
  <property fmtid="{D5CDD505-2E9C-101B-9397-08002B2CF9AE}" pid="5" name="carpeta">
    <vt:lpwstr>tercer-ejercicio</vt:lpwstr>
  </property>
  <property fmtid="{D5CDD505-2E9C-101B-9397-08002B2CF9AE}" pid="6" name="codigo">
    <vt:lpwstr>3.A.16</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17/10/2026</vt:lpwstr>
  </property>
  <property fmtid="{D5CDD505-2E9C-101B-9397-08002B2CF9AE}" pid="9" name="ejercicio">
    <vt:lpwstr>Tercer ejercicio</vt:lpwstr>
  </property>
  <property fmtid="{D5CDD505-2E9C-101B-9397-08002B2CF9AE}" pid="10" name="fecha">
    <vt:lpwstr>17/10/2026</vt:lpwstr>
  </property>
  <property fmtid="{D5CDD505-2E9C-101B-9397-08002B2CF9AE}" pid="11" name="fecha-cita">
    <vt:lpwstr>2026/10/17</vt:lpwstr>
  </property>
  <property fmtid="{D5CDD505-2E9C-101B-9397-08002B2CF9AE}" pid="12" name="fecha-iso">
    <vt:lpwstr>2026-10-17</vt:lpwstr>
  </property>
  <property fmtid="{D5CDD505-2E9C-101B-9397-08002B2CF9AE}" pid="13" name="graficos-docx">
    <vt:lpwstr>C:\Users\vgutierrez\Documents\src\victorgutierrezmarcos.github.io-revision\oposicion\temario\fuentes\3A16\graficos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36 págs. · Anexos: 8 · Bibliografía: 3</vt:lpwstr>
  </property>
  <property fmtid="{D5CDD505-2E9C-101B-9397-08002B2CF9AE}" pid="17"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18" name="reference-section-title">
    <vt:lpwstr>Bibliografía</vt:lpwstr>
  </property>
  <property fmtid="{D5CDD505-2E9C-101B-9397-08002B2CF9AE}" pid="19" name="resumen">
    <vt:lpwstr>Modelo de competencia perfecta: oferta, demanda y equilibrio parcial, ajuste de Walras y Marshall, telaraña, excedentes, impuestos y libre entrada.</vt:lpwstr>
  </property>
  <property fmtid="{D5CDD505-2E9C-101B-9397-08002B2CF9AE}" pid="20"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1" name="titulo-seo">
    <vt:lpwstr>Competencia perfecta y equilibrio parcial</vt:lpwstr>
  </property>
</Properties>
</file>