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6.png" ContentType="image/png"/>
  <Override PartName="/word/media/rId95.png" ContentType="image/png"/>
  <Override PartName="/word/media/rId240.png" ContentType="image/png"/>
  <Override PartName="/word/media/rId68.png" ContentType="image/png"/>
  <Override PartName="/word/media/rId274.png" ContentType="image/png"/>
  <Override PartName="/word/media/rId49.png" ContentType="image/png"/>
  <Override PartName="/word/media/rId55.png" ContentType="image/png"/>
  <Override PartName="/word/media/rId198.png" ContentType="image/png"/>
  <Override PartName="/word/media/rId44.png" ContentType="image/png"/>
  <Override PartName="/word/media/rId180.png" ContentType="image/png"/>
  <Override PartName="/word/media/rId227.png" ContentType="image/png"/>
  <Override PartName="/word/media/rId232.png" ContentType="image/png"/>
  <Override PartName="/word/media/rId82.png" ContentType="image/png"/>
  <Override PartName="/word/media/rId166.png" ContentType="image/png"/>
  <Override PartName="/word/media/rId151.png" ContentType="image/png"/>
  <Override PartName="/word/media/rId186.png" ContentType="image/png"/>
  <Override PartName="/word/media/rId136.png" ContentType="image/png"/>
  <Override PartName="/word/media/rId104.png" ContentType="image/png"/>
  <Override PartName="/word/media/rId115.png" ContentType="image/png"/>
  <Override PartName="/word/media/rId37.png" ContentType="image/png"/>
  <Override PartName="/word/media/rId2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18 · Bibliografía: 6 (PDF)</w:t>
      </w:r>
    </w:p>
    <w:bookmarkStart w:id="25"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Mehta2024Google">
        <w:r>
          <w:rPr>
            <w:rStyle w:val="Hyperlink"/>
            <w:smallCaps/>
          </w:rPr>
          <w:t xml:space="preserve">United States District Court for the District of Columbia</w:t>
        </w:r>
        <w:r>
          <w:rPr>
            <w:rStyle w:val="Hyperlink"/>
          </w:rPr>
          <w:t xml:space="preserve"> </w:t>
        </w:r>
        <w:r>
          <w:rPr>
            <w:rStyle w:val="Hyperlink"/>
          </w:rPr>
          <w:t xml:space="preserve">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r>
        <w:rPr>
          <w:rStyle w:val="Referenciaatema"/>
        </w:rPr>
        <w:t xml:space="preserve">[ver tema 3.A.11]</w:t>
      </w:r>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r>
        <w:rPr>
          <w:rStyle w:val="Referenciaatema"/>
        </w:rPr>
        <w:t xml:space="preserve">[ver tema 3.A.12]</w:t>
      </w:r>
      <w:r>
        <w:t xml:space="preserve">;</w:t>
      </w:r>
    </w:p>
    <w:p>
      <w:pPr>
        <w:numPr>
          <w:ilvl w:val="2"/>
          <w:numId w:val="1004"/>
        </w:numPr>
      </w:pPr>
      <w:r>
        <w:rPr>
          <w:i/>
          <w:iCs/>
        </w:rPr>
        <w:t xml:space="preserve">organizativos y de mercado</w:t>
      </w:r>
      <w:r>
        <w:t xml:space="preserve">: el tamaño y los límites de la empresa</w:t>
      </w:r>
      <w:r>
        <w:t xml:space="preserve"> </w:t>
      </w:r>
      <w:r>
        <w:rPr>
          <w:rStyle w:val="Referenciaatema"/>
        </w:rPr>
        <w:t xml:space="preserve">[ver tema 3.A.15]</w:t>
      </w:r>
      <w:r>
        <w:t xml:space="preserve"> </w:t>
      </w:r>
      <w:r>
        <w:t xml:space="preserve">y el mercado en el que vende y compra</w:t>
      </w:r>
      <w:r>
        <w:t xml:space="preserve"> </w:t>
      </w:r>
      <w:r>
        <w:rPr>
          <w:rStyle w:val="Referenciaatema"/>
        </w:rPr>
        <w:t xml:space="preserve">[ver tema 3.A.16]</w:t>
      </w:r>
      <w:r>
        <w:t xml:space="preserve"> </w:t>
      </w:r>
      <w:r>
        <w:rPr>
          <w:rStyle w:val="Referenciaatema"/>
        </w:rPr>
        <w:t xml:space="preserve">[ver tema 3.A.18]</w:t>
      </w:r>
      <w:r>
        <w:t xml:space="preserve"> </w:t>
      </w:r>
      <w:r>
        <w:rPr>
          <w:rStyle w:val="Referenciaatema"/>
        </w:rPr>
        <w:t xml:space="preserve">[ver tema 3.A.19]</w:t>
      </w:r>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2"/>
      </w:r>
      <w:r>
        <w:t xml:space="preserve"> </w:t>
      </w:r>
      <w:r>
        <w:t xml:space="preserve">Estudiamos el monopolio en</w:t>
      </w:r>
      <w:r>
        <w:t xml:space="preserve"> </w:t>
      </w:r>
      <w:r>
        <w:rPr>
          <w:i/>
          <w:iCs/>
        </w:rPr>
        <w:t xml:space="preserve">equilibrio parcial</w:t>
      </w:r>
      <w:r>
        <w:t xml:space="preserve">.</w:t>
      </w:r>
      <w:r>
        <w:rPr>
          <w:rStyle w:val="FootnoteReference"/>
        </w:rPr>
        <w:footnoteReference w:id="23"/>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r>
        <w:rPr>
          <w:rStyle w:val="Referenciaatema"/>
        </w:rPr>
        <w:t xml:space="preserve">[ver tema 3.A.22]</w:t>
      </w:r>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y el poder de las empresas como compradoras de trabajo es apreciable</w:t>
      </w:r>
      <w:r>
        <w:t xml:space="preserve"> </w:t>
      </w:r>
      <w:r>
        <w:t xml:space="preserve">(</w:t>
      </w:r>
      <w:hyperlink w:anchor="ref-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w:t>
        </w:r>
        <w:r>
          <w:rPr>
            <w:rStyle w:val="Hyperlink"/>
          </w:rPr>
          <w:t xml:space="preserve">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r>
        <w:rPr>
          <w:rStyle w:val="Referenciaatema"/>
        </w:rPr>
        <w:t xml:space="preserve">[ver tema 3.B.39]</w:t>
      </w:r>
      <w:r>
        <w:t xml:space="preserve">, de la regulación de los monopolios naturales</w:t>
      </w:r>
      <w:r>
        <w:t xml:space="preserve"> </w:t>
      </w:r>
      <w:r>
        <w:rPr>
          <w:rStyle w:val="Referenciaatema"/>
        </w:rPr>
        <w:t xml:space="preserve">[ver tema 3.A.20]</w:t>
      </w:r>
      <w:r>
        <w:t xml:space="preserve"> </w:t>
      </w:r>
      <w:r>
        <w:t xml:space="preserve">y del debate sobre el salario mínimo cuando el empleador tiene poder de mercado</w:t>
      </w:r>
      <w:r>
        <w:t xml:space="preserve"> </w:t>
      </w:r>
      <w:r>
        <w:rPr>
          <w:rStyle w:val="Referenciaatema"/>
        </w:rPr>
        <w:t xml:space="preserve">[ver tema 3.A.25]</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Ekelund1970Price">
        <w:r>
          <w:rPr>
            <w:rStyle w:val="Hyperlink"/>
            <w:smallCaps/>
          </w:rPr>
          <w:t xml:space="preserve">Ekelund</w:t>
        </w:r>
        <w:r>
          <w:rPr>
            <w:rStyle w:val="Hyperlink"/>
          </w:rPr>
          <w:t xml:space="preserve"> </w:t>
        </w:r>
        <w:r>
          <w:rPr>
            <w:rStyle w:val="Hyperlink"/>
          </w:rPr>
          <w:t xml:space="preserve">1970</w:t>
        </w:r>
      </w:hyperlink>
      <w:r>
        <w:t xml:space="preserve">)</w:t>
      </w:r>
      <w:r>
        <w:t xml:space="preserve">, tras medir en</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24"/>
      </w:r>
    </w:p>
    <w:p>
      <w:pPr>
        <w:numPr>
          <w:ilvl w:val="1"/>
          <w:numId w:val="1006"/>
        </w:numPr>
      </w:pP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 </w:t>
      </w:r>
      <w:r>
        <w:t xml:space="preserve">y a la regulación</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(I.1), su equilibrio y la regla de</w:t>
      </w:r>
      <w:r>
        <w:t xml:space="preserve"> </w:t>
      </w:r>
      <w:r>
        <w:rPr>
          <w:smallCaps/>
        </w:rPr>
        <w:t xml:space="preserve">Lerner</w:t>
      </w:r>
      <w:r>
        <w:t xml:space="preserve"> </w:t>
      </w:r>
      <w:r>
        <w:t xml:space="preserve">(I.2) y el análisis de eficiencia y bienestar (I.3),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 II.1), unos costes sin ventajas de tamaño (monopolio natural y su regulación, II.2) y el producto y la planta únicos (producción conjunta, II.3).</w:t>
      </w:r>
    </w:p>
    <w:p>
      <w:pPr>
        <w:numPr>
          <w:ilvl w:val="1"/>
          <w:numId w:val="1008"/>
        </w:numPr>
      </w:pPr>
      <w:r>
        <w:rPr>
          <w:b/>
          <w:bCs/>
        </w:rPr>
        <w:t xml:space="preserve">III. Otras estructuras de mercado relacionadas con el monopolio</w:t>
      </w:r>
      <w:r>
        <w:t xml:space="preserve">: el poder de mercado cambia de lado (monopsonio, III.1) y, por último, está en los 2 lados a la vez (monopolio bilateral, III.2).</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(I) a los desarrollos que el título pide (II: discriminación de precios, monopolio natural y producción conjunta) y a las estructuras en que el poder de mercado está en el lado de la demanda o en los 2 lados (III). Reparto del cante: introducción, 2′30″; I, 8′ (I.1, 1′; I.2, 4′; I.3, 3′); II, 11′30″ (II.1, 5′; II.2, 4′; II.3, 2′30″); III, 7′ (III.1, 3′30″; III.2, 3′30″), y conclusión, 1′. El análisis de eficiencia y bienestar va en I.3, antes que los desarrollos, aunque en el título va detrás de la producción conjunta: es la comparación del equilibrio de I.2 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 I.2 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A, para las preguntas del tribunal</w:t>
      </w:r>
      <w:r>
        <w:t xml:space="preserve"> </w:t>
      </w:r>
      <w:r>
        <w:rPr>
          <w:rStyle w:val="Referenciaatema"/>
        </w:rPr>
        <w:t xml:space="preserve">[ver tema 3.A.20]</w:t>
      </w:r>
      <w:r>
        <w:t xml:space="preserve">. Conviene escribir este esquema en la pizarra al empezar.</w:t>
      </w:r>
    </w:p>
    <w:bookmarkEnd w:id="25"/>
    <w:bookmarkStart w:id="79" w:name="Xdc0f510bad9427fd73b5159089c25d5246bc894"/>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29" w:name="Xbe885078f900ddc123ab656571916536c70c6c0"/>
    <w:p>
      <w:pPr>
        <w:pStyle w:val="Heading2"/>
      </w:pPr>
      <w:r>
        <w:t xml:space="preserve">I.1.</w:t>
      </w:r>
      <w:r>
        <w:t xml:space="preserve"> </w:t>
      </w:r>
      <w:r>
        <w:t xml:space="preserve">Caracterización del monopolio: el escenario base</w:t>
      </w:r>
    </w:p>
    <w:p>
      <w:pPr>
        <w:keepNext/>
        <w:numPr>
          <w:ilvl w:val="0"/>
          <w:numId w:val="1010"/>
        </w:numPr>
      </w:pPr>
      <w:r>
        <w:t xml:space="preserve">Empezamos por el caso más sencillo, que servirá de</w:t>
      </w:r>
      <w:r>
        <w:t xml:space="preserve"> </w:t>
      </w:r>
      <w:r>
        <w:rPr>
          <w:b/>
          <w:bCs/>
        </w:rPr>
        <w:t xml:space="preserve">escenario base</w:t>
      </w:r>
      <w:r>
        <w:t xml:space="preserve">: a lo largo de la exposición iremos levantando sus supuestos uno a uno (tabla 1). El monopolio se caracteriza por estos supuestos:</w:t>
      </w:r>
    </w:p>
    <w:p>
      <w:pPr>
        <w:numPr>
          <w:ilvl w:val="1"/>
          <w:numId w:val="1011"/>
        </w:numPr>
      </w:pPr>
      <w:r>
        <w:rPr>
          <w:i/>
          <w:iCs/>
        </w:rPr>
        <w:t xml:space="preserve">Agentes racionales</w:t>
      </w:r>
      <w:r>
        <w:t xml:space="preserve">: los consumidores maximizan su utilidad y el monopolista, su beneficio.</w:t>
      </w:r>
    </w:p>
    <w:p>
      <w:pPr>
        <w:numPr>
          <w:ilvl w:val="1"/>
          <w:numId w:val="1011"/>
        </w:numPr>
      </w:pPr>
      <w:r>
        <w:rPr>
          <w:i/>
          <w:iCs/>
        </w:rPr>
        <w:t xml:space="preserve">Información completa y simétrica</w:t>
      </w:r>
      <w:r>
        <w:t xml:space="preserve">: el monopolista conoce la demanda y los consumidores conocen las características del producto.</w:t>
      </w:r>
    </w:p>
    <w:p>
      <w:pPr>
        <w:numPr>
          <w:ilvl w:val="1"/>
          <w:numId w:val="1011"/>
        </w:numPr>
      </w:pPr>
      <w:r>
        <w:rPr>
          <w:i/>
          <w:iCs/>
        </w:rPr>
        <w:t xml:space="preserve">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26"/>
      </w:r>
    </w:p>
    <w:p>
      <w:pPr>
        <w:numPr>
          <w:ilvl w:val="1"/>
          <w:numId w:val="1011"/>
        </w:numPr>
      </w:pPr>
      <w:r>
        <w:rPr>
          <w:i/>
          <w:iCs/>
        </w:rPr>
        <w:t xml:space="preserve">Un único oferente y muchos demandantes</w:t>
      </w:r>
      <w:r>
        <w:t xml:space="preserve">: al ser muchos, los compradores se comportan como precio-aceptantes y no pueden revender el bien entre sí; el único oferente, en cambio, tiene poder de mercado.</w:t>
      </w:r>
    </w:p>
    <w:p>
      <w:pPr>
        <w:numPr>
          <w:ilvl w:val="1"/>
          <w:numId w:val="1011"/>
        </w:numPr>
      </w:pPr>
      <w:r>
        <w:rPr>
          <w:i/>
          <w:iCs/>
        </w:rPr>
        <w:t xml:space="preserve">Un precio uniforme</w:t>
      </w:r>
      <w:r>
        <w:t xml:space="preserve"> </w:t>
      </w:r>
      <w:r>
        <w:t xml:space="preserve">para todas las unidades y todos los compradores.</w:t>
      </w:r>
    </w:p>
    <w:p>
      <w:pPr>
        <w:keepNext/>
        <w:numPr>
          <w:ilvl w:val="1"/>
          <w:numId w:val="1011"/>
        </w:numPr>
      </w:pPr>
      <w:r>
        <w:rPr>
          <w:i/>
          <w:iCs/>
        </w:rPr>
        <w:t xml:space="preserve">Barreras de entrada</w:t>
      </w:r>
      <w:r>
        <w:t xml:space="preserve"> </w:t>
      </w:r>
      <w:r>
        <w:t xml:space="preserve">que impiden a otras empresas competir</w:t>
      </w:r>
      <w:r>
        <w:t xml:space="preserve"> </w:t>
      </w:r>
      <w:r>
        <w:rPr>
          <w:rStyle w:val="Referenciaatema"/>
        </w:rPr>
        <w:t xml:space="preserve">[ver tema 3.A.15]</w:t>
      </w:r>
      <w:r>
        <w:t xml:space="preserve">:</w:t>
      </w:r>
    </w:p>
    <w:p>
      <w:pPr>
        <w:numPr>
          <w:ilvl w:val="2"/>
          <w:numId w:val="1012"/>
        </w:numPr>
      </w:pPr>
      <w:r>
        <w:rPr>
          <w:i/>
          <w:iCs/>
        </w:rPr>
        <w:t xml:space="preserve">estratégicas</w:t>
      </w:r>
      <w:r>
        <w:t xml:space="preserve">: conductas del monopolista que disuaden la entrada de competidores potenciales;</w:t>
      </w:r>
    </w:p>
    <w:p>
      <w:pPr>
        <w:numPr>
          <w:ilvl w:val="2"/>
          <w:numId w:val="1012"/>
        </w:numPr>
      </w:pPr>
      <w:r>
        <w:rPr>
          <w:i/>
          <w:iCs/>
        </w:rPr>
        <w:t xml:space="preserve">legales o administrativas</w:t>
      </w:r>
      <w:r>
        <w:t xml:space="preserve">: patentes, licencias, concesiones o aranceles que excluyen a los competidores extranjeros;</w:t>
      </w:r>
    </w:p>
    <w:p>
      <w:pPr>
        <w:numPr>
          <w:ilvl w:val="2"/>
          <w:numId w:val="1012"/>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(II.2).</w:t>
      </w:r>
    </w:p>
    <w:p>
      <w:pPr>
        <w:numPr>
          <w:ilvl w:val="1"/>
          <w:numId w:val="1011"/>
        </w:numPr>
      </w:pPr>
      <w:r>
        <w:rPr>
          <w:i/>
          <w:iCs/>
        </w:rPr>
        <w:t xml:space="preserve">Una sola planta</w:t>
      </w:r>
      <w:r>
        <w:t xml:space="preserve">, y el monopolista compra los factores a precios dados, en mercados competitivos.</w:t>
      </w:r>
    </w:p>
    <w:p>
      <w:pPr>
        <w:numPr>
          <w:ilvl w:val="0"/>
          <w:numId w:val="1010"/>
        </w:numPr>
      </w:pPr>
      <w:r>
        <w:t xml:space="preserve">A diferencia de la competencia perfecta</w:t>
      </w:r>
      <w:r>
        <w:t xml:space="preserve"> </w:t>
      </w:r>
      <w:r>
        <w:rPr>
          <w:rStyle w:val="Referenciaatema"/>
        </w:rPr>
        <w:t xml:space="preserve">[ver tema 3.A.16]</w:t>
      </w:r>
      <w:r>
        <w:t xml:space="preserve">, hay un único oferente y no hay libre entrada a largo plazo. La consecuencia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27"/>
      </w:r>
    </w:p>
    <w:bookmarkStart w:id="28" w:name="tab:escenario-base"/>
    <w:p>
      <w:pPr>
        <w:pStyle w:val="TableCaption"/>
      </w:pPr>
      <w:r>
        <w:t xml:space="preserve">Tabla 1.–</w:t>
      </w:r>
      <w:r>
        <w:t xml:space="preserve"> </w:t>
      </w:r>
      <w:r>
        <w:t xml:space="preserve">El escenario base del monopolio y el supuesto que levanta cada desarrollo</w:t>
      </w:r>
    </w:p>
    <w:tbl>
      <w:tblPr>
        <w:tblStyle w:val="Table"/>
        <w:tblW w:type="auto" w:w="0"/>
        <w:tblLook w:firstRow="1" w:lastRow="0" w:firstColumn="0" w:lastColumn="0" w:noHBand="0" w:noVBand="0" w:val="0020"/>
        <w:tblCaption w:val="Tabla 1.– El escenario base del monopolio y el supuesto que levanta cada desarroll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(II.1)</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(II.1.2)</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(II.2)</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(II.3)</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(III.1)</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(III.2)</w:t>
            </w:r>
          </w:p>
        </w:tc>
      </w:tr>
    </w:tbl>
    <w:bookmarkEnd w:id="28"/>
    <w:p>
      <w:pPr>
        <w:pStyle w:val="BodyText"/>
      </w:pPr>
      <w:r>
        <w:rPr>
          <w:i/>
          <w:iCs/>
        </w:rPr>
        <w:t xml:space="preserve">Fuente: elaboración propia.</w:t>
      </w:r>
    </w:p>
    <w:bookmarkEnd w:id="29"/>
    <w:bookmarkStart w:id="62" w:name="equilibrio-del-monopolio"/>
    <w:p>
      <w:pPr>
        <w:pStyle w:val="Heading2"/>
      </w:pPr>
      <w:r>
        <w:t xml:space="preserve">I.2.</w:t>
      </w:r>
      <w:r>
        <w:t xml:space="preserve"> </w:t>
      </w:r>
      <w:r>
        <w:t xml:space="preserve">Equilibrio del monopolio</w:t>
      </w:r>
    </w:p>
    <w:p>
      <w:pPr>
        <w:numPr>
          <w:ilvl w:val="0"/>
          <w:numId w:val="1013"/>
        </w:numPr>
      </w:pPr>
      <w:r>
        <w:t xml:space="preserve">Una vez caracterizado el escenario base, pasamos a obtener el equilibrio del monopolista: cuánto produce y a qué precio vende.</w:t>
      </w:r>
    </w:p>
    <w:bookmarkStart w:id="30" w:name="a-idea"/>
    <w:p>
      <w:pPr>
        <w:pStyle w:val="Heading4"/>
      </w:pPr>
      <w:r>
        <w:t xml:space="preserve">a) Idea</w:t>
      </w:r>
    </w:p>
    <w:p>
      <w:pPr>
        <w:numPr>
          <w:ilvl w:val="0"/>
          <w:numId w:val="1014"/>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4"/>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(I.3).</w:t>
      </w:r>
    </w:p>
    <w:bookmarkEnd w:id="30"/>
    <w:bookmarkStart w:id="59" w:name="b-modelo"/>
    <w:p>
      <w:pPr>
        <w:pStyle w:val="Heading4"/>
      </w:pPr>
      <w:r>
        <w:t xml:space="preserve">b) Modelo</w:t>
      </w:r>
    </w:p>
    <w:bookmarkStart w:id="32" w:name="i-supuestos"/>
    <w:p>
      <w:pPr>
        <w:pStyle w:val="Heading5"/>
      </w:pPr>
      <w:r>
        <w:t xml:space="preserve">i) Supuestos</w:t>
      </w:r>
    </w:p>
    <w:p>
      <w:pPr>
        <w:keepNext/>
        <w:numPr>
          <w:ilvl w:val="0"/>
          <w:numId w:val="1015"/>
        </w:numPr>
      </w:pPr>
      <w:r>
        <w:t xml:space="preserve">Los del escenario base (I.1), con 2 supuestos técnicos:</w:t>
      </w:r>
    </w:p>
    <w:p>
      <w:pPr>
        <w:numPr>
          <w:ilvl w:val="1"/>
          <w:numId w:val="1016"/>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r>
        <w:rPr>
          <w:rStyle w:val="Referenciaatema"/>
        </w:rPr>
        <w:t xml:space="preserve">[ver tema 3.A.8]</w:t>
      </w:r>
      <w:r>
        <w:t xml:space="preserve"> </w:t>
      </w:r>
      <w:r>
        <w:rPr>
          <w:rStyle w:val="Referenciaatema"/>
        </w:rPr>
        <w:t xml:space="preserve">[ver tema 3.A.16]</w:t>
      </w:r>
      <w:r>
        <w:t xml:space="preserve">, y mide la cantidad que desean comprar a cada precio,</w:t>
      </w:r>
      <w:r>
        <w:t xml:space="preserve"> </w:t>
      </w:r>
      <w:r>
        <w:rPr>
          <w:i/>
          <w:iCs/>
        </w:rPr>
        <w:t xml:space="preserve">ceteris paribus</w:t>
      </w:r>
      <w:r>
        <w:t xml:space="preserve">;</w:t>
      </w:r>
      <w:r>
        <w:rPr>
          <w:rStyle w:val="FootnoteReference"/>
        </w:rPr>
        <w:footnoteReference w:id="31"/>
      </w:r>
    </w:p>
    <w:p>
      <w:pPr>
        <w:numPr>
          <w:ilvl w:val="1"/>
          <w:numId w:val="1016"/>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r>
        <w:rPr>
          <w:rStyle w:val="Referenciaatema"/>
        </w:rPr>
        <w:t xml:space="preserve">[ver tema 3.A.12]</w:t>
      </w:r>
      <w:r>
        <w:t xml:space="preserve">.</w:t>
      </w:r>
    </w:p>
    <w:bookmarkEnd w:id="32"/>
    <w:bookmarkStart w:id="53" w:name="ii-desarrollo"/>
    <w:p>
      <w:pPr>
        <w:pStyle w:val="Heading5"/>
      </w:pPr>
      <w:r>
        <w:t xml:space="preserve">ii) Desarrollo</w:t>
      </w:r>
    </w:p>
    <w:p>
      <w:pPr>
        <w:numPr>
          <w:ilvl w:val="0"/>
          <w:numId w:val="1017"/>
        </w:numPr>
      </w:pPr>
      <w:r>
        <w:rPr>
          <w:i/>
          <w:iCs/>
        </w:rPr>
        <w:t xml:space="preserve">Problema del monopolista</w:t>
      </w:r>
      <w:r>
        <w:t xml:space="preserve">. Elige la cantidad (o, lo que es equivalente, el precio)</w:t>
      </w:r>
      <w:r>
        <w:rPr>
          <w:rStyle w:val="FootnoteReference"/>
        </w:rPr>
        <w:footnoteReference w:id="33"/>
      </w:r>
      <w:r>
        <w:t xml:space="preserve"> </w:t>
      </w:r>
      <w:r>
        <w:t xml:space="preserve">que maximiza su beneficio. A diferencia de la competencia perfecta, el precio es una variable endógena: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
        </m:oMath>
      </m:oMathPara>
    </w:p>
    <w:p>
      <w:pPr>
        <w:numPr>
          <w:ilvl w:val="0"/>
          <w:numId w:val="1017"/>
        </w:numPr>
      </w:pPr>
      <w:r>
        <w:rPr>
          <w:i/>
          <w:iCs/>
        </w:rPr>
        <w:t xml:space="preserve">Condición de primer orden</w:t>
      </w:r>
      <w:r>
        <w:t xml:space="preserve">: produce hasta que el ingreso que le da la última unidad iguala lo que le cuesta:</w:t>
      </w:r>
      <w:r>
        <w:rPr>
          <w:rStyle w:val="FootnoteReference"/>
        </w:rPr>
        <w:footnoteReference w:id="34"/>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8"/>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8"/>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35"/>
      </w:r>
      <w:r>
        <w:t xml:space="preserve"> </w:t>
      </w:r>
      <w:r>
        <w:t xml:space="preserve">lo que la última unidad aporta al monopolista es menos de lo que vale para los consumidores.</w:t>
      </w:r>
    </w:p>
    <w:p>
      <w:pPr>
        <w:numPr>
          <w:ilvl w:val="0"/>
          <w:numId w:val="1017"/>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(3)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36"/>
      </w:r>
    </w:p>
    <w:p>
      <w:pPr>
        <w:numPr>
          <w:ilvl w:val="0"/>
          <w:numId w:val="1017"/>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40"/>
      </w:r>
    </w:p>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Lerner1934Concept">
        <w:r>
          <w:rPr>
            <w:rStyle w:val="Hyperlink"/>
            <w:smallCaps/>
          </w:rPr>
          <w:t xml:space="preserve">Lerner</w:t>
        </w:r>
        <w:r>
          <w:rPr>
            <w:rStyle w:val="Hyperlink"/>
          </w:rPr>
          <w:t xml:space="preserve"> </w:t>
        </w:r>
        <w:r>
          <w:rPr>
            <w:rStyle w:val="Hyperlink"/>
          </w:rPr>
          <w:t xml:space="preserve">1934</w:t>
        </w:r>
      </w:hyperlink>
      <w:r>
        <w:t xml:space="preserve">)</w:t>
      </w:r>
      <w:r>
        <w:t xml:space="preserve">, y lo usan las autoridades de competencia. Implica que:</w:t>
      </w:r>
    </w:p>
    <w:p>
      <w:pPr>
        <w:numPr>
          <w:ilvl w:val="1"/>
          <w:numId w:val="1019"/>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19"/>
        </w:numPr>
      </w:pPr>
      <w:r>
        <w:t xml:space="preserve">cuanto más inelástica es la demanda, es decir, cuanto menos reaccionan los consumidores a una subida del precio, mayor es el poder de mercado y mayor el precio.</w:t>
      </w:r>
    </w:p>
    <w:p>
      <w:pPr>
        <w:numPr>
          <w:ilvl w:val="0"/>
          <w:numId w:val="1017"/>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41"/>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B.1).</w:t>
      </w:r>
      <w:r>
        <w:rPr>
          <w:rStyle w:val="FootnoteReference"/>
        </w:rPr>
        <w:footnoteReference w:id="42"/>
      </w:r>
    </w:p>
    <w:p>
      <w:pPr>
        <w:numPr>
          <w:ilvl w:val="0"/>
          <w:numId w:val="1017"/>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7"/>
        </w:numPr>
      </w:pPr>
      <w:r>
        <w:rPr>
          <w:i/>
          <w:iCs/>
        </w:rPr>
        <w:t xml:space="preserve">Condición de viabilidad</w:t>
      </w:r>
      <w:r>
        <w:t xml:space="preserve">.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0"/>
        </w:numPr>
      </w:pPr>
      <w:r>
        <w:t xml:space="preserve">a</w:t>
      </w:r>
      <w:r>
        <w:t xml:space="preserve"> </w:t>
      </w:r>
      <w:r>
        <w:rPr>
          <w:i/>
          <w:iCs/>
        </w:rPr>
        <w:t xml:space="preserve">corto plazo</w:t>
      </w:r>
      <w:r>
        <w:t xml:space="preserve">, con algún factor fijo, hay costes fijos que se pagan produzca o no</w:t>
      </w:r>
      <w:r>
        <w:t xml:space="preserve"> </w:t>
      </w:r>
      <w:r>
        <w:rPr>
          <w:rStyle w:val="Referenciaatema"/>
        </w:rPr>
        <w:t xml:space="preserve">[ver tema 3.A.12]</w:t>
      </w:r>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43"/>
      </w:r>
    </w:p>
    <w:p>
      <w:pPr>
        <w:numPr>
          <w:ilvl w:val="1"/>
          <w:numId w:val="1020"/>
        </w:numPr>
      </w:pPr>
      <w:r>
        <w:t xml:space="preserve">a</w:t>
      </w:r>
      <w:r>
        <w:t xml:space="preserve"> </w:t>
      </w:r>
      <w:r>
        <w:rPr>
          <w:i/>
          <w:iCs/>
        </w:rPr>
        <w:t xml:space="preserve">largo plazo</w:t>
      </w:r>
      <w:r>
        <w:t xml:space="preserve">, todos los factores son variables y todos los costes evitables</w:t>
      </w:r>
      <w:r>
        <w:t xml:space="preserve"> </w:t>
      </w:r>
      <w:r>
        <w:rPr>
          <w:rStyle w:val="Referenciaatema"/>
        </w:rPr>
        <w:t xml:space="preserve">[ver tema 3.A.12]</w:t>
      </w:r>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47"/>
      </w:r>
    </w:p>
    <w:p>
      <w:pPr>
        <w:numPr>
          <w:ilvl w:val="1"/>
          <w:numId w:val="1020"/>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48"/>
      </w:r>
      <w:r>
        <w:t xml:space="preserve"> </w:t>
      </w:r>
      <w:r>
        <w:t xml:space="preserve">El anexo B.2 lo muestra gráficamente.</w:t>
      </w:r>
    </w:p>
    <w:p>
      <w:pPr>
        <w:numPr>
          <w:ilvl w:val="0"/>
          <w:numId w:val="1017"/>
        </w:numPr>
      </w:pPr>
      <w:r>
        <w:rPr>
          <w:i/>
          <w:iCs/>
        </w:rPr>
        <w:t xml:space="preserve">Interpretación gráfica</w:t>
      </w:r>
      <w:r>
        <w:t xml:space="preserve"> </w:t>
      </w:r>
      <w:r>
        <w:t xml:space="preserve">(gráfico 1):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52" w:name="fig:equilibrio-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 title="" id="50" name="Picture"/>
            <a:graphic>
              <a:graphicData uri="http://schemas.openxmlformats.org/drawingml/2006/picture">
                <pic:pic>
                  <pic:nvPicPr>
                    <pic:cNvPr descr="C:\Users\vgutierrez\Documents\src\victorgutierrezmarcos.github.io-revision\oposicion\temario\fuentes\3A17\graficos/equilibrio-monopolio.png" id="51" name="Picture"/>
                    <pic:cNvPicPr>
                      <a:picLocks noChangeArrowheads="1" noChangeAspect="1"/>
                    </pic:cNvPicPr>
                  </pic:nvPicPr>
                  <pic:blipFill>
                    <a:blip r:embed="rId49"/>
                    <a:stretch>
                      <a:fillRect/>
                    </a:stretch>
                  </pic:blipFill>
                  <pic:spPr bwMode="auto">
                    <a:xfrm>
                      <a:off x="0" y="0"/>
                      <a:ext cx="3581400" cy="2579096"/>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Tirole</w:t>
      </w:r>
      <w:r>
        <w:t xml:space="preserve"> </w:t>
      </w:r>
      <w:r>
        <w:t xml:space="preserve">(</w:t>
      </w:r>
      <w:hyperlink w:anchor="ref-Tirole1988Theory">
        <w:r>
          <w:rPr>
            <w:rStyle w:val="Hyperlink"/>
          </w:rPr>
          <w:t xml:space="preserve">1988, cap. 1</w:t>
        </w:r>
      </w:hyperlink>
      <w:r>
        <w:t xml:space="preserve">)</w:t>
      </w:r>
      <w:r>
        <w:t xml:space="preserve">.</w:t>
      </w:r>
    </w:p>
    <w:bookmarkEnd w:id="53"/>
    <w:bookmarkStart w:id="58" w:name="iii-implicaciones"/>
    <w:p>
      <w:pPr>
        <w:pStyle w:val="Heading5"/>
      </w:pPr>
      <w:r>
        <w:t xml:space="preserve">iii) Implicaciones</w:t>
      </w:r>
    </w:p>
    <w:p>
      <w:pPr>
        <w:numPr>
          <w:ilvl w:val="0"/>
          <w:numId w:val="1021"/>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1"/>
        </w:numPr>
      </w:pPr>
      <w:r>
        <w:t xml:space="preserve">A diferencia de la competencia perfecta:</w:t>
      </w:r>
    </w:p>
    <w:p>
      <w:pPr>
        <w:numPr>
          <w:ilvl w:val="1"/>
          <w:numId w:val="1022"/>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2"/>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54"/>
      </w:r>
    </w:p>
    <w:bookmarkEnd w:id="58"/>
    <w:bookmarkEnd w:id="59"/>
    <w:bookmarkStart w:id="60" w:name="c-extensiones"/>
    <w:p>
      <w:pPr>
        <w:pStyle w:val="Heading4"/>
      </w:pPr>
      <w:r>
        <w:t xml:space="preserve">c) Extensiones</w:t>
      </w:r>
    </w:p>
    <w:p>
      <w:pPr>
        <w:numPr>
          <w:ilvl w:val="0"/>
          <w:numId w:val="1023"/>
        </w:numPr>
      </w:pPr>
      <w:r>
        <w:t xml:space="preserve">Una aplicación directa del modelo es el efecto de los impuestos sobre el monopolista, que el test suele preguntar (anexo C).</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w:t>
        </w:r>
        <w:r>
          <w:rPr>
            <w:rStyle w:val="Hyperlink"/>
          </w:rPr>
          <w:t xml:space="preserve">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60"/>
    <w:bookmarkStart w:id="61" w:name="d-valoración"/>
    <w:p>
      <w:pPr>
        <w:pStyle w:val="Heading4"/>
      </w:pPr>
      <w:r>
        <w:t xml:space="preserve">d) Valoración</w:t>
      </w:r>
    </w:p>
    <w:p>
      <w:pPr>
        <w:numPr>
          <w:ilvl w:val="0"/>
          <w:numId w:val="1024"/>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4"/>
        </w:numPr>
      </w:pPr>
      <w:r>
        <w:t xml:space="preserve">Pero deja abierta la pregunta normativa: ¿cuánto le cuesta a la sociedad que el precio supere el coste marginal? Es lo que analizamos a continuación.</w:t>
      </w:r>
    </w:p>
    <w:bookmarkEnd w:id="61"/>
    <w:bookmarkEnd w:id="62"/>
    <w:bookmarkStart w:id="78" w:name="análisis-de-eficiencia-y-bienestar"/>
    <w:p>
      <w:pPr>
        <w:pStyle w:val="Heading2"/>
      </w:pPr>
      <w:r>
        <w:t xml:space="preserve">I.3.</w:t>
      </w:r>
      <w:r>
        <w:t xml:space="preserve"> </w:t>
      </w:r>
      <w:r>
        <w:t xml:space="preserve">Análisis de eficiencia y bienestar</w:t>
      </w:r>
    </w:p>
    <w:p>
      <w:pPr>
        <w:numPr>
          <w:ilvl w:val="0"/>
          <w:numId w:val="1025"/>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64" w:name="a-idea-1"/>
    <w:p>
      <w:pPr>
        <w:pStyle w:val="Heading4"/>
      </w:pPr>
      <w:r>
        <w:t xml:space="preserve">a) Idea</w:t>
      </w:r>
    </w:p>
    <w:p>
      <w:pPr>
        <w:numPr>
          <w:ilvl w:val="0"/>
          <w:numId w:val="1026"/>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r>
        <w:rPr>
          <w:rStyle w:val="Referenciaatema"/>
        </w:rPr>
        <w:t xml:space="preserve">[ver tema 3.A.16]</w:t>
      </w:r>
      <w:r>
        <w:t xml:space="preserve"> </w:t>
      </w:r>
      <w:r>
        <w:rPr>
          <w:rStyle w:val="Referenciaatema"/>
        </w:rPr>
        <w:t xml:space="preserve">[ver tema 3.A.22]</w:t>
      </w:r>
      <w:r>
        <w:t xml:space="preserve">.</w:t>
      </w:r>
      <w:r>
        <w:rPr>
          <w:rStyle w:val="FootnoteReference"/>
        </w:rPr>
        <w:footnoteReference w:id="63"/>
      </w:r>
    </w:p>
    <w:bookmarkEnd w:id="64"/>
    <w:bookmarkStart w:id="74" w:name="b-modelo-1"/>
    <w:p>
      <w:pPr>
        <w:pStyle w:val="Heading4"/>
      </w:pPr>
      <w:r>
        <w:t xml:space="preserve">b) Modelo</w:t>
      </w:r>
    </w:p>
    <w:bookmarkStart w:id="65" w:name="i-supuestos-1"/>
    <w:p>
      <w:pPr>
        <w:pStyle w:val="Heading5"/>
      </w:pPr>
      <w:r>
        <w:t xml:space="preserve">i) Supuestos</w:t>
      </w:r>
    </w:p>
    <w:p>
      <w:pPr>
        <w:numPr>
          <w:ilvl w:val="0"/>
          <w:numId w:val="1027"/>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r>
        <w:rPr>
          <w:rStyle w:val="Referenciaatema"/>
        </w:rPr>
        <w:t xml:space="preserve">[ver tema 3.A.9]</w:t>
      </w:r>
      <w:r>
        <w:t xml:space="preserve">.</w:t>
      </w:r>
    </w:p>
    <w:p>
      <w:pPr>
        <w:numPr>
          <w:ilvl w:val="0"/>
          <w:numId w:val="1027"/>
        </w:numPr>
      </w:pPr>
      <w:r>
        <w:t xml:space="preserve">El coste marginal mide el coste de oportunidad de producir.</w:t>
      </w:r>
    </w:p>
    <w:p>
      <w:pPr>
        <w:numPr>
          <w:ilvl w:val="0"/>
          <w:numId w:val="1027"/>
        </w:numPr>
      </w:pPr>
      <w:r>
        <w:t xml:space="preserve">El monopolio y la industria competitiva tienen la misma función de costes (supuesto que se levanta con la ineficiencia X).</w:t>
      </w:r>
    </w:p>
    <w:bookmarkEnd w:id="65"/>
    <w:bookmarkStart w:id="72" w:name="ii-desarrollo-1"/>
    <w:p>
      <w:pPr>
        <w:pStyle w:val="Heading5"/>
      </w:pPr>
      <w:r>
        <w:t xml:space="preserve">ii) Desarrollo</w:t>
      </w:r>
    </w:p>
    <w:p>
      <w:pPr>
        <w:keepNext/>
        <w:numPr>
          <w:ilvl w:val="0"/>
          <w:numId w:val="1028"/>
        </w:numPr>
      </w:pPr>
      <w:r>
        <w:rPr>
          <w:i/>
          <w:iCs/>
        </w:rPr>
        <w:t xml:space="preserve">Ineficiencia asignativa en el mercado del bien</w:t>
      </w:r>
      <w:r>
        <w:t xml:space="preserve"> </w:t>
      </w:r>
      <w:r>
        <w:t xml:space="preserve">(gráfico 2). Al pasar de la competencia al monopolio:</w:t>
      </w:r>
    </w:p>
    <w:p>
      <w:pPr>
        <w:numPr>
          <w:ilvl w:val="1"/>
          <w:numId w:val="1029"/>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29"/>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8"/>
        </w:numPr>
      </w:pPr>
      <w:r>
        <w:rPr>
          <w:i/>
          <w:iCs/>
        </w:rPr>
        <w:t xml:space="preserve">Cuánto vale el triángulo</w:t>
      </w:r>
      <w:r>
        <w:t xml:space="preserve">. Con coste marginal constante, aproximándolo por un triángulo con la elasticidad del equilibrio,</w:t>
      </w:r>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(4),</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66"/>
      </w:r>
    </w:p>
    <w:p>
      <w:pPr>
        <w:numPr>
          <w:ilvl w:val="0"/>
          <w:numId w:val="1028"/>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67"/>
      </w:r>
    </w:p>
    <w:p>
      <w:pPr>
        <w:numPr>
          <w:ilvl w:val="0"/>
          <w:numId w:val="1028"/>
        </w:numPr>
      </w:pPr>
      <w:r>
        <w:rPr>
          <w:i/>
          <w:iCs/>
        </w:rPr>
        <w:t xml:space="preserve">Ineficiencia productiva</w:t>
      </w:r>
      <w:r>
        <w:t xml:space="preserve">: no tiene por qué producir en el mínimo del coste medio a largo plazo (I.2), así que puede operar con una escala ineficiente.</w:t>
      </w:r>
    </w:p>
    <w:p>
      <w:pPr>
        <w:numPr>
          <w:ilvl w:val="0"/>
          <w:numId w:val="1028"/>
        </w:numPr>
      </w:pPr>
      <w:r>
        <w:rPr>
          <w:i/>
          <w:iCs/>
        </w:rPr>
        <w:t xml:space="preserve">Ineficiencia X</w:t>
      </w:r>
      <w:r>
        <w:t xml:space="preserve"> </w:t>
      </w:r>
      <w:r>
        <w:t xml:space="preserve">(</w:t>
      </w:r>
      <w:hyperlink w:anchor="ref-Leibenstein1966Allocative">
        <w:r>
          <w:rPr>
            <w:rStyle w:val="Hyperlink"/>
            <w:smallCaps/>
          </w:rPr>
          <w:t xml:space="preserve">Leibenstein</w:t>
        </w:r>
        <w:r>
          <w:rPr>
            <w:rStyle w:val="Hyperlink"/>
          </w:rPr>
          <w:t xml:space="preserve"> </w:t>
        </w:r>
        <w:r>
          <w:rPr>
            <w:rStyle w:val="Hyperlink"/>
          </w:rPr>
          <w:t xml:space="preserve">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r>
        <w:rPr>
          <w:rStyle w:val="Referenciaatema"/>
        </w:rPr>
        <w:t xml:space="preserve">[ver tema 3.A.12]</w:t>
      </w:r>
      <w:r>
        <w:t xml:space="preserve">. Como dice</w:t>
      </w:r>
      <w:r>
        <w:t xml:space="preserve"> </w:t>
      </w:r>
      <w:r>
        <w:rPr>
          <w:smallCaps/>
        </w:rPr>
        <w:t xml:space="preserve">Hicks</w:t>
      </w:r>
      <w:r>
        <w:t xml:space="preserve"> </w:t>
      </w:r>
      <w:r>
        <w:t xml:space="preserve">(</w:t>
      </w:r>
      <w:hyperlink w:anchor="ref-Hicks1935Annual">
        <w:r>
          <w:rPr>
            <w:rStyle w:val="Hyperlink"/>
          </w:rPr>
          <w:t xml:space="preserve">1935, 8</w:t>
        </w:r>
      </w:hyperlink>
      <w:r>
        <w:t xml:space="preserve">)</w:t>
      </w:r>
      <w:r>
        <w:t xml:space="preserve">, «el mejor de todos los beneficios del monopolio es una vida tranquila». En el gráfico,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0"/>
          <w:numId w:val="1028"/>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r>
        <w:rPr>
          <w:rStyle w:val="Referenciaatema"/>
        </w:rPr>
        <w:t xml:space="preserve">[ver tema 4.B.2]</w:t>
      </w:r>
      <w:r>
        <w:t xml:space="preserve">.</w:t>
      </w:r>
    </w:p>
    <w:bookmarkStart w:id="71" w:name="fig:bienestar-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 title="" id="69" name="Picture"/>
            <a:graphic>
              <a:graphicData uri="http://schemas.openxmlformats.org/drawingml/2006/picture">
                <pic:pic>
                  <pic:nvPicPr>
                    <pic:cNvPr descr="C:\Users\vgutierrez\Documents\src\victorgutierrezmarcos.github.io-revision\oposicion\temario\fuentes\3A17\graficos/bienestar-monopolio.png" id="70" name="Picture"/>
                    <pic:cNvPicPr>
                      <a:picLocks noChangeArrowheads="1" noChangeAspect="1"/>
                    </pic:cNvPicPr>
                  </pic:nvPicPr>
                  <pic:blipFill>
                    <a:blip r:embed="rId68"/>
                    <a:stretch>
                      <a:fillRect/>
                    </a:stretch>
                  </pic:blipFill>
                  <pic:spPr bwMode="auto">
                    <a:xfrm>
                      <a:off x="0" y="0"/>
                      <a:ext cx="3253918" cy="2581115"/>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w:t>
      </w:r>
    </w:p>
    <w:bookmarkEnd w:id="72"/>
    <w:bookmarkStart w:id="73" w:name="iii-implicaciones-1"/>
    <w:p>
      <w:pPr>
        <w:pStyle w:val="Heading5"/>
      </w:pPr>
      <w:r>
        <w:t xml:space="preserve">iii) Implicaciones</w:t>
      </w:r>
    </w:p>
    <w:p>
      <w:pPr>
        <w:numPr>
          <w:ilvl w:val="0"/>
          <w:numId w:val="1030"/>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0"/>
        </w:numPr>
      </w:pPr>
      <w:r>
        <w:t xml:space="preserve">Como la pérdida crece con el cuadrado del margen, los monopolios con demanda muy inelástica, que cargan márgenes altos, son los más costosos.</w:t>
      </w:r>
    </w:p>
    <w:bookmarkEnd w:id="73"/>
    <w:bookmarkEnd w:id="74"/>
    <w:bookmarkStart w:id="75" w:name="c-extensiones-eficiencia-dinámica"/>
    <w:p>
      <w:pPr>
        <w:pStyle w:val="Heading4"/>
      </w:pPr>
      <w:r>
        <w:t xml:space="preserve">c) Extensiones: eficiencia dinámica</w:t>
      </w:r>
    </w:p>
    <w:p>
      <w:pPr>
        <w:numPr>
          <w:ilvl w:val="0"/>
          <w:numId w:val="1031"/>
        </w:numPr>
      </w:pPr>
      <w:r>
        <w:rPr>
          <w:smallCaps/>
        </w:rPr>
        <w:t xml:space="preserve">Schumpeter</w:t>
      </w:r>
      <w:r>
        <w:t xml:space="preserve"> </w:t>
      </w:r>
      <w:r>
        <w:t xml:space="preserve">(</w:t>
      </w:r>
      <w:hyperlink w:anchor="ref-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1"/>
        </w:numPr>
      </w:pPr>
      <w:r>
        <w:rPr>
          <w:smallCaps/>
        </w:rPr>
        <w:t xml:space="preserve">Arrow</w:t>
      </w:r>
      <w:r>
        <w:t xml:space="preserve"> </w:t>
      </w:r>
      <w:r>
        <w:t xml:space="preserve">(</w:t>
      </w:r>
      <w:hyperlink w:anchor="ref-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1"/>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r>
        <w:rPr>
          <w:rStyle w:val="Referenciaatema"/>
        </w:rPr>
        <w:t xml:space="preserve">[ver tema 3.A.44]</w:t>
      </w:r>
      <w:r>
        <w:t xml:space="preserve">.</w:t>
      </w:r>
    </w:p>
    <w:bookmarkEnd w:id="75"/>
    <w:bookmarkStart w:id="76" w:name="d-evidencia-empírica"/>
    <w:p>
      <w:pPr>
        <w:pStyle w:val="Heading4"/>
      </w:pPr>
      <w:r>
        <w:t xml:space="preserve">d) Evidencia empírica</w:t>
      </w:r>
    </w:p>
    <w:p>
      <w:pPr>
        <w:numPr>
          <w:ilvl w:val="0"/>
          <w:numId w:val="1032"/>
        </w:numPr>
      </w:pP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Schmitz2012New">
        <w:r>
          <w:rPr>
            <w:rStyle w:val="Hyperlink"/>
            <w:smallCaps/>
          </w:rPr>
          <w:t xml:space="preserve">Schmitz</w:t>
        </w:r>
        <w:r>
          <w:rPr>
            <w:rStyle w:val="Hyperlink"/>
          </w:rPr>
          <w:t xml:space="preserve"> </w:t>
        </w:r>
        <w:r>
          <w:rPr>
            <w:rStyle w:val="Hyperlink"/>
          </w:rPr>
          <w:t xml:space="preserve">2012</w:t>
        </w:r>
      </w:hyperlink>
      <w:r>
        <w:t xml:space="preserve">)</w:t>
      </w:r>
      <w:r>
        <w:t xml:space="preserve">.</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2"/>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76"/>
    <w:bookmarkStart w:id="77" w:name="e-valoración"/>
    <w:p>
      <w:pPr>
        <w:pStyle w:val="Heading4"/>
      </w:pPr>
      <w:r>
        <w:t xml:space="preserve">e) Valoración</w:t>
      </w:r>
    </w:p>
    <w:p>
      <w:pPr>
        <w:numPr>
          <w:ilvl w:val="0"/>
          <w:numId w:val="1033"/>
        </w:numPr>
      </w:pPr>
      <w:r>
        <w:t xml:space="preserve">El monopolio suele ser ineficiente, pero de ahí no se sigue que haya que desmantelarlo siempre: hay monopolios eficientes en la asignación, como el que discrimina perfectamente (II.1), o en los costes, como el monopolio natural (II.2), y la intervención pública tiene sus propios costes</w:t>
      </w:r>
      <w:r>
        <w:t xml:space="preserve"> </w:t>
      </w:r>
      <w:r>
        <w:rPr>
          <w:rStyle w:val="Referenciaatema"/>
        </w:rPr>
        <w:t xml:space="preserve">[ver tema 3.A.23]</w:t>
      </w:r>
      <w:r>
        <w:t xml:space="preserve">. Lo que haya que hacer depende del tipo de monopolio y del origen de su poder.</w:t>
      </w:r>
    </w:p>
    <w:p>
      <w:pPr>
        <w:numPr>
          <w:ilvl w:val="0"/>
          <w:numId w:val="1033"/>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77"/>
    <w:bookmarkEnd w:id="78"/>
    <w:bookmarkEnd w:id="79"/>
    <w:bookmarkStart w:id="177" w:name="desarrollos-de-la-teoría-del-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w:t>
      </w:r>
      <w:r>
        <w:t xml:space="preserve">(4′). La producción conjunta: la regla de</w:t>
      </w:r>
      <w:r>
        <w:t xml:space="preserve"> </w:t>
      </w:r>
      <w:r>
        <w:rPr>
          <w:smallCaps/>
        </w:rPr>
        <w:t xml:space="preserve">Lerner</w:t>
      </w:r>
      <w:r>
        <w:t xml:space="preserve"> </w:t>
      </w:r>
      <w:r>
        <w:t xml:space="preserve">con elasticidades cruzadas (solo su estructura y los 2 signos), las proporciones fijas y el multiplanta (2′30″). Los 3 casos de la tarifa en dos partes, la venta conjunta, los ejemplos, la sostenibilidad con reacción del incumbente y el aprendizaje son de profundización; las derivaciones, en el anexo B.</w:t>
      </w:r>
    </w:p>
    <w:p>
      <w:pPr>
        <w:numPr>
          <w:ilvl w:val="0"/>
          <w:numId w:val="1034"/>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34" w:name="discriminación-de-precios"/>
    <w:p>
      <w:pPr>
        <w:pStyle w:val="Heading2"/>
      </w:pPr>
      <w:r>
        <w:t xml:space="preserve">II.1.</w:t>
      </w:r>
      <w:r>
        <w:t xml:space="preserve"> </w:t>
      </w:r>
      <w:r>
        <w:t xml:space="preserve">Discriminación de precios</w:t>
      </w:r>
    </w:p>
    <w:p>
      <w:pPr>
        <w:numPr>
          <w:ilvl w:val="0"/>
          <w:numId w:val="1035"/>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Varian1989Price">
        <w:r>
          <w:rPr>
            <w:rStyle w:val="Hyperlink"/>
            <w:smallCaps/>
          </w:rPr>
          <w:t xml:space="preserve">Varian</w:t>
        </w:r>
        <w:r>
          <w:rPr>
            <w:rStyle w:val="Hyperlink"/>
          </w:rPr>
          <w:t xml:space="preserve"> </w:t>
        </w:r>
        <w:r>
          <w:rPr>
            <w:rStyle w:val="Hyperlink"/>
          </w:rPr>
          <w:t xml:space="preserve">1989</w:t>
        </w:r>
      </w:hyperlink>
      <w:r>
        <w:t xml:space="preserve">)</w:t>
      </w:r>
      <w:r>
        <w:t xml:space="preserve">.</w:t>
      </w:r>
    </w:p>
    <w:p>
      <w:pPr>
        <w:keepNext/>
        <w:numPr>
          <w:ilvl w:val="0"/>
          <w:numId w:val="1035"/>
        </w:numPr>
      </w:pPr>
      <w:r>
        <w:t xml:space="preserve">Requiere 3 condiciones:</w:t>
      </w:r>
    </w:p>
    <w:p>
      <w:pPr>
        <w:numPr>
          <w:ilvl w:val="1"/>
          <w:numId w:val="1036"/>
        </w:numPr>
      </w:pPr>
      <w:r>
        <w:rPr>
          <w:i/>
          <w:iCs/>
        </w:rPr>
        <w:t xml:space="preserve">poder de mercado</w:t>
      </w:r>
      <w:r>
        <w:t xml:space="preserve">: con demanda perfectamente elástica no hay excedente que extraer;</w:t>
      </w:r>
    </w:p>
    <w:p>
      <w:pPr>
        <w:numPr>
          <w:ilvl w:val="1"/>
          <w:numId w:val="1036"/>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6"/>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5"/>
        </w:numPr>
      </w:pPr>
      <w:r>
        <w:rPr>
          <w:smallCaps/>
        </w:rPr>
        <w:t xml:space="preserve">Pigou</w:t>
      </w:r>
      <w:r>
        <w:t xml:space="preserve"> </w:t>
      </w:r>
      <w:r>
        <w:t xml:space="preserve">(</w:t>
      </w:r>
      <w:hyperlink w:anchor="ref-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Tirole1988Theory">
        <w:r>
          <w:rPr>
            <w:rStyle w:val="Hyperlink"/>
            <w:smallCaps/>
          </w:rPr>
          <w:t xml:space="preserve">Tirole</w:t>
        </w:r>
        <w:r>
          <w:rPr>
            <w:rStyle w:val="Hyperlink"/>
          </w:rPr>
          <w:t xml:space="preserve"> </w:t>
        </w:r>
        <w:r>
          <w:rPr>
            <w:rStyle w:val="Hyperlink"/>
          </w:rPr>
          <w:t xml:space="preserve">1988, cap. 3</w:t>
        </w:r>
      </w:hyperlink>
      <w:r>
        <w:t xml:space="preserve">)</w:t>
      </w:r>
      <w:r>
        <w:t xml:space="preserve">:</w:t>
      </w:r>
    </w:p>
    <w:p>
      <w:pPr>
        <w:numPr>
          <w:ilvl w:val="1"/>
          <w:numId w:val="1037"/>
        </w:numPr>
      </w:pPr>
      <w:r>
        <w:rPr>
          <w:b/>
          <w:bCs/>
        </w:rPr>
        <w:t xml:space="preserve">primer grado</w:t>
      </w:r>
      <w:r>
        <w:t xml:space="preserve"> </w:t>
      </w:r>
      <w:r>
        <w:t xml:space="preserve">(discriminación perfecta): observa la valoración de cada consumidor;</w:t>
      </w:r>
    </w:p>
    <w:p>
      <w:pPr>
        <w:numPr>
          <w:ilvl w:val="1"/>
          <w:numId w:val="1037"/>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37"/>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5"/>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(II.1.4).</w:t>
      </w:r>
    </w:p>
    <w:bookmarkStart w:id="92" w:name="discriminación-de-primer-grado"/>
    <w:p>
      <w:pPr>
        <w:pStyle w:val="Heading3"/>
      </w:pPr>
      <w:r>
        <w:t xml:space="preserve">II.1.1.</w:t>
      </w:r>
      <w:r>
        <w:t xml:space="preserve"> </w:t>
      </w:r>
      <w:r>
        <w:t xml:space="preserve">Discriminación de primer grado</w:t>
      </w:r>
    </w:p>
    <w:bookmarkStart w:id="80" w:name="a-idea-2"/>
    <w:p>
      <w:pPr>
        <w:pStyle w:val="Heading4"/>
      </w:pPr>
      <w:r>
        <w:t xml:space="preserve">a) Idea</w:t>
      </w:r>
    </w:p>
    <w:p>
      <w:pPr>
        <w:numPr>
          <w:ilvl w:val="0"/>
          <w:numId w:val="1038"/>
        </w:numPr>
      </w:pPr>
      <w:r>
        <w:t xml:space="preserve">Es el caso extremo: el monopolista sabe cuánto está dispuesto a pagar cada consumidor por cada unidad y puede cobrárselo.</w:t>
      </w:r>
    </w:p>
    <w:bookmarkEnd w:id="80"/>
    <w:bookmarkStart w:id="89" w:name="b-modelo-2"/>
    <w:p>
      <w:pPr>
        <w:pStyle w:val="Heading4"/>
      </w:pPr>
      <w:r>
        <w:t xml:space="preserve">b) Modelo</w:t>
      </w:r>
    </w:p>
    <w:bookmarkStart w:id="81" w:name="i-supuestos-2"/>
    <w:p>
      <w:pPr>
        <w:pStyle w:val="Heading5"/>
      </w:pPr>
      <w:r>
        <w:t xml:space="preserve">i) Supuestos</w:t>
      </w:r>
    </w:p>
    <w:p>
      <w:pPr>
        <w:numPr>
          <w:ilvl w:val="0"/>
          <w:numId w:val="1039"/>
        </w:numPr>
      </w:pPr>
      <w:r>
        <w:t xml:space="preserve">El monopolista observa la valoración de cada consumidor por cada unidad y puede cobrar por ella exactamente su precio de reserva; no hay reventa.</w:t>
      </w:r>
    </w:p>
    <w:bookmarkEnd w:id="81"/>
    <w:bookmarkStart w:id="86" w:name="ii-desarrollo-2"/>
    <w:p>
      <w:pPr>
        <w:pStyle w:val="Heading5"/>
      </w:pPr>
      <w:r>
        <w:t xml:space="preserve">ii) Desarrollo</w:t>
      </w:r>
    </w:p>
    <w:p>
      <w:pPr>
        <w:numPr>
          <w:ilvl w:val="0"/>
          <w:numId w:val="1040"/>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3).</w:t>
      </w:r>
    </w:p>
    <w:bookmarkStart w:id="85" w:name="fig:primer-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 title="" id="83" name="Picture"/>
            <a:graphic>
              <a:graphicData uri="http://schemas.openxmlformats.org/drawingml/2006/picture">
                <pic:pic>
                  <pic:nvPicPr>
                    <pic:cNvPr descr="C:\Users\vgutierrez\Documents\src\victorgutierrezmarcos.github.io-revision\oposicion\temario\fuentes\3A17\graficos/primer-grado.png" id="84" name="Picture"/>
                    <pic:cNvPicPr>
                      <a:picLocks noChangeArrowheads="1" noChangeAspect="1"/>
                    </pic:cNvPicPr>
                  </pic:nvPicPr>
                  <pic:blipFill>
                    <a:blip r:embed="rId82"/>
                    <a:stretch>
                      <a:fillRect/>
                    </a:stretch>
                  </pic:blipFill>
                  <pic:spPr bwMode="auto">
                    <a:xfrm>
                      <a:off x="0" y="0"/>
                      <a:ext cx="3282950" cy="2521210"/>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Tirole</w:t>
      </w:r>
      <w:r>
        <w:t xml:space="preserve"> </w:t>
      </w:r>
      <w:r>
        <w:t xml:space="preserve">(</w:t>
      </w:r>
      <w:hyperlink w:anchor="ref-Tirole1988Theory">
        <w:r>
          <w:rPr>
            <w:rStyle w:val="Hyperlink"/>
          </w:rPr>
          <w:t xml:space="preserve">1988, cap. 3</w:t>
        </w:r>
      </w:hyperlink>
      <w:r>
        <w:t xml:space="preserve">)</w:t>
      </w:r>
      <w:r>
        <w:t xml:space="preserve">.</w:t>
      </w:r>
    </w:p>
    <w:bookmarkEnd w:id="86"/>
    <w:bookmarkStart w:id="88" w:name="iii-implicaciones-2"/>
    <w:p>
      <w:pPr>
        <w:pStyle w:val="Heading5"/>
      </w:pPr>
      <w:r>
        <w:t xml:space="preserve">iii) Implicaciones</w:t>
      </w:r>
    </w:p>
    <w:p>
      <w:pPr>
        <w:numPr>
          <w:ilvl w:val="0"/>
          <w:numId w:val="1041"/>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87"/>
      </w:r>
    </w:p>
    <w:p>
      <w:pPr>
        <w:numPr>
          <w:ilvl w:val="0"/>
          <w:numId w:val="1041"/>
        </w:numPr>
      </w:pPr>
      <w:r>
        <w:t xml:space="preserve">Es la cota superior del beneficio de cualquier forma de discriminación.</w:t>
      </w:r>
    </w:p>
    <w:bookmarkEnd w:id="88"/>
    <w:bookmarkEnd w:id="89"/>
    <w:bookmarkStart w:id="90" w:name="c-evidencia-empírica"/>
    <w:p>
      <w:pPr>
        <w:pStyle w:val="Heading4"/>
      </w:pPr>
      <w:r>
        <w:t xml:space="preserve">c) Evidencia empírica</w:t>
      </w:r>
    </w:p>
    <w:p>
      <w:pPr>
        <w:numPr>
          <w:ilvl w:val="0"/>
          <w:numId w:val="1042"/>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90"/>
    <w:bookmarkStart w:id="91" w:name="d-valoración-1"/>
    <w:p>
      <w:pPr>
        <w:pStyle w:val="Heading4"/>
      </w:pPr>
      <w:r>
        <w:t xml:space="preserve">d) Valoración</w:t>
      </w:r>
    </w:p>
    <w:p>
      <w:pPr>
        <w:numPr>
          <w:ilvl w:val="0"/>
          <w:numId w:val="1043"/>
        </w:numPr>
      </w:pPr>
      <w:r>
        <w:t xml:space="preserve">Exige una información que el monopolista casi nunca tiene. Cuando no observa la valoración de cada uno, tiene que conseguir que los consumidores la revelen: es la discriminación de segundo grado.</w:t>
      </w:r>
    </w:p>
    <w:bookmarkEnd w:id="91"/>
    <w:bookmarkEnd w:id="92"/>
    <w:bookmarkStart w:id="111" w:name="X0cc239b7264731ee5fbebbe4303e56a16d0d3ab"/>
    <w:p>
      <w:pPr>
        <w:pStyle w:val="Heading3"/>
      </w:pPr>
      <w:r>
        <w:t xml:space="preserve">II.1.2.</w:t>
      </w:r>
      <w:r>
        <w:t xml:space="preserve"> </w:t>
      </w:r>
      <w:r>
        <w:t xml:space="preserve">Discriminación de segundo grado: autoselección en cantidad y en calidad</w:t>
      </w:r>
    </w:p>
    <w:bookmarkStart w:id="93" w:name="a-idea-3"/>
    <w:p>
      <w:pPr>
        <w:pStyle w:val="Heading4"/>
      </w:pPr>
      <w:r>
        <w:t xml:space="preserve">a) Idea</w:t>
      </w:r>
    </w:p>
    <w:p>
      <w:pPr>
        <w:numPr>
          <w:ilvl w:val="0"/>
          <w:numId w:val="1044"/>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r>
        <w:rPr>
          <w:rStyle w:val="Referenciaatema"/>
        </w:rPr>
        <w:t xml:space="preserve">[ver tema 3.A.13]</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w:t>
      </w:r>
    </w:p>
    <w:p>
      <w:pPr>
        <w:numPr>
          <w:ilvl w:val="0"/>
          <w:numId w:val="1044"/>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93"/>
    <w:bookmarkStart w:id="101" w:name="b-modelo-3"/>
    <w:p>
      <w:pPr>
        <w:pStyle w:val="Heading4"/>
      </w:pPr>
      <w:r>
        <w:t xml:space="preserve">b) Modelo</w:t>
      </w:r>
    </w:p>
    <w:bookmarkStart w:id="94" w:name="i-supuestos-3"/>
    <w:p>
      <w:pPr>
        <w:pStyle w:val="Heading5"/>
      </w:pPr>
      <w:r>
        <w:t xml:space="preserve">i) Supuestos</w:t>
      </w:r>
    </w:p>
    <w:p>
      <w:pPr>
        <w:numPr>
          <w:ilvl w:val="0"/>
          <w:numId w:val="1045"/>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5"/>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5"/>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94"/>
    <w:bookmarkStart w:id="99" w:name="ii-desarrollo-3"/>
    <w:p>
      <w:pPr>
        <w:pStyle w:val="Heading5"/>
      </w:pPr>
      <w:r>
        <w:t xml:space="preserve">ii) Desarrollo</w:t>
      </w:r>
    </w:p>
    <w:p>
      <w:pPr>
        <w:numPr>
          <w:ilvl w:val="0"/>
          <w:numId w:val="1046"/>
        </w:numPr>
      </w:pPr>
      <w:r>
        <w:t xml:space="preserve">El monopolista elige el menú que maximiza su beneficio esperado: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6"/>
        </w:numPr>
      </w:pPr>
      <w:r>
        <w:t xml:space="preserve">En el óptimo solo se saturan 2 (anexo B.3):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6"/>
        </w:numPr>
      </w:pPr>
      <w:r>
        <w:t xml:space="preserve">Sustituyendo los pagos y derivando respecto a las cantidades:</w:t>
      </w:r>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6"/>
        </w:numPr>
      </w:pPr>
      <w:r>
        <w:rPr>
          <w:i/>
          <w:iCs/>
        </w:rPr>
        <w:t xml:space="preserve">Interpretación gráfica</w:t>
      </w:r>
      <w:r>
        <w:t xml:space="preserve"> </w:t>
      </w:r>
      <w:r>
        <w:t xml:space="preserve">(gráfico 4):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98" w:name="fig: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 title="" id="96" name="Picture"/>
            <a:graphic>
              <a:graphicData uri="http://schemas.openxmlformats.org/drawingml/2006/picture">
                <pic:pic>
                  <pic:nvPicPr>
                    <pic:cNvPr descr="C:\Users\vgutierrez\Documents\src\victorgutierrezmarcos.github.io-revision\oposicion\temario\fuentes\3A17\graficos/autoseleccion.png" id="97" name="Picture"/>
                    <pic:cNvPicPr>
                      <a:picLocks noChangeArrowheads="1" noChangeAspect="1"/>
                    </pic:cNvPicPr>
                  </pic:nvPicPr>
                  <pic:blipFill>
                    <a:blip r:embed="rId95"/>
                    <a:stretch>
                      <a:fillRect/>
                    </a:stretch>
                  </pic:blipFill>
                  <pic:spPr bwMode="auto">
                    <a:xfrm>
                      <a:off x="0" y="0"/>
                      <a:ext cx="3431293" cy="2639221"/>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Tirole1988Theory">
        <w:r>
          <w:rPr>
            <w:rStyle w:val="Hyperlink"/>
          </w:rPr>
          <w:t xml:space="preserve">1988, cap. 3</w:t>
        </w:r>
      </w:hyperlink>
      <w:r>
        <w:t xml:space="preserve">)</w:t>
      </w:r>
      <w:r>
        <w:t xml:space="preserve">.</w:t>
      </w:r>
    </w:p>
    <w:bookmarkEnd w:id="99"/>
    <w:bookmarkStart w:id="100" w:name="iii-implicaciones-3"/>
    <w:p>
      <w:pPr>
        <w:pStyle w:val="Heading5"/>
      </w:pPr>
      <w:r>
        <w:t xml:space="preserve">iii) Implicaciones</w:t>
      </w:r>
    </w:p>
    <w:p>
      <w:pPr>
        <w:numPr>
          <w:ilvl w:val="0"/>
          <w:numId w:val="1047"/>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47"/>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47"/>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47"/>
        </w:numPr>
      </w:pPr>
      <w:r>
        <w:rPr>
          <w:i/>
          <w:iCs/>
        </w:rPr>
        <w:t xml:space="preserve">Bienestar</w:t>
      </w:r>
      <w:r>
        <w:t xml:space="preserve">: la cantidad del tipo alto es eficiente y la del bajo no; frente al precio uniforme, la autoselección puede aumentar o reducir el excedente total.</w:t>
      </w:r>
    </w:p>
    <w:bookmarkEnd w:id="100"/>
    <w:bookmarkEnd w:id="101"/>
    <w:bookmarkStart w:id="108" w:name="c-extensiones-1"/>
    <w:p>
      <w:pPr>
        <w:pStyle w:val="Heading4"/>
      </w:pPr>
      <w:r>
        <w:t xml:space="preserve">c) Extensiones</w:t>
      </w:r>
    </w:p>
    <w:p>
      <w:pPr>
        <w:numPr>
          <w:ilvl w:val="0"/>
          <w:numId w:val="1048"/>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DeneckereMcAfee1996Damaged">
        <w:r>
          <w:rPr>
            <w:rStyle w:val="Hyperlink"/>
          </w:rPr>
          <w:t xml:space="preserve">1996</w:t>
        </w:r>
      </w:hyperlink>
      <w:r>
        <w:t xml:space="preserve">)</w:t>
      </w:r>
      <w:r>
        <w:t xml:space="preserve">).</w:t>
      </w:r>
      <w:r>
        <w:rPr>
          <w:rStyle w:val="FootnoteReference"/>
        </w:rPr>
        <w:footnoteReference w:id="102"/>
      </w:r>
    </w:p>
    <w:p>
      <w:pPr>
        <w:keepNext/>
        <w:numPr>
          <w:ilvl w:val="0"/>
          <w:numId w:val="1048"/>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03"/>
      </w:r>
      <w:r>
        <w:t xml:space="preserve"> </w:t>
      </w:r>
      <w:r>
        <w:t xml:space="preserve">El gráfico 5 muestra 3 casos con 2 tipos de consumidores:</w:t>
      </w:r>
    </w:p>
    <w:p>
      <w:pPr>
        <w:numPr>
          <w:ilvl w:val="1"/>
          <w:numId w:val="1049"/>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49"/>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49"/>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bookmarkStart w:id="107" w:name="fig:tarifa-dos-partes"/>
    <w:p>
      <w:pPr>
        <w:pStyle w:val="ImageCaption"/>
      </w:pPr>
      <w:r>
        <w:t xml:space="preserve">Gráfico 5.–</w:t>
      </w:r>
      <w:r>
        <w:t xml:space="preserve"> </w:t>
      </w:r>
      <w:r>
        <w:t xml:space="preserve">Tarifa en dos partes con 2 tipos: con cuotas distintas, con una cuota común que no excluye y con una cuota que excluye al tipo bajo</w:t>
      </w:r>
    </w:p>
    <w:p>
      <w:pPr>
        <w:pStyle w:val="CaptionedFigure"/>
      </w:pPr>
      <w:r>
        <w:drawing>
          <wp:inline>
            <wp:extent cx="5373246" cy="2422089"/>
            <wp:effectExtent b="0" l="0" r="0" t="0"/>
            <wp:docPr descr="" title="" id="105" name="Picture"/>
            <a:graphic>
              <a:graphicData uri="http://schemas.openxmlformats.org/drawingml/2006/picture">
                <pic:pic>
                  <pic:nvPicPr>
                    <pic:cNvPr descr="C:\Users\vgutierrez\Documents\src\victorgutierrezmarcos.github.io-revision\oposicion\temario\fuentes\3A17\graficos/tarifa-dos-partes.png" id="106" name="Picture"/>
                    <pic:cNvPicPr>
                      <a:picLocks noChangeArrowheads="1" noChangeAspect="1"/>
                    </pic:cNvPicPr>
                  </pic:nvPicPr>
                  <pic:blipFill>
                    <a:blip r:embed="rId104"/>
                    <a:stretch>
                      <a:fillRect/>
                    </a:stretch>
                  </pic:blipFill>
                  <pic:spPr bwMode="auto">
                    <a:xfrm>
                      <a:off x="0" y="0"/>
                      <a:ext cx="5373246" cy="2422089"/>
                    </a:xfrm>
                    <a:prstGeom prst="rect">
                      <a:avLst/>
                    </a:prstGeom>
                    <a:noFill/>
                    <a:ln w="9525">
                      <a:noFill/>
                      <a:headEnd/>
                      <a:tailEnd/>
                    </a:ln>
                  </pic:spPr>
                </pic:pic>
              </a:graphicData>
            </a:graphic>
          </wp:inline>
        </w:drawing>
      </w:r>
    </w:p>
    <w:bookmarkEnd w:id="107"/>
    <w:p>
      <w:pPr>
        <w:pStyle w:val="Piedeimagen"/>
      </w:pPr>
      <w:r>
        <w:t xml:space="preserve">Fuente: elaboración propia a partir de</w:t>
      </w:r>
      <w:r>
        <w:t xml:space="preserve"> </w:t>
      </w:r>
      <w:r>
        <w:rPr>
          <w:smallCaps/>
        </w:rPr>
        <w:t xml:space="preserve">Oi</w:t>
      </w:r>
      <w:r>
        <w:t xml:space="preserve"> </w:t>
      </w:r>
      <w:r>
        <w:t xml:space="preserve">(</w:t>
      </w:r>
      <w:hyperlink w:anchor="ref-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w:t>
        </w:r>
        <w:r>
          <w:rPr>
            <w:rStyle w:val="Hyperlink"/>
          </w:rPr>
          <w:t xml:space="preserve">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r>
        <w:rPr>
          <w:rStyle w:val="Referenciaatema"/>
        </w:rPr>
        <w:t xml:space="preserve">[ver tema 3.B.39]</w:t>
      </w:r>
      <w:r>
        <w:t xml:space="preserve">.</w:t>
      </w:r>
    </w:p>
    <w:bookmarkEnd w:id="108"/>
    <w:bookmarkStart w:id="109" w:name="d-evidencia-empírica-1"/>
    <w:p>
      <w:pPr>
        <w:pStyle w:val="Heading4"/>
      </w:pPr>
      <w:r>
        <w:t xml:space="preserve">d) Evidencia empírica</w:t>
      </w:r>
    </w:p>
    <w:p>
      <w:pPr>
        <w:numPr>
          <w:ilvl w:val="0"/>
          <w:numId w:val="1050"/>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Varian1989Price">
        <w:r>
          <w:rPr>
            <w:rStyle w:val="Hyperlink"/>
          </w:rPr>
          <w:t xml:space="preserve">1989</w:t>
        </w:r>
      </w:hyperlink>
      <w:r>
        <w:t xml:space="preserve">)</w:t>
      </w:r>
      <w:r>
        <w:t xml:space="preserve"> </w:t>
      </w:r>
      <w:r>
        <w:t xml:space="preserve">repasa los estudios empíricos.</w:t>
      </w:r>
    </w:p>
    <w:bookmarkEnd w:id="109"/>
    <w:bookmarkStart w:id="110" w:name="e-valoración-1"/>
    <w:p>
      <w:pPr>
        <w:pStyle w:val="Heading4"/>
      </w:pPr>
      <w:r>
        <w:t xml:space="preserve">e) Valoración</w:t>
      </w:r>
    </w:p>
    <w:p>
      <w:pPr>
        <w:numPr>
          <w:ilvl w:val="0"/>
          <w:numId w:val="1051"/>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A). Su límite es que el monopolista debe conocer la distribución de los tipos; cuando lo que observa es una característica del consumidor, pasamos a la discriminación de tercer grado.</w:t>
      </w:r>
    </w:p>
    <w:bookmarkEnd w:id="110"/>
    <w:bookmarkEnd w:id="111"/>
    <w:bookmarkStart w:id="124" w:name="discriminación-de-tercer-grado"/>
    <w:p>
      <w:pPr>
        <w:pStyle w:val="Heading3"/>
      </w:pPr>
      <w:r>
        <w:t xml:space="preserve">II.1.3.</w:t>
      </w:r>
      <w:r>
        <w:t xml:space="preserve"> </w:t>
      </w:r>
      <w:r>
        <w:t xml:space="preserve">Discriminación de tercer grado</w:t>
      </w:r>
    </w:p>
    <w:bookmarkStart w:id="113" w:name="a-idea-4"/>
    <w:p>
      <w:pPr>
        <w:pStyle w:val="Heading4"/>
      </w:pPr>
      <w:r>
        <w:t xml:space="preserve">a) Idea</w:t>
      </w:r>
    </w:p>
    <w:p>
      <w:pPr>
        <w:numPr>
          <w:ilvl w:val="0"/>
          <w:numId w:val="1052"/>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2"/>
        </w:numPr>
      </w:pPr>
      <w:r>
        <w:t xml:space="preserve">Además de la ausencia de reventa entre grupos, necesita poder separar la demanda en varios submercados y que sus elasticidades sean distintas.</w:t>
      </w:r>
      <w:r>
        <w:rPr>
          <w:rStyle w:val="FootnoteReference"/>
        </w:rPr>
        <w:footnoteReference w:id="112"/>
      </w:r>
    </w:p>
    <w:bookmarkEnd w:id="113"/>
    <w:bookmarkStart w:id="121" w:name="b-modelo-4"/>
    <w:p>
      <w:pPr>
        <w:pStyle w:val="Heading4"/>
      </w:pPr>
      <w:r>
        <w:t xml:space="preserve">b) Modelo</w:t>
      </w:r>
    </w:p>
    <w:bookmarkStart w:id="114" w:name="i-supuestos-4"/>
    <w:p>
      <w:pPr>
        <w:pStyle w:val="Heading5"/>
      </w:pPr>
      <w:r>
        <w:t xml:space="preserve">i) Supuestos</w:t>
      </w:r>
    </w:p>
    <w:p>
      <w:pPr>
        <w:numPr>
          <w:ilvl w:val="0"/>
          <w:numId w:val="1053"/>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14"/>
    <w:bookmarkStart w:id="119" w:name="ii-desarrollo-4"/>
    <w:p>
      <w:pPr>
        <w:pStyle w:val="Heading5"/>
      </w:pPr>
      <w:r>
        <w:t xml:space="preserve">ii) Desarrollo</w:t>
      </w:r>
    </w:p>
    <w:p>
      <w:pPr>
        <w:numPr>
          <w:ilvl w:val="0"/>
          <w:numId w:val="1054"/>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4"/>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4"/>
        </w:numPr>
      </w:pPr>
      <w:r>
        <w:rPr>
          <w:i/>
          <w:iCs/>
        </w:rPr>
        <w:t xml:space="preserve">Interpretación gráfica</w:t>
      </w:r>
      <w:r>
        <w:t xml:space="preserve"> </w:t>
      </w:r>
      <w:r>
        <w:t xml:space="preserve">(gráfico 6): el IMg agregado (suma horizontal de los IMg de los 2 grupos) corta al CMg y fija la producción total; la altura de ese corte da en cada mercado la cantidad y, en su demanda, el precio.</w:t>
      </w:r>
    </w:p>
    <w:bookmarkStart w:id="118" w:name="fig:tercer-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 title="" id="116" name="Picture"/>
            <a:graphic>
              <a:graphicData uri="http://schemas.openxmlformats.org/drawingml/2006/picture">
                <pic:pic>
                  <pic:nvPicPr>
                    <pic:cNvPr descr="C:\Users\vgutierrez\Documents\src\victorgutierrezmarcos.github.io-revision\oposicion\temario\fuentes\3A17\graficos/tercer-grado.png" id="117" name="Picture"/>
                    <pic:cNvPicPr>
                      <a:picLocks noChangeArrowheads="1" noChangeAspect="1"/>
                    </pic:cNvPicPr>
                  </pic:nvPicPr>
                  <pic:blipFill>
                    <a:blip r:embed="rId115"/>
                    <a:stretch>
                      <a:fillRect/>
                    </a:stretch>
                  </pic:blipFill>
                  <pic:spPr bwMode="auto">
                    <a:xfrm>
                      <a:off x="0" y="0"/>
                      <a:ext cx="5670550" cy="2309310"/>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w:t>
      </w:r>
    </w:p>
    <w:bookmarkEnd w:id="119"/>
    <w:bookmarkStart w:id="120" w:name="iii-implicaciones-4"/>
    <w:p>
      <w:pPr>
        <w:pStyle w:val="Heading5"/>
      </w:pPr>
      <w:r>
        <w:t xml:space="preserve">iii) Implicaciones</w:t>
      </w:r>
    </w:p>
    <w:p>
      <w:pPr>
        <w:numPr>
          <w:ilvl w:val="0"/>
          <w:numId w:val="1055"/>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5"/>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Schmalensee1981Output">
        <w:r>
          <w:rPr>
            <w:rStyle w:val="Hyperlink"/>
            <w:smallCaps/>
          </w:rPr>
          <w:t xml:space="preserve">Schmalensee</w:t>
        </w:r>
        <w:r>
          <w:rPr>
            <w:rStyle w:val="Hyperlink"/>
          </w:rPr>
          <w:t xml:space="preserve"> </w:t>
        </w:r>
        <w:r>
          <w:rPr>
            <w:rStyle w:val="Hyperlink"/>
          </w:rPr>
          <w:t xml:space="preserve">1981</w:t>
        </w:r>
      </w:hyperlink>
      <w:r>
        <w:t xml:space="preserve">;</w:t>
      </w:r>
      <w:r>
        <w:t xml:space="preserve"> </w:t>
      </w:r>
      <w:hyperlink w:anchor="ref-Varian1985Price">
        <w:r>
          <w:rPr>
            <w:rStyle w:val="Hyperlink"/>
            <w:smallCaps/>
          </w:rPr>
          <w:t xml:space="preserve">Varian</w:t>
        </w:r>
        <w:r>
          <w:rPr>
            <w:rStyle w:val="Hyperlink"/>
          </w:rPr>
          <w:t xml:space="preserve"> </w:t>
        </w:r>
        <w:r>
          <w:rPr>
            <w:rStyle w:val="Hyperlink"/>
          </w:rPr>
          <w:t xml:space="preserve">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Robinson1933Economics">
        <w:r>
          <w:rPr>
            <w:rStyle w:val="Hyperlink"/>
            <w:smallCaps/>
          </w:rPr>
          <w:t xml:space="preserve">Robinson</w:t>
        </w:r>
        <w:r>
          <w:rPr>
            <w:rStyle w:val="Hyperlink"/>
          </w:rPr>
          <w:t xml:space="preserve"> </w:t>
        </w:r>
        <w:r>
          <w:rPr>
            <w:rStyle w:val="Hyperlink"/>
          </w:rPr>
          <w:t xml:space="preserve">1933</w:t>
        </w:r>
      </w:hyperlink>
      <w:r>
        <w:t xml:space="preserve">)</w:t>
      </w:r>
      <w:r>
        <w:t xml:space="preserve">.</w:t>
      </w:r>
    </w:p>
    <w:p>
      <w:pPr>
        <w:numPr>
          <w:ilvl w:val="0"/>
          <w:numId w:val="1055"/>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20"/>
    <w:bookmarkEnd w:id="121"/>
    <w:bookmarkStart w:id="122" w:name="c-evidencia-empírica-1"/>
    <w:p>
      <w:pPr>
        <w:pStyle w:val="Heading4"/>
      </w:pPr>
      <w:r>
        <w:t xml:space="preserve">c) Evidencia empírica</w:t>
      </w:r>
    </w:p>
    <w:p>
      <w:pPr>
        <w:numPr>
          <w:ilvl w:val="0"/>
          <w:numId w:val="1056"/>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22"/>
    <w:bookmarkStart w:id="123" w:name="d-valoración-2"/>
    <w:p>
      <w:pPr>
        <w:pStyle w:val="Heading4"/>
      </w:pPr>
      <w:r>
        <w:t xml:space="preserve">d) Valoración</w:t>
      </w:r>
    </w:p>
    <w:p>
      <w:pPr>
        <w:numPr>
          <w:ilvl w:val="0"/>
          <w:numId w:val="1057"/>
        </w:numPr>
      </w:pPr>
      <w:r>
        <w:t xml:space="preserve">Es la forma de discriminación más frecuente y la más fácil de observar. Su efecto sobre el bienestar es ambiguo: la pregunta clave es si la discriminación abre mercados que con un precio uniforme no se atenderían.</w:t>
      </w:r>
    </w:p>
    <w:bookmarkEnd w:id="123"/>
    <w:bookmarkEnd w:id="124"/>
    <w:bookmarkStart w:id="132" w:name="X2e823c22d682e0bab4555cf5fb378746e2e1d51"/>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25" w:name="a-idea-5"/>
    <w:p>
      <w:pPr>
        <w:pStyle w:val="Heading4"/>
      </w:pPr>
      <w:r>
        <w:t xml:space="preserve">a) Idea</w:t>
      </w:r>
    </w:p>
    <w:p>
      <w:pPr>
        <w:numPr>
          <w:ilvl w:val="0"/>
          <w:numId w:val="1058"/>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25"/>
    <w:bookmarkStart w:id="130" w:name="b-modelo-5"/>
    <w:p>
      <w:pPr>
        <w:pStyle w:val="Heading4"/>
      </w:pPr>
      <w:r>
        <w:t xml:space="preserve">b) Modelo</w:t>
      </w:r>
    </w:p>
    <w:bookmarkStart w:id="126" w:name="i-supuestos-5"/>
    <w:p>
      <w:pPr>
        <w:pStyle w:val="Heading5"/>
      </w:pPr>
      <w:r>
        <w:t xml:space="preserve">i) Supuestos</w:t>
      </w:r>
    </w:p>
    <w:p>
      <w:pPr>
        <w:numPr>
          <w:ilvl w:val="0"/>
          <w:numId w:val="1059"/>
        </w:numPr>
      </w:pPr>
      <w:r>
        <w:t xml:space="preserve">El bien es duradero: quien compra hoy no vuelve a comprar mañana.</w:t>
      </w:r>
    </w:p>
    <w:p>
      <w:pPr>
        <w:numPr>
          <w:ilvl w:val="0"/>
          <w:numId w:val="1059"/>
        </w:numPr>
      </w:pPr>
      <w:r>
        <w:t xml:space="preserve">El monopolista puede revisar el precio con frecuencia y no puede comprometerse a mantenerlo.</w:t>
      </w:r>
    </w:p>
    <w:p>
      <w:pPr>
        <w:numPr>
          <w:ilvl w:val="0"/>
          <w:numId w:val="1059"/>
        </w:numPr>
      </w:pPr>
      <w:r>
        <w:t xml:space="preserve">Los consumidores son pacientes y anticipan los precios futuros.</w:t>
      </w:r>
    </w:p>
    <w:bookmarkEnd w:id="126"/>
    <w:bookmarkStart w:id="128" w:name="ii-desarrollo-5"/>
    <w:p>
      <w:pPr>
        <w:pStyle w:val="Heading5"/>
      </w:pPr>
      <w:r>
        <w:t xml:space="preserve">ii) Desarrollo</w:t>
      </w:r>
    </w:p>
    <w:p>
      <w:pPr>
        <w:numPr>
          <w:ilvl w:val="0"/>
          <w:numId w:val="1060"/>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27"/>
      </w:r>
    </w:p>
    <w:bookmarkEnd w:id="128"/>
    <w:bookmarkStart w:id="129" w:name="iii-implicaciones-5"/>
    <w:p>
      <w:pPr>
        <w:pStyle w:val="Heading5"/>
      </w:pPr>
      <w:r>
        <w:t xml:space="preserve">iii) Implicaciones</w:t>
      </w:r>
    </w:p>
    <w:p>
      <w:pPr>
        <w:numPr>
          <w:ilvl w:val="0"/>
          <w:numId w:val="1061"/>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Bulow1982Durable">
        <w:r>
          <w:rPr>
            <w:rStyle w:val="Hyperlink"/>
            <w:smallCaps/>
          </w:rPr>
          <w:t xml:space="preserve">Bulow</w:t>
        </w:r>
        <w:r>
          <w:rPr>
            <w:rStyle w:val="Hyperlink"/>
          </w:rPr>
          <w:t xml:space="preserve"> </w:t>
        </w:r>
        <w:r>
          <w:rPr>
            <w:rStyle w:val="Hyperlink"/>
          </w:rPr>
          <w:t xml:space="preserve">1982</w:t>
        </w:r>
      </w:hyperlink>
      <w:r>
        <w:t xml:space="preserve">)</w:t>
      </w:r>
      <w:r>
        <w:t xml:space="preserve">.</w:t>
      </w:r>
    </w:p>
    <w:bookmarkEnd w:id="129"/>
    <w:bookmarkEnd w:id="130"/>
    <w:bookmarkStart w:id="131" w:name="c-evidencia-empírica-2"/>
    <w:p>
      <w:pPr>
        <w:pStyle w:val="Heading4"/>
      </w:pPr>
      <w:r>
        <w:t xml:space="preserve">c) Evidencia empírica</w:t>
      </w:r>
    </w:p>
    <w:p>
      <w:pPr>
        <w:numPr>
          <w:ilvl w:val="0"/>
          <w:numId w:val="1062"/>
        </w:numPr>
      </w:pPr>
      <w:r>
        <w:t xml:space="preserve">El precio de lanzamiento de los teléfonos y las consolas, que baja a los pocos meses, y las primeras ediciones en tapa dura de los libros.</w:t>
      </w:r>
    </w:p>
    <w:bookmarkEnd w:id="131"/>
    <w:bookmarkEnd w:id="132"/>
    <w:bookmarkStart w:id="133" w:name="X16bdb5ba12bdb1e787ec8112c90be55612fe532"/>
    <w:p>
      <w:pPr>
        <w:pStyle w:val="Heading3"/>
      </w:pPr>
      <w:r>
        <w:t xml:space="preserve">II.1.5.</w:t>
      </w:r>
      <w:r>
        <w:t xml:space="preserve"> </w:t>
      </w:r>
      <w:r>
        <w:t xml:space="preserve">Eficiencia y bienestar de la discriminación</w:t>
      </w:r>
    </w:p>
    <w:p>
      <w:pPr>
        <w:numPr>
          <w:ilvl w:val="0"/>
          <w:numId w:val="1063"/>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3"/>
        </w:numPr>
      </w:pPr>
      <w:r>
        <w:t xml:space="preserve">Una vez levantado el supuesto de precio único, pasamos al de unos costes sin ventajas de tamaño: el monopolio que nace de la tecnología.</w:t>
      </w:r>
    </w:p>
    <w:bookmarkEnd w:id="133"/>
    <w:bookmarkEnd w:id="134"/>
    <w:bookmarkStart w:id="160" w:name="monopolio-natural"/>
    <w:p>
      <w:pPr>
        <w:pStyle w:val="Heading2"/>
      </w:pPr>
      <w:r>
        <w:t xml:space="preserve">II.2.</w:t>
      </w:r>
      <w:r>
        <w:t xml:space="preserve"> </w:t>
      </w:r>
      <w:r>
        <w:t xml:space="preserve">Monopolio natural</w:t>
      </w:r>
    </w:p>
    <w:p>
      <w:pPr>
        <w:numPr>
          <w:ilvl w:val="0"/>
          <w:numId w:val="1064"/>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43" w:name="monopolio-natural-uniproducto"/>
    <w:p>
      <w:pPr>
        <w:pStyle w:val="Heading3"/>
      </w:pPr>
      <w:r>
        <w:t xml:space="preserve">II.2.1.</w:t>
      </w:r>
      <w:r>
        <w:t xml:space="preserve"> </w:t>
      </w:r>
      <w:r>
        <w:t xml:space="preserve">Monopolio natural uniproducto</w:t>
      </w:r>
    </w:p>
    <w:bookmarkStart w:id="140" w:name="existencia-subaditividad-de-costes"/>
    <w:p>
      <w:pPr>
        <w:pStyle w:val="Heading4"/>
      </w:pPr>
      <w:r>
        <w:t xml:space="preserve">Existencia: subaditividad de costes</w:t>
      </w:r>
    </w:p>
    <w:p>
      <w:pPr>
        <w:numPr>
          <w:ilvl w:val="0"/>
          <w:numId w:val="106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 </w:t>
      </w:r>
      <w:r>
        <w:rPr>
          <w:rStyle w:val="Referenciaatema"/>
        </w:rPr>
        <w:t xml:space="preserve">[ver tema 3.A.12]</w:t>
      </w:r>
      <w:r>
        <w:t xml:space="preserve">.</w:t>
      </w:r>
    </w:p>
    <w:p>
      <w:pPr>
        <w:numPr>
          <w:ilvl w:val="0"/>
          <w:numId w:val="1065"/>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7,</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5"/>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35"/>
      </w:r>
    </w:p>
    <w:p>
      <w:pPr>
        <w:numPr>
          <w:ilvl w:val="0"/>
          <w:numId w:val="1065"/>
        </w:numPr>
      </w:pPr>
      <w:r>
        <w:t xml:space="preserve">Ejemplos: las redes (transporte y distribución de electricidad y de gas, abastecimiento de agua, vías férreas), no los servicios que circulan por ellas, que pueden prestarse en competencia.</w:t>
      </w:r>
    </w:p>
    <w:bookmarkStart w:id="139" w:name="fig:subaditividad-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 title="" id="137" name="Picture"/>
            <a:graphic>
              <a:graphicData uri="http://schemas.openxmlformats.org/drawingml/2006/picture">
                <pic:pic>
                  <pic:nvPicPr>
                    <pic:cNvPr descr="C:\Users\vgutierrez\Documents\src\victorgutierrezmarcos.github.io-revision\oposicion\temario\fuentes\3A17\graficos/subaditividad-sostenibilidad.png" id="138" name="Picture"/>
                    <pic:cNvPicPr>
                      <a:picLocks noChangeArrowheads="1" noChangeAspect="1"/>
                    </pic:cNvPicPr>
                  </pic:nvPicPr>
                  <pic:blipFill>
                    <a:blip r:embed="rId136"/>
                    <a:stretch>
                      <a:fillRect/>
                    </a:stretch>
                  </pic:blipFill>
                  <pic:spPr bwMode="auto">
                    <a:xfrm>
                      <a:off x="0" y="0"/>
                      <a:ext cx="3700780" cy="2575948"/>
                    </a:xfrm>
                    <a:prstGeom prst="rect">
                      <a:avLst/>
                    </a:prstGeom>
                    <a:noFill/>
                    <a:ln w="9525">
                      <a:noFill/>
                      <a:headEnd/>
                      <a:tailEnd/>
                    </a:ln>
                  </pic:spPr>
                </pic:pic>
              </a:graphicData>
            </a:graphic>
          </wp:inline>
        </w:drawing>
      </w:r>
    </w:p>
    <w:bookmarkEnd w:id="13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40"/>
    <w:bookmarkStart w:id="142" w:name="sostenibilidad"/>
    <w:p>
      <w:pPr>
        <w:pStyle w:val="Heading4"/>
      </w:pPr>
      <w:r>
        <w:t xml:space="preserve">Sostenibilidad</w:t>
      </w:r>
    </w:p>
    <w:p>
      <w:pPr>
        <w:numPr>
          <w:ilvl w:val="0"/>
          <w:numId w:val="1066"/>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 </w:t>
      </w:r>
      <w:hyperlink w:anchor="ref-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w:t>
      </w:r>
    </w:p>
    <w:p>
      <w:pPr>
        <w:keepNext/>
        <w:numPr>
          <w:ilvl w:val="0"/>
          <w:numId w:val="1066"/>
        </w:numPr>
      </w:pPr>
      <w:r>
        <w:t xml:space="preserve">Depende de dónde corte la demanda al coste medio (gráfico 7):</w:t>
      </w:r>
    </w:p>
    <w:p>
      <w:pPr>
        <w:numPr>
          <w:ilvl w:val="1"/>
          <w:numId w:val="1067"/>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67"/>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67"/>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r>
        <w:rPr>
          <w:rStyle w:val="FootnoteReference"/>
        </w:rPr>
        <w:footnoteReference w:id="141"/>
      </w:r>
    </w:p>
    <w:p>
      <w:pPr>
        <w:numPr>
          <w:ilvl w:val="0"/>
          <w:numId w:val="1066"/>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3.A.15]</w:t>
      </w:r>
      <w:r>
        <w:t xml:space="preserve">.</w:t>
      </w:r>
    </w:p>
    <w:bookmarkEnd w:id="142"/>
    <w:bookmarkEnd w:id="143"/>
    <w:bookmarkStart w:id="144" w:name="monopolio-natural-multiproducto"/>
    <w:p>
      <w:pPr>
        <w:pStyle w:val="Heading3"/>
      </w:pPr>
      <w:r>
        <w:t xml:space="preserve">II.2.2.</w:t>
      </w:r>
      <w:r>
        <w:t xml:space="preserve"> </w:t>
      </w:r>
      <w:r>
        <w:t xml:space="preserve">Monopolio natural multiproducto</w:t>
      </w:r>
    </w:p>
    <w:p>
      <w:pPr>
        <w:numPr>
          <w:ilvl w:val="0"/>
          <w:numId w:val="1068"/>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3.A.12]</w:t>
      </w:r>
      <w:r>
        <w:t xml:space="preserve">.</w:t>
      </w:r>
    </w:p>
    <w:p>
      <w:pPr>
        <w:keepNext/>
        <w:numPr>
          <w:ilvl w:val="0"/>
          <w:numId w:val="1068"/>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Faulhaber1975Cross">
        <w:r>
          <w:rPr>
            <w:rStyle w:val="Hyperlink"/>
            <w:smallCaps/>
          </w:rPr>
          <w:t xml:space="preserve">Faulhaber</w:t>
        </w:r>
        <w:r>
          <w:rPr>
            <w:rStyle w:val="Hyperlink"/>
          </w:rPr>
          <w:t xml:space="preserve"> </w:t>
        </w:r>
        <w:r>
          <w:rPr>
            <w:rStyle w:val="Hyperlink"/>
          </w:rPr>
          <w:t xml:space="preserve">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69"/>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69"/>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44"/>
    <w:bookmarkStart w:id="159" w:name="regulación-del-monopolio-natural"/>
    <w:p>
      <w:pPr>
        <w:pStyle w:val="Heading3"/>
      </w:pPr>
      <w:r>
        <w:t xml:space="preserve">II.2.3.</w:t>
      </w:r>
      <w:r>
        <w:t xml:space="preserve"> </w:t>
      </w:r>
      <w:r>
        <w:t xml:space="preserve">Regulación del monopolio natural</w:t>
      </w:r>
    </w:p>
    <w:bookmarkStart w:id="145" w:name="a-idea-6"/>
    <w:p>
      <w:pPr>
        <w:pStyle w:val="Heading4"/>
      </w:pPr>
      <w:r>
        <w:t xml:space="preserve">a) Idea</w:t>
      </w:r>
    </w:p>
    <w:p>
      <w:pPr>
        <w:numPr>
          <w:ilvl w:val="0"/>
          <w:numId w:val="1070"/>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45"/>
    <w:bookmarkStart w:id="157" w:name="b-modelo-6"/>
    <w:p>
      <w:pPr>
        <w:pStyle w:val="Heading4"/>
      </w:pPr>
      <w:r>
        <w:t xml:space="preserve">b) Modelo</w:t>
      </w:r>
    </w:p>
    <w:bookmarkStart w:id="146" w:name="i-supuestos-6"/>
    <w:p>
      <w:pPr>
        <w:pStyle w:val="Heading5"/>
      </w:pPr>
      <w:r>
        <w:t xml:space="preserve">i) Supuestos</w:t>
      </w:r>
    </w:p>
    <w:p>
      <w:pPr>
        <w:numPr>
          <w:ilvl w:val="0"/>
          <w:numId w:val="1071"/>
        </w:numPr>
      </w:pPr>
      <w:r>
        <w:t xml:space="preserve">Un regulador benevolente, que maximiza el excedente total, e informado: conoce los costes y la demanda. La regulación con información asimétrica y la teoría positiva de la regulación están en el anexo A</w:t>
      </w:r>
      <w:r>
        <w:t xml:space="preserve"> </w:t>
      </w:r>
      <w:r>
        <w:rPr>
          <w:rStyle w:val="Referenciaatema"/>
        </w:rPr>
        <w:t xml:space="preserve">[ver tema 3.A.20]</w:t>
      </w:r>
      <w:r>
        <w:t xml:space="preserve">.</w:t>
      </w:r>
    </w:p>
    <w:bookmarkEnd w:id="146"/>
    <w:bookmarkStart w:id="155" w:name="ii-desarrollo-6"/>
    <w:p>
      <w:pPr>
        <w:pStyle w:val="Heading5"/>
      </w:pPr>
      <w:r>
        <w:t xml:space="preserve">ii) Desarrollo</w:t>
      </w:r>
    </w:p>
    <w:p>
      <w:pPr>
        <w:keepNext/>
        <w:numPr>
          <w:ilvl w:val="0"/>
          <w:numId w:val="1072"/>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47"/>
      </w:r>
    </w:p>
    <w:p>
      <w:pPr>
        <w:numPr>
          <w:ilvl w:val="1"/>
          <w:numId w:val="1073"/>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Hotelling1938General">
        <w:r>
          <w:rPr>
            <w:rStyle w:val="Hyperlink"/>
            <w:smallCaps/>
          </w:rPr>
          <w:t xml:space="preserve">Hotelling</w:t>
        </w:r>
        <w:r>
          <w:rPr>
            <w:rStyle w:val="Hyperlink"/>
          </w:rPr>
          <w:t xml:space="preserve"> </w:t>
        </w:r>
        <w:r>
          <w:rPr>
            <w:rStyle w:val="Hyperlink"/>
          </w:rPr>
          <w:t xml:space="preserve">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8), que hay que cubrir con una subvención de suma fija. Es lo mismo que impide la competencia perfecta con rendimientos crecientes: una empresa precio-aceptante pierde dinero</w:t>
      </w:r>
      <w:r>
        <w:t xml:space="preserve"> </w:t>
      </w:r>
      <w:r>
        <w:rPr>
          <w:rStyle w:val="Referenciaatema"/>
        </w:rPr>
        <w:t xml:space="preserve">[ver tema 3.A.21]</w:t>
      </w:r>
      <w:r>
        <w:t xml:space="preserve">.</w:t>
      </w:r>
    </w:p>
    <w:p>
      <w:pPr>
        <w:numPr>
          <w:ilvl w:val="1"/>
          <w:numId w:val="1073"/>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48"/>
      </w:r>
    </w:p>
    <w:p>
      <w:pPr>
        <w:numPr>
          <w:ilvl w:val="1"/>
          <w:numId w:val="1073"/>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A).</w:t>
      </w:r>
    </w:p>
    <w:p>
      <w:pPr>
        <w:keepNext/>
        <w:numPr>
          <w:ilvl w:val="0"/>
          <w:numId w:val="1072"/>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4"/>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4"/>
        </w:numPr>
      </w:pPr>
      <w:r>
        <w:rPr>
          <w:i/>
          <w:iCs/>
        </w:rPr>
        <w:t xml:space="preserve">Tarifa en dos partes</w:t>
      </w:r>
      <w:r>
        <w:t xml:space="preserve"> </w:t>
      </w:r>
      <w:r>
        <w:t xml:space="preserve">(</w:t>
      </w:r>
      <w:hyperlink w:anchor="ref-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(II.1.2).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49"/>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o cobrar cuotas distintas según la capacidad de pago (por ejemplo, con bonos sociales), que es discriminar en la parte fija.</w:t>
      </w:r>
      <w:r>
        <w:rPr>
          <w:rStyle w:val="FootnoteReference"/>
        </w:rPr>
        <w:footnoteReference w:id="150"/>
      </w:r>
    </w:p>
    <w:p>
      <w:pPr>
        <w:numPr>
          <w:ilvl w:val="1"/>
          <w:numId w:val="1074"/>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El desarrollo y la aplicación a la factura eléctrica están en el anexo A.</w:t>
      </w:r>
    </w:p>
    <w:p>
      <w:pPr>
        <w:numPr>
          <w:ilvl w:val="1"/>
          <w:numId w:val="1074"/>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Ramsey1927Contribution">
        <w:r>
          <w:rPr>
            <w:rStyle w:val="Hyperlink"/>
            <w:smallCaps/>
          </w:rPr>
          <w:t xml:space="preserve">Ramsey</w:t>
        </w:r>
        <w:r>
          <w:rPr>
            <w:rStyle w:val="Hyperlink"/>
          </w:rPr>
          <w:t xml:space="preserve"> </w:t>
        </w:r>
        <w:r>
          <w:rPr>
            <w:rStyle w:val="Hyperlink"/>
          </w:rPr>
          <w:t xml:space="preserve">1927</w:t>
        </w:r>
      </w:hyperlink>
      <w:r>
        <w:t xml:space="preserve">;</w:t>
      </w:r>
      <w:r>
        <w:t xml:space="preserve"> </w:t>
      </w:r>
      <w:hyperlink w:anchor="ref-Boiteux1956Gestion">
        <w:r>
          <w:rPr>
            <w:rStyle w:val="Hyperlink"/>
            <w:smallCaps/>
          </w:rPr>
          <w:t xml:space="preserve">Boiteux</w:t>
        </w:r>
        <w:r>
          <w:rPr>
            <w:rStyle w:val="Hyperlink"/>
          </w:rPr>
          <w:t xml:space="preserve"> </w:t>
        </w:r>
        <w:r>
          <w:rPr>
            <w:rStyle w:val="Hyperlink"/>
          </w:rPr>
          <w:t xml:space="preserve">1956</w:t>
        </w:r>
      </w:hyperlink>
      <w:r>
        <w:t xml:space="preserve">)</w:t>
      </w:r>
      <w:r>
        <w:t xml:space="preserve"> </w:t>
      </w:r>
      <w:r>
        <w:t xml:space="preserve">(anexo B.5):</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54" w:name="fig:regulacion-monopolio-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 title="" id="152" name="Picture"/>
            <a:graphic>
              <a:graphicData uri="http://schemas.openxmlformats.org/drawingml/2006/picture">
                <pic:pic>
                  <pic:nvPicPr>
                    <pic:cNvPr descr="C:\Users\vgutierrez\Documents\src\victorgutierrezmarcos.github.io-revision\oposicion\temario\fuentes\3A17\graficos/regulacion-monopolio-natural.png" id="153" name="Picture"/>
                    <pic:cNvPicPr>
                      <a:picLocks noChangeArrowheads="1" noChangeAspect="1"/>
                    </pic:cNvPicPr>
                  </pic:nvPicPr>
                  <pic:blipFill>
                    <a:blip r:embed="rId151"/>
                    <a:stretch>
                      <a:fillRect/>
                    </a:stretch>
                  </pic:blipFill>
                  <pic:spPr bwMode="auto">
                    <a:xfrm>
                      <a:off x="0" y="0"/>
                      <a:ext cx="3581400" cy="2115264"/>
                    </a:xfrm>
                    <a:prstGeom prst="rect">
                      <a:avLst/>
                    </a:prstGeom>
                    <a:noFill/>
                    <a:ln w="9525">
                      <a:noFill/>
                      <a:headEnd/>
                      <a:tailEnd/>
                    </a:ln>
                  </pic:spPr>
                </pic:pic>
              </a:graphicData>
            </a:graphic>
          </wp:inline>
        </w:drawing>
      </w:r>
    </w:p>
    <w:bookmarkEnd w:id="154"/>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bookmarkEnd w:id="155"/>
    <w:bookmarkStart w:id="156" w:name="iii-implicaciones-6"/>
    <w:p>
      <w:pPr>
        <w:pStyle w:val="Heading5"/>
      </w:pPr>
      <w:r>
        <w:t xml:space="preserve">iii) Implicaciones</w:t>
      </w:r>
    </w:p>
    <w:p>
      <w:pPr>
        <w:numPr>
          <w:ilvl w:val="0"/>
          <w:numId w:val="1075"/>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5"/>
        </w:numPr>
      </w:pPr>
      <w:r>
        <w:t xml:space="preserve">Entre ambos extremos, el regulador recarga más los bienes de demanda menos elástica, como el monopolista que discrimina en tercer grado (II.1.3), porque ahí subir el precio distorsiona menos la cantidad, pero solo lo justo para cubrir costes. Es la misma regla de la elasticidad inversa de la imposición óptima</w:t>
      </w:r>
      <w:r>
        <w:t xml:space="preserve"> </w:t>
      </w:r>
      <w:r>
        <w:rPr>
          <w:rStyle w:val="Referenciaatema"/>
        </w:rPr>
        <w:t xml:space="preserve">[ver tema 4.B.11]</w:t>
      </w:r>
      <w:r>
        <w:t xml:space="preserve">.</w:t>
      </w:r>
    </w:p>
    <w:p>
      <w:pPr>
        <w:numPr>
          <w:ilvl w:val="0"/>
          <w:numId w:val="1075"/>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 cap. 3</w:t>
        </w:r>
      </w:hyperlink>
      <w:r>
        <w:t xml:space="preserve">)</w:t>
      </w:r>
      <w:r>
        <w:t xml:space="preserve">: por eso se usa la misma letra en los 2 casos. Con demandas dependientes aparecen las elasticidades cruzadas, como en el monopolio multiproducto (II.3.1).</w:t>
      </w:r>
    </w:p>
    <w:bookmarkEnd w:id="156"/>
    <w:bookmarkEnd w:id="157"/>
    <w:bookmarkStart w:id="158" w:name="c-valoración"/>
    <w:p>
      <w:pPr>
        <w:pStyle w:val="Heading4"/>
      </w:pPr>
      <w:r>
        <w:t xml:space="preserve">c) Valoración</w:t>
      </w:r>
    </w:p>
    <w:p>
      <w:pPr>
        <w:numPr>
          <w:ilvl w:val="0"/>
          <w:numId w:val="1076"/>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6"/>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A)</w:t>
      </w:r>
      <w:r>
        <w:t xml:space="preserve"> </w:t>
      </w:r>
      <w:r>
        <w:rPr>
          <w:rStyle w:val="Referenciaatema"/>
        </w:rPr>
        <w:t xml:space="preserve">[ver tema 3.A.20]</w:t>
      </w:r>
      <w:r>
        <w:t xml:space="preserve">.</w:t>
      </w:r>
    </w:p>
    <w:p>
      <w:pPr>
        <w:numPr>
          <w:ilvl w:val="0"/>
          <w:numId w:val="1076"/>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58"/>
    <w:bookmarkEnd w:id="159"/>
    <w:bookmarkEnd w:id="160"/>
    <w:bookmarkStart w:id="176" w:name="producción-conjunta"/>
    <w:p>
      <w:pPr>
        <w:pStyle w:val="Heading2"/>
      </w:pPr>
      <w:r>
        <w:t xml:space="preserve">II.3.</w:t>
      </w:r>
      <w:r>
        <w:t xml:space="preserve"> </w:t>
      </w:r>
      <w:r>
        <w:t xml:space="preserve">Producción conjunta</w:t>
      </w:r>
    </w:p>
    <w:p>
      <w:pPr>
        <w:numPr>
          <w:ilvl w:val="0"/>
          <w:numId w:val="1077"/>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63" w:name="monopolio-multiproducto"/>
    <w:p>
      <w:pPr>
        <w:pStyle w:val="Heading3"/>
      </w:pPr>
      <w:r>
        <w:t xml:space="preserve">II.3.1.</w:t>
      </w:r>
      <w:r>
        <w:t xml:space="preserve"> </w:t>
      </w:r>
      <w:r>
        <w:t xml:space="preserve">Monopolio multiproducto</w:t>
      </w:r>
    </w:p>
    <w:p>
      <w:pPr>
        <w:keepNext/>
        <w:numPr>
          <w:ilvl w:val="0"/>
          <w:numId w:val="1078"/>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79"/>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79"/>
        </w:numPr>
      </w:pPr>
      <w:r>
        <w:rPr>
          <w:i/>
          <w:iCs/>
        </w:rPr>
        <w:t xml:space="preserve">Demandas dependientes y costes separables</w:t>
      </w:r>
      <w:r>
        <w:t xml:space="preserve">: el margen de cada bien tiene en cuenta lo que su precio hace vender de los demás (anexo B.4):</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0"/>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61"/>
      </w:r>
    </w:p>
    <w:p>
      <w:pPr>
        <w:numPr>
          <w:ilvl w:val="2"/>
          <w:numId w:val="1080"/>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(III.2).</w:t>
      </w:r>
    </w:p>
    <w:p>
      <w:pPr>
        <w:numPr>
          <w:ilvl w:val="1"/>
          <w:numId w:val="1079"/>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r>
        <w:rPr>
          <w:rStyle w:val="Referenciaatema"/>
        </w:rPr>
        <w:t xml:space="preserve">[ver tema 3.A.12]</w:t>
      </w:r>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62"/>
      </w:r>
    </w:p>
    <w:p>
      <w:pPr>
        <w:numPr>
          <w:ilvl w:val="1"/>
          <w:numId w:val="1079"/>
        </w:numPr>
      </w:pPr>
      <w:r>
        <w:rPr>
          <w:i/>
          <w:iCs/>
        </w:rPr>
        <w:t xml:space="preserve">Demandas dependientes y costes no separables</w:t>
      </w:r>
      <w:r>
        <w:t xml:space="preserve">: se combinan los 2 efectos anteriores; los márgenes de (17)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78"/>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Faulhaber1975Cross">
        <w:r>
          <w:rPr>
            <w:rStyle w:val="Hyperlink"/>
          </w:rPr>
          <w:t xml:space="preserve">1975</w:t>
        </w:r>
      </w:hyperlink>
      <w:r>
        <w:t xml:space="preserve">)</w:t>
      </w:r>
      <w:r>
        <w:t xml:space="preserve"> </w:t>
      </w:r>
      <w:r>
        <w:t xml:space="preserve">(II.2.2).</w:t>
      </w:r>
    </w:p>
    <w:bookmarkEnd w:id="163"/>
    <w:bookmarkStart w:id="173" w:name="X94b6760fef6b86d2ebb6796583d860b40928596"/>
    <w:p>
      <w:pPr>
        <w:pStyle w:val="Heading3"/>
      </w:pPr>
      <w:r>
        <w:t xml:space="preserve">II.3.2.</w:t>
      </w:r>
      <w:r>
        <w:t xml:space="preserve"> </w:t>
      </w:r>
      <w:r>
        <w:t xml:space="preserve">Producción conjunta en proporciones fijas</w:t>
      </w:r>
    </w:p>
    <w:bookmarkStart w:id="164" w:name="a-idea-7"/>
    <w:p>
      <w:pPr>
        <w:pStyle w:val="Heading4"/>
      </w:pPr>
      <w:r>
        <w:t xml:space="preserve">a) Idea</w:t>
      </w:r>
    </w:p>
    <w:p>
      <w:pPr>
        <w:numPr>
          <w:ilvl w:val="0"/>
          <w:numId w:val="1081"/>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Mill1848Principles">
        <w:r>
          <w:rPr>
            <w:rStyle w:val="Hyperlink"/>
          </w:rPr>
          <w:t xml:space="preserve">1848</w:t>
        </w:r>
      </w:hyperlink>
      <w:r>
        <w:t xml:space="preserve">)</w:t>
      </w:r>
      <w:r>
        <w:t xml:space="preserve">. No hay un coste propio de cada bien, sino del proceso.</w:t>
      </w:r>
    </w:p>
    <w:bookmarkEnd w:id="164"/>
    <w:bookmarkStart w:id="172" w:name="b-modelo-7"/>
    <w:p>
      <w:pPr>
        <w:pStyle w:val="Heading4"/>
      </w:pPr>
      <w:r>
        <w:t xml:space="preserve">b) Modelo</w:t>
      </w:r>
    </w:p>
    <w:bookmarkStart w:id="165" w:name="i-supuestos-7"/>
    <w:p>
      <w:pPr>
        <w:pStyle w:val="Heading5"/>
      </w:pPr>
      <w:r>
        <w:t xml:space="preserve">i) Supuestos</w:t>
      </w:r>
    </w:p>
    <w:p>
      <w:pPr>
        <w:numPr>
          <w:ilvl w:val="0"/>
          <w:numId w:val="1082"/>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082"/>
        </w:numPr>
      </w:pPr>
      <w:r>
        <w:t xml:space="preserve">El monopolista puede desechar lo que sobre de cada bien.</w:t>
      </w:r>
    </w:p>
    <w:bookmarkEnd w:id="165"/>
    <w:bookmarkStart w:id="170" w:name="ii-desarrollo-7"/>
    <w:p>
      <w:pPr>
        <w:pStyle w:val="Heading5"/>
      </w:pPr>
      <w:r>
        <w:t xml:space="preserve">ii) Desarrollo</w:t>
      </w:r>
    </w:p>
    <w:p>
      <w:pPr>
        <w:numPr>
          <w:ilvl w:val="0"/>
          <w:numId w:val="1083"/>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083"/>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3"/>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9).</w:t>
      </w:r>
    </w:p>
    <w:bookmarkStart w:id="169" w:name="fig:produccion-conjunta"/>
    <w:p>
      <w:pPr>
        <w:pStyle w:val="ImageCaption"/>
      </w:pPr>
      <w:r>
        <w:t xml:space="preserve">Gráfico 9.–</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 title="" id="167" name="Picture"/>
            <a:graphic>
              <a:graphicData uri="http://schemas.openxmlformats.org/drawingml/2006/picture">
                <pic:pic>
                  <pic:nvPicPr>
                    <pic:cNvPr descr="C:\Users\vgutierrez\Documents\src\victorgutierrezmarcos.github.io-revision\oposicion\temario\fuentes\3A17\graficos/produccion-conjunta.png" id="168" name="Picture"/>
                    <pic:cNvPicPr>
                      <a:picLocks noChangeArrowheads="1" noChangeAspect="1"/>
                    </pic:cNvPicPr>
                  </pic:nvPicPr>
                  <pic:blipFill>
                    <a:blip r:embed="rId166"/>
                    <a:stretch>
                      <a:fillRect/>
                    </a:stretch>
                  </pic:blipFill>
                  <pic:spPr bwMode="auto">
                    <a:xfrm>
                      <a:off x="0" y="0"/>
                      <a:ext cx="3293674" cy="2697327"/>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6)</w:t>
      </w:r>
      <w:r>
        <w:t xml:space="preserve">.</w:t>
      </w:r>
    </w:p>
    <w:bookmarkEnd w:id="170"/>
    <w:bookmarkStart w:id="171" w:name="iii-implicaciones-7"/>
    <w:p>
      <w:pPr>
        <w:pStyle w:val="Heading5"/>
      </w:pPr>
      <w:r>
        <w:t xml:space="preserve">iii) Implicaciones</w:t>
      </w:r>
    </w:p>
    <w:p>
      <w:pPr>
        <w:numPr>
          <w:ilvl w:val="0"/>
          <w:numId w:val="1084"/>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171"/>
    <w:bookmarkEnd w:id="172"/>
    <w:bookmarkEnd w:id="173"/>
    <w:bookmarkStart w:id="174" w:name="monopolio-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r>
        <w:rPr>
          <w:rStyle w:val="Referenciaatema"/>
        </w:rPr>
        <w:t xml:space="preserve">[ver tema 3.A.12]</w:t>
      </w:r>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r>
        <w:rPr>
          <w:rStyle w:val="Referenciaatema"/>
        </w:rPr>
        <w:t xml:space="preserve">[ver tema 3.A.19]</w:t>
      </w:r>
      <w:r>
        <w:t xml:space="preserve">.</w:t>
      </w:r>
    </w:p>
    <w:bookmarkEnd w:id="174"/>
    <w:bookmarkStart w:id="175" w:name="X3634f86983577b515af3d6c2518f44e75bf8480"/>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75"/>
    <w:bookmarkEnd w:id="176"/>
    <w:bookmarkEnd w:id="177"/>
    <w:bookmarkStart w:id="210" w:name="X1807aa30be8ec6061f719a837f8571982b7e4a6"/>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B.8)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195" w:name="monopsonio"/>
    <w:p>
      <w:pPr>
        <w:pStyle w:val="Heading2"/>
      </w:pPr>
      <w:r>
        <w:t xml:space="preserve">III.1.</w:t>
      </w:r>
      <w:r>
        <w:t xml:space="preserve"> </w:t>
      </w:r>
      <w:r>
        <w:t xml:space="preserve">Monopsonio</w:t>
      </w:r>
    </w:p>
    <w:bookmarkStart w:id="178" w:name="a-idea-8"/>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178"/>
    <w:bookmarkStart w:id="191" w:name="b-modelo-8"/>
    <w:p>
      <w:pPr>
        <w:pStyle w:val="Heading4"/>
      </w:pPr>
      <w:r>
        <w:t xml:space="preserve">b) Modelo</w:t>
      </w:r>
    </w:p>
    <w:bookmarkStart w:id="179" w:name="i-supuestos-8"/>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179"/>
    <w:bookmarkStart w:id="185" w:name="ii-desarrollo-8"/>
    <w:p>
      <w:pPr>
        <w:pStyle w:val="Heading5"/>
      </w:pPr>
      <w:r>
        <w:t xml:space="preserve">ii) Desarrollo</w:t>
      </w:r>
    </w:p>
    <w:p>
      <w:pPr>
        <w:numPr>
          <w:ilvl w:val="0"/>
          <w:numId w:val="1090"/>
        </w:numPr>
      </w:pPr>
      <w:r>
        <w:rPr>
          <w:i/>
          <w:iCs/>
        </w:rPr>
        <w:t xml:space="preserve">Problema del monopsonista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10):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r>
        <w:rPr>
          <w:rStyle w:val="Referenciaatema"/>
        </w:rPr>
        <w:t xml:space="preserve">[ver tema 3.A.12]</w:t>
      </w:r>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2).</w:t>
      </w:r>
    </w:p>
    <w:bookmarkStart w:id="183" w:name="fig:monopsonio"/>
    <w:p>
      <w:pPr>
        <w:pStyle w:val="ImageCaption"/>
      </w:pPr>
      <w:r>
        <w:t xml:space="preserve">Gráfico 10.–</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 title="" id="181" name="Picture"/>
            <a:graphic>
              <a:graphicData uri="http://schemas.openxmlformats.org/drawingml/2006/picture">
                <pic:pic>
                  <pic:nvPicPr>
                    <pic:cNvPr descr="C:\Users\vgutierrez\Documents\src\victorgutierrezmarcos.github.io-revision\oposicion\temario\fuentes\3A17\graficos/monopsonio.png" id="182" name="Picture"/>
                    <pic:cNvPicPr>
                      <a:picLocks noChangeArrowheads="1" noChangeAspect="1"/>
                    </pic:cNvPicPr>
                  </pic:nvPicPr>
                  <pic:blipFill>
                    <a:blip r:embed="rId180"/>
                    <a:stretch>
                      <a:fillRect/>
                    </a:stretch>
                  </pic:blipFill>
                  <pic:spPr bwMode="auto">
                    <a:xfrm>
                      <a:off x="0" y="0"/>
                      <a:ext cx="3568912" cy="2449613"/>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Manning2003Monopsony">
        <w:r>
          <w:rPr>
            <w:rStyle w:val="Hyperlink"/>
          </w:rPr>
          <w:t xml:space="preserve">2003</w:t>
        </w:r>
      </w:hyperlink>
      <w:r>
        <w:t xml:space="preserve">)</w:t>
      </w:r>
      <w:r>
        <w:t xml:space="preserve">.</w:t>
      </w:r>
    </w:p>
    <w:bookmarkStart w:id="184" w:name="tab:cuatro-casos"/>
    <w:p>
      <w:pPr>
        <w:pStyle w:val="TableCaption"/>
      </w:pPr>
      <w:r>
        <w:t xml:space="preserve">Tabla 2.–</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2.–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184"/>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(III.2) o por un salario mínimo superior al competitivo.</w:t>
      </w:r>
    </w:p>
    <w:bookmarkEnd w:id="185"/>
    <w:bookmarkStart w:id="190" w:name="iii-implicaciones-8"/>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11).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r>
        <w:rPr>
          <w:rStyle w:val="Referenciaatema"/>
        </w:rPr>
        <w:t xml:space="preserve">[ver tema 3.A.25]</w:t>
      </w:r>
      <w:r>
        <w:t xml:space="preserve">.</w:t>
      </w:r>
    </w:p>
    <w:bookmarkStart w:id="189" w:name="fig:salario-minimo"/>
    <w:p>
      <w:pPr>
        <w:pStyle w:val="ImageCaption"/>
      </w:pPr>
      <w:r>
        <w:t xml:space="preserve">Gráfico 11.–</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 title="" id="187" name="Picture"/>
            <a:graphic>
              <a:graphicData uri="http://schemas.openxmlformats.org/drawingml/2006/picture">
                <pic:pic>
                  <pic:nvPicPr>
                    <pic:cNvPr descr="C:\Users\vgutierrez\Documents\src\victorgutierrezmarcos.github.io-revision\oposicion\temario\fuentes\3A17\graficos/salario-minimo.png" id="188" name="Picture"/>
                    <pic:cNvPicPr>
                      <a:picLocks noChangeArrowheads="1" noChangeAspect="1"/>
                    </pic:cNvPicPr>
                  </pic:nvPicPr>
                  <pic:blipFill>
                    <a:blip r:embed="rId186"/>
                    <a:stretch>
                      <a:fillRect/>
                    </a:stretch>
                  </pic:blipFill>
                  <pic:spPr bwMode="auto">
                    <a:xfrm>
                      <a:off x="0" y="0"/>
                      <a:ext cx="3568912" cy="2633105"/>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Manning</w:t>
      </w:r>
      <w:r>
        <w:t xml:space="preserve"> </w:t>
      </w:r>
      <w:r>
        <w:t xml:space="preserve">(</w:t>
      </w:r>
      <w:hyperlink w:anchor="ref-Manning2003Monopsony">
        <w:r>
          <w:rPr>
            <w:rStyle w:val="Hyperlink"/>
          </w:rPr>
          <w:t xml:space="preserve">2003</w:t>
        </w:r>
      </w:hyperlink>
      <w:r>
        <w:t xml:space="preserve">)</w:t>
      </w:r>
      <w:r>
        <w:t xml:space="preserve">.</w:t>
      </w:r>
    </w:p>
    <w:bookmarkEnd w:id="190"/>
    <w:bookmarkEnd w:id="191"/>
    <w:bookmarkStart w:id="192" w:name="c-extensiones-2"/>
    <w:p>
      <w:pPr>
        <w:pStyle w:val="Heading4"/>
      </w:pPr>
      <w:r>
        <w:t xml:space="preserve">c) Extensiones</w:t>
      </w:r>
    </w:p>
    <w:p>
      <w:pPr>
        <w:numPr>
          <w:ilvl w:val="0"/>
          <w:numId w:val="1094"/>
        </w:numPr>
      </w:pPr>
      <w:r>
        <w:rPr>
          <w:i/>
          <w:iCs/>
        </w:rPr>
        <w:t xml:space="preserve">Monopsonio dinámico</w:t>
      </w:r>
      <w:r>
        <w:t xml:space="preserve"> </w:t>
      </w:r>
      <w:r>
        <w:t xml:space="preserve">(</w:t>
      </w:r>
      <w:hyperlink w:anchor="ref-Manning2003Monopsony">
        <w:r>
          <w:rPr>
            <w:rStyle w:val="Hyperlink"/>
            <w:smallCaps/>
          </w:rPr>
          <w:t xml:space="preserve">Manning</w:t>
        </w:r>
        <w:r>
          <w:rPr>
            <w:rStyle w:val="Hyperlink"/>
          </w:rPr>
          <w:t xml:space="preserve"> </w:t>
        </w:r>
        <w:r>
          <w:rPr>
            <w:rStyle w:val="Hyperlink"/>
          </w:rPr>
          <w:t xml:space="preserve">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r>
        <w:rPr>
          <w:rStyle w:val="Referenciaatema"/>
        </w:rPr>
        <w:t xml:space="preserve">[ver tema 3.B.39]</w:t>
      </w:r>
      <w:r>
        <w:t xml:space="preserve">.</w:t>
      </w:r>
    </w:p>
    <w:bookmarkEnd w:id="192"/>
    <w:bookmarkStart w:id="193" w:name="d-evidencia-empírica-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BOE2026SMI">
        <w:r>
          <w:rPr>
            <w:rStyle w:val="Hyperlink"/>
            <w:smallCaps/>
          </w:rPr>
          <w:t xml:space="preserve">Ministerio de Trabajo y Economía Social</w:t>
        </w:r>
        <w:r>
          <w:rPr>
            <w:rStyle w:val="Hyperlink"/>
          </w:rPr>
          <w:t xml:space="preserve"> </w:t>
        </w:r>
        <w:r>
          <w:rPr>
            <w:rStyle w:val="Hyperlink"/>
          </w:rPr>
          <w:t xml:space="preserve">2026</w:t>
        </w:r>
      </w:hyperlink>
      <w:r>
        <w:t xml:space="preserve">)</w:t>
      </w:r>
      <w:r>
        <w:t xml:space="preserve">.</w:t>
      </w:r>
    </w:p>
    <w:bookmarkEnd w:id="193"/>
    <w:bookmarkStart w:id="194" w:name="e-valoración-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194"/>
    <w:bookmarkEnd w:id="195"/>
    <w:bookmarkStart w:id="209" w:name="monopolio-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196" w:name="a-idea-9"/>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Fellner1947Prices">
        <w:r>
          <w:rPr>
            <w:rStyle w:val="Hyperlink"/>
            <w:smallCaps/>
          </w:rPr>
          <w:t xml:space="preserve">Fellner</w:t>
        </w:r>
        <w:r>
          <w:rPr>
            <w:rStyle w:val="Hyperlink"/>
          </w:rPr>
          <w:t xml:space="preserve"> </w:t>
        </w:r>
        <w:r>
          <w:rPr>
            <w:rStyle w:val="Hyperlink"/>
          </w:rPr>
          <w:t xml:space="preserve">1947</w:t>
        </w:r>
      </w:hyperlink>
      <w:r>
        <w:t xml:space="preserve">)</w:t>
      </w:r>
      <w:r>
        <w:t xml:space="preserve">. Es el mismo problema que</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r>
        <w:rPr>
          <w:rStyle w:val="Referenciaatema"/>
        </w:rPr>
        <w:t xml:space="preserve">[ver tema 3.A.21]</w:t>
      </w:r>
      <w:r>
        <w:t xml:space="preserve">.</w:t>
      </w:r>
    </w:p>
    <w:bookmarkEnd w:id="196"/>
    <w:bookmarkStart w:id="204" w:name="b-modelo-9"/>
    <w:p>
      <w:pPr>
        <w:pStyle w:val="Heading4"/>
      </w:pPr>
      <w:r>
        <w:t xml:space="preserve">b) Modelo</w:t>
      </w:r>
    </w:p>
    <w:bookmarkStart w:id="197" w:name="i-supuestos-9"/>
    <w:p>
      <w:pPr>
        <w:pStyle w:val="Heading5"/>
      </w:pPr>
      <w:r>
        <w:t xml:space="preserve">i) Supuestos</w:t>
      </w:r>
    </w:p>
    <w:p>
      <w:pPr>
        <w:numPr>
          <w:ilvl w:val="0"/>
          <w:numId w:val="1099"/>
        </w:numPr>
      </w:pPr>
      <w:r>
        <w:t xml:space="preserve">Los de III.1,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 III.1 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197"/>
    <w:bookmarkStart w:id="202" w:name="ii-desarrollo-9"/>
    <w:p>
      <w:pPr>
        <w:pStyle w:val="Heading5"/>
      </w:pPr>
      <w:r>
        <w:t xml:space="preserve">ii) Desarrollo</w:t>
      </w:r>
    </w:p>
    <w:p>
      <w:pPr>
        <w:keepNext/>
        <w:numPr>
          <w:ilvl w:val="0"/>
          <w:numId w:val="1100"/>
        </w:numPr>
      </w:pPr>
      <w:r>
        <w:rPr>
          <w:i/>
          <w:iCs/>
        </w:rPr>
        <w:t xml:space="preserve">Los 2 extremos</w:t>
      </w:r>
      <w:r>
        <w:t xml:space="preserve">, por capas sobre el gráfico del monopsonio (gráfico 12):</w:t>
      </w:r>
    </w:p>
    <w:p>
      <w:pPr>
        <w:numPr>
          <w:ilvl w:val="1"/>
          <w:numId w:val="1101"/>
        </w:numPr>
      </w:pPr>
      <w:r>
        <w:rPr>
          <w:i/>
          <w:iCs/>
        </w:rPr>
        <w:t xml:space="preserve">si manda la empresa</w:t>
      </w:r>
      <w:r>
        <w:t xml:space="preserve">, es la solución de monopsonio de III.1:</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B.8)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w:t>
        </w:r>
        <w:r>
          <w:rPr>
            <w:rStyle w:val="Hyperlink"/>
          </w:rPr>
          <w:t xml:space="preserve">1986</w:t>
        </w:r>
      </w:hyperlink>
      <w:r>
        <w:t xml:space="preserve">)</w:t>
      </w:r>
      <w:r>
        <w:t xml:space="preserve"> </w:t>
      </w:r>
      <w:r>
        <w:rPr>
          <w:rStyle w:val="Referenciaatema"/>
        </w:rPr>
        <w:t xml:space="preserve">[ver tema 3.A.14]</w:t>
      </w:r>
      <w:r>
        <w:t xml:space="preserve">.</w:t>
      </w:r>
    </w:p>
    <w:bookmarkStart w:id="201" w:name="fig:monopolio-bilateral"/>
    <w:p>
      <w:pPr>
        <w:pStyle w:val="ImageCaption"/>
      </w:pPr>
      <w:r>
        <w:t xml:space="preserve">Gráfico 12.–</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 title="" id="199" name="Picture"/>
            <a:graphic>
              <a:graphicData uri="http://schemas.openxmlformats.org/drawingml/2006/picture">
                <pic:pic>
                  <pic:nvPicPr>
                    <pic:cNvPr descr="C:\Users\vgutierrez\Documents\src\victorgutierrezmarcos.github.io-revision\oposicion\temario\fuentes\3A17\graficos/monopolio-bilateral.png" id="200" name="Picture"/>
                    <pic:cNvPicPr>
                      <a:picLocks noChangeArrowheads="1" noChangeAspect="1"/>
                    </pic:cNvPicPr>
                  </pic:nvPicPr>
                  <pic:blipFill>
                    <a:blip r:embed="rId198"/>
                    <a:stretch>
                      <a:fillRect/>
                    </a:stretch>
                  </pic:blipFill>
                  <pic:spPr bwMode="auto">
                    <a:xfrm>
                      <a:off x="0" y="0"/>
                      <a:ext cx="3581400" cy="1972972"/>
                    </a:xfrm>
                    <a:prstGeom prst="rect">
                      <a:avLst/>
                    </a:prstGeom>
                    <a:noFill/>
                    <a:ln w="9525">
                      <a:noFill/>
                      <a:headEnd/>
                      <a:tailEnd/>
                    </a:ln>
                  </pic:spPr>
                </pic:pic>
              </a:graphicData>
            </a:graphic>
          </wp:inline>
        </w:drawing>
      </w:r>
    </w:p>
    <w:bookmarkEnd w:id="201"/>
    <w:p>
      <w:pPr>
        <w:pStyle w:val="Piedeimagen"/>
      </w:pPr>
      <w:r>
        <w:t xml:space="preserve">Fuente: elaboración propia a partir de</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w:t>
      </w:r>
    </w:p>
    <w:bookmarkEnd w:id="202"/>
    <w:bookmarkStart w:id="203" w:name="iii-implicaciones-9"/>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r>
        <w:rPr>
          <w:rStyle w:val="Referenciaatema"/>
        </w:rPr>
        <w:t xml:space="preserve">[ver tema 3.A.15]</w:t>
      </w:r>
      <w:r>
        <w:t xml:space="preserve">.</w:t>
      </w:r>
    </w:p>
    <w:bookmarkEnd w:id="203"/>
    <w:bookmarkEnd w:id="204"/>
    <w:bookmarkStart w:id="206" w:name="c-extensiones-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Spengler1950Vertical">
        <w:r>
          <w:rPr>
            <w:rStyle w:val="Hyperlink"/>
            <w:smallCaps/>
          </w:rPr>
          <w:t xml:space="preserve">Spengler</w:t>
        </w:r>
        <w:r>
          <w:rPr>
            <w:rStyle w:val="Hyperlink"/>
          </w:rPr>
          <w:t xml:space="preserve"> </w:t>
        </w:r>
        <w:r>
          <w:rPr>
            <w:rStyle w:val="Hyperlink"/>
          </w:rPr>
          <w:t xml:space="preserve">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05"/>
      </w:r>
      <w:r>
        <w:t xml:space="preserve"> </w:t>
      </w:r>
      <w:r>
        <w:t xml:space="preserve">La integración, o una tarifa en dos partes entre ellos (II.1.2), mejora a todos, incluidos los consumidores</w:t>
      </w:r>
      <w:r>
        <w:t xml:space="preserve"> </w:t>
      </w:r>
      <w:r>
        <w:rPr>
          <w:rStyle w:val="Referenciaatema"/>
        </w:rPr>
        <w:t xml:space="preserve">[ver tema 3.A.15]</w:t>
      </w:r>
      <w:r>
        <w:t xml:space="preserve">. Es la misma lógica que la de los bienes complementarios del monopolio multiproducto (II.3.1).</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McDonaldSolow1981Wage">
        <w:r>
          <w:rPr>
            <w:rStyle w:val="Hyperlink"/>
          </w:rPr>
          <w:t xml:space="preserve">1981</w:t>
        </w:r>
      </w:hyperlink>
      <w:r>
        <w:t xml:space="preserve">)</w:t>
      </w:r>
      <w:r>
        <w:t xml:space="preserve"> </w:t>
      </w:r>
      <w:r>
        <w:rPr>
          <w:rStyle w:val="Referenciaatema"/>
        </w:rPr>
        <w:t xml:space="preserve">[ver tema 3.A.27]</w:t>
      </w:r>
      <w:r>
        <w:t xml:space="preserve">.</w:t>
      </w:r>
    </w:p>
    <w:bookmarkEnd w:id="206"/>
    <w:bookmarkStart w:id="207" w:name="d-evidencia-empírica-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07"/>
    <w:bookmarkStart w:id="208" w:name="e-valoración-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08"/>
    <w:bookmarkEnd w:id="209"/>
    <w:bookmarkEnd w:id="210"/>
    <w:bookmarkStart w:id="211" w:name="conclusió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(I).</w:t>
      </w:r>
    </w:p>
    <w:p>
      <w:pPr>
        <w:numPr>
          <w:ilvl w:val="1"/>
          <w:numId w:val="1107"/>
        </w:numPr>
      </w:pPr>
      <w:r>
        <w:t xml:space="preserve">Los desarrollos adaptan esa misma regla y pueden cambiar el juicio de bienestar (II):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(III).</w:t>
      </w:r>
    </w:p>
    <w:p>
      <w:pPr>
        <w:numPr>
          <w:ilvl w:val="0"/>
          <w:numId w:val="1106"/>
        </w:numPr>
      </w:pPr>
      <w:r>
        <w:rPr>
          <w:b/>
          <w:bCs/>
          <w:i/>
          <w:iCs/>
        </w:rPr>
        <w:t xml:space="preserve">Relevancia</w:t>
      </w:r>
      <w:r>
        <w:t xml:space="preserve">: es la base teórica de la defensa de la competencia</w:t>
      </w:r>
      <w:r>
        <w:t xml:space="preserve"> </w:t>
      </w:r>
      <w:r>
        <w:rPr>
          <w:rStyle w:val="Referenciaatema"/>
        </w:rPr>
        <w:t xml:space="preserve">[ver tema 3.B.39]</w:t>
      </w:r>
      <w:r>
        <w:t xml:space="preserve">, de la regulación de las industrias de red</w:t>
      </w:r>
      <w:r>
        <w:t xml:space="preserve"> </w:t>
      </w:r>
      <w:r>
        <w:rPr>
          <w:rStyle w:val="Referenciaatema"/>
        </w:rPr>
        <w:t xml:space="preserve">[ver tema 3.A.20]</w:t>
      </w:r>
      <w:r>
        <w:t xml:space="preserve"> </w:t>
      </w:r>
      <w:r>
        <w:t xml:space="preserve">y del debate sobre el salario mínimo cuando el empleador tiene poder de mercado</w:t>
      </w:r>
      <w:r>
        <w:t xml:space="preserve"> </w:t>
      </w:r>
      <w:r>
        <w:rPr>
          <w:rStyle w:val="Referenciaatema"/>
        </w:rPr>
        <w:t xml:space="preserve">[ver tema 3.A.25]</w:t>
      </w:r>
      <w:r>
        <w:t xml:space="preserve">. El poder de mercado ha vuelto al centro del debate con la evidencia de márgenes crecientes</w:t>
      </w:r>
      <w:r>
        <w:t xml:space="preserve"> </w:t>
      </w:r>
      <w:r>
        <w:t xml:space="preserve">(</w:t>
      </w:r>
      <w:hyperlink w:anchor="ref-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w:t>
      </w:r>
      <w:r>
        <w:t xml:space="preserve">y de su relación con el estancamiento de los salarios</w:t>
      </w:r>
      <w:r>
        <w:t xml:space="preserve"> </w:t>
      </w:r>
      <w:r>
        <w:t xml:space="preserve">(</w:t>
      </w:r>
      <w:hyperlink w:anchor="ref-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r>
        <w:rPr>
          <w:rStyle w:val="Referenciaatema"/>
        </w:rPr>
        <w:t xml:space="preserve">[ver tema 3.A.18]</w:t>
      </w:r>
      <w:r>
        <w:t xml:space="preserve"> </w:t>
      </w:r>
      <w:r>
        <w:t xml:space="preserve">y el oligopolio</w:t>
      </w:r>
      <w:r>
        <w:t xml:space="preserve"> </w:t>
      </w:r>
      <w:r>
        <w:rPr>
          <w:rStyle w:val="Referenciaatema"/>
        </w:rPr>
        <w:t xml:space="preserve">[ver tema 3.A.19]</w:t>
      </w:r>
      <w:r>
        <w:t xml:space="preserve">; las barreras de entrada y la amenaza de entrada, que puede disciplinar al monopolista, en la teoría de la empresa</w:t>
      </w:r>
      <w:r>
        <w:t xml:space="preserve"> </w:t>
      </w:r>
      <w:r>
        <w:rPr>
          <w:rStyle w:val="Referenciaatema"/>
        </w:rPr>
        <w:t xml:space="preserve">[ver tema 3.A.15]</w:t>
      </w:r>
      <w:r>
        <w:t xml:space="preserve">; la regulación con información asimétrica y la definición del mercado relevante</w:t>
      </w:r>
      <w:r>
        <w:t xml:space="preserve"> </w:t>
      </w:r>
      <w:r>
        <w:rPr>
          <w:rStyle w:val="Referenciaatema"/>
        </w:rPr>
        <w:t xml:space="preserve">[ver tema 3.A.20]</w:t>
      </w:r>
      <w:r>
        <w:t xml:space="preserve">; los fallos del sector público</w:t>
      </w:r>
      <w:r>
        <w:t xml:space="preserve"> </w:t>
      </w:r>
      <w:r>
        <w:rPr>
          <w:rStyle w:val="Referenciaatema"/>
        </w:rPr>
        <w:t xml:space="preserve">[ver tema 3.A.23]</w:t>
      </w:r>
      <w:r>
        <w:t xml:space="preserve">; la negociación, en la teoría de juegos</w:t>
      </w:r>
      <w:r>
        <w:t xml:space="preserve"> </w:t>
      </w:r>
      <w:r>
        <w:rPr>
          <w:rStyle w:val="Referenciaatema"/>
        </w:rPr>
        <w:t xml:space="preserve">[ver tema 3.A.14]</w:t>
      </w:r>
      <w:r>
        <w:t xml:space="preserve">, y la negociación salarial</w:t>
      </w:r>
      <w:r>
        <w:t xml:space="preserve"> </w:t>
      </w:r>
      <w:r>
        <w:rPr>
          <w:rStyle w:val="Referenciaatema"/>
        </w:rPr>
        <w:t xml:space="preserve">[ver tema 3.A.27]</w:t>
      </w:r>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1"/>
    <w:bookmarkStart w:id="273" w:name="anexo: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r>
        <w:rPr>
          <w:rStyle w:val="Referenciaatema"/>
        </w:rPr>
        <w:t xml:space="preserve">[ver tema 3.A.20]</w:t>
      </w:r>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 II.2, para las preguntas del tribunal. En el cante basta la regulación básica de II.2.3 y una frase de remisión.</w:t>
      </w:r>
    </w:p>
    <w:bookmarkStart w:id="214" w:name="a.1.-idea-y-justificación"/>
    <w:p>
      <w:pPr>
        <w:pStyle w:val="Heading2"/>
      </w:pPr>
      <w:r>
        <w:t xml:space="preserve">A.1. Idea y justificación</w:t>
      </w:r>
    </w:p>
    <w:p>
      <w:pPr>
        <w:numPr>
          <w:ilvl w:val="0"/>
          <w:numId w:val="1108"/>
        </w:numPr>
      </w:pPr>
      <w:r>
        <w:t xml:space="preserve">El monopolio suele generar una ineficiencia respecto a la competencia perfecta (I.3),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(II.2).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(A.2);</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w:t>
        </w:r>
      </w:hyperlink>
      <w:r>
        <w:t xml:space="preserve">)</w:t>
      </w:r>
      <w:r>
        <w:t xml:space="preserve"> </w:t>
      </w:r>
      <w:r>
        <w:t xml:space="preserve">(A.3);</w:t>
      </w:r>
      <w:r>
        <w:rPr>
          <w:rStyle w:val="FootnoteReference"/>
        </w:rPr>
        <w:footnoteReference w:id="212"/>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(A.4).</w:t>
      </w:r>
      <w:r>
        <w:rPr>
          <w:rStyle w:val="FootnoteReference"/>
        </w:rPr>
        <w:footnoteReference w:id="213"/>
      </w:r>
    </w:p>
    <w:bookmarkEnd w:id="214"/>
    <w:bookmarkStart w:id="239" w:name="a.2.-teoría-tradicional-de-la-regulación"/>
    <w:p>
      <w:pPr>
        <w:pStyle w:val="Heading2"/>
      </w:pPr>
      <w:r>
        <w:t xml:space="preserve">A.2. Teoría tradicional de la regulación</w:t>
      </w:r>
    </w:p>
    <w:bookmarkStart w:id="215" w:name="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15"/>
    <w:bookmarkStart w:id="237" w:name="desarrollo-un-esquema-por-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13). Lo completamos con una rama para cuando el regulador no conoce los costes y la demanda.</w:t>
      </w:r>
    </w:p>
    <w:bookmarkStart w:id="219" w:name="fig:algoritmo-regulacion"/>
    <w:p>
      <w:pPr>
        <w:pStyle w:val="ImageCaption"/>
      </w:pPr>
      <w:r>
        <w:t xml:space="preserve">Gráfico 13.–</w:t>
      </w:r>
      <w:r>
        <w:t xml:space="preserve"> </w:t>
      </w:r>
      <w:r>
        <w:t xml:space="preserve">Esquema por etapas para la regulación del poder de mercado</w:t>
      </w:r>
    </w:p>
    <w:p>
      <w:pPr>
        <w:pStyle w:val="CaptionedFigure"/>
      </w:pPr>
      <w:r>
        <w:drawing>
          <wp:inline>
            <wp:extent cx="5372100" cy="3570181"/>
            <wp:effectExtent b="0" l="0" r="0" t="0"/>
            <wp:docPr descr="" title="" id="217" name="Picture"/>
            <a:graphic>
              <a:graphicData uri="http://schemas.openxmlformats.org/drawingml/2006/picture">
                <pic:pic>
                  <pic:nvPicPr>
                    <pic:cNvPr descr="C:\Users\vgutierrez\Documents\src\victorgutierrezmarcos.github.io-revision\oposicion\temario\fuentes\3A17\graficos/algoritmo-regulacion.png" id="218" name="Picture"/>
                    <pic:cNvPicPr>
                      <a:picLocks noChangeArrowheads="1" noChangeAspect="1"/>
                    </pic:cNvPicPr>
                  </pic:nvPicPr>
                  <pic:blipFill>
                    <a:blip r:embed="rId216"/>
                    <a:stretch>
                      <a:fillRect/>
                    </a:stretch>
                  </pic:blipFill>
                  <pic:spPr bwMode="auto">
                    <a:xfrm>
                      <a:off x="0" y="0"/>
                      <a:ext cx="5372100" cy="357018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bookmarkStart w:id="221" w:name="Xc8d6ce0cacea461e27c0c3638a68a122be98163"/>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20"/>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r>
        <w:rPr>
          <w:rStyle w:val="Referenciaatema"/>
        </w:rPr>
        <w:t xml:space="preserve">[ver tema 3.A.15]</w:t>
      </w:r>
      <w:r>
        <w:t xml:space="preserve">;</w:t>
      </w:r>
    </w:p>
    <w:p>
      <w:pPr>
        <w:numPr>
          <w:ilvl w:val="1"/>
          <w:numId w:val="1114"/>
        </w:numPr>
      </w:pPr>
      <w:r>
        <w:t xml:space="preserve">partir de la teoría de los mercados impugnables (contestables)</w:t>
      </w:r>
      <w:r>
        <w:t xml:space="preserve"> </w:t>
      </w:r>
      <w:r>
        <w:t xml:space="preserve">(</w:t>
      </w:r>
      <w:hyperlink w:anchor="ref-Baumol1982Contestable">
        <w:r>
          <w:rPr>
            <w:rStyle w:val="Hyperlink"/>
            <w:smallCaps/>
          </w:rPr>
          <w:t xml:space="preserve">Baumol</w:t>
        </w:r>
        <w:r>
          <w:rPr>
            <w:rStyle w:val="Hyperlink"/>
          </w:rPr>
          <w:t xml:space="preserve"> </w:t>
        </w:r>
        <w:r>
          <w:rPr>
            <w:rStyle w:val="Hyperlink"/>
          </w:rPr>
          <w:t xml:space="preserve">1982</w:t>
        </w:r>
      </w:hyperlink>
      <w:r>
        <w:t xml:space="preserve">)</w:t>
      </w:r>
      <w:r>
        <w:t xml:space="preserve"> </w:t>
      </w:r>
      <w:r>
        <w:rPr>
          <w:rStyle w:val="Referenciaatema"/>
        </w:rPr>
        <w:t xml:space="preserve">[ver tema 3.A.15]</w:t>
      </w:r>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(II.2). Lo primero es saber si es sostenible.</w:t>
      </w:r>
    </w:p>
    <w:bookmarkEnd w:id="221"/>
    <w:bookmarkStart w:id="226" w:name="Xe888ffe4a06e64d389ecfaa4234583b9bddfa9a"/>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22"/>
      </w:r>
    </w:p>
    <w:p>
      <w:pPr>
        <w:keepNext/>
        <w:numPr>
          <w:ilvl w:val="0"/>
          <w:numId w:val="1115"/>
        </w:numPr>
      </w:pPr>
      <w:r>
        <w:t xml:space="preserve">La idea de</w:t>
      </w:r>
      <w:r>
        <w:t xml:space="preserve"> </w:t>
      </w:r>
      <w:r>
        <w:rPr>
          <w:smallCaps/>
        </w:rPr>
        <w:t xml:space="preserve">Demsetz</w:t>
      </w:r>
      <w:r>
        <w:t xml:space="preserve"> </w:t>
      </w:r>
      <w:r>
        <w:t xml:space="preserve">(</w:t>
      </w:r>
      <w:hyperlink w:anchor="ref-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23"/>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24"/>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25"/>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26"/>
    <w:bookmarkStart w:id="236" w:name="X4a83bd2c3b674e7d5025a6ee0322b2d27cca73b"/>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(II.2.3).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14),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30" w:name="fig:pcmg-beneficios"/>
    <w:p>
      <w:pPr>
        <w:pStyle w:val="ImageCaption"/>
      </w:pPr>
      <w:r>
        <w:t xml:space="preserve">Gráfico 14.–</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 title="" id="228" name="Picture"/>
            <a:graphic>
              <a:graphicData uri="http://schemas.openxmlformats.org/drawingml/2006/picture">
                <pic:pic>
                  <pic:nvPicPr>
                    <pic:cNvPr descr="C:\Users\vgutierrez\Documents\src\victorgutierrezmarcos.github.io-revision\oposicion\temario\fuentes\3A17\graficos/pcmg-beneficios.png" id="229" name="Picture"/>
                    <pic:cNvPicPr>
                      <a:picLocks noChangeArrowheads="1" noChangeAspect="1"/>
                    </pic:cNvPicPr>
                  </pic:nvPicPr>
                  <pic:blipFill>
                    <a:blip r:embed="rId227"/>
                    <a:stretch>
                      <a:fillRect/>
                    </a:stretch>
                  </pic:blipFill>
                  <pic:spPr bwMode="auto">
                    <a:xfrm>
                      <a:off x="0" y="0"/>
                      <a:ext cx="2984500" cy="2282419"/>
                    </a:xfrm>
                    <a:prstGeom prst="rect">
                      <a:avLst/>
                    </a:prstGeom>
                    <a:noFill/>
                    <a:ln w="9525">
                      <a:noFill/>
                      <a:headEnd/>
                      <a:tailEnd/>
                    </a:ln>
                  </pic:spPr>
                </pic:pic>
              </a:graphicData>
            </a:graphic>
          </wp:inline>
        </w:drawing>
      </w:r>
    </w:p>
    <w:bookmarkEnd w:id="230"/>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(II.2.3).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(II.2.3).</w:t>
      </w:r>
    </w:p>
    <w:p>
      <w:pPr>
        <w:numPr>
          <w:ilvl w:val="1"/>
          <w:numId w:val="1119"/>
        </w:numPr>
      </w:pPr>
      <w:r>
        <w:rPr>
          <w:i/>
          <w:iCs/>
        </w:rPr>
        <w:t xml:space="preserve">Tarifas de punta y valle</w:t>
      </w:r>
      <w:r>
        <w:t xml:space="preserve"> </w:t>
      </w:r>
      <w:r>
        <w:t xml:space="preserve">(</w:t>
      </w:r>
      <w:hyperlink w:anchor="ref-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15).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31"/>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(II.2.3 y anexo B.5). Con demandas dependientes, además de la elasticidad propia cuentan las cruzadas, como en el monopolio multiproducto (II.3.1):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(II.2.2).</w:t>
      </w:r>
    </w:p>
    <w:bookmarkStart w:id="235" w:name="fig:pico-valle"/>
    <w:p>
      <w:pPr>
        <w:pStyle w:val="ImageCaption"/>
      </w:pPr>
      <w:r>
        <w:t xml:space="preserve">Gráfico 15.–</w:t>
      </w:r>
      <w:r>
        <w:t xml:space="preserve"> </w:t>
      </w:r>
      <w:r>
        <w:t xml:space="preserve">Tarifas de punta y valle con punta firme</w:t>
      </w:r>
    </w:p>
    <w:p>
      <w:pPr>
        <w:pStyle w:val="CaptionedFigure"/>
      </w:pPr>
      <w:r>
        <w:drawing>
          <wp:inline>
            <wp:extent cx="3266151" cy="2795189"/>
            <wp:effectExtent b="0" l="0" r="0" t="0"/>
            <wp:docPr descr="" title="" id="233" name="Picture"/>
            <a:graphic>
              <a:graphicData uri="http://schemas.openxmlformats.org/drawingml/2006/picture">
                <pic:pic>
                  <pic:nvPicPr>
                    <pic:cNvPr descr="C:\Users\vgutierrez\Documents\src\victorgutierrezmarcos.github.io-revision\oposicion\temario\fuentes\3A17\graficos/pico-valle.png" id="234" name="Picture"/>
                    <pic:cNvPicPr>
                      <a:picLocks noChangeArrowheads="1" noChangeAspect="1"/>
                    </pic:cNvPicPr>
                  </pic:nvPicPr>
                  <pic:blipFill>
                    <a:blip r:embed="rId232"/>
                    <a:stretch>
                      <a:fillRect/>
                    </a:stretch>
                  </pic:blipFill>
                  <pic:spPr bwMode="auto">
                    <a:xfrm>
                      <a:off x="0" y="0"/>
                      <a:ext cx="3266151" cy="2795189"/>
                    </a:xfrm>
                    <a:prstGeom prst="rect">
                      <a:avLst/>
                    </a:prstGeom>
                    <a:noFill/>
                    <a:ln w="9525">
                      <a:noFill/>
                      <a:headEnd/>
                      <a:tailEnd/>
                    </a:ln>
                  </pic:spPr>
                </pic:pic>
              </a:graphicData>
            </a:graphic>
          </wp:inline>
        </w:drawing>
      </w:r>
    </w:p>
    <w:bookmarkEnd w:id="235"/>
    <w:p>
      <w:pPr>
        <w:pStyle w:val="Piedeimagen"/>
      </w:pPr>
      <w:r>
        <w:t xml:space="preserve">Fuente: elaboración propia a partir de</w:t>
      </w:r>
      <w:r>
        <w:t xml:space="preserve"> </w:t>
      </w:r>
      <w:r>
        <w:rPr>
          <w:smallCaps/>
        </w:rPr>
        <w:t xml:space="preserve">Steiner</w:t>
      </w:r>
      <w:r>
        <w:t xml:space="preserve"> </w:t>
      </w:r>
      <w:r>
        <w:t xml:space="preserve">(</w:t>
      </w:r>
      <w:hyperlink w:anchor="ref-Steiner1957Peak">
        <w:r>
          <w:rPr>
            <w:rStyle w:val="Hyperlink"/>
          </w:rPr>
          <w:t xml:space="preserve">1957</w:t>
        </w:r>
      </w:hyperlink>
      <w:r>
        <w:t xml:space="preserve">)</w:t>
      </w:r>
      <w:r>
        <w:t xml:space="preserve">.</w:t>
      </w:r>
    </w:p>
    <w:bookmarkEnd w:id="236"/>
    <w:bookmarkEnd w:id="237"/>
    <w:bookmarkStart w:id="238" w:name="valoració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(A.3) y la teoría positiva, el segundo (A.4).</w:t>
      </w:r>
    </w:p>
    <w:bookmarkEnd w:id="238"/>
    <w:bookmarkEnd w:id="239"/>
    <w:bookmarkStart w:id="266" w:name="Xa25c442e239bb9b6127f28931b6aefd04ef570b"/>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r>
        <w:rPr>
          <w:rStyle w:val="Referenciaatema"/>
        </w:rPr>
        <w:t xml:space="preserve">[ver tema 3.A.13]</w:t>
      </w:r>
      <w:r>
        <w:t xml:space="preserve">.</w:t>
      </w:r>
    </w:p>
    <w:bookmarkStart w:id="244" w:name="X3b93804753a91a502c0f538db4f351f761e6748"/>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16),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w:t>
        </w:r>
        <w:r>
          <w:rPr>
            <w:rStyle w:val="Hyperlink"/>
          </w:rPr>
          <w:t xml:space="preserve">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B.9),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CNMC2019Circular2">
        <w:r>
          <w:rPr>
            <w:rStyle w:val="Hyperlink"/>
            <w:smallCaps/>
          </w:rPr>
          <w:t xml:space="preserve">Comisión Nacional de los Mercados y la Competencia</w:t>
        </w:r>
        <w:r>
          <w:rPr>
            <w:rStyle w:val="Hyperlink"/>
          </w:rPr>
          <w:t xml:space="preserve"> </w:t>
        </w:r>
        <w:r>
          <w:rPr>
            <w:rStyle w:val="Hyperlink"/>
          </w:rPr>
          <w:t xml:space="preserve">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CNMC2018TarifasAdif">
        <w:r>
          <w:rPr>
            <w:rStyle w:val="Hyperlink"/>
            <w:smallCaps/>
          </w:rPr>
          <w:t xml:space="preserve">Comisión Nacional de los Mercados y la Competencia</w:t>
        </w:r>
        <w:r>
          <w:rPr>
            <w:rStyle w:val="Hyperlink"/>
          </w:rPr>
          <w:t xml:space="preserve"> </w:t>
        </w:r>
        <w:r>
          <w:rPr>
            <w:rStyle w:val="Hyperlink"/>
          </w:rPr>
          <w:t xml:space="preserve">2018b</w:t>
        </w:r>
      </w:hyperlink>
      <w:r>
        <w:t xml:space="preserve">)</w:t>
      </w:r>
      <w:r>
        <w:t xml:space="preserve">: una regulación por coste del servicio, emparentada con la de tasa de rentabilidad.</w:t>
      </w:r>
    </w:p>
    <w:bookmarkStart w:id="243" w:name="fig:averch-johnson"/>
    <w:p>
      <w:pPr>
        <w:pStyle w:val="ImageCaption"/>
      </w:pPr>
      <w:r>
        <w:t xml:space="preserve">Gráfico 16.–</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 title="" id="241" name="Picture"/>
            <a:graphic>
              <a:graphicData uri="http://schemas.openxmlformats.org/drawingml/2006/picture">
                <pic:pic>
                  <pic:nvPicPr>
                    <pic:cNvPr descr="C:\Users\vgutierrez\Documents\src\victorgutierrezmarcos.github.io-revision\oposicion\temario\fuentes\3A17\graficos/averch-johnson.png" id="242" name="Picture"/>
                    <pic:cNvPicPr>
                      <a:picLocks noChangeArrowheads="1" noChangeAspect="1"/>
                    </pic:cNvPicPr>
                  </pic:nvPicPr>
                  <pic:blipFill>
                    <a:blip r:embed="rId240"/>
                    <a:stretch>
                      <a:fillRect/>
                    </a:stretch>
                  </pic:blipFill>
                  <pic:spPr bwMode="auto">
                    <a:xfrm>
                      <a:off x="0" y="0"/>
                      <a:ext cx="2908342" cy="2119328"/>
                    </a:xfrm>
                    <a:prstGeom prst="rect">
                      <a:avLst/>
                    </a:prstGeom>
                    <a:noFill/>
                    <a:ln w="9525">
                      <a:noFill/>
                      <a:headEnd/>
                      <a:tailEnd/>
                    </a:ln>
                  </pic:spPr>
                </pic:pic>
              </a:graphicData>
            </a:graphic>
          </wp:inline>
        </w:drawing>
      </w:r>
    </w:p>
    <w:bookmarkEnd w:id="243"/>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AverchJohnson1962Behavior">
        <w:r>
          <w:rPr>
            <w:rStyle w:val="Hyperlink"/>
          </w:rPr>
          <w:t xml:space="preserve">1962</w:t>
        </w:r>
      </w:hyperlink>
      <w:r>
        <w:t xml:space="preserve">)</w:t>
      </w:r>
      <w:r>
        <w:t xml:space="preserve">.</w:t>
      </w:r>
    </w:p>
    <w:bookmarkEnd w:id="244"/>
    <w:bookmarkStart w:id="246" w:name="precios-máximos-price-cap-mathrmipc-x"/>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45"/>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CNMC2018CuotaAbono">
        <w:r>
          <w:rPr>
            <w:rStyle w:val="Hyperlink"/>
            <w:smallCaps/>
          </w:rPr>
          <w:t xml:space="preserve">Comisión Nacional de los Mercados y la Competencia</w:t>
        </w:r>
        <w:r>
          <w:rPr>
            <w:rStyle w:val="Hyperlink"/>
          </w:rPr>
          <w:t xml:space="preserve"> </w:t>
        </w:r>
        <w:r>
          <w:rPr>
            <w:rStyle w:val="Hyperlink"/>
          </w:rPr>
          <w:t xml:space="preserve">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BOE2026DORA">
        <w:r>
          <w:rPr>
            <w:rStyle w:val="Hyperlink"/>
            <w:smallCaps/>
          </w:rPr>
          <w:t xml:space="preserve">Dirección General de Aviación Civil</w:t>
        </w:r>
        <w:r>
          <w:rPr>
            <w:rStyle w:val="Hyperlink"/>
          </w:rPr>
          <w:t xml:space="preserve"> </w:t>
        </w:r>
        <w:r>
          <w:rPr>
            <w:rStyle w:val="Hyperlink"/>
          </w:rPr>
          <w:t xml:space="preserve">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BOE2015Desindexacion">
        <w:r>
          <w:rPr>
            <w:rStyle w:val="Hyperlink"/>
            <w:smallCaps/>
          </w:rPr>
          <w:t xml:space="preserve">Jefatura del Estado</w:t>
        </w:r>
        <w:r>
          <w:rPr>
            <w:rStyle w:val="Hyperlink"/>
          </w:rPr>
          <w:t xml:space="preserve"> </w:t>
        </w:r>
        <w:r>
          <w:rPr>
            <w:rStyle w:val="Hyperlink"/>
          </w:rPr>
          <w:t xml:space="preserve">2015</w:t>
        </w:r>
      </w:hyperlink>
      <w:r>
        <w:t xml:space="preserve">;</w:t>
      </w:r>
      <w:r>
        <w:t xml:space="preserve"> </w:t>
      </w:r>
      <w:hyperlink w:anchor="ref-BOE2017RD55">
        <w:r>
          <w:rPr>
            <w:rStyle w:val="Hyperlink"/>
            <w:smallCaps/>
          </w:rPr>
          <w:t xml:space="preserve">Ministerio de Hacienda y Función Pública</w:t>
        </w:r>
        <w:r>
          <w:rPr>
            <w:rStyle w:val="Hyperlink"/>
          </w:rPr>
          <w:t xml:space="preserve"> </w:t>
        </w:r>
        <w:r>
          <w:rPr>
            <w:rStyle w:val="Hyperlink"/>
          </w:rPr>
          <w:t xml:space="preserve">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46"/>
    <w:bookmarkStart w:id="247" w:name="mecanismo-de-loeb-y-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w:t>
        </w:r>
        <w:r>
          <w:rPr>
            <w:rStyle w:val="Hyperlink"/>
          </w:rPr>
          <w:t xml:space="preserve">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47"/>
    <w:bookmarkStart w:id="255" w:name="menú-de-contratos-de-laffont-y-tirole"/>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48" w:name="a-idea-10"/>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bookmarkEnd w:id="248"/>
    <w:bookmarkStart w:id="254" w:name="b-modelo-10"/>
    <w:p>
      <w:pPr>
        <w:pStyle w:val="Heading4"/>
      </w:pPr>
      <w:r>
        <w:t xml:space="preserve">b) Modelo</w:t>
      </w:r>
    </w:p>
    <w:bookmarkStart w:id="250" w:name="i-supuestos-10"/>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49"/>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50"/>
    <w:bookmarkStart w:id="251" w:name="ii-desarrollo-10"/>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(II.1.2).</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51"/>
    <w:bookmarkStart w:id="253" w:name="iii-implicaciones-10"/>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r>
        <w:rPr>
          <w:rStyle w:val="Referenciaatema"/>
        </w:rPr>
        <w:t xml:space="preserve">[ver tema 3.A.13]</w:t>
      </w:r>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52"/>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53"/>
    <w:bookmarkEnd w:id="254"/>
    <w:bookmarkEnd w:id="255"/>
    <w:bookmarkStart w:id="256" w:name="efecto-trinquete-y-desfase-regulatorio"/>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Weitzman1980Ratchet">
        <w:r>
          <w:rPr>
            <w:rStyle w:val="Hyperlink"/>
            <w:smallCaps/>
          </w:rPr>
          <w:t xml:space="preserve">Weitzman</w:t>
        </w:r>
        <w:r>
          <w:rPr>
            <w:rStyle w:val="Hyperlink"/>
          </w:rPr>
          <w:t xml:space="preserve"> </w:t>
        </w:r>
        <w:r>
          <w:rPr>
            <w:rStyle w:val="Hyperlink"/>
          </w:rPr>
          <w:t xml:space="preserve">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1985</w:t>
        </w:r>
      </w:hyperlink>
      <w:r>
        <w:t xml:space="preserve">;</w:t>
      </w:r>
      <w:r>
        <w:t xml:space="preserve"> </w:t>
      </w:r>
      <w:hyperlink w:anchor="ref-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w:t>
        </w:r>
        <w:r>
          <w:rPr>
            <w:rStyle w:val="Hyperlink"/>
          </w:rPr>
          <w:t xml:space="preserve">1970</w:t>
        </w:r>
      </w:hyperlink>
      <w:r>
        <w:t xml:space="preserve">;</w:t>
      </w:r>
      <w:r>
        <w:t xml:space="preserve"> </w:t>
      </w:r>
      <w:hyperlink w:anchor="ref-Joskow1974Inflation">
        <w:r>
          <w:rPr>
            <w:rStyle w:val="Hyperlink"/>
            <w:smallCaps/>
          </w:rPr>
          <w:t xml:space="preserve">Joskow</w:t>
        </w:r>
        <w:r>
          <w:rPr>
            <w:rStyle w:val="Hyperlink"/>
          </w:rPr>
          <w:t xml:space="preserve"> </w:t>
        </w:r>
        <w:r>
          <w:rPr>
            <w:rStyle w:val="Hyperlink"/>
          </w:rPr>
          <w:t xml:space="preserve">1974</w:t>
        </w:r>
      </w:hyperlink>
      <w:r>
        <w:t xml:space="preserve">)</w:t>
      </w:r>
      <w:r>
        <w:t xml:space="preserve">.</w:t>
      </w:r>
    </w:p>
    <w:bookmarkEnd w:id="256"/>
    <w:bookmarkStart w:id="264" w:name="Xa3ad0aa96ceddbee81a10f19333ae911830fde2"/>
    <w:p>
      <w:pPr>
        <w:pStyle w:val="Heading3"/>
      </w:pPr>
      <w:r>
        <w:t xml:space="preserve">III.2.9.</w:t>
      </w:r>
      <w:r>
        <w:t xml:space="preserve"> </w:t>
      </w:r>
      <w:r>
        <w:t xml:space="preserve">Competencia por comparación (</w:t>
      </w:r>
      <w:r>
        <w:rPr>
          <w:i/>
          <w:iCs/>
        </w:rPr>
        <w:t xml:space="preserve">yardstick competition</w:t>
      </w:r>
      <w:r>
        <w:t xml:space="preserve">)</w:t>
      </w:r>
    </w:p>
    <w:bookmarkStart w:id="257" w:name="a-idea-11"/>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Shleifer1985Theory">
        <w:r>
          <w:rPr>
            <w:rStyle w:val="Hyperlink"/>
            <w:smallCaps/>
          </w:rPr>
          <w:t xml:space="preserve">Shleifer</w:t>
        </w:r>
        <w:r>
          <w:rPr>
            <w:rStyle w:val="Hyperlink"/>
          </w:rPr>
          <w:t xml:space="preserve"> </w:t>
        </w:r>
        <w:r>
          <w:rPr>
            <w:rStyle w:val="Hyperlink"/>
          </w:rPr>
          <w:t xml:space="preserve">1985</w:t>
        </w:r>
      </w:hyperlink>
      <w:r>
        <w:t xml:space="preserve">)</w:t>
      </w:r>
      <w:r>
        <w:t xml:space="preserve">. Así crea entre monopolios locales una competencia que no existe en el mercado, y resuelve el problema de la revelación de costes.</w:t>
      </w:r>
    </w:p>
    <w:bookmarkEnd w:id="257"/>
    <w:bookmarkStart w:id="261" w:name="b-modelo-11"/>
    <w:p>
      <w:pPr>
        <w:pStyle w:val="Heading4"/>
      </w:pPr>
      <w:r>
        <w:t xml:space="preserve">b) Modelo</w:t>
      </w:r>
    </w:p>
    <w:bookmarkStart w:id="258" w:name="i-supuestos-11"/>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58"/>
    <w:bookmarkStart w:id="259" w:name="ii-desarrollo-11"/>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59"/>
    <w:bookmarkStart w:id="260" w:name="iii-implicaciones-11"/>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60"/>
    <w:bookmarkEnd w:id="261"/>
    <w:bookmarkStart w:id="262" w:name="c-evidencia-empírica-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r>
        <w:rPr>
          <w:rStyle w:val="Referenciaatema"/>
        </w:rPr>
        <w:t xml:space="preserve">[ver tema 3.A.12]</w:t>
      </w:r>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bookmarkEnd w:id="262"/>
    <w:bookmarkStart w:id="263" w:name="d-valoración-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w:t>
        </w:r>
        <w:r>
          <w:rPr>
            <w:rStyle w:val="Hyperlink"/>
          </w:rPr>
          <w:t xml:space="preserve">2012</w:t>
        </w:r>
      </w:hyperlink>
      <w:r>
        <w:t xml:space="preserve">)</w:t>
      </w:r>
      <w:r>
        <w:t xml:space="preserve">.</w:t>
      </w:r>
    </w:p>
    <w:bookmarkEnd w:id="263"/>
    <w:bookmarkEnd w:id="264"/>
    <w:bookmarkStart w:id="265" w:name="X558562acf54499333bf84199f6734c1cda70052"/>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65"/>
    <w:bookmarkEnd w:id="266"/>
    <w:bookmarkStart w:id="270" w:name="a.4.-teoría-positiva-de-la-regulació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r>
        <w:rPr>
          <w:rStyle w:val="Referenciaatema"/>
        </w:rPr>
        <w:t xml:space="preserve">[ver tema 3.A.20]</w:t>
      </w:r>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67"/>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r>
        <w:rPr>
          <w:rStyle w:val="Referenciaatema"/>
        </w:rPr>
        <w:t xml:space="preserve">[ver tema 4.B.2]</w:t>
      </w:r>
      <w:r>
        <w:t xml:space="preserve">.</w:t>
      </w:r>
    </w:p>
    <w:p>
      <w:pPr>
        <w:numPr>
          <w:ilvl w:val="0"/>
          <w:numId w:val="1139"/>
        </w:numPr>
      </w:pPr>
      <w:r>
        <w:rPr>
          <w:smallCaps/>
        </w:rPr>
        <w:t xml:space="preserve">Peltzman</w:t>
      </w:r>
      <w:r>
        <w:t xml:space="preserve"> </w:t>
      </w:r>
      <w:r>
        <w:t xml:space="preserve">(</w:t>
      </w:r>
      <w:hyperlink w:anchor="ref-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 I.3.</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ProMarket2021Stigler">
        <w:r>
          <w:rPr>
            <w:rStyle w:val="Hyperlink"/>
            <w:smallCaps/>
          </w:rPr>
          <w:t xml:space="preserve">ProMarket (Stigler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68">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StiglerCenter2021Video">
        <w:r>
          <w:rPr>
            <w:rStyle w:val="Hyperlink"/>
            <w:smallCaps/>
          </w:rPr>
          <w:t xml:space="preserve">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69">
        <w:r>
          <w:rPr>
            <w:rStyle w:val="Hyperlink"/>
          </w:rPr>
          <w:t xml:space="preserve">https://www.youtube.com/watch?v=lhD5s-4v3oM</w:t>
        </w:r>
      </w:hyperlink>
    </w:p>
    <w:bookmarkEnd w:id="270"/>
    <w:bookmarkStart w:id="271" w:name="a.5.-instituciones-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(A.2);</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Ley3_2013CNMC">
        <w:r>
          <w:rPr>
            <w:rStyle w:val="Hyperlink"/>
            <w:smallCaps/>
          </w:rPr>
          <w:t xml:space="preserve">Jefatura del Estado</w:t>
        </w:r>
        <w:r>
          <w:rPr>
            <w:rStyle w:val="Hyperlink"/>
          </w:rPr>
          <w:t xml:space="preserve"> </w:t>
        </w:r>
        <w:r>
          <w:rPr>
            <w:rStyle w:val="Hyperlink"/>
          </w:rPr>
          <w:t xml:space="preserve">2013</w:t>
        </w:r>
      </w:hyperlink>
      <w:r>
        <w:t xml:space="preserve">)</w:t>
      </w:r>
      <w:r>
        <w:t xml:space="preserve"> </w:t>
      </w:r>
      <w:r>
        <w:rPr>
          <w:rStyle w:val="Referenciaatema"/>
        </w:rPr>
        <w:t xml:space="preserve">[ver tema 3.B.39]</w:t>
      </w:r>
      <w:r>
        <w:t xml:space="preserve">.</w:t>
      </w:r>
    </w:p>
    <w:bookmarkEnd w:id="271"/>
    <w:bookmarkStart w:id="272" w:name="a.6.-valoración"/>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r>
        <w:rPr>
          <w:rStyle w:val="Referenciaatema"/>
        </w:rPr>
        <w:t xml:space="preserve">[ver tema 3.A.23]</w:t>
      </w:r>
      <w:r>
        <w:t xml:space="preserve">.</w:t>
      </w:r>
    </w:p>
    <w:bookmarkEnd w:id="272"/>
    <w:bookmarkEnd w:id="273"/>
    <w:bookmarkStart w:id="291" w:name="anexo:derivaciones"/>
    <w:p>
      <w:pPr>
        <w:pStyle w:val="Heading1"/>
      </w:pPr>
      <w:r>
        <w:t xml:space="preserve">B. Anexo: derivaciones</w:t>
      </w:r>
    </w:p>
    <w:bookmarkStart w:id="278" w:name="anexo: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17,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w:t>
      </w:r>
      <m:oMath>
        <m:r>
          <m:rPr>
            <m:sty m:val="p"/>
          </m:rPr>
          <m:t>◼</m:t>
        </m:r>
      </m:oMath>
    </w:p>
    <w:bookmarkStart w:id="277" w:name="fig:cso-monopolio"/>
    <w:p>
      <w:pPr>
        <w:pStyle w:val="ImageCaption"/>
      </w:pPr>
      <w:r>
        <w:t xml:space="preserve">Gráfico 17.–</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 title="" id="275" name="Picture"/>
            <a:graphic>
              <a:graphicData uri="http://schemas.openxmlformats.org/drawingml/2006/picture">
                <pic:pic>
                  <pic:nvPicPr>
                    <pic:cNvPr descr="C:\Users\vgutierrez\Documents\src\victorgutierrezmarcos.github.io-revision\oposicion\temario\fuentes\3A17\graficos/cso-monopolio.png" id="276" name="Picture"/>
                    <pic:cNvPicPr>
                      <a:picLocks noChangeArrowheads="1" noChangeAspect="1"/>
                    </pic:cNvPicPr>
                  </pic:nvPicPr>
                  <pic:blipFill>
                    <a:blip r:embed="rId274"/>
                    <a:stretch>
                      <a:fillRect/>
                    </a:stretch>
                  </pic:blipFill>
                  <pic:spPr bwMode="auto">
                    <a:xfrm>
                      <a:off x="0" y="0"/>
                      <a:ext cx="4951216" cy="2223307"/>
                    </a:xfrm>
                    <a:prstGeom prst="rect">
                      <a:avLst/>
                    </a:prstGeom>
                    <a:noFill/>
                    <a:ln w="9525">
                      <a:noFill/>
                      <a:headEnd/>
                      <a:tailEnd/>
                    </a:ln>
                  </pic:spPr>
                </pic:pic>
              </a:graphicData>
            </a:graphic>
          </wp:inline>
        </w:drawing>
      </w:r>
    </w:p>
    <w:bookmarkEnd w:id="27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14</w:t>
        </w:r>
      </w:hyperlink>
      <w:r>
        <w:t xml:space="preserve">)</w:t>
      </w:r>
      <w:r>
        <w:t xml:space="preserve">.</w:t>
      </w:r>
    </w:p>
    <w:bookmarkEnd w:id="278"/>
    <w:bookmarkStart w:id="283" w:name="anexo: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18).</w:t>
      </w:r>
      <m:oMath>
        <m:r>
          <m:rPr>
            <m:sty m:val="p"/>
          </m:rPr>
          <m:t>◼</m:t>
        </m:r>
      </m:oMath>
    </w:p>
    <w:bookmarkStart w:id="282" w:name="fig:viabilidad-monopolio"/>
    <w:p>
      <w:pPr>
        <w:pStyle w:val="ImageCaption"/>
      </w:pPr>
      <w:r>
        <w:t xml:space="preserve">Gráfico 18.–</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 title="" id="280" name="Picture"/>
            <a:graphic>
              <a:graphicData uri="http://schemas.openxmlformats.org/drawingml/2006/picture">
                <pic:pic>
                  <pic:nvPicPr>
                    <pic:cNvPr descr="C:\Users\vgutierrez\Documents\src\victorgutierrezmarcos.github.io-revision\oposicion\temario\fuentes\3A17\graficos/viabilidad-monopolio.png" id="281" name="Picture"/>
                    <pic:cNvPicPr>
                      <a:picLocks noChangeArrowheads="1" noChangeAspect="1"/>
                    </pic:cNvPicPr>
                  </pic:nvPicPr>
                  <pic:blipFill>
                    <a:blip r:embed="rId279"/>
                    <a:stretch>
                      <a:fillRect/>
                    </a:stretch>
                  </pic:blipFill>
                  <pic:spPr bwMode="auto">
                    <a:xfrm>
                      <a:off x="0" y="0"/>
                      <a:ext cx="5073650" cy="2218904"/>
                    </a:xfrm>
                    <a:prstGeom prst="rect">
                      <a:avLst/>
                    </a:prstGeom>
                    <a:noFill/>
                    <a:ln w="9525">
                      <a:noFill/>
                      <a:headEnd/>
                      <a:tailEnd/>
                    </a:ln>
                  </pic:spPr>
                </pic:pic>
              </a:graphicData>
            </a:graphic>
          </wp:inline>
        </w:drawing>
      </w:r>
    </w:p>
    <w:bookmarkEnd w:id="282"/>
    <w:p>
      <w:pPr>
        <w:pStyle w:val="Piedeimagen"/>
      </w:pPr>
      <w:r>
        <w:t xml:space="preserve">Fuente: elaboración propia a partir de</w:t>
      </w:r>
      <w:r>
        <w:t xml:space="preserve"> </w:t>
      </w:r>
      <w:r>
        <w:rPr>
          <w:smallCaps/>
        </w:rPr>
        <w:t xml:space="preserve">Koutsoyiannis</w:t>
      </w:r>
      <w:r>
        <w:t xml:space="preserve"> </w:t>
      </w:r>
      <w:r>
        <w:t xml:space="preserve">(</w:t>
      </w:r>
      <w:hyperlink w:anchor="ref-Koutsoyiannis1979Modern">
        <w:r>
          <w:rPr>
            <w:rStyle w:val="Hyperlink"/>
          </w:rPr>
          <w:t xml:space="preserve">1979</w:t>
        </w:r>
      </w:hyperlink>
      <w:r>
        <w:t xml:space="preserve">)</w:t>
      </w:r>
      <w:r>
        <w:t xml:space="preserve">.</w:t>
      </w:r>
    </w:p>
    <w:bookmarkEnd w:id="283"/>
    <w:bookmarkStart w:id="284" w:name="anexo:segundo-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(6):</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w:t>
      </w:r>
      <m:oMath>
        <m:r>
          <m:rPr>
            <m:sty m:val="p"/>
          </m:rPr>
          <m:t>◼</m:t>
        </m:r>
      </m:oMath>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284"/>
    <w:bookmarkStart w:id="285" w:name="anexo: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(17).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w:t>
      </w:r>
      <m:oMath>
        <m:r>
          <m:rPr>
            <m:sty m:val="p"/>
          </m:rPr>
          <m:t>◼</m:t>
        </m:r>
      </m:oMath>
    </w:p>
    <w:bookmarkEnd w:id="285"/>
    <w:bookmarkStart w:id="286" w:name="anexo:ramsey"/>
    <w:p>
      <w:pPr>
        <w:pStyle w:val="Heading2"/>
      </w:pPr>
      <w:r>
        <w:t xml:space="preserve">B.5. Precios de</w:t>
      </w:r>
      <w:r>
        <w:t xml:space="preserve"> </w:t>
      </w:r>
      <w:r>
        <w:rPr>
          <w:smallCaps/>
        </w:rPr>
        <w:t xml:space="preserve">Ramsey</w:t>
      </w:r>
      <w:r>
        <w:t xml:space="preserve">-</w:t>
      </w:r>
      <w:r>
        <w:rPr>
          <w:smallCaps/>
        </w:rPr>
        <w:t xml:space="preserve">Boiteux</w:t>
      </w:r>
    </w:p>
    <w:p>
      <w:pPr>
        <w:numPr>
          <w:ilvl w:val="0"/>
          <w:numId w:val="1149"/>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49"/>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49"/>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m:oMath>
        <m:r>
          <m:rPr>
            <m:sty m:val="p"/>
          </m:rPr>
          <m:t>◼</m:t>
        </m:r>
      </m:oMath>
    </w:p>
    <w:p>
      <w:pPr>
        <w:numPr>
          <w:ilvl w:val="0"/>
          <w:numId w:val="1149"/>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286"/>
    <w:bookmarkStart w:id="287" w:name="anexo:sostenibilidad"/>
    <w:p>
      <w:pPr>
        <w:pStyle w:val="Heading2"/>
      </w:pPr>
      <w:r>
        <w:t xml:space="preserve">B.6. Sostenibilidad del monopolio natural con reacción del incumbente</w:t>
      </w:r>
    </w:p>
    <w:p>
      <w:pPr>
        <w:numPr>
          <w:ilvl w:val="0"/>
          <w:numId w:val="1150"/>
        </w:numPr>
      </w:pPr>
      <w:r>
        <w:t xml:space="preserve">En el gráfico 7,</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0"/>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0"/>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1"/>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1"/>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w:t>
      </w:r>
      <m:oMath>
        <m:r>
          <m:rPr>
            <m:sty m:val="p"/>
          </m:rPr>
          <m:t>◼</m:t>
        </m:r>
      </m:oMath>
    </w:p>
    <w:p>
      <w:pPr>
        <w:numPr>
          <w:ilvl w:val="0"/>
          <w:numId w:val="1150"/>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287"/>
    <w:bookmarkStart w:id="288" w:name="anexo:cuatro-casos"/>
    <w:p>
      <w:pPr>
        <w:pStyle w:val="Heading2"/>
      </w:pPr>
      <w:r>
        <w:t xml:space="preserve">B.7. Poder de mercado en el bien y en el trabajo: los 4 casos y el sindicato</w:t>
      </w:r>
    </w:p>
    <w:p>
      <w:pPr>
        <w:numPr>
          <w:ilvl w:val="0"/>
          <w:numId w:val="1152"/>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2"/>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2"/>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2. El IPMg queda por debajo del VPMg, porque vender más baja el precio de todas las unidades, y el GMg por encima de la oferta, porque contratar más sube el salario de todos. El salario lo da siempre la oferta de trabajo en la cantidad contratada.</w:t>
      </w:r>
      <m:oMath>
        <m:r>
          <m:rPr>
            <m:sty m:val="p"/>
          </m:rPr>
          <m:t>◼</m:t>
        </m:r>
      </m:oMath>
    </w:p>
    <w:p>
      <w:pPr>
        <w:numPr>
          <w:ilvl w:val="0"/>
          <w:numId w:val="1152"/>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(III.2).</w:t>
      </w:r>
      <m:oMath>
        <m:r>
          <m:rPr>
            <m:sty m:val="p"/>
          </m:rPr>
          <m:t>◼</m:t>
        </m:r>
      </m:oMath>
    </w:p>
    <w:bookmarkEnd w:id="288"/>
    <w:bookmarkStart w:id="289" w:name="anexo:nash"/>
    <w:p>
      <w:pPr>
        <w:pStyle w:val="Heading2"/>
      </w:pPr>
      <w:r>
        <w:t xml:space="preserve">B.8. Solución de</w:t>
      </w:r>
      <w:r>
        <w:t xml:space="preserve"> </w:t>
      </w:r>
      <w:r>
        <w:rPr>
          <w:smallCaps/>
        </w:rPr>
        <w:t xml:space="preserve">Nash</w:t>
      </w:r>
      <w:r>
        <w:t xml:space="preserve"> </w:t>
      </w:r>
      <w:r>
        <w:t xml:space="preserve">del monopolio bilateral</w:t>
      </w:r>
    </w:p>
    <w:p>
      <w:pPr>
        <w:numPr>
          <w:ilvl w:val="0"/>
          <w:numId w:val="1153"/>
        </w:numPr>
      </w:pPr>
      <w:r>
        <w:t xml:space="preserve">Tomando logaritmos en (22),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3"/>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3"/>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3"/>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w:t>
      </w:r>
      <m:oMath>
        <m:r>
          <m:rPr>
            <m:sty m:val="p"/>
          </m:rPr>
          <m:t>◼</m:t>
        </m:r>
      </m:oMath>
    </w:p>
    <w:bookmarkEnd w:id="289"/>
    <w:bookmarkStart w:id="290" w:name="anexo:aj"/>
    <w:p>
      <w:pPr>
        <w:pStyle w:val="Heading2"/>
      </w:pPr>
      <w:r>
        <w:t xml:space="preserve">B.9. Efecto</w:t>
      </w:r>
      <w:r>
        <w:t xml:space="preserve"> </w:t>
      </w:r>
      <w:r>
        <w:rPr>
          <w:smallCaps/>
        </w:rPr>
        <w:t xml:space="preserve">Averch</w:t>
      </w:r>
      <w:r>
        <w:t xml:space="preserve">-</w:t>
      </w:r>
      <w:r>
        <w:rPr>
          <w:smallCaps/>
        </w:rPr>
        <w:t xml:space="preserve">Johnson</w:t>
      </w:r>
    </w:p>
    <w:p>
      <w:pPr>
        <w:numPr>
          <w:ilvl w:val="0"/>
          <w:numId w:val="1154"/>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4"/>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4"/>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4"/>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w:t>
      </w:r>
      <m:oMath>
        <m:r>
          <m:rPr>
            <m:sty m:val="p"/>
          </m:rPr>
          <m:t>◼</m:t>
        </m:r>
      </m:oMath>
    </w:p>
    <w:bookmarkEnd w:id="290"/>
    <w:bookmarkEnd w:id="291"/>
    <w:bookmarkStart w:id="294" w:name="anexo: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292">
        <w:r>
          <w:rPr>
            <w:rStyle w:val="Hyperlink"/>
          </w:rPr>
          <w:t xml:space="preserve">simulador de test</w:t>
        </w:r>
      </w:hyperlink>
      <w:r>
        <w:t xml:space="preserve">.</w:t>
      </w:r>
    </w:p>
    <w:p>
      <w:pPr>
        <w:numPr>
          <w:ilvl w:val="0"/>
          <w:numId w:val="1155"/>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5"/>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5"/>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5"/>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5"/>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5"/>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5"/>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5"/>
        </w:numPr>
      </w:pPr>
      <w:r>
        <w:rPr>
          <w:i/>
          <w:iCs/>
        </w:rPr>
        <w:t xml:space="preserve">Primer grado</w:t>
      </w:r>
      <w:r>
        <w:t xml:space="preserve">: eficiente (la cantidad es la competitiva), excedente del consumidor nulo.</w:t>
      </w:r>
    </w:p>
    <w:p>
      <w:pPr>
        <w:numPr>
          <w:ilvl w:val="0"/>
          <w:numId w:val="1155"/>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5"/>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5"/>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5"/>
        </w:numPr>
      </w:pPr>
      <w:r>
        <w:rPr>
          <w:i/>
          <w:iCs/>
        </w:rPr>
        <w:t xml:space="preserve">Doble marginalización</w:t>
      </w:r>
      <w:r>
        <w:t xml:space="preserve">: con demanda lineal, la cadena separada vende la mitad que la integrada.</w:t>
      </w:r>
    </w:p>
    <w:p>
      <w:pPr>
        <w:numPr>
          <w:ilvl w:val="0"/>
          <w:numId w:val="1155"/>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293" w:name="preguntas-probables-del-tribunal"/>
    <w:p>
      <w:pPr>
        <w:pStyle w:val="Heading4"/>
      </w:pPr>
      <w:r>
        <w:t xml:space="preserve">Preguntas probables del tribunal</w:t>
      </w:r>
    </w:p>
    <w:p>
      <w:pPr>
        <w:numPr>
          <w:ilvl w:val="0"/>
          <w:numId w:val="1156"/>
        </w:numPr>
      </w:pPr>
      <w:r>
        <w:t xml:space="preserve">¿Por qué el monopolista no tiene curva de oferta? ¿Por qué nunca produce en el tramo inelástico?</w:t>
      </w:r>
    </w:p>
    <w:p>
      <w:pPr>
        <w:numPr>
          <w:ilvl w:val="0"/>
          <w:numId w:val="1156"/>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56"/>
        </w:numPr>
      </w:pPr>
      <w:r>
        <w:t xml:space="preserve">¿Es eficiente la discriminación de primer grado? ¿Cuándo aumenta el excedente total la de tercer grado?</w:t>
      </w:r>
    </w:p>
    <w:p>
      <w:pPr>
        <w:numPr>
          <w:ilvl w:val="0"/>
          <w:numId w:val="1156"/>
        </w:numPr>
      </w:pPr>
      <w:r>
        <w:t xml:space="preserve">¿Por qué en la discriminación de segundo grado se distorsiona la cantidad del tipo bajo y no la del alto?</w:t>
      </w:r>
    </w:p>
    <w:p>
      <w:pPr>
        <w:numPr>
          <w:ilvl w:val="0"/>
          <w:numId w:val="1156"/>
        </w:numPr>
      </w:pPr>
      <w:r>
        <w:t xml:space="preserve">¿Son las economías de escala necesarias para que haya monopolio natural? ¿Y las de alcance en el multiproducto?</w:t>
      </w:r>
    </w:p>
    <w:p>
      <w:pPr>
        <w:numPr>
          <w:ilvl w:val="0"/>
          <w:numId w:val="1156"/>
        </w:numPr>
      </w:pPr>
      <w:r>
        <w:t xml:space="preserve">¿Qué dice la conjetura de</w:t>
      </w:r>
      <w:r>
        <w:t xml:space="preserve"> </w:t>
      </w:r>
      <w:r>
        <w:rPr>
          <w:smallCaps/>
        </w:rPr>
        <w:t xml:space="preserve">Coase</w:t>
      </w:r>
      <w:r>
        <w:t xml:space="preserve">?</w:t>
      </w:r>
    </w:p>
    <w:p>
      <w:pPr>
        <w:numPr>
          <w:ilvl w:val="0"/>
          <w:numId w:val="1156"/>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56"/>
        </w:numPr>
      </w:pPr>
      <w:r>
        <w:t xml:space="preserve">¿Hay paro involuntario con monopsonio? ¿Por qué un salario mínimo puede aumentar el empleo?</w:t>
      </w:r>
    </w:p>
    <w:p>
      <w:pPr>
        <w:numPr>
          <w:ilvl w:val="0"/>
          <w:numId w:val="1156"/>
        </w:numPr>
      </w:pPr>
      <w:r>
        <w:t xml:space="preserve">En el monopolio bilateral, ¿depende la cantidad del poder de negociación?</w:t>
      </w:r>
    </w:p>
    <w:p>
      <w:pPr>
        <w:numPr>
          <w:ilvl w:val="0"/>
          <w:numId w:val="1156"/>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3"/>
    <w:bookmarkEnd w:id="294"/>
    <w:bookmarkStart w:id="486" w:name="bibliography"/>
    <w:p>
      <w:pPr>
        <w:pStyle w:val="Heading1"/>
      </w:pPr>
      <w:r>
        <w:t xml:space="preserve">Bibliografía</w:t>
      </w:r>
    </w:p>
    <w:bookmarkStart w:id="485" w:name="refs"/>
    <w:bookmarkStart w:id="296" w:name="ref-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295">
        <w:r>
          <w:rPr>
            <w:rStyle w:val="Hyperlink"/>
          </w:rPr>
          <w:t xml:space="preserve">https://doi.org/10.2307/1886045</w:t>
        </w:r>
      </w:hyperlink>
      <w:r>
        <w:t xml:space="preserve">.</w:t>
      </w:r>
    </w:p>
    <w:bookmarkEnd w:id="296"/>
    <w:bookmarkStart w:id="298" w:name="ref-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297">
        <w:r>
          <w:rPr>
            <w:rStyle w:val="Hyperlink"/>
          </w:rPr>
          <w:t xml:space="preserve">https://doi.org/10.1093/qje/120.2.701</w:t>
        </w:r>
      </w:hyperlink>
      <w:r>
        <w:t xml:space="preserve">.</w:t>
      </w:r>
    </w:p>
    <w:bookmarkEnd w:id="298"/>
    <w:bookmarkStart w:id="299" w:name="ref-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99"/>
    <w:bookmarkStart w:id="300" w:name="ref-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00"/>
    <w:bookmarkStart w:id="301" w:name="ref-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01"/>
    <w:bookmarkStart w:id="302"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02"/>
    <w:bookmarkStart w:id="304" w:name="ref-Baumol1982Contestable"/>
    <w:p>
      <w:pPr>
        <w:pStyle w:val="Bibliography"/>
      </w:pPr>
      <w:r>
        <w:t xml:space="preserve">———.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03">
        <w:r>
          <w:rPr>
            <w:rStyle w:val="Hyperlink"/>
          </w:rPr>
          <w:t xml:space="preserve">https://ideas.repec.org/a/aea/aecrev/v72y1982i1p1-15.html</w:t>
        </w:r>
      </w:hyperlink>
      <w:r>
        <w:t xml:space="preserve">.</w:t>
      </w:r>
    </w:p>
    <w:bookmarkEnd w:id="304"/>
    <w:bookmarkStart w:id="305" w:name="ref-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05"/>
    <w:bookmarkStart w:id="307" w:name="ref-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06">
        <w:r>
          <w:rPr>
            <w:rStyle w:val="Hyperlink"/>
          </w:rPr>
          <w:t xml:space="preserve">https://doi.org/10.2307/3003181</w:t>
        </w:r>
      </w:hyperlink>
      <w:r>
        <w:t xml:space="preserve">.</w:t>
      </w:r>
    </w:p>
    <w:bookmarkEnd w:id="307"/>
    <w:bookmarkStart w:id="308"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08"/>
    <w:bookmarkStart w:id="310" w:name="ref-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09">
        <w:r>
          <w:rPr>
            <w:rStyle w:val="Hyperlink"/>
          </w:rPr>
          <w:t xml:space="preserve">https://doi.org/10.2307/1886017</w:t>
        </w:r>
      </w:hyperlink>
      <w:r>
        <w:t xml:space="preserve">.</w:t>
      </w:r>
    </w:p>
    <w:bookmarkEnd w:id="310"/>
    <w:bookmarkStart w:id="312" w:name="ref-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11">
        <w:r>
          <w:rPr>
            <w:rStyle w:val="Hyperlink"/>
          </w:rPr>
          <w:t xml:space="preserve">https://doi.org/10.2307/2555382</w:t>
        </w:r>
      </w:hyperlink>
      <w:r>
        <w:t xml:space="preserve">.</w:t>
      </w:r>
    </w:p>
    <w:bookmarkEnd w:id="312"/>
    <w:bookmarkStart w:id="313" w:name="ref-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13"/>
    <w:bookmarkStart w:id="315" w:name="ref-Boiteux1956Gestion"/>
    <w:p>
      <w:pPr>
        <w:pStyle w:val="Bibliography"/>
      </w:pPr>
      <w:r>
        <w:t xml:space="preserve">———.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14">
        <w:r>
          <w:rPr>
            <w:rStyle w:val="Hyperlink"/>
          </w:rPr>
          <w:t xml:space="preserve">https://doi.org/10.2307/1905256</w:t>
        </w:r>
      </w:hyperlink>
      <w:r>
        <w:t xml:space="preserve">.</w:t>
      </w:r>
    </w:p>
    <w:bookmarkEnd w:id="315"/>
    <w:bookmarkStart w:id="317" w:name="ref-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16">
        <w:r>
          <w:rPr>
            <w:rStyle w:val="Hyperlink"/>
          </w:rPr>
          <w:t xml:space="preserve">https://doi.org/10.2307/2224123</w:t>
        </w:r>
      </w:hyperlink>
      <w:r>
        <w:t xml:space="preserve">.</w:t>
      </w:r>
    </w:p>
    <w:bookmarkEnd w:id="317"/>
    <w:bookmarkStart w:id="319" w:name="ref-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18">
        <w:r>
          <w:rPr>
            <w:rStyle w:val="Hyperlink"/>
          </w:rPr>
          <w:t xml:space="preserve">https://doi.org/10.1016/S1573-448X(89)02011-X</w:t>
        </w:r>
      </w:hyperlink>
      <w:r>
        <w:t xml:space="preserve">.</w:t>
      </w:r>
    </w:p>
    <w:bookmarkEnd w:id="319"/>
    <w:bookmarkStart w:id="321" w:name="ref-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20">
        <w:r>
          <w:rPr>
            <w:rStyle w:val="Hyperlink"/>
          </w:rPr>
          <w:t xml:space="preserve">https://doi.org/10.1086/261058</w:t>
        </w:r>
      </w:hyperlink>
      <w:r>
        <w:t xml:space="preserve">.</w:t>
      </w:r>
    </w:p>
    <w:bookmarkEnd w:id="321"/>
    <w:bookmarkStart w:id="323" w:name="ref-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22">
        <w:r>
          <w:rPr>
            <w:rStyle w:val="Hyperlink"/>
          </w:rPr>
          <w:t xml:space="preserve">https://doi.org/10.1086/261135</w:t>
        </w:r>
      </w:hyperlink>
      <w:r>
        <w:t xml:space="preserve">.</w:t>
      </w:r>
    </w:p>
    <w:bookmarkEnd w:id="323"/>
    <w:bookmarkStart w:id="325"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28">
        <w:r>
          <w:rPr>
            <w:rStyle w:val="Hyperlink"/>
          </w:rPr>
          <w:t xml:space="preserve">https://ideas.repec.org/a/aea/aecrev/v84y1994i4p772-93.html</w:t>
        </w:r>
      </w:hyperlink>
      <w:r>
        <w:t xml:space="preserve">.</w:t>
      </w:r>
    </w:p>
    <w:bookmarkEnd w:id="329"/>
    <w:bookmarkStart w:id="331" w:name="ref-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30">
        <w:r>
          <w:rPr>
            <w:rStyle w:val="Hyperlink"/>
          </w:rPr>
          <w:t xml:space="preserve">https://doi.org/10.2307/2549764</w:t>
        </w:r>
      </w:hyperlink>
      <w:r>
        <w:t xml:space="preserve">.</w:t>
      </w:r>
    </w:p>
    <w:bookmarkEnd w:id="331"/>
    <w:bookmarkStart w:id="333" w:name="ref-Coase1972Durability"/>
    <w:p>
      <w:pPr>
        <w:pStyle w:val="Bibliography"/>
      </w:pPr>
      <w:r>
        <w:t xml:space="preserve">———.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32">
        <w:r>
          <w:rPr>
            <w:rStyle w:val="Hyperlink"/>
          </w:rPr>
          <w:t xml:space="preserve">https://doi.org/10.1086/466731</w:t>
        </w:r>
      </w:hyperlink>
      <w:r>
        <w:t xml:space="preserve">.</w:t>
      </w:r>
    </w:p>
    <w:bookmarkEnd w:id="333"/>
    <w:bookmarkStart w:id="335" w:name="ref-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34">
        <w:r>
          <w:rPr>
            <w:rStyle w:val="Hyperlink"/>
          </w:rPr>
          <w:t xml:space="preserve">https://www.cnmc.es/sites/default/files/1972516_6.pdf</w:t>
        </w:r>
      </w:hyperlink>
      <w:r>
        <w:t xml:space="preserve">.</w:t>
      </w:r>
    </w:p>
    <w:bookmarkEnd w:id="335"/>
    <w:bookmarkStart w:id="337" w:name="ref-CNMC2018TarifasAdif"/>
    <w:p>
      <w:pPr>
        <w:pStyle w:val="Bibliography"/>
      </w:pPr>
      <w:r>
        <w:t xml:space="preserve">———.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36">
        <w:r>
          <w:rPr>
            <w:rStyle w:val="Hyperlink"/>
          </w:rPr>
          <w:t xml:space="preserve">https://www.cnmc.es/sites/default/files/2100627.pdf</w:t>
        </w:r>
      </w:hyperlink>
      <w:r>
        <w:t xml:space="preserve">.</w:t>
      </w:r>
    </w:p>
    <w:bookmarkEnd w:id="337"/>
    <w:bookmarkStart w:id="338" w:name="ref-CNMC2019Circular2"/>
    <w:p>
      <w:pPr>
        <w:pStyle w:val="Bibliography"/>
      </w:pPr>
      <w:r>
        <w:t xml:space="preserve">———.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38"/>
    <w:bookmarkStart w:id="340" w:name="ref-CNMC2020Circular3"/>
    <w:p>
      <w:pPr>
        <w:pStyle w:val="Bibliography"/>
      </w:pPr>
      <w:r>
        <w:t xml:space="preserve">———.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39">
        <w:r>
          <w:rPr>
            <w:rStyle w:val="Hyperlink"/>
          </w:rPr>
          <w:t xml:space="preserve">https://www.boe.es/buscar/act.php?id=BOE-A-2020-1066</w:t>
        </w:r>
      </w:hyperlink>
      <w:r>
        <w:t xml:space="preserve">.</w:t>
      </w:r>
    </w:p>
    <w:bookmarkEnd w:id="340"/>
    <w:bookmarkStart w:id="342" w:name="ref-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41">
        <w:r>
          <w:rPr>
            <w:rStyle w:val="Hyperlink"/>
          </w:rPr>
          <w:t xml:space="preserve">https://eur-lex.europa.eu/eli/reg/2004/139/oj?locale=es</w:t>
        </w:r>
      </w:hyperlink>
      <w:r>
        <w:t xml:space="preserve">.</w:t>
      </w:r>
    </w:p>
    <w:bookmarkEnd w:id="342"/>
    <w:bookmarkStart w:id="343"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43"/>
    <w:bookmarkStart w:id="345" w:name="ref-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44">
        <w:r>
          <w:rPr>
            <w:rStyle w:val="Hyperlink"/>
          </w:rPr>
          <w:t xml:space="preserve">https://doi.org/10.2307/2231975</w:t>
        </w:r>
      </w:hyperlink>
      <w:r>
        <w:t xml:space="preserve">.</w:t>
      </w:r>
    </w:p>
    <w:bookmarkEnd w:id="345"/>
    <w:bookmarkStart w:id="347" w:name="ref-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46">
        <w:r>
          <w:rPr>
            <w:rStyle w:val="Hyperlink"/>
          </w:rPr>
          <w:t xml:space="preserve">https://doi.org/10.1093/qje/qjz041</w:t>
        </w:r>
      </w:hyperlink>
      <w:r>
        <w:t xml:space="preserve">.</w:t>
      </w:r>
    </w:p>
    <w:bookmarkEnd w:id="347"/>
    <w:bookmarkStart w:id="349" w:name="ref-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48">
        <w:r>
          <w:rPr>
            <w:rStyle w:val="Hyperlink"/>
          </w:rPr>
          <w:t xml:space="preserve">https://doi.org/10.1093/jeea/jvac060</w:t>
        </w:r>
      </w:hyperlink>
      <w:r>
        <w:t xml:space="preserve">.</w:t>
      </w:r>
    </w:p>
    <w:bookmarkEnd w:id="349"/>
    <w:bookmarkStart w:id="351" w:name="ref-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50">
        <w:r>
          <w:rPr>
            <w:rStyle w:val="Hyperlink"/>
          </w:rPr>
          <w:t xml:space="preserve">https://doi.org/10.1086/466643</w:t>
        </w:r>
      </w:hyperlink>
      <w:r>
        <w:t xml:space="preserve">.</w:t>
      </w:r>
    </w:p>
    <w:bookmarkEnd w:id="351"/>
    <w:bookmarkStart w:id="353" w:name="ref-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52">
        <w:r>
          <w:rPr>
            <w:rStyle w:val="Hyperlink"/>
          </w:rPr>
          <w:t xml:space="preserve">https://doi.org/10.1111/j.1430-9134.1996.00149.x</w:t>
        </w:r>
      </w:hyperlink>
      <w:r>
        <w:t xml:space="preserve">.</w:t>
      </w:r>
    </w:p>
    <w:bookmarkEnd w:id="353"/>
    <w:bookmarkStart w:id="355" w:name="ref-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54">
        <w:r>
          <w:rPr>
            <w:rStyle w:val="Hyperlink"/>
          </w:rPr>
          <w:t xml:space="preserve">https://www.boe.es/diario_boe/txt.php?id=BOE-A-2026-19507</w:t>
        </w:r>
      </w:hyperlink>
      <w:r>
        <w:t xml:space="preserve">.</w:t>
      </w:r>
    </w:p>
    <w:bookmarkEnd w:id="355"/>
    <w:bookmarkStart w:id="356" w:name="ref-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56"/>
    <w:bookmarkStart w:id="35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57"/>
    <w:bookmarkStart w:id="358" w:name="ref-Dupuit1849Peages"/>
    <w:p>
      <w:pPr>
        <w:pStyle w:val="Bibliography"/>
      </w:pPr>
      <w:r>
        <w:t xml:space="preserve">———.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58"/>
    <w:bookmarkStart w:id="359"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59"/>
    <w:bookmarkStart w:id="361" w:name="ref-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60">
        <w:r>
          <w:rPr>
            <w:rStyle w:val="Hyperlink"/>
          </w:rPr>
          <w:t xml:space="preserve">https://doi.org/10.2307/1883013</w:t>
        </w:r>
      </w:hyperlink>
      <w:r>
        <w:t xml:space="preserve">.</w:t>
      </w:r>
    </w:p>
    <w:bookmarkEnd w:id="361"/>
    <w:bookmarkStart w:id="362"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62"/>
    <w:bookmarkStart w:id="364" w:name="ref-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63">
        <w:r>
          <w:rPr>
            <w:rStyle w:val="Hyperlink"/>
          </w:rPr>
          <w:t xml:space="preserve">https://ideas.repec.org/a/aea/aecrev/v65y1975i5p966-77.html</w:t>
        </w:r>
      </w:hyperlink>
      <w:r>
        <w:t xml:space="preserve">.</w:t>
      </w:r>
    </w:p>
    <w:bookmarkEnd w:id="364"/>
    <w:bookmarkStart w:id="366" w:name="ref-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365">
        <w:r>
          <w:rPr>
            <w:rStyle w:val="Hyperlink"/>
          </w:rPr>
          <w:t xml:space="preserve">https://doi.org/10.2307/1879566</w:t>
        </w:r>
      </w:hyperlink>
      <w:r>
        <w:t xml:space="preserve">.</w:t>
      </w:r>
    </w:p>
    <w:bookmarkEnd w:id="366"/>
    <w:bookmarkStart w:id="368" w:name="ref-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367">
        <w:r>
          <w:rPr>
            <w:rStyle w:val="Hyperlink"/>
          </w:rPr>
          <w:t xml:space="preserve">https://doi.org/10.2307/2297615</w:t>
        </w:r>
      </w:hyperlink>
      <w:r>
        <w:t xml:space="preserve">.</w:t>
      </w:r>
    </w:p>
    <w:bookmarkEnd w:id="368"/>
    <w:bookmarkStart w:id="369" w:name="ref-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369"/>
    <w:bookmarkStart w:id="371" w:name="ref-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370">
        <w:r>
          <w:rPr>
            <w:rStyle w:val="Hyperlink"/>
          </w:rPr>
          <w:t xml:space="preserve">https://doi.org/10.1016/0022-0531(86)90024-4</w:t>
        </w:r>
      </w:hyperlink>
      <w:r>
        <w:t xml:space="preserve">.</w:t>
      </w:r>
    </w:p>
    <w:bookmarkEnd w:id="371"/>
    <w:bookmarkStart w:id="372" w:name="ref-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372"/>
    <w:bookmarkStart w:id="374" w:name="ref-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73">
        <w:r>
          <w:rPr>
            <w:rStyle w:val="Hyperlink"/>
          </w:rPr>
          <w:t xml:space="preserve">https://doi.org/10.2307/1907343</w:t>
        </w:r>
      </w:hyperlink>
      <w:r>
        <w:t xml:space="preserve">.</w:t>
      </w:r>
    </w:p>
    <w:bookmarkEnd w:id="374"/>
    <w:bookmarkStart w:id="376" w:name="ref-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75">
        <w:r>
          <w:rPr>
            <w:rStyle w:val="Hyperlink"/>
          </w:rPr>
          <w:t xml:space="preserve">https://doi.org/10.2307/2224214</w:t>
        </w:r>
      </w:hyperlink>
      <w:r>
        <w:t xml:space="preserve">.</w:t>
      </w:r>
    </w:p>
    <w:bookmarkEnd w:id="376"/>
    <w:bookmarkStart w:id="378" w:name="ref-Hotelling1938General"/>
    <w:p>
      <w:pPr>
        <w:pStyle w:val="Bibliography"/>
      </w:pPr>
      <w:r>
        <w:t xml:space="preserve">———.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377">
        <w:r>
          <w:rPr>
            <w:rStyle w:val="Hyperlink"/>
          </w:rPr>
          <w:t xml:space="preserve">https://doi.org/10.2307/1907054</w:t>
        </w:r>
      </w:hyperlink>
      <w:r>
        <w:t xml:space="preserve">.</w:t>
      </w:r>
    </w:p>
    <w:bookmarkEnd w:id="378"/>
    <w:bookmarkStart w:id="379" w:name="ref-ICEXCECO3A17"/>
    <w:p>
      <w:pPr>
        <w:pStyle w:val="Bibliography"/>
      </w:pPr>
      <w:r>
        <w:t xml:space="preserve">ICEX-CECO. s. f.</w:t>
      </w:r>
      <w:r>
        <w:t xml:space="preserve"> </w:t>
      </w:r>
      <w:r>
        <w:t xml:space="preserve">«Apuntes de los temas 3.A.17 y 3.A.25 (temario anterior): monopolio y regulación»</w:t>
      </w:r>
      <w:r>
        <w:t xml:space="preserve">. ICEX-CECO.</w:t>
      </w:r>
    </w:p>
    <w:bookmarkEnd w:id="379"/>
    <w:bookmarkStart w:id="380"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80"/>
    <w:bookmarkStart w:id="382" w:name="ref-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381">
        <w:r>
          <w:rPr>
            <w:rStyle w:val="Hyperlink"/>
          </w:rPr>
          <w:t xml:space="preserve">https://www.boe.es/eli/es/l/2013/06/04/3</w:t>
        </w:r>
      </w:hyperlink>
      <w:r>
        <w:t xml:space="preserve">.</w:t>
      </w:r>
    </w:p>
    <w:bookmarkEnd w:id="382"/>
    <w:bookmarkStart w:id="384" w:name="ref-BOE2015Desindexacion"/>
    <w:p>
      <w:pPr>
        <w:pStyle w:val="Bibliography"/>
      </w:pPr>
      <w:r>
        <w:t xml:space="preserve">———. 2015.</w:t>
      </w:r>
      <w:r>
        <w:t xml:space="preserve"> </w:t>
      </w:r>
      <w:r>
        <w:t xml:space="preserve">«Ley 2/2015, de 30 de marzo, de desindexación de la economía española (BOE-A-2015-3443)»</w:t>
      </w:r>
      <w:r>
        <w:t xml:space="preserve">. 2015.</w:t>
      </w:r>
      <w:r>
        <w:t xml:space="preserve"> </w:t>
      </w:r>
      <w:hyperlink r:id="rId383">
        <w:r>
          <w:rPr>
            <w:rStyle w:val="Hyperlink"/>
          </w:rPr>
          <w:t xml:space="preserve">https://www.boe.es/buscar/act.php?id=BOE-A-2015-3443</w:t>
        </w:r>
      </w:hyperlink>
      <w:r>
        <w:t xml:space="preserve">.</w:t>
      </w:r>
    </w:p>
    <w:bookmarkEnd w:id="384"/>
    <w:bookmarkStart w:id="386" w:name="ref-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385">
        <w:r>
          <w:rPr>
            <w:rStyle w:val="Hyperlink"/>
          </w:rPr>
          <w:t xml:space="preserve">https://doi.org/10.1086/466794</w:t>
        </w:r>
      </w:hyperlink>
      <w:r>
        <w:t xml:space="preserve">.</w:t>
      </w:r>
    </w:p>
    <w:bookmarkEnd w:id="386"/>
    <w:bookmarkStart w:id="387" w:name="ref-Joskow2014Incentive"/>
    <w:p>
      <w:pPr>
        <w:pStyle w:val="Bibliography"/>
      </w:pPr>
      <w:r>
        <w:t xml:space="preserve">———.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387"/>
    <w:bookmarkStart w:id="388" w:name="ref-Koutsoyiannis1979Modern"/>
    <w:p>
      <w:pPr>
        <w:pStyle w:val="Bibliography"/>
      </w:pPr>
      <w:r>
        <w:t xml:space="preserve">Koutsoyiannis, A. 1979.</w:t>
      </w:r>
      <w:r>
        <w:t xml:space="preserve"> </w:t>
      </w:r>
      <w:r>
        <w:rPr>
          <w:i/>
          <w:iCs/>
        </w:rPr>
        <w:t xml:space="preserve">Modern Microeconomics</w:t>
      </w:r>
      <w:r>
        <w:t xml:space="preserve">. 2.ª ed. Londres: Macmillan.</w:t>
      </w:r>
    </w:p>
    <w:bookmarkEnd w:id="388"/>
    <w:bookmarkStart w:id="390" w:name="ref-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89">
        <w:r>
          <w:rPr>
            <w:rStyle w:val="Hyperlink"/>
          </w:rPr>
          <w:t xml:space="preserve">https://doi.org/10.1086/261392</w:t>
        </w:r>
      </w:hyperlink>
      <w:r>
        <w:t xml:space="preserve">.</w:t>
      </w:r>
    </w:p>
    <w:bookmarkEnd w:id="390"/>
    <w:bookmarkStart w:id="392" w:name="ref-LaffontTirole1988Dynamics"/>
    <w:p>
      <w:pPr>
        <w:pStyle w:val="Bibliography"/>
      </w:pPr>
      <w:r>
        <w:t xml:space="preserv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391">
        <w:r>
          <w:rPr>
            <w:rStyle w:val="Hyperlink"/>
          </w:rPr>
          <w:t xml:space="preserve">https://doi.org/10.2307/1911362</w:t>
        </w:r>
      </w:hyperlink>
      <w:r>
        <w:t xml:space="preserve">.</w:t>
      </w:r>
    </w:p>
    <w:bookmarkEnd w:id="392"/>
    <w:bookmarkStart w:id="394" w:name="ref-LaffontTirole1991Politics"/>
    <w:p>
      <w:pPr>
        <w:pStyle w:val="Bibliography"/>
      </w:pPr>
      <w:r>
        <w:t xml:space="preserv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393">
        <w:r>
          <w:rPr>
            <w:rStyle w:val="Hyperlink"/>
          </w:rPr>
          <w:t xml:space="preserve">https://doi.org/10.2307/2937958</w:t>
        </w:r>
      </w:hyperlink>
      <w:r>
        <w:t xml:space="preserve">.</w:t>
      </w:r>
    </w:p>
    <w:bookmarkEnd w:id="394"/>
    <w:bookmarkStart w:id="395" w:name="ref-LaffontTirole1993Theory"/>
    <w:p>
      <w:pPr>
        <w:pStyle w:val="Bibliography"/>
      </w:pPr>
      <w:r>
        <w:t xml:space="preserve">———. 1993.</w:t>
      </w:r>
      <w:r>
        <w:t xml:space="preserve"> </w:t>
      </w:r>
      <w:r>
        <w:rPr>
          <w:i/>
          <w:iCs/>
        </w:rPr>
        <w:t xml:space="preserve">A Theory of Incentives in Procurement and Regulation</w:t>
      </w:r>
      <w:r>
        <w:t xml:space="preserve">. Cambridge (Massachusetts): MIT Press.</w:t>
      </w:r>
    </w:p>
    <w:bookmarkEnd w:id="395"/>
    <w:bookmarkStart w:id="397"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96">
        <w:r>
          <w:rPr>
            <w:rStyle w:val="Hyperlink"/>
          </w:rPr>
          <w:t xml:space="preserve">https://www.jstor.org/stable/1823775</w:t>
        </w:r>
      </w:hyperlink>
      <w:r>
        <w:t xml:space="preserve">.</w:t>
      </w:r>
    </w:p>
    <w:bookmarkEnd w:id="397"/>
    <w:bookmarkStart w:id="399" w:name="ref-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398">
        <w:r>
          <w:rPr>
            <w:rStyle w:val="Hyperlink"/>
          </w:rPr>
          <w:t xml:space="preserve">https://doi.org/10.2307/2967480</w:t>
        </w:r>
      </w:hyperlink>
      <w:r>
        <w:t xml:space="preserve">.</w:t>
      </w:r>
    </w:p>
    <w:bookmarkEnd w:id="399"/>
    <w:bookmarkStart w:id="400" w:name="ref-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00"/>
    <w:bookmarkStart w:id="402" w:name="ref-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01">
        <w:r>
          <w:rPr>
            <w:rStyle w:val="Hyperlink"/>
          </w:rPr>
          <w:t xml:space="preserve">https://doi.org/10.1086/466949</w:t>
        </w:r>
      </w:hyperlink>
      <w:r>
        <w:t xml:space="preserve">.</w:t>
      </w:r>
    </w:p>
    <w:bookmarkEnd w:id="402"/>
    <w:bookmarkStart w:id="403" w:name="ref-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03"/>
    <w:bookmarkStart w:id="405"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4">
        <w:r>
          <w:rPr>
            <w:rStyle w:val="Hyperlink"/>
          </w:rPr>
          <w:t xml:space="preserve">https://www.marxists.org/reference/subject/economics/marshall/bk1ch01.htm</w:t>
        </w:r>
      </w:hyperlink>
      <w:r>
        <w:t xml:space="preserve">.</w:t>
      </w:r>
    </w:p>
    <w:bookmarkEnd w:id="405"/>
    <w:bookmarkStart w:id="407" w:name="ref-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06">
        <w:r>
          <w:rPr>
            <w:rStyle w:val="Hyperlink"/>
          </w:rPr>
          <w:t xml:space="preserve">https://doi.org/10.2307/2555674</w:t>
        </w:r>
      </w:hyperlink>
      <w:r>
        <w:t xml:space="preserve">.</w:t>
      </w:r>
    </w:p>
    <w:bookmarkEnd w:id="407"/>
    <w:bookmarkStart w:id="409" w:name="ref-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08">
        <w:r>
          <w:rPr>
            <w:rStyle w:val="Hyperlink"/>
          </w:rPr>
          <w:t xml:space="preserve">https://ideas.repec.org/a/aea/aecrev/v71y1981i5p896-908.html</w:t>
        </w:r>
      </w:hyperlink>
      <w:r>
        <w:t xml:space="preserve">.</w:t>
      </w:r>
    </w:p>
    <w:bookmarkEnd w:id="409"/>
    <w:bookmarkStart w:id="411" w:name="ref-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10">
        <w:r>
          <w:rPr>
            <w:rStyle w:val="Hyperlink"/>
          </w:rPr>
          <w:t xml:space="preserve">https://www.gutenberg.org/cache/epub/30107/pg30107.txt</w:t>
        </w:r>
      </w:hyperlink>
      <w:r>
        <w:t xml:space="preserve">.</w:t>
      </w:r>
    </w:p>
    <w:bookmarkEnd w:id="411"/>
    <w:bookmarkStart w:id="413" w:name="ref-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12">
        <w:r>
          <w:rPr>
            <w:rStyle w:val="Hyperlink"/>
          </w:rPr>
          <w:t xml:space="preserve">https://www.boe.es/eli/es/rd/2017/02/03/55</w:t>
        </w:r>
      </w:hyperlink>
      <w:r>
        <w:t xml:space="preserve">.</w:t>
      </w:r>
    </w:p>
    <w:bookmarkEnd w:id="413"/>
    <w:bookmarkStart w:id="415" w:name="ref-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14">
        <w:r>
          <w:rPr>
            <w:rStyle w:val="Hyperlink"/>
          </w:rPr>
          <w:t xml:space="preserve">https://www.boe.es/diario_boe/txt.php?id=BOE-A-2026-3815</w:t>
        </w:r>
      </w:hyperlink>
      <w:r>
        <w:t xml:space="preserve">.</w:t>
      </w:r>
    </w:p>
    <w:bookmarkEnd w:id="415"/>
    <w:bookmarkStart w:id="417" w:name="ref-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16">
        <w:r>
          <w:rPr>
            <w:rStyle w:val="Hyperlink"/>
          </w:rPr>
          <w:t xml:space="preserve">https://doi.org/10.1086/258035</w:t>
        </w:r>
      </w:hyperlink>
      <w:r>
        <w:t xml:space="preserve">.</w:t>
      </w:r>
    </w:p>
    <w:bookmarkEnd w:id="417"/>
    <w:bookmarkStart w:id="419" w:name="ref-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18">
        <w:r>
          <w:rPr>
            <w:rStyle w:val="Hyperlink"/>
          </w:rPr>
          <w:t xml:space="preserve">https://doi.org/10.1016/0022-0531(78)90085-6</w:t>
        </w:r>
      </w:hyperlink>
      <w:r>
        <w:t xml:space="preserve">.</w:t>
      </w:r>
    </w:p>
    <w:bookmarkEnd w:id="419"/>
    <w:bookmarkStart w:id="421" w:name="ref-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20">
        <w:r>
          <w:rPr>
            <w:rStyle w:val="Hyperlink"/>
          </w:rPr>
          <w:t xml:space="preserve">https://doi.org/10.2307/1907266</w:t>
        </w:r>
      </w:hyperlink>
      <w:r>
        <w:t xml:space="preserve">.</w:t>
      </w:r>
    </w:p>
    <w:bookmarkEnd w:id="421"/>
    <w:bookmarkStart w:id="423" w:name="ref-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22">
        <w:r>
          <w:rPr>
            <w:rStyle w:val="Hyperlink"/>
          </w:rPr>
          <w:t xml:space="preserve">https://doi.org/10.2307/1881841</w:t>
        </w:r>
      </w:hyperlink>
      <w:r>
        <w:t xml:space="preserve">.</w:t>
      </w:r>
    </w:p>
    <w:bookmarkEnd w:id="423"/>
    <w:bookmarkStart w:id="425" w:name="ref-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24">
        <w:r>
          <w:rPr>
            <w:rStyle w:val="Hyperlink"/>
          </w:rPr>
          <w:t xml:space="preserve">https://doi.org/10.4159/9780674041660</w:t>
        </w:r>
      </w:hyperlink>
      <w:r>
        <w:t xml:space="preserve">.</w:t>
      </w:r>
    </w:p>
    <w:bookmarkEnd w:id="425"/>
    <w:bookmarkStart w:id="427" w:name="ref-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26">
        <w:r>
          <w:rPr>
            <w:rStyle w:val="Hyperlink"/>
          </w:rPr>
          <w:t xml:space="preserve">https://doi.org/10.2307/3003484</w:t>
        </w:r>
      </w:hyperlink>
      <w:r>
        <w:t xml:space="preserve">.</w:t>
      </w:r>
    </w:p>
    <w:bookmarkEnd w:id="427"/>
    <w:bookmarkStart w:id="429" w:name="ref-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28">
        <w:r>
          <w:rPr>
            <w:rStyle w:val="Hyperlink"/>
          </w:rPr>
          <w:t xml:space="preserve">https://doi.org/10.1086/466865</w:t>
        </w:r>
      </w:hyperlink>
      <w:r>
        <w:t xml:space="preserve">.</w:t>
      </w:r>
    </w:p>
    <w:bookmarkEnd w:id="429"/>
    <w:bookmarkStart w:id="431" w:name="ref-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30">
        <w:r>
          <w:rPr>
            <w:rStyle w:val="Hyperlink"/>
          </w:rPr>
          <w:t xml:space="preserve">https://www.econlib.org/library/NPDBooks/Pigou/pgEW28.html</w:t>
        </w:r>
      </w:hyperlink>
      <w:r>
        <w:t xml:space="preserve">.</w:t>
      </w:r>
    </w:p>
    <w:bookmarkEnd w:id="431"/>
    <w:bookmarkStart w:id="433" w:name="ref-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32">
        <w:r>
          <w:rPr>
            <w:rStyle w:val="Hyperlink"/>
          </w:rPr>
          <w:t xml:space="preserve">https://doi.org/10.1086/260357</w:t>
        </w:r>
      </w:hyperlink>
      <w:r>
        <w:t xml:space="preserve">.</w:t>
      </w:r>
    </w:p>
    <w:bookmarkEnd w:id="433"/>
    <w:bookmarkStart w:id="434" w:name="ref-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68">
        <w:r>
          <w:rPr>
            <w:rStyle w:val="Hyperlink"/>
          </w:rPr>
          <w:t xml:space="preserve">https://www.promarket.org/2021/07/27/assessing-george-stiglers-economic-theory-of-regulation/</w:t>
        </w:r>
      </w:hyperlink>
      <w:r>
        <w:t xml:space="preserve">.</w:t>
      </w:r>
    </w:p>
    <w:bookmarkEnd w:id="434"/>
    <w:bookmarkStart w:id="436" w:name="ref-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35">
        <w:r>
          <w:rPr>
            <w:rStyle w:val="Hyperlink"/>
          </w:rPr>
          <w:t xml:space="preserve">https://doi.org/10.2307/2222721</w:t>
        </w:r>
      </w:hyperlink>
      <w:r>
        <w:t xml:space="preserve">.</w:t>
      </w:r>
    </w:p>
    <w:bookmarkEnd w:id="436"/>
    <w:bookmarkStart w:id="438" w:name="ref-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37">
        <w:r>
          <w:rPr>
            <w:rStyle w:val="Hyperlink"/>
          </w:rPr>
          <w:t xml:space="preserve">https://plato.stanford.edu/entries/ceteris-paribus/</w:t>
        </w:r>
      </w:hyperlink>
      <w:r>
        <w:t xml:space="preserve">.</w:t>
      </w:r>
    </w:p>
    <w:bookmarkEnd w:id="438"/>
    <w:bookmarkStart w:id="440" w:name="ref-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39">
        <w:r>
          <w:rPr>
            <w:rStyle w:val="Hyperlink"/>
          </w:rPr>
          <w:t xml:space="preserve">https://www.gutenberg.org/cache/epub/33310/pg33310.txt</w:t>
        </w:r>
      </w:hyperlink>
      <w:r>
        <w:t xml:space="preserve">.</w:t>
      </w:r>
    </w:p>
    <w:bookmarkEnd w:id="440"/>
    <w:bookmarkStart w:id="441"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41"/>
    <w:bookmarkStart w:id="443" w:name="ref-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42">
        <w:r>
          <w:rPr>
            <w:rStyle w:val="Hyperlink"/>
          </w:rPr>
          <w:t xml:space="preserve">https://doi.org/10.2307/1912531</w:t>
        </w:r>
      </w:hyperlink>
      <w:r>
        <w:t xml:space="preserve">.</w:t>
      </w:r>
    </w:p>
    <w:bookmarkEnd w:id="443"/>
    <w:bookmarkStart w:id="445" w:name="ref-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44">
        <w:r>
          <w:rPr>
            <w:rStyle w:val="Hyperlink"/>
          </w:rPr>
          <w:t xml:space="preserve">https://www.youtube.com/watch?v=TO4snWe61JE</w:t>
        </w:r>
      </w:hyperlink>
      <w:r>
        <w:t xml:space="preserve">.</w:t>
      </w:r>
    </w:p>
    <w:bookmarkEnd w:id="445"/>
    <w:bookmarkStart w:id="446" w:name="ref-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46"/>
    <w:bookmarkStart w:id="448" w:name="ref-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47">
        <w:r>
          <w:rPr>
            <w:rStyle w:val="Hyperlink"/>
          </w:rPr>
          <w:t xml:space="preserve">https://minneapolisfed.org/article/2012/new-and-larger-costs-of-monopoly-and-tariffs</w:t>
        </w:r>
      </w:hyperlink>
      <w:r>
        <w:t xml:space="preserve">.</w:t>
      </w:r>
    </w:p>
    <w:bookmarkEnd w:id="448"/>
    <w:bookmarkStart w:id="449" w:name="ref-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49"/>
    <w:bookmarkStart w:id="450"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50"/>
    <w:bookmarkStart w:id="451"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51"/>
    <w:bookmarkStart w:id="453"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52">
        <w:r>
          <w:rPr>
            <w:rStyle w:val="Hyperlink"/>
          </w:rPr>
          <w:t xml:space="preserve">https://www.gutenberg.org/cache/epub/3300/pg3300.txt</w:t>
        </w:r>
      </w:hyperlink>
      <w:r>
        <w:t xml:space="preserve">.</w:t>
      </w:r>
    </w:p>
    <w:bookmarkEnd w:id="453"/>
    <w:bookmarkStart w:id="455" w:name="ref-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54">
        <w:r>
          <w:rPr>
            <w:rStyle w:val="Hyperlink"/>
          </w:rPr>
          <w:t xml:space="preserve">https://doi.org/10.1086/256964</w:t>
        </w:r>
      </w:hyperlink>
      <w:r>
        <w:t xml:space="preserve">.</w:t>
      </w:r>
    </w:p>
    <w:bookmarkEnd w:id="455"/>
    <w:bookmarkStart w:id="457" w:name="ref-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56">
        <w:r>
          <w:rPr>
            <w:rStyle w:val="Hyperlink"/>
          </w:rPr>
          <w:t xml:space="preserve">https://doi.org/10.2307/1885712</w:t>
        </w:r>
      </w:hyperlink>
      <w:r>
        <w:t xml:space="preserve">.</w:t>
      </w:r>
    </w:p>
    <w:bookmarkEnd w:id="457"/>
    <w:bookmarkStart w:id="458" w:name="ref-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69">
        <w:r>
          <w:rPr>
            <w:rStyle w:val="Hyperlink"/>
          </w:rPr>
          <w:t xml:space="preserve">https://www.youtube.com/watch?v=lhD5s-4v3oM</w:t>
        </w:r>
      </w:hyperlink>
      <w:r>
        <w:t xml:space="preserve">.</w:t>
      </w:r>
    </w:p>
    <w:bookmarkEnd w:id="458"/>
    <w:bookmarkStart w:id="460" w:name="ref-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59">
        <w:r>
          <w:rPr>
            <w:rStyle w:val="Hyperlink"/>
          </w:rPr>
          <w:t xml:space="preserve">https://doi.org/10.2307/3003160</w:t>
        </w:r>
      </w:hyperlink>
      <w:r>
        <w:t xml:space="preserve">.</w:t>
      </w:r>
    </w:p>
    <w:bookmarkEnd w:id="460"/>
    <w:bookmarkStart w:id="462" w:name="ref-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61">
        <w:r>
          <w:rPr>
            <w:rStyle w:val="Hyperlink"/>
          </w:rPr>
          <w:t xml:space="preserve">https://www.nobelprize.org/prizes/economic-sciences/1982/summary/</w:t>
        </w:r>
      </w:hyperlink>
      <w:r>
        <w:t xml:space="preserve">.</w:t>
      </w:r>
    </w:p>
    <w:bookmarkEnd w:id="462"/>
    <w:bookmarkStart w:id="464" w:name="ref-Nobel2014Tirole"/>
    <w:p>
      <w:pPr>
        <w:pStyle w:val="Bibliography"/>
      </w:pPr>
      <w:r>
        <w:t xml:space="preserve">———. 2014.</w:t>
      </w:r>
      <w:r>
        <w:t xml:space="preserve"> </w:t>
      </w:r>
      <w:r>
        <w:t xml:space="preserve">«The Prize in Economic Sciences 2014: Jean Tirole»</w:t>
      </w:r>
      <w:r>
        <w:t xml:space="preserve">. 2014.</w:t>
      </w:r>
      <w:r>
        <w:t xml:space="preserve"> </w:t>
      </w:r>
      <w:hyperlink r:id="rId463">
        <w:r>
          <w:rPr>
            <w:rStyle w:val="Hyperlink"/>
          </w:rPr>
          <w:t xml:space="preserve">https://www.nobelprize.org/prizes/economic-sciences/2014/summary/</w:t>
        </w:r>
      </w:hyperlink>
      <w:r>
        <w:t xml:space="preserve">.</w:t>
      </w:r>
    </w:p>
    <w:bookmarkEnd w:id="464"/>
    <w:bookmarkStart w:id="465" w:name="ref-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65"/>
    <w:bookmarkStart w:id="467" w:name="ref-Nobel2014TiroleLecture"/>
    <w:p>
      <w:pPr>
        <w:pStyle w:val="Bibliography"/>
      </w:pPr>
      <w:r>
        <w:t xml:space="preserve">———. 2014.</w:t>
      </w:r>
      <w:r>
        <w:t xml:space="preserve"> </w:t>
      </w:r>
      <w:r>
        <w:t xml:space="preserve">«Market Failures and Public Policy (Prize Lecture)»</w:t>
      </w:r>
      <w:r>
        <w:t xml:space="preserve">. 2014.</w:t>
      </w:r>
      <w:r>
        <w:t xml:space="preserve"> </w:t>
      </w:r>
      <w:hyperlink r:id="rId466">
        <w:r>
          <w:rPr>
            <w:rStyle w:val="Hyperlink"/>
          </w:rPr>
          <w:t xml:space="preserve">https://www.nobelprize.org/prizes/economic-sciences/2014/tirole/lecture/</w:t>
        </w:r>
      </w:hyperlink>
      <w:r>
        <w:t xml:space="preserve">.</w:t>
      </w:r>
    </w:p>
    <w:bookmarkEnd w:id="467"/>
    <w:bookmarkStart w:id="468" w:name="ref-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468"/>
    <w:bookmarkStart w:id="470" w:name="ref-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469">
        <w:r>
          <w:rPr>
            <w:rStyle w:val="Hyperlink"/>
          </w:rPr>
          <w:t xml:space="preserve">https://www.boe.es/buscar/doc.php?id=DOUE-Z-2010-70002</w:t>
        </w:r>
      </w:hyperlink>
      <w:r>
        <w:t xml:space="preserve">.</w:t>
      </w:r>
    </w:p>
    <w:bookmarkEnd w:id="470"/>
    <w:bookmarkStart w:id="471" w:name="ref-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471"/>
    <w:bookmarkStart w:id="472" w:name="ref-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472"/>
    <w:bookmarkStart w:id="474" w:name="ref-Varian1989Price"/>
    <w:p>
      <w:pPr>
        <w:pStyle w:val="Bibliography"/>
      </w:pPr>
      <w:r>
        <w:t xml:space="preserve">———.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473">
        <w:r>
          <w:rPr>
            <w:rStyle w:val="Hyperlink"/>
          </w:rPr>
          <w:t xml:space="preserve">https://doi.org/10.1016/S1573-448X(89)01013-7</w:t>
        </w:r>
      </w:hyperlink>
      <w:r>
        <w:t xml:space="preserve">.</w:t>
      </w:r>
    </w:p>
    <w:bookmarkEnd w:id="474"/>
    <w:bookmarkStart w:id="475" w:name="ref-Varian1992Microeconomic"/>
    <w:p>
      <w:pPr>
        <w:pStyle w:val="Bibliography"/>
      </w:pPr>
      <w:r>
        <w:t xml:space="preserve">———. 1992.</w:t>
      </w:r>
      <w:r>
        <w:t xml:space="preserve"> </w:t>
      </w:r>
      <w:r>
        <w:rPr>
          <w:i/>
          <w:iCs/>
        </w:rPr>
        <w:t xml:space="preserve">Microeconomic Analysis</w:t>
      </w:r>
      <w:r>
        <w:t xml:space="preserve">. 3.ª ed. Nueva York: W. W. Norton.</w:t>
      </w:r>
    </w:p>
    <w:bookmarkEnd w:id="475"/>
    <w:bookmarkStart w:id="476" w:name="ref-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476"/>
    <w:bookmarkStart w:id="478" w:name="ref-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477">
        <w:r>
          <w:rPr>
            <w:rStyle w:val="Hyperlink"/>
          </w:rPr>
          <w:t xml:space="preserve">https://doi.org/10.2307/3003414</w:t>
        </w:r>
      </w:hyperlink>
      <w:r>
        <w:t xml:space="preserve">.</w:t>
      </w:r>
    </w:p>
    <w:bookmarkEnd w:id="478"/>
    <w:bookmarkStart w:id="480" w:name="ref-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479">
        <w:r>
          <w:rPr>
            <w:rStyle w:val="Hyperlink"/>
          </w:rPr>
          <w:t xml:space="preserve">https://doi.org/10.2307/3003191</w:t>
        </w:r>
      </w:hyperlink>
      <w:r>
        <w:t xml:space="preserve">.</w:t>
      </w:r>
    </w:p>
    <w:bookmarkEnd w:id="480"/>
    <w:bookmarkStart w:id="482"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81">
        <w:r>
          <w:rPr>
            <w:rStyle w:val="Hyperlink"/>
          </w:rPr>
          <w:t xml:space="preserve">https://doi.org/10.2514/8.155</w:t>
        </w:r>
      </w:hyperlink>
      <w:r>
        <w:t xml:space="preserve">.</w:t>
      </w:r>
    </w:p>
    <w:bookmarkEnd w:id="482"/>
    <w:bookmarkStart w:id="484" w:name="ref-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483">
        <w:r>
          <w:rPr>
            <w:rStyle w:val="Hyperlink"/>
          </w:rPr>
          <w:t xml:space="preserve">https://doi.org/10.1257/aer.20200025</w:t>
        </w:r>
      </w:hyperlink>
      <w:r>
        <w:t xml:space="preserve">.</w:t>
      </w:r>
    </w:p>
    <w:bookmarkEnd w:id="484"/>
    <w:bookmarkEnd w:id="485"/>
    <w:bookmarkEnd w:id="48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r>
        <w:rPr>
          <w:rStyle w:val="Referenciaatema"/>
        </w:rPr>
        <w:t xml:space="preserve">[ver tema 3.A.16]</w:t>
      </w:r>
      <w:r>
        <w:t xml:space="preserve"> </w:t>
      </w:r>
      <w:r>
        <w:rPr>
          <w:rStyle w:val="Referenciaatema"/>
        </w:rPr>
        <w:t xml:space="preserve">[ver tema 3.A.18]</w:t>
      </w:r>
      <w:r>
        <w:t xml:space="preserve"> </w:t>
      </w:r>
      <w:r>
        <w:rPr>
          <w:rStyle w:val="Referenciaatema"/>
        </w:rPr>
        <w:t xml:space="preserve">[ver tema 3.A.19]</w:t>
      </w:r>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23">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r>
        <w:rPr>
          <w:rStyle w:val="Referenciaatema"/>
        </w:rPr>
        <w:t xml:space="preserve">[ver tema 3.A.16]</w:t>
      </w:r>
      <w:r>
        <w:t xml:space="preserve">.</w:t>
      </w:r>
    </w:p>
  </w:footnote>
  <w:footnote w:id="24">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Modigliani1958New">
        <w:r>
          <w:rPr>
            <w:rStyle w:val="Hyperlink"/>
          </w:rPr>
          <w:t xml:space="preserve">1958</w:t>
        </w:r>
      </w:hyperlink>
      <w:r>
        <w:t xml:space="preserve">)</w:t>
      </w:r>
      <w:r>
        <w:t xml:space="preserve">, en el origen de la teoría de la disuasión de la entrada</w:t>
      </w:r>
      <w:r>
        <w:t xml:space="preserve"> </w:t>
      </w:r>
      <w:r>
        <w:rPr>
          <w:rStyle w:val="Referenciaatema"/>
        </w:rPr>
        <w:t xml:space="preserve">[ver tema 3.A.15]</w:t>
      </w:r>
      <w:r>
        <w:t xml:space="preserve">.</w:t>
      </w:r>
    </w:p>
  </w:footnote>
  <w:footnote w:id="26">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27">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31">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33">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34">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la formula por primera vez para el monopolio.</w:t>
      </w:r>
    </w:p>
  </w:footnote>
  <w:footnote w:id="35">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36">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38" name="Picture"/>
            <a:graphic>
              <a:graphicData uri="http://schemas.openxmlformats.org/drawingml/2006/picture">
                <pic:pic>
                  <pic:nvPicPr>
                    <pic:cNvPr descr="C:\Users\vgutierrez\Documents\src\victorgutierrezmarcos.github.io-revision\oposicion\temario\fuentes\3A17\graficos/tramo-elastico.png" id="39" name="Picture"/>
                    <pic:cNvPicPr>
                      <a:picLocks noChangeArrowheads="1" noChangeAspect="1"/>
                    </pic:cNvPicPr>
                  </pic:nvPicPr>
                  <pic:blipFill>
                    <a:blip r:embed="rId37"/>
                    <a:stretch>
                      <a:fillRect/>
                    </a:stretch>
                  </pic:blipFill>
                  <pic:spPr bwMode="auto">
                    <a:xfrm>
                      <a:off x="0" y="0"/>
                      <a:ext cx="2686050" cy="3051713"/>
                    </a:xfrm>
                    <a:prstGeom prst="rect">
                      <a:avLst/>
                    </a:prstGeom>
                    <a:noFill/>
                    <a:ln w="9525">
                      <a:noFill/>
                      <a:headEnd/>
                      <a:tailEnd/>
                    </a:ln>
                  </pic:spPr>
                </pic:pic>
              </a:graphicData>
            </a:graphic>
          </wp:inline>
        </w:drawing>
      </w:r>
    </w:p>
  </w:footnote>
  <w:footnote w:id="40">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41">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42">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43">
    <w:p>
      <w:pPr>
        <w:pStyle w:val="FootnoteText"/>
      </w:pPr>
      <w:r>
        <w:rPr>
          <w:rStyle w:val="FootnoteReference"/>
        </w:rPr>
        <w:footnoteRef/>
      </w:r>
      <w:r>
        <w:t xml:space="preserve"> </w:t>
      </w:r>
      <w:r>
        <w:t xml:space="preserve">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45" name="Picture"/>
            <a:graphic>
              <a:graphicData uri="http://schemas.openxmlformats.org/drawingml/2006/picture">
                <pic:pic>
                  <pic:nvPicPr>
                    <pic:cNvPr descr="C:\Users\vgutierrez\Documents\src\victorgutierrezmarcos.github.io-revision\oposicion\temario\fuentes\3A17\graficos/monopolio-corto-plazo.png" id="46" name="Picture"/>
                    <pic:cNvPicPr>
                      <a:picLocks noChangeArrowheads="1" noChangeAspect="1"/>
                    </pic:cNvPicPr>
                  </pic:nvPicPr>
                  <pic:blipFill>
                    <a:blip r:embed="rId44"/>
                    <a:stretch>
                      <a:fillRect/>
                    </a:stretch>
                  </pic:blipFill>
                  <pic:spPr bwMode="auto">
                    <a:xfrm>
                      <a:off x="0" y="0"/>
                      <a:ext cx="3581400" cy="1463391"/>
                    </a:xfrm>
                    <a:prstGeom prst="rect">
                      <a:avLst/>
                    </a:prstGeom>
                    <a:noFill/>
                    <a:ln w="9525">
                      <a:noFill/>
                      <a:headEnd/>
                      <a:tailEnd/>
                    </a:ln>
                  </pic:spPr>
                </pic:pic>
              </a:graphicData>
            </a:graphic>
          </wp:inline>
        </w:drawing>
      </w:r>
    </w:p>
  </w:footnote>
  <w:footnote w:id="47">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48">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54">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56" name="Picture"/>
            <a:graphic>
              <a:graphicData uri="http://schemas.openxmlformats.org/drawingml/2006/picture">
                <pic:pic>
                  <pic:nvPicPr>
                    <pic:cNvPr descr="C:\Users\vgutierrez\Documents\src\victorgutierrezmarcos.github.io-revision\oposicion\temario\fuentes\3A17\graficos/escala-monopolio.png" id="57" name="Picture"/>
                    <pic:cNvPicPr>
                      <a:picLocks noChangeArrowheads="1" noChangeAspect="1"/>
                    </pic:cNvPicPr>
                  </pic:nvPicPr>
                  <pic:blipFill>
                    <a:blip r:embed="rId55"/>
                    <a:stretch>
                      <a:fillRect/>
                    </a:stretch>
                  </pic:blipFill>
                  <pic:spPr bwMode="auto">
                    <a:xfrm>
                      <a:off x="0" y="0"/>
                      <a:ext cx="5073650" cy="1553950"/>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r>
        <w:rPr>
          <w:rStyle w:val="Referenciaatema"/>
        </w:rPr>
        <w:t xml:space="preserve">[ver tema 3.A.16]</w:t>
      </w:r>
      <w:r>
        <w:t xml:space="preserve">.</w:t>
      </w:r>
    </w:p>
  </w:footnote>
  <w:footnote w:id="66">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67">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(III.1). Tampoco se dice que la retribución de los factores sea menor que en competencia, porque con menos producción su productividad marginal es mayor, sino que es menor que el valor de su producto marginal.</w:t>
      </w:r>
    </w:p>
  </w:footnote>
  <w:footnote w:id="87">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02">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SalaiMartin2013Barbie">
        <w:r>
          <w:rPr>
            <w:rStyle w:val="Hyperlink"/>
            <w:smallCaps/>
          </w:rPr>
          <w:t xml:space="preserve">Sala-i-Martín</w:t>
        </w:r>
        <w:r>
          <w:rPr>
            <w:rStyle w:val="Hyperlink"/>
          </w:rPr>
          <w:t xml:space="preserve"> </w:t>
        </w:r>
        <w:r>
          <w:rPr>
            <w:rStyle w:val="Hyperlink"/>
          </w:rPr>
          <w:t xml:space="preserve">2013</w:t>
        </w:r>
      </w:hyperlink>
      <w:r>
        <w:t xml:space="preserve">)</w:t>
      </w:r>
      <w:r>
        <w:t xml:space="preserve">. Más que discriminación de tercer grado, es un ejemplo de versiones entre las que el comprador elige.</w:t>
      </w:r>
    </w:p>
  </w:footnote>
  <w:footnote w:id="103">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el dilema es cobrar una entrada cara y atracciones baratas o al revés.</w:t>
      </w:r>
    </w:p>
  </w:footnote>
  <w:footnote w:id="112">
    <w:p>
      <w:pPr>
        <w:pStyle w:val="FootnoteText"/>
      </w:pPr>
      <w:r>
        <w:rPr>
          <w:rStyle w:val="FootnoteReference"/>
        </w:rPr>
        <w:footnoteRef/>
      </w:r>
      <w:r>
        <w:t xml:space="preserve"> </w:t>
      </w:r>
      <w:r>
        <w:t xml:space="preserve">Es una situación de información asimétrica</w:t>
      </w:r>
      <w:r>
        <w:t xml:space="preserve"> </w:t>
      </w:r>
      <w:r>
        <w:rPr>
          <w:rStyle w:val="Referenciaatema"/>
        </w:rPr>
        <w:t xml:space="preserve">[ver tema 3.A.13]</w:t>
      </w:r>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27">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r>
        <w:rPr>
          <w:rStyle w:val="Referenciaatema"/>
        </w:rPr>
        <w:t xml:space="preserve">[ver tema 3.A.14]</w:t>
      </w:r>
      <w:r>
        <w:t xml:space="preserve">.</w:t>
      </w:r>
    </w:p>
  </w:footnote>
  <w:footnote w:id="135">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41">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B.6.</w:t>
      </w:r>
    </w:p>
  </w:footnote>
  <w:footnote w:id="147">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r>
        <w:rPr>
          <w:rStyle w:val="Referenciaatema"/>
        </w:rPr>
        <w:t xml:space="preserve">[ver tema 3.A.22]</w:t>
      </w:r>
      <w:r>
        <w:t xml:space="preserve">.</w:t>
      </w:r>
    </w:p>
  </w:footnote>
  <w:footnote w:id="148">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49">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50">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w:t>
        </w:r>
        <w:r>
          <w:rPr>
            <w:rStyle w:val="Hyperlink"/>
          </w:rPr>
          <w:t xml:space="preserve">2005</w:t>
        </w:r>
      </w:hyperlink>
      <w:r>
        <w:t xml:space="preserve">)</w:t>
      </w:r>
      <w:r>
        <w:t xml:space="preserve">. Las 2 cosas pueden chocar: los usuarios de demanda de acceso más inelástica suelen ser los de menor renta, porque los servicios de red son de primera necesidad.</w:t>
      </w:r>
    </w:p>
  </w:footnote>
  <w:footnote w:id="161">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62">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rPr>
          <w:rStyle w:val="Referenciaatema"/>
        </w:rPr>
        <w:t xml:space="preserve">[ver tema 3.A.12]</w:t>
      </w:r>
      <w:r>
        <w:t xml:space="preserve">.</w:t>
      </w:r>
    </w:p>
  </w:footnote>
  <w:footnote w:id="205">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12">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Nobel2014Tirole">
        <w:r>
          <w:rPr>
            <w:rStyle w:val="Hyperlink"/>
            <w:smallCaps/>
          </w:rPr>
          <w:t xml:space="preserve">The Nobel Prize</w:t>
        </w:r>
        <w:r>
          <w:rPr>
            <w:rStyle w:val="Hyperlink"/>
          </w:rPr>
          <w:t xml:space="preserve"> </w:t>
        </w:r>
        <w:r>
          <w:rPr>
            <w:rStyle w:val="Hyperlink"/>
          </w:rPr>
          <w:t xml:space="preserve">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13">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Nobel1982Stigler">
        <w:r>
          <w:rPr>
            <w:rStyle w:val="Hyperlink"/>
            <w:smallCaps/>
          </w:rPr>
          <w:t xml:space="preserve">The Nobel Prize</w:t>
        </w:r>
        <w:r>
          <w:rPr>
            <w:rStyle w:val="Hyperlink"/>
          </w:rPr>
          <w:t xml:space="preserve"> </w:t>
        </w:r>
        <w:r>
          <w:rPr>
            <w:rStyle w:val="Hyperlink"/>
          </w:rPr>
          <w:t xml:space="preserve">1982</w:t>
        </w:r>
      </w:hyperlink>
      <w:r>
        <w:t xml:space="preserve">)</w:t>
      </w:r>
      <w:r>
        <w:t xml:space="preserve">.</w:t>
      </w:r>
    </w:p>
  </w:footnote>
  <w:footnote w:id="220">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r>
        <w:rPr>
          <w:rStyle w:val="Referenciaatema"/>
        </w:rPr>
        <w:t xml:space="preserve">[ver tema 3.B.39]</w:t>
      </w:r>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UE2016TFUE">
        <w:r>
          <w:rPr>
            <w:rStyle w:val="Hyperlink"/>
            <w:smallCaps/>
          </w:rPr>
          <w:t xml:space="preserve">Unión Europea</w:t>
        </w:r>
        <w:r>
          <w:rPr>
            <w:rStyle w:val="Hyperlink"/>
          </w:rPr>
          <w:t xml:space="preserve"> </w:t>
        </w:r>
        <w:r>
          <w:rPr>
            <w:rStyle w:val="Hyperlink"/>
          </w:rPr>
          <w:t xml:space="preserve">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UE2004Reglamento139">
        <w:r>
          <w:rPr>
            <w:rStyle w:val="Hyperlink"/>
            <w:smallCaps/>
          </w:rPr>
          <w:t xml:space="preserve">Consejo de la Unión Europea</w:t>
        </w:r>
        <w:r>
          <w:rPr>
            <w:rStyle w:val="Hyperlink"/>
          </w:rPr>
          <w:t xml:space="preserve"> </w:t>
        </w:r>
        <w:r>
          <w:rPr>
            <w:rStyle w:val="Hyperlink"/>
          </w:rPr>
          <w:t xml:space="preserve">2004</w:t>
        </w:r>
      </w:hyperlink>
      <w:r>
        <w:t xml:space="preserve">)</w:t>
      </w:r>
      <w:r>
        <w:t xml:space="preserve">. El cuarto, el control de las ayudas de Estado (arts. 107 a 109 del TFUE).</w:t>
      </w:r>
    </w:p>
  </w:footnote>
  <w:footnote w:id="222">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23">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24">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25">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31">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CNMC2020Circular3">
        <w:r>
          <w:rPr>
            <w:rStyle w:val="Hyperlink"/>
            <w:smallCaps/>
          </w:rPr>
          <w:t xml:space="preserve">Comisión Nacional de los Mercados y la Competencia</w:t>
        </w:r>
        <w:r>
          <w:rPr>
            <w:rStyle w:val="Hyperlink"/>
          </w:rPr>
          <w:t xml:space="preserve"> </w:t>
        </w:r>
        <w:r>
          <w:rPr>
            <w:rStyle w:val="Hyperlink"/>
          </w:rPr>
          <w:t xml:space="preserve">2020</w:t>
        </w:r>
      </w:hyperlink>
      <w:r>
        <w:t xml:space="preserve">)</w:t>
      </w:r>
      <w:r>
        <w:t xml:space="preserve">. Es una tarifa de punta y valle: quien consume en punta paga la red que se dimensiona para la punta.</w:t>
      </w:r>
    </w:p>
  </w:footnote>
  <w:footnote w:id="245">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49">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(II.2.3):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52">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67">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6" Target="media/rId216.png" /><Relationship Type="http://schemas.openxmlformats.org/officeDocument/2006/relationships/image" Id="rId95" Target="media/rId95.png" /><Relationship Type="http://schemas.openxmlformats.org/officeDocument/2006/relationships/image" Id="rId240" Target="media/rId240.png" /><Relationship Type="http://schemas.openxmlformats.org/officeDocument/2006/relationships/image" Id="rId68" Target="media/rId68.png" /><Relationship Type="http://schemas.openxmlformats.org/officeDocument/2006/relationships/image" Id="rId274" Target="media/rId274.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198" Target="media/rId198.png" /><Relationship Type="http://schemas.openxmlformats.org/officeDocument/2006/relationships/image" Id="rId44" Target="media/rId44.png" /><Relationship Type="http://schemas.openxmlformats.org/officeDocument/2006/relationships/image" Id="rId180" Target="media/rId180.png" /><Relationship Type="http://schemas.openxmlformats.org/officeDocument/2006/relationships/image" Id="rId227" Target="media/rId227.png" /><Relationship Type="http://schemas.openxmlformats.org/officeDocument/2006/relationships/image" Id="rId232" Target="media/rId232.png" /><Relationship Type="http://schemas.openxmlformats.org/officeDocument/2006/relationships/image" Id="rId82" Target="media/rId82.png" /><Relationship Type="http://schemas.openxmlformats.org/officeDocument/2006/relationships/image" Id="rId166" Target="media/rId166.png" /><Relationship Type="http://schemas.openxmlformats.org/officeDocument/2006/relationships/image" Id="rId151" Target="media/rId151.png" /><Relationship Type="http://schemas.openxmlformats.org/officeDocument/2006/relationships/image" Id="rId186" Target="media/rId186.png" /><Relationship Type="http://schemas.openxmlformats.org/officeDocument/2006/relationships/image" Id="rId136" Target="media/rId136.png" /><Relationship Type="http://schemas.openxmlformats.org/officeDocument/2006/relationships/image" Id="rId104" Target="media/rId104.png" /><Relationship Type="http://schemas.openxmlformats.org/officeDocument/2006/relationships/image" Id="rId115" Target="media/rId115.png" /><Relationship Type="http://schemas.openxmlformats.org/officeDocument/2006/relationships/image" Id="rId37" Target="media/rId37.png" /><Relationship Type="http://schemas.openxmlformats.org/officeDocument/2006/relationships/image" Id="rId279" Target="media/rId279.png" /><Relationship Type="http://schemas.openxmlformats.org/officeDocument/2006/relationships/hyperlink" Id="rId418" Target="https://doi.org/10.1016/0022-0531(78)90085-6" TargetMode="External" /><Relationship Type="http://schemas.openxmlformats.org/officeDocument/2006/relationships/hyperlink" Id="rId370" Target="https://doi.org/10.1016/0022-0531(86)90024-4" TargetMode="External" /><Relationship Type="http://schemas.openxmlformats.org/officeDocument/2006/relationships/hyperlink" Id="rId473" Target="https://doi.org/10.1016/S1573-448X(89)01013-7" TargetMode="External" /><Relationship Type="http://schemas.openxmlformats.org/officeDocument/2006/relationships/hyperlink" Id="rId318" Target="https://doi.org/10.1016/S1573-448X(89)02011-X" TargetMode="External" /><Relationship Type="http://schemas.openxmlformats.org/officeDocument/2006/relationships/hyperlink" Id="rId454" Target="https://doi.org/10.1086/256964" TargetMode="External" /><Relationship Type="http://schemas.openxmlformats.org/officeDocument/2006/relationships/hyperlink" Id="rId416" Target="https://doi.org/10.1086/258035" TargetMode="External" /><Relationship Type="http://schemas.openxmlformats.org/officeDocument/2006/relationships/hyperlink" Id="rId432" Target="https://doi.org/10.1086/260357" TargetMode="External" /><Relationship Type="http://schemas.openxmlformats.org/officeDocument/2006/relationships/hyperlink" Id="rId320" Target="https://doi.org/10.1086/261058" TargetMode="External" /><Relationship Type="http://schemas.openxmlformats.org/officeDocument/2006/relationships/hyperlink" Id="rId322" Target="https://doi.org/10.1086/261135" TargetMode="External" /><Relationship Type="http://schemas.openxmlformats.org/officeDocument/2006/relationships/hyperlink" Id="rId389" Target="https://doi.org/10.1086/261392" TargetMode="External" /><Relationship Type="http://schemas.openxmlformats.org/officeDocument/2006/relationships/hyperlink" Id="rId350" Target="https://doi.org/10.1086/466643" TargetMode="External" /><Relationship Type="http://schemas.openxmlformats.org/officeDocument/2006/relationships/hyperlink" Id="rId332" Target="https://doi.org/10.1086/466731" TargetMode="External" /><Relationship Type="http://schemas.openxmlformats.org/officeDocument/2006/relationships/hyperlink" Id="rId385" Target="https://doi.org/10.1086/466794" TargetMode="External" /><Relationship Type="http://schemas.openxmlformats.org/officeDocument/2006/relationships/hyperlink" Id="rId428" Target="https://doi.org/10.1086/466865" TargetMode="External" /><Relationship Type="http://schemas.openxmlformats.org/officeDocument/2006/relationships/hyperlink" Id="rId401" Target="https://doi.org/10.1086/466949" TargetMode="External" /><Relationship Type="http://schemas.openxmlformats.org/officeDocument/2006/relationships/hyperlink" Id="rId348" Target="https://doi.org/10.1093/jeea/jvac060" TargetMode="External" /><Relationship Type="http://schemas.openxmlformats.org/officeDocument/2006/relationships/hyperlink" Id="rId297" Target="https://doi.org/10.1093/qje/120.2.701" TargetMode="External" /><Relationship Type="http://schemas.openxmlformats.org/officeDocument/2006/relationships/hyperlink" Id="rId346" Target="https://doi.org/10.1093/qje/qjz041" TargetMode="External" /><Relationship Type="http://schemas.openxmlformats.org/officeDocument/2006/relationships/hyperlink" Id="rId352" Target="https://doi.org/10.1111/j.1430-9134.1996.00149.x" TargetMode="External" /><Relationship Type="http://schemas.openxmlformats.org/officeDocument/2006/relationships/hyperlink" Id="rId483" Target="https://doi.org/10.1257/aer.20200025" TargetMode="External" /><Relationship Type="http://schemas.openxmlformats.org/officeDocument/2006/relationships/hyperlink" Id="rId365" Target="https://doi.org/10.2307/1879566" TargetMode="External" /><Relationship Type="http://schemas.openxmlformats.org/officeDocument/2006/relationships/hyperlink" Id="rId422" Target="https://doi.org/10.2307/1881841" TargetMode="External" /><Relationship Type="http://schemas.openxmlformats.org/officeDocument/2006/relationships/hyperlink" Id="rId360" Target="https://doi.org/10.2307/1883013" TargetMode="External" /><Relationship Type="http://schemas.openxmlformats.org/officeDocument/2006/relationships/hyperlink" Id="rId456" Target="https://doi.org/10.2307/1885712" TargetMode="External" /><Relationship Type="http://schemas.openxmlformats.org/officeDocument/2006/relationships/hyperlink" Id="rId309" Target="https://doi.org/10.2307/1886017" TargetMode="External" /><Relationship Type="http://schemas.openxmlformats.org/officeDocument/2006/relationships/hyperlink" Id="rId295" Target="https://doi.org/10.2307/1886045" TargetMode="External" /><Relationship Type="http://schemas.openxmlformats.org/officeDocument/2006/relationships/hyperlink" Id="rId314" Target="https://doi.org/10.2307/1905256" TargetMode="External" /><Relationship Type="http://schemas.openxmlformats.org/officeDocument/2006/relationships/hyperlink" Id="rId377" Target="https://doi.org/10.2307/1907054" TargetMode="External" /><Relationship Type="http://schemas.openxmlformats.org/officeDocument/2006/relationships/hyperlink" Id="rId420" Target="https://doi.org/10.2307/1907266" TargetMode="External" /><Relationship Type="http://schemas.openxmlformats.org/officeDocument/2006/relationships/hyperlink" Id="rId373" Target="https://doi.org/10.2307/1907343" TargetMode="External" /><Relationship Type="http://schemas.openxmlformats.org/officeDocument/2006/relationships/hyperlink" Id="rId391" Target="https://doi.org/10.2307/1911362" TargetMode="External" /><Relationship Type="http://schemas.openxmlformats.org/officeDocument/2006/relationships/hyperlink" Id="rId442" Target="https://doi.org/10.2307/1912531" TargetMode="External" /><Relationship Type="http://schemas.openxmlformats.org/officeDocument/2006/relationships/hyperlink" Id="rId435" Target="https://doi.org/10.2307/2222721" TargetMode="External" /><Relationship Type="http://schemas.openxmlformats.org/officeDocument/2006/relationships/hyperlink" Id="rId316" Target="https://doi.org/10.2307/2224123" TargetMode="External" /><Relationship Type="http://schemas.openxmlformats.org/officeDocument/2006/relationships/hyperlink" Id="rId375" Target="https://doi.org/10.2307/2224214" TargetMode="External" /><Relationship Type="http://schemas.openxmlformats.org/officeDocument/2006/relationships/hyperlink" Id="rId344" Target="https://doi.org/10.2307/2231975" TargetMode="External" /><Relationship Type="http://schemas.openxmlformats.org/officeDocument/2006/relationships/hyperlink" Id="rId367" Target="https://doi.org/10.2307/2297615" TargetMode="External" /><Relationship Type="http://schemas.openxmlformats.org/officeDocument/2006/relationships/hyperlink" Id="rId330" Target="https://doi.org/10.2307/2549764" TargetMode="External" /><Relationship Type="http://schemas.openxmlformats.org/officeDocument/2006/relationships/hyperlink" Id="rId311" Target="https://doi.org/10.2307/2555382" TargetMode="External" /><Relationship Type="http://schemas.openxmlformats.org/officeDocument/2006/relationships/hyperlink" Id="rId406" Target="https://doi.org/10.2307/2555674" TargetMode="External" /><Relationship Type="http://schemas.openxmlformats.org/officeDocument/2006/relationships/hyperlink" Id="rId393" Target="https://doi.org/10.2307/2937958" TargetMode="External" /><Relationship Type="http://schemas.openxmlformats.org/officeDocument/2006/relationships/hyperlink" Id="rId398" Target="https://doi.org/10.2307/2967480" TargetMode="External" /><Relationship Type="http://schemas.openxmlformats.org/officeDocument/2006/relationships/hyperlink" Id="rId459" Target="https://doi.org/10.2307/3003160" TargetMode="External" /><Relationship Type="http://schemas.openxmlformats.org/officeDocument/2006/relationships/hyperlink" Id="rId306" Target="https://doi.org/10.2307/3003181" TargetMode="External" /><Relationship Type="http://schemas.openxmlformats.org/officeDocument/2006/relationships/hyperlink" Id="rId479" Target="https://doi.org/10.2307/3003191" TargetMode="External" /><Relationship Type="http://schemas.openxmlformats.org/officeDocument/2006/relationships/hyperlink" Id="rId477" Target="https://doi.org/10.2307/3003414" TargetMode="External" /><Relationship Type="http://schemas.openxmlformats.org/officeDocument/2006/relationships/hyperlink" Id="rId426" Target="https://doi.org/10.2307/3003484" TargetMode="External" /><Relationship Type="http://schemas.openxmlformats.org/officeDocument/2006/relationships/hyperlink" Id="rId481" Target="https://doi.org/10.2514/8.155" TargetMode="External" /><Relationship Type="http://schemas.openxmlformats.org/officeDocument/2006/relationships/hyperlink" Id="rId424" Target="https://doi.org/10.4159/9780674041660" TargetMode="External" /><Relationship Type="http://schemas.openxmlformats.org/officeDocument/2006/relationships/hyperlink" Id="rId341" Target="https://eur-lex.europa.eu/eli/reg/2004/139/oj?locale=es" TargetMode="External" /><Relationship Type="http://schemas.openxmlformats.org/officeDocument/2006/relationships/hyperlink" Id="rId363" Target="https://ideas.repec.org/a/aea/aecrev/v65y1975i5p966-77.html" TargetMode="External" /><Relationship Type="http://schemas.openxmlformats.org/officeDocument/2006/relationships/hyperlink" Id="rId408" Target="https://ideas.repec.org/a/aea/aecrev/v71y1981i5p896-908.html" TargetMode="External" /><Relationship Type="http://schemas.openxmlformats.org/officeDocument/2006/relationships/hyperlink" Id="rId303" Target="https://ideas.repec.org/a/aea/aecrev/v72y1982i1p1-15.html" TargetMode="External" /><Relationship Type="http://schemas.openxmlformats.org/officeDocument/2006/relationships/hyperlink" Id="rId328" Target="https://ideas.repec.org/a/aea/aecrev/v84y1994i4p772-93.html" TargetMode="External" /><Relationship Type="http://schemas.openxmlformats.org/officeDocument/2006/relationships/hyperlink" Id="rId447" Target="https://minneapolisfed.org/article/2012/new-and-larger-costs-of-monopoly-and-tariffs" TargetMode="External" /><Relationship Type="http://schemas.openxmlformats.org/officeDocument/2006/relationships/hyperlink" Id="rId437" Target="https://plato.stanford.edu/entries/ceteris-paribus/" TargetMode="External" /><Relationship Type="http://schemas.openxmlformats.org/officeDocument/2006/relationships/hyperlink" Id="rId383" Target="https://www.boe.es/buscar/act.php?id=BOE-A-2015-3443" TargetMode="External" /><Relationship Type="http://schemas.openxmlformats.org/officeDocument/2006/relationships/hyperlink" Id="rId339" Target="https://www.boe.es/buscar/act.php?id=BOE-A-2020-1066" TargetMode="External" /><Relationship Type="http://schemas.openxmlformats.org/officeDocument/2006/relationships/hyperlink" Id="rId469" Target="https://www.boe.es/buscar/doc.php?id=DOUE-Z-2010-70002" TargetMode="External" /><Relationship Type="http://schemas.openxmlformats.org/officeDocument/2006/relationships/hyperlink" Id="rId354" Target="https://www.boe.es/diario_boe/txt.php?id=BOE-A-2026-19507" TargetMode="External" /><Relationship Type="http://schemas.openxmlformats.org/officeDocument/2006/relationships/hyperlink" Id="rId414" Target="https://www.boe.es/diario_boe/txt.php?id=BOE-A-2026-3815" TargetMode="External" /><Relationship Type="http://schemas.openxmlformats.org/officeDocument/2006/relationships/hyperlink" Id="rId381" Target="https://www.boe.es/eli/es/l/2013/06/04/3" TargetMode="External" /><Relationship Type="http://schemas.openxmlformats.org/officeDocument/2006/relationships/hyperlink" Id="rId412" Target="https://www.boe.es/eli/es/rd/2017/02/03/55"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34" Target="https://www.cnmc.es/sites/default/files/1972516_6.pdf" TargetMode="External" /><Relationship Type="http://schemas.openxmlformats.org/officeDocument/2006/relationships/hyperlink" Id="rId336" Target="https://www.cnmc.es/sites/default/files/2100627.pdf" TargetMode="External" /><Relationship Type="http://schemas.openxmlformats.org/officeDocument/2006/relationships/hyperlink" Id="rId430" Target="https://www.econlib.org/library/NPDBooks/Pigou/pgEW28.html" TargetMode="External" /><Relationship Type="http://schemas.openxmlformats.org/officeDocument/2006/relationships/hyperlink" Id="rId324" Target="https://www.gesetze-im-internet.de/aregv/anlage_3.html" TargetMode="External" /><Relationship Type="http://schemas.openxmlformats.org/officeDocument/2006/relationships/hyperlink" Id="rId410" Target="https://www.gutenberg.org/cache/epub/30107/pg30107.txt" TargetMode="External" /><Relationship Type="http://schemas.openxmlformats.org/officeDocument/2006/relationships/hyperlink" Id="rId452" Target="https://www.gutenberg.org/cache/epub/3300/pg3300.txt" TargetMode="External" /><Relationship Type="http://schemas.openxmlformats.org/officeDocument/2006/relationships/hyperlink" Id="rId439" Target="https://www.gutenberg.org/cache/epub/33310/pg33310.txt" TargetMode="External" /><Relationship Type="http://schemas.openxmlformats.org/officeDocument/2006/relationships/hyperlink" Id="rId396" Target="https://www.jstor.org/stable/1823775" TargetMode="External" /><Relationship Type="http://schemas.openxmlformats.org/officeDocument/2006/relationships/hyperlink" Id="rId404" Target="https://www.marxists.org/reference/subject/economics/marshall/bk1ch01.htm" TargetMode="External" /><Relationship Type="http://schemas.openxmlformats.org/officeDocument/2006/relationships/hyperlink" Id="rId461" Target="https://www.nobelprize.org/prizes/economic-sciences/1982/summary/" TargetMode="External" /><Relationship Type="http://schemas.openxmlformats.org/officeDocument/2006/relationships/hyperlink" Id="rId463" Target="https://www.nobelprize.org/prizes/economic-sciences/2014/summary/" TargetMode="External" /><Relationship Type="http://schemas.openxmlformats.org/officeDocument/2006/relationships/hyperlink" Id="rId466" Target="https://www.nobelprize.org/prizes/economic-sciences/2014/tirole/lecture/" TargetMode="External" /><Relationship Type="http://schemas.openxmlformats.org/officeDocument/2006/relationships/hyperlink" Id="rId268" Target="https://www.promarket.org/2021/07/27/assessing-george-stiglers-economic-theory-of-regulation/" TargetMode="External" /><Relationship Type="http://schemas.openxmlformats.org/officeDocument/2006/relationships/hyperlink" Id="rId292" Target="https://www.victorgutierrezmarcos.es/oposicion/temario/primer-ejercicio/test/simulador.html" TargetMode="External" /><Relationship Type="http://schemas.openxmlformats.org/officeDocument/2006/relationships/hyperlink" Id="rId444" Target="https://www.youtube.com/watch?v=TO4snWe61JE" TargetMode="External" /><Relationship Type="http://schemas.openxmlformats.org/officeDocument/2006/relationships/hyperlink" Id="rId269"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18" Target="https://doi.org/10.1016/0022-0531(78)90085-6" TargetMode="External" /><Relationship Type="http://schemas.openxmlformats.org/officeDocument/2006/relationships/hyperlink" Id="rId370" Target="https://doi.org/10.1016/0022-0531(86)90024-4" TargetMode="External" /><Relationship Type="http://schemas.openxmlformats.org/officeDocument/2006/relationships/hyperlink" Id="rId473" Target="https://doi.org/10.1016/S1573-448X(89)01013-7" TargetMode="External" /><Relationship Type="http://schemas.openxmlformats.org/officeDocument/2006/relationships/hyperlink" Id="rId318" Target="https://doi.org/10.1016/S1573-448X(89)02011-X" TargetMode="External" /><Relationship Type="http://schemas.openxmlformats.org/officeDocument/2006/relationships/hyperlink" Id="rId454" Target="https://doi.org/10.1086/256964" TargetMode="External" /><Relationship Type="http://schemas.openxmlformats.org/officeDocument/2006/relationships/hyperlink" Id="rId416" Target="https://doi.org/10.1086/258035" TargetMode="External" /><Relationship Type="http://schemas.openxmlformats.org/officeDocument/2006/relationships/hyperlink" Id="rId432" Target="https://doi.org/10.1086/260357" TargetMode="External" /><Relationship Type="http://schemas.openxmlformats.org/officeDocument/2006/relationships/hyperlink" Id="rId320" Target="https://doi.org/10.1086/261058" TargetMode="External" /><Relationship Type="http://schemas.openxmlformats.org/officeDocument/2006/relationships/hyperlink" Id="rId322" Target="https://doi.org/10.1086/261135" TargetMode="External" /><Relationship Type="http://schemas.openxmlformats.org/officeDocument/2006/relationships/hyperlink" Id="rId389" Target="https://doi.org/10.1086/261392" TargetMode="External" /><Relationship Type="http://schemas.openxmlformats.org/officeDocument/2006/relationships/hyperlink" Id="rId350" Target="https://doi.org/10.1086/466643" TargetMode="External" /><Relationship Type="http://schemas.openxmlformats.org/officeDocument/2006/relationships/hyperlink" Id="rId332" Target="https://doi.org/10.1086/466731" TargetMode="External" /><Relationship Type="http://schemas.openxmlformats.org/officeDocument/2006/relationships/hyperlink" Id="rId385" Target="https://doi.org/10.1086/466794" TargetMode="External" /><Relationship Type="http://schemas.openxmlformats.org/officeDocument/2006/relationships/hyperlink" Id="rId428" Target="https://doi.org/10.1086/466865" TargetMode="External" /><Relationship Type="http://schemas.openxmlformats.org/officeDocument/2006/relationships/hyperlink" Id="rId401" Target="https://doi.org/10.1086/466949" TargetMode="External" /><Relationship Type="http://schemas.openxmlformats.org/officeDocument/2006/relationships/hyperlink" Id="rId348" Target="https://doi.org/10.1093/jeea/jvac060" TargetMode="External" /><Relationship Type="http://schemas.openxmlformats.org/officeDocument/2006/relationships/hyperlink" Id="rId297" Target="https://doi.org/10.1093/qje/120.2.701" TargetMode="External" /><Relationship Type="http://schemas.openxmlformats.org/officeDocument/2006/relationships/hyperlink" Id="rId346" Target="https://doi.org/10.1093/qje/qjz041" TargetMode="External" /><Relationship Type="http://schemas.openxmlformats.org/officeDocument/2006/relationships/hyperlink" Id="rId352" Target="https://doi.org/10.1111/j.1430-9134.1996.00149.x" TargetMode="External" /><Relationship Type="http://schemas.openxmlformats.org/officeDocument/2006/relationships/hyperlink" Id="rId483" Target="https://doi.org/10.1257/aer.20200025" TargetMode="External" /><Relationship Type="http://schemas.openxmlformats.org/officeDocument/2006/relationships/hyperlink" Id="rId365" Target="https://doi.org/10.2307/1879566" TargetMode="External" /><Relationship Type="http://schemas.openxmlformats.org/officeDocument/2006/relationships/hyperlink" Id="rId422" Target="https://doi.org/10.2307/1881841" TargetMode="External" /><Relationship Type="http://schemas.openxmlformats.org/officeDocument/2006/relationships/hyperlink" Id="rId360" Target="https://doi.org/10.2307/1883013" TargetMode="External" /><Relationship Type="http://schemas.openxmlformats.org/officeDocument/2006/relationships/hyperlink" Id="rId456" Target="https://doi.org/10.2307/1885712" TargetMode="External" /><Relationship Type="http://schemas.openxmlformats.org/officeDocument/2006/relationships/hyperlink" Id="rId309" Target="https://doi.org/10.2307/1886017" TargetMode="External" /><Relationship Type="http://schemas.openxmlformats.org/officeDocument/2006/relationships/hyperlink" Id="rId295" Target="https://doi.org/10.2307/1886045" TargetMode="External" /><Relationship Type="http://schemas.openxmlformats.org/officeDocument/2006/relationships/hyperlink" Id="rId314" Target="https://doi.org/10.2307/1905256" TargetMode="External" /><Relationship Type="http://schemas.openxmlformats.org/officeDocument/2006/relationships/hyperlink" Id="rId377" Target="https://doi.org/10.2307/1907054" TargetMode="External" /><Relationship Type="http://schemas.openxmlformats.org/officeDocument/2006/relationships/hyperlink" Id="rId420" Target="https://doi.org/10.2307/1907266" TargetMode="External" /><Relationship Type="http://schemas.openxmlformats.org/officeDocument/2006/relationships/hyperlink" Id="rId373" Target="https://doi.org/10.2307/1907343" TargetMode="External" /><Relationship Type="http://schemas.openxmlformats.org/officeDocument/2006/relationships/hyperlink" Id="rId391" Target="https://doi.org/10.2307/1911362" TargetMode="External" /><Relationship Type="http://schemas.openxmlformats.org/officeDocument/2006/relationships/hyperlink" Id="rId442" Target="https://doi.org/10.2307/1912531" TargetMode="External" /><Relationship Type="http://schemas.openxmlformats.org/officeDocument/2006/relationships/hyperlink" Id="rId435" Target="https://doi.org/10.2307/2222721" TargetMode="External" /><Relationship Type="http://schemas.openxmlformats.org/officeDocument/2006/relationships/hyperlink" Id="rId316" Target="https://doi.org/10.2307/2224123" TargetMode="External" /><Relationship Type="http://schemas.openxmlformats.org/officeDocument/2006/relationships/hyperlink" Id="rId375" Target="https://doi.org/10.2307/2224214" TargetMode="External" /><Relationship Type="http://schemas.openxmlformats.org/officeDocument/2006/relationships/hyperlink" Id="rId344" Target="https://doi.org/10.2307/2231975" TargetMode="External" /><Relationship Type="http://schemas.openxmlformats.org/officeDocument/2006/relationships/hyperlink" Id="rId367" Target="https://doi.org/10.2307/2297615" TargetMode="External" /><Relationship Type="http://schemas.openxmlformats.org/officeDocument/2006/relationships/hyperlink" Id="rId330" Target="https://doi.org/10.2307/2549764" TargetMode="External" /><Relationship Type="http://schemas.openxmlformats.org/officeDocument/2006/relationships/hyperlink" Id="rId311" Target="https://doi.org/10.2307/2555382" TargetMode="External" /><Relationship Type="http://schemas.openxmlformats.org/officeDocument/2006/relationships/hyperlink" Id="rId406" Target="https://doi.org/10.2307/2555674" TargetMode="External" /><Relationship Type="http://schemas.openxmlformats.org/officeDocument/2006/relationships/hyperlink" Id="rId393" Target="https://doi.org/10.2307/2937958" TargetMode="External" /><Relationship Type="http://schemas.openxmlformats.org/officeDocument/2006/relationships/hyperlink" Id="rId398" Target="https://doi.org/10.2307/2967480" TargetMode="External" /><Relationship Type="http://schemas.openxmlformats.org/officeDocument/2006/relationships/hyperlink" Id="rId459" Target="https://doi.org/10.2307/3003160" TargetMode="External" /><Relationship Type="http://schemas.openxmlformats.org/officeDocument/2006/relationships/hyperlink" Id="rId306" Target="https://doi.org/10.2307/3003181" TargetMode="External" /><Relationship Type="http://schemas.openxmlformats.org/officeDocument/2006/relationships/hyperlink" Id="rId479" Target="https://doi.org/10.2307/3003191" TargetMode="External" /><Relationship Type="http://schemas.openxmlformats.org/officeDocument/2006/relationships/hyperlink" Id="rId477" Target="https://doi.org/10.2307/3003414" TargetMode="External" /><Relationship Type="http://schemas.openxmlformats.org/officeDocument/2006/relationships/hyperlink" Id="rId426" Target="https://doi.org/10.2307/3003484" TargetMode="External" /><Relationship Type="http://schemas.openxmlformats.org/officeDocument/2006/relationships/hyperlink" Id="rId481" Target="https://doi.org/10.2514/8.155" TargetMode="External" /><Relationship Type="http://schemas.openxmlformats.org/officeDocument/2006/relationships/hyperlink" Id="rId424" Target="https://doi.org/10.4159/9780674041660" TargetMode="External" /><Relationship Type="http://schemas.openxmlformats.org/officeDocument/2006/relationships/hyperlink" Id="rId341" Target="https://eur-lex.europa.eu/eli/reg/2004/139/oj?locale=es" TargetMode="External" /><Relationship Type="http://schemas.openxmlformats.org/officeDocument/2006/relationships/hyperlink" Id="rId363" Target="https://ideas.repec.org/a/aea/aecrev/v65y1975i5p966-77.html" TargetMode="External" /><Relationship Type="http://schemas.openxmlformats.org/officeDocument/2006/relationships/hyperlink" Id="rId408" Target="https://ideas.repec.org/a/aea/aecrev/v71y1981i5p896-908.html" TargetMode="External" /><Relationship Type="http://schemas.openxmlformats.org/officeDocument/2006/relationships/hyperlink" Id="rId303" Target="https://ideas.repec.org/a/aea/aecrev/v72y1982i1p1-15.html" TargetMode="External" /><Relationship Type="http://schemas.openxmlformats.org/officeDocument/2006/relationships/hyperlink" Id="rId328" Target="https://ideas.repec.org/a/aea/aecrev/v84y1994i4p772-93.html" TargetMode="External" /><Relationship Type="http://schemas.openxmlformats.org/officeDocument/2006/relationships/hyperlink" Id="rId447" Target="https://minneapolisfed.org/article/2012/new-and-larger-costs-of-monopoly-and-tariffs" TargetMode="External" /><Relationship Type="http://schemas.openxmlformats.org/officeDocument/2006/relationships/hyperlink" Id="rId437" Target="https://plato.stanford.edu/entries/ceteris-paribus/" TargetMode="External" /><Relationship Type="http://schemas.openxmlformats.org/officeDocument/2006/relationships/hyperlink" Id="rId383" Target="https://www.boe.es/buscar/act.php?id=BOE-A-2015-3443" TargetMode="External" /><Relationship Type="http://schemas.openxmlformats.org/officeDocument/2006/relationships/hyperlink" Id="rId339" Target="https://www.boe.es/buscar/act.php?id=BOE-A-2020-1066" TargetMode="External" /><Relationship Type="http://schemas.openxmlformats.org/officeDocument/2006/relationships/hyperlink" Id="rId469" Target="https://www.boe.es/buscar/doc.php?id=DOUE-Z-2010-70002" TargetMode="External" /><Relationship Type="http://schemas.openxmlformats.org/officeDocument/2006/relationships/hyperlink" Id="rId354" Target="https://www.boe.es/diario_boe/txt.php?id=BOE-A-2026-19507" TargetMode="External" /><Relationship Type="http://schemas.openxmlformats.org/officeDocument/2006/relationships/hyperlink" Id="rId414" Target="https://www.boe.es/diario_boe/txt.php?id=BOE-A-2026-3815" TargetMode="External" /><Relationship Type="http://schemas.openxmlformats.org/officeDocument/2006/relationships/hyperlink" Id="rId381" Target="https://www.boe.es/eli/es/l/2013/06/04/3" TargetMode="External" /><Relationship Type="http://schemas.openxmlformats.org/officeDocument/2006/relationships/hyperlink" Id="rId412" Target="https://www.boe.es/eli/es/rd/2017/02/03/55"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34" Target="https://www.cnmc.es/sites/default/files/1972516_6.pdf" TargetMode="External" /><Relationship Type="http://schemas.openxmlformats.org/officeDocument/2006/relationships/hyperlink" Id="rId336" Target="https://www.cnmc.es/sites/default/files/2100627.pdf" TargetMode="External" /><Relationship Type="http://schemas.openxmlformats.org/officeDocument/2006/relationships/hyperlink" Id="rId430" Target="https://www.econlib.org/library/NPDBooks/Pigou/pgEW28.html" TargetMode="External" /><Relationship Type="http://schemas.openxmlformats.org/officeDocument/2006/relationships/hyperlink" Id="rId324" Target="https://www.gesetze-im-internet.de/aregv/anlage_3.html" TargetMode="External" /><Relationship Type="http://schemas.openxmlformats.org/officeDocument/2006/relationships/hyperlink" Id="rId410" Target="https://www.gutenberg.org/cache/epub/30107/pg30107.txt" TargetMode="External" /><Relationship Type="http://schemas.openxmlformats.org/officeDocument/2006/relationships/hyperlink" Id="rId452" Target="https://www.gutenberg.org/cache/epub/3300/pg3300.txt" TargetMode="External" /><Relationship Type="http://schemas.openxmlformats.org/officeDocument/2006/relationships/hyperlink" Id="rId439" Target="https://www.gutenberg.org/cache/epub/33310/pg33310.txt" TargetMode="External" /><Relationship Type="http://schemas.openxmlformats.org/officeDocument/2006/relationships/hyperlink" Id="rId396" Target="https://www.jstor.org/stable/1823775" TargetMode="External" /><Relationship Type="http://schemas.openxmlformats.org/officeDocument/2006/relationships/hyperlink" Id="rId404" Target="https://www.marxists.org/reference/subject/economics/marshall/bk1ch01.htm" TargetMode="External" /><Relationship Type="http://schemas.openxmlformats.org/officeDocument/2006/relationships/hyperlink" Id="rId461" Target="https://www.nobelprize.org/prizes/economic-sciences/1982/summary/" TargetMode="External" /><Relationship Type="http://schemas.openxmlformats.org/officeDocument/2006/relationships/hyperlink" Id="rId463" Target="https://www.nobelprize.org/prizes/economic-sciences/2014/summary/" TargetMode="External" /><Relationship Type="http://schemas.openxmlformats.org/officeDocument/2006/relationships/hyperlink" Id="rId466" Target="https://www.nobelprize.org/prizes/economic-sciences/2014/tirole/lecture/" TargetMode="External" /><Relationship Type="http://schemas.openxmlformats.org/officeDocument/2006/relationships/hyperlink" Id="rId268" Target="https://www.promarket.org/2021/07/27/assessing-george-stiglers-economic-theory-of-regulation/" TargetMode="External" /><Relationship Type="http://schemas.openxmlformats.org/officeDocument/2006/relationships/hyperlink" Id="rId292" Target="https://www.victorgutierrezmarcos.es/oposicion/temario/primer-ejercicio/test/simulador.html" TargetMode="External" /><Relationship Type="http://schemas.openxmlformats.org/officeDocument/2006/relationships/hyperlink" Id="rId444" Target="https://www.youtube.com/watch?v=TO4snWe61JE" TargetMode="External" /><Relationship Type="http://schemas.openxmlformats.org/officeDocument/2006/relationships/hyperlink" Id="rId269" Target="https://www.youtube.com/watch?v=lhD5s-4v3oM" TargetMode="External" /><Relationship Type="http://schemas.openxmlformats.org/officeDocument/2006/relationships/image" Id="rId55" Target="media/rId55.png" /><Relationship Type="http://schemas.openxmlformats.org/officeDocument/2006/relationships/image" Id="rId37" Target="media/rId37.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language>es-ES</dc:language>
  <cp:keywords/>
  <dcterms:created xsi:type="dcterms:W3CDTF">2026-10-17T14:44:00Z</dcterms:created>
  <dcterms:modified xsi:type="dcterms:W3CDTF">2026-10-17T14:44:00Z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3A17</vt:lpwstr>
  </property>
  <property fmtid="{D5CDD505-2E9C-101B-9397-08002B2CF9AE}" pid="4" name="bibliography">
    <vt:lpwstr>C:\Users\vgutierrez\Documents\src\victorgutierrezmarcos.github.io-revision\oposicion\temario\fuentes\3A17\3A17.bib</vt:lpwstr>
  </property>
  <property fmtid="{D5CDD505-2E9C-101B-9397-08002B2CF9AE}" pid="5" name="carpeta">
    <vt:lpwstr>tercer-ejercicio</vt:lpwstr>
  </property>
  <property fmtid="{D5CDD505-2E9C-101B-9397-08002B2CF9AE}" pid="6" name="codigo">
    <vt:lpwstr>3.A.17</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17/10/2026</vt:lpwstr>
  </property>
  <property fmtid="{D5CDD505-2E9C-101B-9397-08002B2CF9AE}" pid="9" name="ejercicio">
    <vt:lpwstr>Tercer ejercicio</vt:lpwstr>
  </property>
  <property fmtid="{D5CDD505-2E9C-101B-9397-08002B2CF9AE}" pid="10" name="fecha">
    <vt:lpwstr>17/10/2026</vt:lpwstr>
  </property>
  <property fmtid="{D5CDD505-2E9C-101B-9397-08002B2CF9AE}" pid="11" name="fecha-cita">
    <vt:lpwstr>2026/10/17</vt:lpwstr>
  </property>
  <property fmtid="{D5CDD505-2E9C-101B-9397-08002B2CF9AE}" pid="12" name="fecha-iso">
    <vt:lpwstr>2026-10-17</vt:lpwstr>
  </property>
  <property fmtid="{D5CDD505-2E9C-101B-9397-08002B2CF9AE}" pid="13" name="graficos-docx">
    <vt:lpwstr>C:\Users\vgutierrez\Documents\src\victorgutierrezmarcos.github.io-revision\oposicion\temario\fuentes\3A17\graficos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nocite">
    <vt:lpwstr/>
  </property>
  <property fmtid="{D5CDD505-2E9C-101B-9397-08002B2CF9AE}" pid="17" name="paginas">
    <vt:lpwstr>Tema: 36 págs. · Anexos: 18 · Bibliografía: 6</vt:lpwstr>
  </property>
  <property fmtid="{D5CDD505-2E9C-101B-9397-08002B2CF9AE}" pid="18"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19" name="reference-section-title">
    <vt:lpwstr>Bibliografía</vt:lpwstr>
  </property>
  <property fmtid="{D5CDD505-2E9C-101B-9397-08002B2CF9AE}" pid="20" name="resumen">
    <vt:lpwstr>Equilibrio del monopolio e índice de Lerner, Harberger, discriminación de precios, monopolio natural, Ramsey-Boiteux, monopsonio y monopolio bilateral.</vt:lpwstr>
  </property>
  <property fmtid="{D5CDD505-2E9C-101B-9397-08002B2CF9AE}" pid="21" name="titulo">
    <vt:lpwstr>Análisis de mercados (II). Teoría del monopolio. Discriminación de precios. Monopolio natural. Producción conjunta. Análisis de eficiencia y bienestar. Monopsonio. Monopolio bilateral.</vt:lpwstr>
  </property>
  <property fmtid="{D5CDD505-2E9C-101B-9397-08002B2CF9AE}" pid="22" name="titulo-seo">
    <vt:lpwstr>Monopolio, discriminación de precios y monopsonio</vt:lpwstr>
  </property>
</Properties>
</file>