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1.png" ContentType="image/png"/>
  <Override PartName="/word/media/rId294.png" ContentType="image/png"/>
  <Override PartName="/word/media/rId260.png" ContentType="image/png"/>
  <Override PartName="/word/media/rId264.png" ContentType="image/png"/>
  <Override PartName="/word/media/rId274.png" ContentType="image/png"/>
  <Override PartName="/word/media/rId51.png" ContentType="image/png"/>
  <Override PartName="/word/media/rId278.png" ContentType="image/png"/>
  <Override PartName="/word/media/rId29.png" ContentType="image/png"/>
  <Override PartName="/word/media/rId250.png" ContentType="image/png"/>
  <Override PartName="/word/media/rId286.png" ContentType="image/png"/>
  <Override PartName="/word/media/rId290.png" ContentType="image/png"/>
  <Override PartName="/word/media/rId270.png" ContentType="image/png"/>
  <Override PartName="/word/media/rId282.png" ContentType="image/png"/>
  <Override PartName="/word/media/rId189.png" ContentType="image/png"/>
  <Override PartName="/word/media/rId15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24/10/2026</w:t>
      </w:r>
    </w:p>
    <w:p>
      <w:pPr>
        <w:pStyle w:val="Paginasdeltema"/>
      </w:pPr>
      <w:r>
        <w:t xml:space="preserve">Guía: 50 págs. · Anexos: 37 · Bibliografía: 9 (PDF)</w:t>
      </w:r>
    </w:p>
    <w:bookmarkStart w:id="23"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 cuadro macroeconómico y unos gráficos 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 hay que</w:t>
      </w:r>
      <w:r>
        <w:t xml:space="preserve"> </w:t>
      </w:r>
      <w:r>
        <w:rPr>
          <w:i/>
          <w:iCs/>
        </w:rPr>
        <w:t xml:space="preserve">interpretar</w:t>
      </w:r>
      <w:r>
        <w:t xml:space="preserve"> </w:t>
      </w:r>
      <w:r>
        <w:t xml:space="preserve">la evolución de los agregados, proponer relaciones causales con prudencia y decir qué importa en ese país.</w:t>
      </w:r>
    </w:p>
    <w:p>
      <w:pPr>
        <w:keepNext/>
        <w:numPr>
          <w:ilvl w:val="1"/>
          <w:numId w:val="1002"/>
        </w:numPr>
      </w:pPr>
      <w:r>
        <w:t xml:space="preserve">Un análisis completo de la situación económica de un país tiene 3 partes:</w:t>
      </w:r>
    </w:p>
    <w:p>
      <w:pPr>
        <w:numPr>
          <w:ilvl w:val="2"/>
          <w:numId w:val="1003"/>
        </w:numPr>
      </w:pPr>
      <w:r>
        <w:t xml:space="preserve">una idea de conjunto del estado actual de la economía, con sus principales fortalezas y debilidades;</w:t>
      </w:r>
    </w:p>
    <w:p>
      <w:pPr>
        <w:numPr>
          <w:ilvl w:val="2"/>
          <w:numId w:val="1003"/>
        </w:numPr>
      </w:pPr>
      <w:r>
        <w:t xml:space="preserve">los factores 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 evolución futura y de las políticas 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 teoría económica y en cómo interpretar los datos 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El método del examen (qué es el ejercicio, qué valora el tribunal, cómo leer el cuadernillo y redactar, errores típicos y la matriz de fortalezas y debilidades) está en el anexo </w:t>
      </w:r>
      <w:hyperlink w:anchor="anexo_metodo">
        <w:r>
          <w:rPr>
            <w:rStyle w:val="Hyperlink"/>
          </w:rPr>
          <w:t xml:space="preserve">A</w:t>
        </w:r>
      </w:hyperlink>
      <w:r>
        <w:t xml:space="preserve">; los anexos recogen además lo que se consulta y no se memoriza entero: indicadores y umbrales, lo que se ha preguntado, expresiones, lectura de series, cálculos tipo, la programación financiera del FMI, un caso de España y los temas de cada bloque.</w:t>
      </w:r>
    </w:p>
    <w:p>
      <w:pPr>
        <w:numPr>
          <w:ilvl w:val="1"/>
          <w:numId w:val="1004"/>
        </w:numPr>
      </w:pPr>
      <w:r>
        <w:t xml:space="preserve">Se aprende con dictámenes resueltos: primero el método y el perfil cíclico, después un dictamen oficial completo con el reloj delante, y luego los demás bloques.</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A.3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 lectura (en torno al 10 % del tiempo), sin escribir en las hojas de respuesta; al final, unos minutos de repaso (en torno al 5 %).</w:t>
      </w:r>
    </w:p>
    <w:p>
      <w:pPr>
        <w:numPr>
          <w:ilvl w:val="1"/>
          <w:numId w:val="1005"/>
        </w:numPr>
      </w:pPr>
      <w:r>
        <w:t xml:space="preserve">El resto se reparte entre las preguntas, pero no a partes iguales: más tiempo a las que tocan los</w:t>
      </w:r>
      <w:r>
        <w:t xml:space="preserve"> </w:t>
      </w:r>
      <w:r>
        <w:rPr>
          <w:i/>
          <w:iCs/>
        </w:rPr>
        <w:t xml:space="preserve">retos reales</w:t>
      </w:r>
      <w:r>
        <w:t xml:space="preserve"> </w:t>
      </w:r>
      <w:r>
        <w:t xml:space="preserve">de esa economía (sus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t xml:space="preserve">Ninguna pregunta en blanco: si se acaba el tiempo de una, se cierra con una frase de conclusión y se pasa a la siguiente. Cada pregunta se relee nada más redactarla.</w:t>
      </w:r>
    </w:p>
    <w:bookmarkStart w:id="22" w:name="esquema_de_la_gu__a"/>
    <w:p>
      <w:pPr>
        <w:pStyle w:val="Heading4"/>
      </w:pPr>
      <w:r>
        <w:t xml:space="preserve">Esquema de la guía</w:t>
      </w:r>
    </w:p>
    <w:p>
      <w:pPr>
        <w:keepNext/>
        <w:numPr>
          <w:ilvl w:val="0"/>
          <w:numId w:val="1006"/>
        </w:numPr>
      </w:pPr>
      <w:hyperlink w:anchor="sec_perfil">
        <w:r>
          <w:rPr>
            <w:rStyle w:val="Hyperlink"/>
            <w:b/>
            <w:bCs/>
          </w:rPr>
          <w:t xml:space="preserve">I</w:t>
        </w:r>
      </w:hyperlink>
      <w:r>
        <w:rPr>
          <w:b/>
          <w:bCs/>
        </w:rPr>
        <w:t xml:space="preserve">. Perfil cíclico de la economía</w:t>
      </w:r>
    </w:p>
    <w:p>
      <w:pPr>
        <w:numPr>
          <w:ilvl w:val="1"/>
          <w:numId w:val="1007"/>
        </w:numPr>
      </w:pPr>
      <w:hyperlink w:anchor="sec_pib">
        <w:r>
          <w:rPr>
            <w:rStyle w:val="Hyperlink"/>
          </w:rPr>
          <w:t xml:space="preserve">I.1</w:t>
        </w:r>
      </w:hyperlink>
      <w:r>
        <w:t xml:space="preserve">. Conceptos generales: el PIB y sus 3 enfoques; PIB, RNB y renta disponible.</w:t>
      </w:r>
    </w:p>
    <w:p>
      <w:pPr>
        <w:numPr>
          <w:ilvl w:val="1"/>
          <w:numId w:val="1007"/>
        </w:numPr>
      </w:pPr>
      <w:hyperlink w:anchor="sec_etapas">
        <w:r>
          <w:rPr>
            <w:rStyle w:val="Hyperlink"/>
          </w:rPr>
          <w:t xml:space="preserve">I.2</w:t>
        </w:r>
      </w:hyperlink>
      <w:r>
        <w:t xml:space="preserve">. Diagnóstico y etapas del ciclo: la frase ejecutiva; las fases.</w:t>
      </w:r>
    </w:p>
    <w:p>
      <w:pPr>
        <w:numPr>
          <w:ilvl w:val="1"/>
          <w:numId w:val="1007"/>
        </w:numPr>
      </w:pPr>
      <w:hyperlink w:anchor="sec_medidores">
        <w:r>
          <w:rPr>
            <w:rStyle w:val="Hyperlink"/>
          </w:rPr>
          <w:t xml:space="preserve">I.3</w:t>
        </w:r>
      </w:hyperlink>
      <w:r>
        <w:t xml:space="preserve">. Medidores: crecimiento del PIB real; brecha de producción y PIB potencial; PIB frente a RNB; indicadores adelantados y de alta frecuencia.</w:t>
      </w:r>
    </w:p>
    <w:p>
      <w:pPr>
        <w:numPr>
          <w:ilvl w:val="1"/>
          <w:numId w:val="1007"/>
        </w:numPr>
      </w:pPr>
      <w:hyperlink w:anchor="sec_demanda">
        <w:r>
          <w:rPr>
            <w:rStyle w:val="Hyperlink"/>
          </w:rPr>
          <w:t xml:space="preserve">I.4</w:t>
        </w:r>
      </w:hyperlink>
      <w:r>
        <w:t xml:space="preserve">. Demanda: el motor (contribuciones); consumo privado; inversión; consumo e inversión públicos; demanda externa.</w:t>
      </w:r>
    </w:p>
    <w:p>
      <w:pPr>
        <w:numPr>
          <w:ilvl w:val="1"/>
          <w:numId w:val="1007"/>
        </w:numPr>
      </w:pPr>
      <w:hyperlink w:anchor="sec_oferta">
        <w:r>
          <w:rPr>
            <w:rStyle w:val="Hyperlink"/>
          </w:rPr>
          <w:t xml:space="preserve">I.5</w:t>
        </w:r>
      </w:hyperlink>
      <w:r>
        <w:t xml:space="preserve">. Oferta: productividad o acumulación de factores; sectores; un sector dominante.</w:t>
      </w:r>
    </w:p>
    <w:p>
      <w:pPr>
        <w:numPr>
          <w:ilvl w:val="1"/>
          <w:numId w:val="1007"/>
        </w:numPr>
      </w:pPr>
      <w:hyperlink w:anchor="sec_anticipar">
        <w:r>
          <w:rPr>
            <w:rStyle w:val="Hyperlink"/>
          </w:rPr>
          <w:t xml:space="preserve">I.6</w:t>
        </w:r>
      </w:hyperlink>
      <w:r>
        <w:t xml:space="preserve">. Anticipar el diagnóstico: economía avanzada o emergente; desequilibrios y fortalezas.</w:t>
      </w:r>
    </w:p>
    <w:p>
      <w:pPr>
        <w:keepNext/>
        <w:numPr>
          <w:ilvl w:val="0"/>
          <w:numId w:val="1006"/>
        </w:numPr>
      </w:pPr>
      <w:hyperlink w:anchor="sec_factores">
        <w:r>
          <w:rPr>
            <w:rStyle w:val="Hyperlink"/>
            <w:b/>
            <w:bCs/>
          </w:rPr>
          <w:t xml:space="preserve">II</w:t>
        </w:r>
      </w:hyperlink>
      <w:r>
        <w:rPr>
          <w:b/>
          <w:bCs/>
        </w:rPr>
        <w:t xml:space="preserve">. Mercados de factores</w:t>
      </w:r>
    </w:p>
    <w:p>
      <w:pPr>
        <w:numPr>
          <w:ilvl w:val="1"/>
          <w:numId w:val="1008"/>
        </w:numPr>
      </w:pPr>
      <w:hyperlink w:anchor="sec_trabajo">
        <w:r>
          <w:rPr>
            <w:rStyle w:val="Hyperlink"/>
          </w:rPr>
          <w:t xml:space="preserve">II.1</w:t>
        </w:r>
      </w:hyperlink>
      <w:r>
        <w:t xml:space="preserve">. Mercado de trabajo: cantidades; productividad; salarios, CLU y margen; demanda y oferta de trabajo; tipos de paro, NAIRU e histéresis; curva de</w:t>
      </w:r>
      <w:r>
        <w:t xml:space="preserve"> </w:t>
      </w:r>
      <w:r>
        <w:rPr>
          <w:smallCaps/>
        </w:rPr>
        <w:t xml:space="preserve">Beveridge</w:t>
      </w:r>
      <w:r>
        <w:t xml:space="preserve">; demografía, migración y salario mínimo.</w:t>
      </w:r>
    </w:p>
    <w:p>
      <w:pPr>
        <w:numPr>
          <w:ilvl w:val="1"/>
          <w:numId w:val="1008"/>
        </w:numPr>
      </w:pPr>
      <w:hyperlink w:anchor="sec_capitales">
        <w:r>
          <w:rPr>
            <w:rStyle w:val="Hyperlink"/>
          </w:rPr>
          <w:t xml:space="preserve">II.2</w:t>
        </w:r>
      </w:hyperlink>
      <w:r>
        <w:t xml:space="preserve">. Mercado de capitales: capital físico; crédito y financiación.</w:t>
      </w:r>
    </w:p>
    <w:p>
      <w:pPr>
        <w:keepNext/>
        <w:numPr>
          <w:ilvl w:val="0"/>
          <w:numId w:val="1006"/>
        </w:numPr>
      </w:pPr>
      <w:hyperlink w:anchor="sec_competitividad">
        <w:r>
          <w:rPr>
            <w:rStyle w:val="Hyperlink"/>
            <w:b/>
            <w:bCs/>
          </w:rPr>
          <w:t xml:space="preserve">III</w:t>
        </w:r>
      </w:hyperlink>
      <w:r>
        <w:rPr>
          <w:b/>
          <w:bCs/>
        </w:rPr>
        <w:t xml:space="preserve">. Competitividad</w:t>
      </w:r>
    </w:p>
    <w:p>
      <w:pPr>
        <w:numPr>
          <w:ilvl w:val="1"/>
          <w:numId w:val="1009"/>
        </w:numPr>
      </w:pPr>
      <w:hyperlink w:anchor="sec_precios">
        <w:r>
          <w:rPr>
            <w:rStyle w:val="Hyperlink"/>
          </w:rPr>
          <w:t xml:space="preserve">III.1</w:t>
        </w:r>
      </w:hyperlink>
      <w:r>
        <w:t xml:space="preserve">. 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origen de la inflación; política que requiere.</w:t>
      </w:r>
    </w:p>
    <w:p>
      <w:pPr>
        <w:numPr>
          <w:ilvl w:val="1"/>
          <w:numId w:val="1009"/>
        </w:numPr>
      </w:pPr>
      <w:hyperlink w:anchor="sec_tipo_cambio">
        <w:r>
          <w:rPr>
            <w:rStyle w:val="Hyperlink"/>
          </w:rPr>
          <w:t xml:space="preserve">III.2</w:t>
        </w:r>
      </w:hyperlink>
      <w:r>
        <w:t xml:space="preserve">. Tipo de cambio: traspaso;</w:t>
      </w:r>
      <w:r>
        <w:t xml:space="preserve"> </w:t>
      </w:r>
      <w:r>
        <w:rPr>
          <w:smallCaps/>
        </w:rPr>
        <w:t xml:space="preserve">Marshall</w:t>
      </w:r>
      <w:r>
        <w:t xml:space="preserve">-</w:t>
      </w:r>
      <w:r>
        <w:rPr>
          <w:smallCaps/>
        </w:rPr>
        <w:t xml:space="preserve">Lerner</w:t>
      </w:r>
      <w:r>
        <w:t xml:space="preserve"> </w:t>
      </w:r>
      <w:r>
        <w:t xml:space="preserve">y curva J; régimen cambiario.</w:t>
      </w:r>
    </w:p>
    <w:p>
      <w:pPr>
        <w:numPr>
          <w:ilvl w:val="1"/>
          <w:numId w:val="1009"/>
        </w:numPr>
      </w:pPr>
      <w:hyperlink w:anchor="sec_no_precio">
        <w:r>
          <w:rPr>
            <w:rStyle w:val="Hyperlink"/>
          </w:rPr>
          <w:t xml:space="preserve">III.3</w:t>
        </w:r>
      </w:hyperlink>
      <w:r>
        <w:t xml:space="preserve">. Competitividad no precio y política comercial.</w:t>
      </w:r>
    </w:p>
    <w:p>
      <w:pPr>
        <w:keepNext/>
        <w:numPr>
          <w:ilvl w:val="0"/>
          <w:numId w:val="1006"/>
        </w:numPr>
      </w:pPr>
      <w:hyperlink w:anchor="sec_exterior">
        <w:r>
          <w:rPr>
            <w:rStyle w:val="Hyperlink"/>
            <w:b/>
            <w:bCs/>
          </w:rPr>
          <w:t xml:space="preserve">IV</w:t>
        </w:r>
      </w:hyperlink>
      <w:r>
        <w:rPr>
          <w:b/>
          <w:bCs/>
        </w:rPr>
        <w:t xml:space="preserve">. Sector exterior</w:t>
      </w:r>
    </w:p>
    <w:p>
      <w:pPr>
        <w:numPr>
          <w:ilvl w:val="1"/>
          <w:numId w:val="1010"/>
        </w:numPr>
      </w:pPr>
      <w:hyperlink w:anchor="sec_cuenta_corriente">
        <w:r>
          <w:rPr>
            <w:rStyle w:val="Hyperlink"/>
          </w:rPr>
          <w:t xml:space="preserve">IV.1</w:t>
        </w:r>
      </w:hyperlink>
      <w:r>
        <w:t xml:space="preserve">. ¿Capacidad o necesidad de financiación? La balanza de pagos; ahorro, inversión y saldos sectoriales.</w:t>
      </w:r>
    </w:p>
    <w:p>
      <w:pPr>
        <w:numPr>
          <w:ilvl w:val="1"/>
          <w:numId w:val="1010"/>
        </w:numPr>
      </w:pPr>
      <w:hyperlink w:anchor="sec_financiacion">
        <w:r>
          <w:rPr>
            <w:rStyle w:val="Hyperlink"/>
          </w:rPr>
          <w:t xml:space="preserve">IV.2</w:t>
        </w:r>
      </w:hyperlink>
      <w:r>
        <w:t xml:space="preserve">. ¿Cómo se financia? La cuenta financiera y las reservas.</w:t>
      </w:r>
    </w:p>
    <w:p>
      <w:pPr>
        <w:numPr>
          <w:ilvl w:val="1"/>
          <w:numId w:val="1010"/>
        </w:numPr>
      </w:pPr>
      <w:hyperlink w:anchor="sec_piin">
        <w:r>
          <w:rPr>
            <w:rStyle w:val="Hyperlink"/>
          </w:rPr>
          <w:t xml:space="preserve">IV.3</w:t>
        </w:r>
      </w:hyperlink>
      <w:r>
        <w:t xml:space="preserve">. Posición de inversión internacional y deuda externa.</w:t>
      </w:r>
    </w:p>
    <w:p>
      <w:pPr>
        <w:numPr>
          <w:ilvl w:val="1"/>
          <w:numId w:val="1010"/>
        </w:numPr>
      </w:pPr>
      <w:hyperlink w:anchor="sec_sostenibilidad_exterior">
        <w:r>
          <w:rPr>
            <w:rStyle w:val="Hyperlink"/>
          </w:rPr>
          <w:t xml:space="preserve">IV.4</w:t>
        </w:r>
      </w:hyperlink>
      <w:r>
        <w:t xml:space="preserve">. ¿Es sostenible?</w:t>
      </w:r>
    </w:p>
    <w:p>
      <w:pPr>
        <w:keepNext/>
        <w:numPr>
          <w:ilvl w:val="0"/>
          <w:numId w:val="1006"/>
        </w:numPr>
      </w:pPr>
      <w:hyperlink w:anchor="sec_politicas">
        <w:r>
          <w:rPr>
            <w:rStyle w:val="Hyperlink"/>
            <w:b/>
            <w:bCs/>
          </w:rPr>
          <w:t xml:space="preserve">V</w:t>
        </w:r>
      </w:hyperlink>
      <w:r>
        <w:rPr>
          <w:b/>
          <w:bCs/>
        </w:rPr>
        <w:t xml:space="preserve">. Políticas</w:t>
      </w:r>
    </w:p>
    <w:p>
      <w:pPr>
        <w:numPr>
          <w:ilvl w:val="1"/>
          <w:numId w:val="1011"/>
        </w:numPr>
      </w:pPr>
      <w:hyperlink w:anchor="sec_monetaria">
        <w:r>
          <w:rPr>
            <w:rStyle w:val="Hyperlink"/>
          </w:rPr>
          <w:t xml:space="preserve">V.1</w:t>
        </w:r>
      </w:hyperlink>
      <w:r>
        <w:t xml:space="preserve">. Política monetaria: diseño, tono, canales, eficacia, balance.</w:t>
      </w:r>
    </w:p>
    <w:p>
      <w:pPr>
        <w:numPr>
          <w:ilvl w:val="1"/>
          <w:numId w:val="1011"/>
        </w:numPr>
      </w:pPr>
      <w:hyperlink w:anchor="sec_estabilidad">
        <w:r>
          <w:rPr>
            <w:rStyle w:val="Hyperlink"/>
          </w:rPr>
          <w:t xml:space="preserve">V.2</w:t>
        </w:r>
      </w:hyperlink>
      <w:r>
        <w:t xml:space="preserve">. Estabilidad financiera y política macroprudencial: indicadores bancarios, riesgos, regulación micro y macroprudencial, supervisión y unión bancaria.</w:t>
      </w:r>
    </w:p>
    <w:p>
      <w:pPr>
        <w:numPr>
          <w:ilvl w:val="1"/>
          <w:numId w:val="1011"/>
        </w:numPr>
      </w:pPr>
      <w:hyperlink w:anchor="sec_fiscal">
        <w:r>
          <w:rPr>
            <w:rStyle w:val="Hyperlink"/>
          </w:rPr>
          <w:t xml:space="preserve">V.3</w:t>
        </w:r>
      </w:hyperlink>
      <w:r>
        <w:t xml:space="preserve">. Política fiscal y deuda pública: saldos y tono; reglas; sostenibilidad; inflación y cuentas públicas; otros análisis (estabilizadores, deuda a corto y regional, calificación, vida media).</w:t>
      </w:r>
    </w:p>
    <w:p>
      <w:pPr>
        <w:numPr>
          <w:ilvl w:val="1"/>
          <w:numId w:val="1011"/>
        </w:numPr>
      </w:pPr>
      <w:hyperlink w:anchor="sec_policy_mix">
        <w:r>
          <w:rPr>
            <w:rStyle w:val="Hyperlink"/>
          </w:rPr>
          <w:t xml:space="preserve">V.4</w:t>
        </w:r>
      </w:hyperlink>
      <w:r>
        <w:t xml:space="preserve">. Combinación de políticas (</w:t>
      </w:r>
      <w:r>
        <w:rPr>
          <w:i/>
          <w:iCs/>
        </w:rPr>
        <w:t xml:space="preserve">policy mix</w:t>
      </w:r>
      <w:r>
        <w:t xml:space="preserve">).</w:t>
      </w:r>
    </w:p>
    <w:p>
      <w:pPr>
        <w:numPr>
          <w:ilvl w:val="1"/>
          <w:numId w:val="1011"/>
        </w:numPr>
      </w:pPr>
      <w:hyperlink w:anchor="sec_politicas_oferta">
        <w:r>
          <w:rPr>
            <w:rStyle w:val="Hyperlink"/>
          </w:rPr>
          <w:t xml:space="preserve">V.5</w:t>
        </w:r>
      </w:hyperlink>
      <w:r>
        <w:t xml:space="preserve">. Políticas de oferta: progreso técnico, capital, mercado de trabajo, competencia.</w:t>
      </w:r>
    </w:p>
    <w:p>
      <w:pPr>
        <w:numPr>
          <w:ilvl w:val="0"/>
          <w:numId w:val="1006"/>
        </w:numPr>
      </w:pPr>
      <w:hyperlink w:anchor="sec_recomendaciones">
        <w:r>
          <w:rPr>
            <w:rStyle w:val="Hyperlink"/>
            <w:b/>
            <w:bCs/>
          </w:rPr>
          <w:t xml:space="preserve">VI</w:t>
        </w:r>
      </w:hyperlink>
      <w:r>
        <w:rPr>
          <w:b/>
          <w:bCs/>
        </w:rPr>
        <w:t xml:space="preserve">. Recomendaciones de política económica</w:t>
      </w:r>
      <w:r>
        <w:t xml:space="preserve">: cómo se plantea; recomendaciones por desequilibrio.</w:t>
      </w:r>
    </w:p>
    <w:bookmarkEnd w:id="22"/>
    <w:bookmarkEnd w:id="23"/>
    <w:bookmarkStart w:id="85" w:name="sec_perfil"/>
    <w:p>
      <w:pPr>
        <w:pStyle w:val="Heading1"/>
      </w:pPr>
      <w:r>
        <w:t xml:space="preserve">I.</w:t>
      </w:r>
      <w:r>
        <w:t xml:space="preserve"> </w:t>
      </w:r>
      <w:r>
        <w:t xml:space="preserve">Perfil cíclico de la economía</w:t>
      </w:r>
    </w:p>
    <w:p>
      <w:pPr>
        <w:keepNext/>
        <w:numPr>
          <w:ilvl w:val="0"/>
          <w:numId w:val="1012"/>
        </w:numPr>
      </w:pPr>
      <w:r>
        <w:t xml:space="preserve">La conclusión por adelantado: la pregunta del perfil cíclico se contesta en 3 pasos, siempre los mismos:</w:t>
      </w:r>
    </w:p>
    <w:p>
      <w:pPr>
        <w:numPr>
          <w:ilvl w:val="1"/>
          <w:numId w:val="1013"/>
        </w:numPr>
      </w:pPr>
      <w:r>
        <w:t xml:space="preserve">dividir la serie en fases con el crecimiento del PIB real y la brecha de producción;</w:t>
      </w:r>
    </w:p>
    <w:p>
      <w:pPr>
        <w:numPr>
          <w:ilvl w:val="1"/>
          <w:numId w:val="1013"/>
        </w:numPr>
      </w:pPr>
      <w:r>
        <w:t xml:space="preserve">explicar qué tira del crecimiento, por el lado de la demanda (interna o externa) y, si hay datos, por el de la oferta (empleo o productividad);</w:t>
      </w:r>
    </w:p>
    <w:p>
      <w:pPr>
        <w:numPr>
          <w:ilvl w:val="1"/>
          <w:numId w:val="1013"/>
        </w:numPr>
      </w:pPr>
      <w:r>
        <w:t xml:space="preserve">anticipar el diagnóstico, con los desequilibrios y las fortalezas.</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5" w:name="sec_pib"/>
    <w:p>
      <w:pPr>
        <w:pStyle w:val="Heading2"/>
      </w:pPr>
      <w:r>
        <w:t xml:space="preserve">I.1.</w:t>
      </w:r>
      <w:r>
        <w:t xml:space="preserve"> </w:t>
      </w:r>
      <w:r>
        <w:t xml:space="preserve">Conceptos generales: el PIB</w:t>
      </w:r>
    </w:p>
    <w:p>
      <w:pPr>
        <w:numPr>
          <w:ilvl w:val="0"/>
          <w:numId w:val="1014"/>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14"/>
        </w:numPr>
      </w:pPr>
      <w:r>
        <w:rPr>
          <w:i/>
          <w:iCs/>
        </w:rPr>
        <w:t xml:space="preserve">Los 3 enfoques</w:t>
      </w:r>
      <w:r>
        <w:t xml:space="preserve">, que también son las 3 formas de descomponer el PIB en el análisis:</w:t>
      </w:r>
    </w:p>
    <w:p>
      <w:pPr>
        <w:numPr>
          <w:ilvl w:val="1"/>
          <w:numId w:val="1015"/>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15"/>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4"/>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15"/>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14"/>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14"/>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5"/>
    <w:bookmarkStart w:id="34" w:name="sec_etapas"/>
    <w:p>
      <w:pPr>
        <w:pStyle w:val="Heading2"/>
      </w:pPr>
      <w:r>
        <w:t xml:space="preserve">I.2.</w:t>
      </w:r>
      <w:r>
        <w:t xml:space="preserve"> </w:t>
      </w:r>
      <w:r>
        <w:t xml:space="preserve">Diagnóstico y etapas del ciclo</w:t>
      </w:r>
    </w:p>
    <w:bookmarkStart w:id="27" w:name="la_frase_ejecutiva"/>
    <w:p>
      <w:pPr>
        <w:pStyle w:val="Heading4"/>
      </w:pPr>
      <w:r>
        <w:t xml:space="preserve">La frase ejecutiva</w:t>
      </w:r>
    </w:p>
    <w:p>
      <w:pPr>
        <w:numPr>
          <w:ilvl w:val="0"/>
          <w:numId w:val="1016"/>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6"/>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6"/>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6"/>
      </w:r>
    </w:p>
    <w:p>
      <w:pPr>
        <w:numPr>
          <w:ilvl w:val="0"/>
          <w:numId w:val="1016"/>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D.1</w:t>
        </w:r>
      </w:hyperlink>
      <w:r>
        <w:t xml:space="preserve">).</w:t>
      </w:r>
    </w:p>
    <w:bookmarkEnd w:id="27"/>
    <w:bookmarkStart w:id="33" w:name="las_fases_del_ciclo"/>
    <w:p>
      <w:pPr>
        <w:pStyle w:val="Heading4"/>
      </w:pPr>
      <w:r>
        <w:t xml:space="preserve">Las fases del ciclo</w:t>
      </w:r>
    </w:p>
    <w:p>
      <w:pPr>
        <w:numPr>
          <w:ilvl w:val="0"/>
          <w:numId w:val="1017"/>
        </w:numPr>
      </w:pPr>
      <w:r>
        <w:t xml:space="preserve">El</w:t>
      </w:r>
      <w:r>
        <w:t xml:space="preserve"> </w:t>
      </w:r>
      <w:r>
        <w:rPr>
          <w:b/>
          <w:bCs/>
        </w:rPr>
        <w:t xml:space="preserve">ciclo económico</w:t>
      </w:r>
      <w:r>
        <w:t xml:space="preserve"> </w:t>
      </w:r>
      <w:r>
        <w:t xml:space="preserve">es la oscilación de la actividad alrededor de su tendencia: de un pico a un valle, la contracción; de un valle a un pico, la expansión</w:t>
      </w:r>
      <w:r>
        <w:t xml:space="preserve"> </w:t>
      </w:r>
      <w:hyperlink r:id="rId21">
        <w:r>
          <w:rPr>
            <w:rStyle w:val="Referenciaatema"/>
          </w:rPr>
          <w:t xml:space="preserve">[ver tema 3.A.42]</w:t>
        </w:r>
      </w:hyperlink>
      <w:r>
        <w:t xml:space="preserve">.</w:t>
      </w:r>
    </w:p>
    <w:p>
      <w:pPr>
        <w:keepNext/>
        <w:numPr>
          <w:ilvl w:val="0"/>
          <w:numId w:val="1017"/>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8"/>
        </w:numPr>
      </w:pPr>
      <w:r>
        <w:rPr>
          <w:b/>
          <w:bCs/>
        </w:rPr>
        <w:t xml:space="preserve">recuperación</w:t>
      </w:r>
      <w:r>
        <w:t xml:space="preserve">: el PIB crece y más que el potencial, pero la brecha aún es negativa (se está cerrando);</w:t>
      </w:r>
    </w:p>
    <w:p>
      <w:pPr>
        <w:numPr>
          <w:ilvl w:val="1"/>
          <w:numId w:val="1018"/>
        </w:numPr>
      </w:pPr>
      <w:r>
        <w:rPr>
          <w:b/>
          <w:bCs/>
        </w:rPr>
        <w:t xml:space="preserve">expansión</w:t>
      </w:r>
      <w:r>
        <w:t xml:space="preserve">: la brecha es positiva y se sigue abriendo;</w:t>
      </w:r>
    </w:p>
    <w:p>
      <w:pPr>
        <w:numPr>
          <w:ilvl w:val="1"/>
          <w:numId w:val="1018"/>
        </w:numPr>
      </w:pPr>
      <w:r>
        <w:rPr>
          <w:b/>
          <w:bCs/>
        </w:rPr>
        <w:t xml:space="preserve">desaceleración</w:t>
      </w:r>
      <w:r>
        <w:t xml:space="preserve">: el PIB aún crece, pero menos que el potencial, y la brecha se reduce;</w:t>
      </w:r>
    </w:p>
    <w:p>
      <w:pPr>
        <w:numPr>
          <w:ilvl w:val="1"/>
          <w:numId w:val="1018"/>
        </w:numPr>
      </w:pPr>
      <w:r>
        <w:rPr>
          <w:b/>
          <w:bCs/>
        </w:rPr>
        <w:t xml:space="preserve">recesión</w:t>
      </w:r>
      <w:r>
        <w:t xml:space="preserve">: el PIB cae y la brecha se vuelve negativa (gráfico </w:t>
      </w:r>
      <w:hyperlink w:anchor="fig_fases_ciclo">
        <w:r>
          <w:rPr>
            <w:rStyle w:val="Hyperlink"/>
          </w:rPr>
          <w:t xml:space="preserve">1</w:t>
        </w:r>
      </w:hyperlink>
      <w:r>
        <w:t xml:space="preserve">).</w:t>
      </w:r>
    </w:p>
    <w:p>
      <w:pPr>
        <w:numPr>
          <w:ilvl w:val="0"/>
          <w:numId w:val="1017"/>
        </w:numPr>
      </w:pPr>
      <w:r>
        <w:t xml:space="preserve">La forma de la recesión 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7"/>
        </w:numPr>
      </w:pPr>
      <w:r>
        <w:t xml:space="preserve">Recesión es, como regla práctica, una caída del PIB real durante 2 trimestres seguidos; depresión, una caída de más del 10 % o una recesión de más de 3 años.</w:t>
      </w:r>
      <w:r>
        <w:rPr>
          <w:rStyle w:val="FootnoteReference"/>
        </w:rPr>
        <w:footnoteReference w:id="28"/>
      </w:r>
    </w:p>
    <w:bookmarkStart w:id="32" w:name="fig_fases_ciclo"/>
    <w:p>
      <w:pPr>
        <w:pStyle w:val="ImageCaption"/>
      </w:pPr>
      <w:r>
        <w:t xml:space="preserve">Gráfico 1.–</w:t>
      </w:r>
      <w:r>
        <w:t xml:space="preserve"> </w:t>
      </w:r>
      <w:r>
        <w:t xml:space="preserve">Las 4 fases del ciclo según la brecha de producción</w:t>
      </w:r>
    </w:p>
    <w:p>
      <w:pPr>
        <w:pStyle w:val="CaptionedFigure"/>
      </w:pPr>
      <w:r>
        <w:drawing>
          <wp:inline>
            <wp:extent cx="3462020" cy="1186847"/>
            <wp:effectExtent b="0" l="0" r="0" t="0"/>
            <wp:docPr descr="Gráfico 1.– Las 4 fases del ciclo según la brecha de producción" title="" id="30" name="Picture"/>
            <a:graphic>
              <a:graphicData uri="http://schemas.openxmlformats.org/drawingml/2006/picture">
                <pic:pic>
                  <pic:nvPicPr>
                    <pic:cNvPr descr="C:\Users\vgutierrez\Documents\src\victorgutierrezmarcos.github.io-revision\oposicion\temario\fuentes\1D01\graficos/fases-ciclo-brecha.png" id="31" name="Picture"/>
                    <pic:cNvPicPr>
                      <a:picLocks noChangeArrowheads="1" noChangeAspect="1"/>
                    </pic:cNvPicPr>
                  </pic:nvPicPr>
                  <pic:blipFill>
                    <a:blip r:embed="rId29"/>
                    <a:stretch>
                      <a:fillRect/>
                    </a:stretch>
                  </pic:blipFill>
                  <pic:spPr bwMode="auto">
                    <a:xfrm>
                      <a:off x="0" y="0"/>
                      <a:ext cx="3462020" cy="1186847"/>
                    </a:xfrm>
                    <a:prstGeom prst="rect">
                      <a:avLst/>
                    </a:prstGeom>
                    <a:noFill/>
                    <a:ln w="9525">
                      <a:noFill/>
                      <a:headEnd/>
                      <a:tailEnd/>
                    </a:ln>
                  </pic:spPr>
                </pic:pic>
              </a:graphicData>
            </a:graphic>
          </wp:inline>
        </w:drawing>
      </w:r>
    </w:p>
    <w:bookmarkEnd w:id="32"/>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9"/>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9"/>
        </w:numPr>
      </w:pPr>
      <w:r>
        <w:rPr>
          <w:i/>
          <w:iCs/>
        </w:rPr>
        <w:t xml:space="preserve">Visión de conjunto</w:t>
      </w:r>
      <w:r>
        <w:t xml:space="preserve">: lo atípico se señala como excepción («crecimiento sostenido entre 20xx y 20xx, salvo una ligera desaceleración en 20xx»), sin contar la serie año a año.</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33"/>
    <w:bookmarkEnd w:id="34"/>
    <w:bookmarkStart w:id="49" w:name="sec_medidores"/>
    <w:p>
      <w:pPr>
        <w:pStyle w:val="Heading2"/>
      </w:pPr>
      <w:r>
        <w:t xml:space="preserve">I.3.</w:t>
      </w:r>
      <w:r>
        <w:t xml:space="preserve"> </w:t>
      </w:r>
      <w:r>
        <w:t xml:space="preserve">Medidores</w:t>
      </w:r>
    </w:p>
    <w:p>
      <w:pPr>
        <w:numPr>
          <w:ilvl w:val="0"/>
          <w:numId w:val="1020"/>
        </w:numPr>
      </w:pPr>
      <w:r>
        <w:t xml:space="preserve">La idea: para dividir la serie se usa el crecimiento del PIB real, que el cuadro da siempre, y se completa con la brecha de producción,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36"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35">
        <w:r>
          <w:rPr>
            <w:rStyle w:val="Referenciaatema"/>
          </w:rPr>
          <w:t xml:space="preserve">[ver tema 4.A.1]</w:t>
        </w:r>
      </w:hyperlink>
      <w:r>
        <w:t xml:space="preserve">.</w:t>
      </w:r>
    </w:p>
    <w:bookmarkEnd w:id="36"/>
    <w:bookmarkStart w:id="42"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37"/>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39">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D</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40"/>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t xml:space="preserve">Si la economía crece con fuerza y la brecha no se cierra, el potencial crece mucho: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41">
        <w:r>
          <w:rPr>
            <w:rStyle w:val="Referenciaatema"/>
          </w:rPr>
          <w:t xml:space="preserve">[ver tema 3.A.45]</w:t>
        </w:r>
      </w:hyperlink>
      <w:r>
        <w:t xml:space="preserve"> </w:t>
      </w:r>
      <w:hyperlink r:id="rId38">
        <w:r>
          <w:rPr>
            <w:rStyle w:val="Referenciaatema"/>
          </w:rPr>
          <w:t xml:space="preserve">[ver tema 3.A.28]</w:t>
        </w:r>
      </w:hyperlink>
      <w:r>
        <w:t xml:space="preserve"> </w:t>
      </w:r>
      <w:hyperlink r:id="rId39">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42"/>
    <w:bookmarkStart w:id="45"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43">
        <w:r>
          <w:rPr>
            <w:rStyle w:val="Referenciaatema"/>
          </w:rPr>
          <w:t xml:space="preserve">[ver tema 3.B.11]</w:t>
        </w:r>
      </w:hyperlink>
      <w:r>
        <w:t xml:space="preserve"> </w:t>
      </w:r>
      <w:hyperlink r:id="rId44">
        <w:r>
          <w:rPr>
            <w:rStyle w:val="Referenciaatema"/>
          </w:rPr>
          <w:t xml:space="preserve">[ver tema 4.A.21]</w:t>
        </w:r>
      </w:hyperlink>
      <w:r>
        <w:t xml:space="preserve">.</w:t>
      </w:r>
    </w:p>
    <w:bookmarkEnd w:id="45"/>
    <w:bookmarkStart w:id="48"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 Por encima de 50, la actividad</w:t>
      </w:r>
      <w:r>
        <w:t xml:space="preserve"> </w:t>
      </w:r>
      <w:r>
        <w:rPr>
          <w:i/>
          <w:iCs/>
        </w:rPr>
        <w:t xml:space="preserve">crece</w:t>
      </w:r>
      <w:r>
        <w:t xml:space="preserve"> </w:t>
      </w:r>
      <w:r>
        <w:t xml:space="preserve">respecto al mes anterior (no que esté alta);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46"/>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8</w:t>
        </w:r>
      </w:hyperlink>
      <w:r>
        <w:t xml:space="preserve">, en el anexo </w:t>
      </w:r>
      <w:hyperlink w:anchor="anexo_series">
        <w:r>
          <w:rPr>
            <w:rStyle w:val="Hyperlink"/>
          </w:rPr>
          <w:t xml:space="preserve">F</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35">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48"/>
    <w:bookmarkEnd w:id="49"/>
    <w:bookmarkStart w:id="73"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55"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r>
            <m:rPr>
              <m:sty m:val="p"/>
            </m:rPr>
            <m:t>.</m:t>
          </m:r>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G.2</w:t>
        </w:r>
      </w:hyperlink>
      <w:r>
        <w:t xml:space="preserve">.</w:t>
      </w:r>
    </w:p>
    <w:p>
      <w:pPr>
        <w:numPr>
          <w:ilvl w:val="0"/>
          <w:numId w:val="1030"/>
        </w:numPr>
      </w:pPr>
      <w:r>
        <w:rPr>
          <w:i/>
          <w:iCs/>
        </w:rPr>
        <w:t xml:space="preserve">Unidades</w:t>
      </w:r>
      <w:r>
        <w:t xml:space="preserve">: las contribuciones se miden en</w:t>
      </w:r>
      <w:r>
        <w:t xml:space="preserve"> </w:t>
      </w:r>
      <w:r>
        <w:rPr>
          <w:i/>
          <w:iCs/>
        </w:rPr>
        <w:t xml:space="preserve">puntos porcentuales</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4.A.29]</w:t>
        </w:r>
      </w:hyperlink>
      <w:r>
        <w:t xml:space="preserve">.</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D</w:t>
        </w:r>
      </w:hyperlink>
      <w:r>
        <w:t xml:space="preserve">.</w:t>
      </w:r>
    </w:p>
    <w:bookmarkStart w:id="54" w:name="fig_contribuciones_pib_zona_euro"/>
    <w:p>
      <w:pPr>
        <w:pStyle w:val="ImageCaption"/>
      </w:pPr>
      <w:r>
        <w:t xml:space="preserve">Gráfico 2.–</w:t>
      </w:r>
      <w:r>
        <w:t xml:space="preserve"> </w:t>
      </w:r>
      <w:r>
        <w:t xml:space="preserve">Contribuciones al crecimiento del PIB real de la zona del euro</w:t>
      </w:r>
    </w:p>
    <w:p>
      <w:pPr>
        <w:pStyle w:val="CaptionedFigure"/>
      </w:pPr>
      <w:r>
        <w:drawing>
          <wp:inline>
            <wp:extent cx="4058920" cy="2259279"/>
            <wp:effectExtent b="0" l="0" r="0" t="0"/>
            <wp:docPr descr="Gráfico 2.– Contribuciones al crecimiento del PIB real de la zona del euro" title="" id="52" name="Picture"/>
            <a:graphic>
              <a:graphicData uri="http://schemas.openxmlformats.org/drawingml/2006/picture">
                <pic:pic>
                  <pic:nvPicPr>
                    <pic:cNvPr descr="C:\Users\vgutierrez\Documents\src\victorgutierrezmarcos.github.io-revision\oposicion\temario\fuentes\1D01\graficos/contribuciones-pib-zona-euro.png" id="53" name="Picture"/>
                    <pic:cNvPicPr>
                      <a:picLocks noChangeArrowheads="1" noChangeAspect="1"/>
                    </pic:cNvPicPr>
                  </pic:nvPicPr>
                  <pic:blipFill>
                    <a:blip r:embed="rId51"/>
                    <a:stretch>
                      <a:fillRect/>
                    </a:stretch>
                  </pic:blipFill>
                  <pic:spPr bwMode="auto">
                    <a:xfrm>
                      <a:off x="0" y="0"/>
                      <a:ext cx="4058920" cy="2259279"/>
                    </a:xfrm>
                    <a:prstGeom prst="rect">
                      <a:avLst/>
                    </a:prstGeom>
                    <a:noFill/>
                    <a:ln w="9525">
                      <a:noFill/>
                      <a:headEnd/>
                      <a:tailEnd/>
                    </a:ln>
                  </pic:spPr>
                </pic:pic>
              </a:graphicData>
            </a:graphic>
          </wp:inline>
        </w:drawing>
      </w:r>
    </w:p>
    <w:bookmarkEnd w:id="54"/>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bookmarkEnd w:id="55"/>
    <w:bookmarkStart w:id="62"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w:t>
      </w:r>
      <w:r>
        <w:t xml:space="preserve">: el menos volátil de los componentes privados, por su peso y porque los hogares prefieren suavizar el consumo según su renta permanente</w:t>
      </w:r>
      <w:r>
        <w:t xml:space="preserve"> </w:t>
      </w:r>
      <w:hyperlink r:id="rId56">
        <w:r>
          <w:rPr>
            <w:rStyle w:val="Referenciaatema"/>
          </w:rPr>
          <w:t xml:space="preserve">[ver tema 3.A.33]</w:t>
        </w:r>
      </w:hyperlink>
      <w:r>
        <w:t xml:space="preserve">. Si en el cuadro es más volátil que el PIB, puede haber sobrecalentamiento e inflación de demanda.</w:t>
      </w:r>
    </w:p>
    <w:p>
      <w:pPr>
        <w:numPr>
          <w:ilvl w:val="1"/>
          <w:numId w:val="1033"/>
        </w:numPr>
      </w:pPr>
      <w:r>
        <w:rPr>
          <w:i/>
          <w:iCs/>
        </w:rPr>
        <w:t xml:space="preserve">Comovimiento</w:t>
      </w:r>
      <w:r>
        <w:t xml:space="preserve">: procíclico y contemporáneo con el PIB; los bienes duraderos, más volátiles</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56">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57"/>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58"/>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59">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60">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61"/>
      </w:r>
    </w:p>
    <w:p>
      <w:pPr>
        <w:numPr>
          <w:ilvl w:val="0"/>
          <w:numId w:val="1032"/>
        </w:numPr>
      </w:pPr>
      <w:r>
        <w:rPr>
          <w:i/>
          <w:iCs/>
        </w:rPr>
        <w:t xml:space="preserve">Un ejemplo de lectura</w:t>
      </w:r>
      <w:r>
        <w:t xml:space="preserve">: el consumo, la renta disponible y el ahorro de los hogares de la zona del euro desde 2012, con el ahorro forzoso de 2020, están en el gráfico </w:t>
      </w:r>
      <w:hyperlink w:anchor="fig_consumo_renta_ahorro">
        <w:r>
          <w:rPr>
            <w:rStyle w:val="Hyperlink"/>
          </w:rPr>
          <w:t xml:space="preserve">10</w:t>
        </w:r>
      </w:hyperlink>
      <w:r>
        <w:t xml:space="preserve">, en los anexos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62"/>
    <w:bookmarkStart w:id="69"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63"/>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65"/>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 es demanda a corto plazo y oferta a largo, porque acumula capital y eleva el potencial</w:t>
      </w:r>
      <w:r>
        <w:t xml:space="preserve"> </w:t>
      </w:r>
      <w:hyperlink r:id="rId41">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w:t>
      </w:r>
      <w:r>
        <w:t xml:space="preserve">: el componente más volátil, varias veces más que el PIB,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w:t>
      </w:r>
    </w:p>
    <w:p>
      <w:pPr>
        <w:numPr>
          <w:ilvl w:val="1"/>
          <w:numId w:val="1037"/>
        </w:numPr>
      </w:pPr>
      <w:r>
        <w:rPr>
          <w:i/>
          <w:iCs/>
        </w:rPr>
        <w:t xml:space="preserve">Comovimiento</w:t>
      </w:r>
      <w:r>
        <w:t xml:space="preserve">: procíclica; la inversión en equipo, contemporánea o algo retrasada, y la residencial, adelantada</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66"/>
      </w:r>
      <w:r>
        <w:t xml:space="preserve"> </w:t>
      </w:r>
      <w:r>
        <w:t xml:space="preserve">inflación actual (encarece los costes y aumenta la incertidumbre); costes de construcción y precio real del equipo; incertidumbre económica y política.</w:t>
      </w:r>
      <w:r>
        <w:rPr>
          <w:rStyle w:val="FootnoteReference"/>
        </w:rPr>
        <w:footnoteReference w:id="67"/>
      </w:r>
    </w:p>
    <w:p>
      <w:pPr>
        <w:numPr>
          <w:ilvl w:val="1"/>
          <w:numId w:val="1038"/>
        </w:numPr>
      </w:pPr>
      <w:r>
        <w:rPr>
          <w:i/>
          <w:i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68">
        <w:r>
          <w:rPr>
            <w:rStyle w:val="Referenciaatema"/>
          </w:rPr>
          <w:t xml:space="preserve">[ver tema 3.A.34]</w:t>
        </w:r>
      </w:hyperlink>
      <w:r>
        <w:t xml:space="preserve"> </w:t>
      </w:r>
      <w:hyperlink r:id="rId50">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69"/>
    <w:bookmarkStart w:id="70"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70"/>
    <w:bookmarkStart w:id="72"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9</w:t>
        </w:r>
      </w:hyperlink>
      <w:r>
        <w:t xml:space="preserve">, en los anexos.</w:t>
      </w:r>
      <w:r>
        <w:rPr>
          <w:rStyle w:val="FootnoteReference"/>
        </w:rPr>
        <w:footnoteReference w:id="71"/>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72"/>
    <w:bookmarkEnd w:id="73"/>
    <w:bookmarkStart w:id="82"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75"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41">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BodyText"/>
        <w:keepNext/>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r>
            <m:rPr>
              <m:sty m:val="p"/>
            </m:rPr>
            <m:t>.</m:t>
          </m:r>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 extensivo (más factores);</w:t>
      </w:r>
    </w:p>
    <w:p>
      <w:pPr>
        <w:numPr>
          <w:ilvl w:val="1"/>
          <w:numId w:val="1043"/>
        </w:numPr>
      </w:pPr>
      <w:r>
        <w:t xml:space="preserve">crecimiento con PAT al alza: patrón intensivo, más sostenible;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41">
        <w:r>
          <w:rPr>
            <w:rStyle w:val="Referenciaatema"/>
          </w:rPr>
          <w:t xml:space="preserve">[ver tema 3.A.45]</w:t>
        </w:r>
      </w:hyperlink>
      <w:r>
        <w:t xml:space="preserve"> </w:t>
      </w:r>
      <w:hyperlink r:id="rId74">
        <w:r>
          <w:rPr>
            <w:rStyle w:val="Referenciaatema"/>
          </w:rPr>
          <w:t xml:space="preserve">[ver tema 3.A.43]</w:t>
        </w:r>
      </w:hyperlink>
      <w:r>
        <w:t xml:space="preserve"> </w:t>
      </w:r>
      <w:hyperlink r:id="rId50">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75"/>
    <w:bookmarkStart w:id="80"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76">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77">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64">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78">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79">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D.1</w:t>
        </w:r>
      </w:hyperlink>
      <w:r>
        <w:t xml:space="preserve">.</w:t>
      </w:r>
    </w:p>
    <w:bookmarkEnd w:id="80"/>
    <w:bookmarkStart w:id="81" w:name="un_sector_dominante"/>
    <w:p>
      <w:pPr>
        <w:pStyle w:val="Heading4"/>
      </w:pPr>
      <w:r>
        <w:t xml:space="preserve">Un sector dominante</w:t>
      </w:r>
    </w:p>
    <w:p>
      <w:pPr>
        <w:numPr>
          <w:ilvl w:val="0"/>
          <w:numId w:val="1046"/>
        </w:numPr>
      </w:pPr>
      <w:r>
        <w:t xml:space="preserve">Si un sector (petróleo, materias primas, turismo) pesa mucho en el VAB, en las exportaciones o en los ingresos públicos, su precio mueve todo el cuadro. Los canales de un cambio del precio del petróleo, sus riesgos (enfermedad holandesa, política fiscal procíclica) y las recomendaciones están en el anexo </w:t>
      </w:r>
      <w:hyperlink w:anchor="anexo_casos">
        <w:r>
          <w:rPr>
            <w:rStyle w:val="Hyperlink"/>
          </w:rPr>
          <w:t xml:space="preserve">E</w:t>
        </w:r>
      </w:hyperlink>
      <w:r>
        <w:t xml:space="preserve">.</w:t>
      </w:r>
    </w:p>
    <w:bookmarkEnd w:id="81"/>
    <w:bookmarkEnd w:id="82"/>
    <w:bookmarkStart w:id="84" w:name="sec_anticipar"/>
    <w:p>
      <w:pPr>
        <w:pStyle w:val="Heading2"/>
      </w:pPr>
      <w:r>
        <w:t xml:space="preserve">I.6.</w:t>
      </w:r>
      <w:r>
        <w:t xml:space="preserve"> </w:t>
      </w:r>
      <w:r>
        <w:t xml:space="preserve">Anticipar el diagnóstico</w:t>
      </w:r>
    </w:p>
    <w:p>
      <w:pPr>
        <w:numPr>
          <w:ilvl w:val="0"/>
          <w:numId w:val="1047"/>
        </w:numPr>
      </w:pPr>
      <w:r>
        <w:t xml:space="preserve">La idea: si está claro y da tiempo, la respuesta del perfil cíclico se cierra con un diagnóstico general que anuncia lo que se desarrollará después. Se deja hueco y se escribe al final.</w:t>
      </w:r>
    </w:p>
    <w:p>
      <w:pPr>
        <w:numPr>
          <w:ilvl w:val="0"/>
          <w:numId w:val="1047"/>
        </w:numPr>
      </w:pPr>
      <w:r>
        <w:t xml:space="preserve">Sin intentar adivinar el país, hay rasgos que cambian la lectura según sea una economía avanzada o emergente (tabla </w:t>
      </w:r>
      <w:hyperlink w:anchor="tab_avanzada_emergente">
        <w:r>
          <w:rPr>
            <w:rStyle w:val="Hyperlink"/>
          </w:rPr>
          <w:t xml:space="preserve">15</w:t>
        </w:r>
      </w:hyperlink>
      <w:r>
        <w:t xml:space="preserve"> </w:t>
      </w:r>
      <w:r>
        <w:t xml:space="preserve">y su comentario, en el anexo </w:t>
      </w:r>
      <w:hyperlink w:anchor="anexo_indicadores">
        <w:r>
          <w:rPr>
            <w:rStyle w:val="Hyperlink"/>
          </w:rPr>
          <w:t xml:space="preserve">B</w:t>
        </w:r>
      </w:hyperlink>
      <w:r>
        <w:t xml:space="preserve">).</w:t>
      </w:r>
    </w:p>
    <w:p>
      <w:pPr>
        <w:numPr>
          <w:ilvl w:val="0"/>
          <w:numId w:val="1047"/>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83" w:name="desequilibrios_y_fortalezas_t__picos"/>
    <w:p>
      <w:pPr>
        <w:pStyle w:val="Heading4"/>
      </w:pPr>
      <w:r>
        <w:t xml:space="preserve">Desequilibrios y fortalezas típicos</w:t>
      </w:r>
    </w:p>
    <w:p>
      <w:pPr>
        <w:keepNext/>
        <w:numPr>
          <w:ilvl w:val="0"/>
          <w:numId w:val="1048"/>
        </w:numPr>
      </w:pPr>
      <w:r>
        <w:t xml:space="preserve">Los desequilibrios que más se repiten en los dictámenes, con el indicador que los delata:</w:t>
      </w:r>
    </w:p>
    <w:p>
      <w:pPr>
        <w:numPr>
          <w:ilvl w:val="1"/>
          <w:numId w:val="1049"/>
        </w:numPr>
      </w:pPr>
      <w:r>
        <w:rPr>
          <w:i/>
          <w:iCs/>
        </w:rPr>
        <w:t xml:space="preserve">Débil crecimiento o recesión</w:t>
      </w:r>
      <w:r>
        <w:t xml:space="preserve">: PIB real que crece poco o cae; crecimiento potencial bajo.</w:t>
      </w:r>
    </w:p>
    <w:p>
      <w:pPr>
        <w:numPr>
          <w:ilvl w:val="1"/>
          <w:numId w:val="1049"/>
        </w:numPr>
      </w:pPr>
      <w:r>
        <w:rPr>
          <w:i/>
          <w:iCs/>
        </w:rPr>
        <w:t xml:space="preserve">Demanda interna anémica</w:t>
      </w:r>
      <w:r>
        <w:t xml:space="preserve">: consumo privado que apenas crece.</w:t>
      </w:r>
    </w:p>
    <w:p>
      <w:pPr>
        <w:numPr>
          <w:ilvl w:val="1"/>
          <w:numId w:val="1049"/>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49"/>
        </w:numPr>
      </w:pPr>
      <w:r>
        <w:rPr>
          <w:i/>
          <w:iCs/>
        </w:rPr>
        <w:t xml:space="preserve">Mercado de trabajo deficiente</w:t>
      </w:r>
      <w:r>
        <w:t xml:space="preserve">: paro alto y persistente, CLU crecientes.</w:t>
      </w:r>
    </w:p>
    <w:p>
      <w:pPr>
        <w:numPr>
          <w:ilvl w:val="1"/>
          <w:numId w:val="1049"/>
        </w:numPr>
      </w:pPr>
      <w:r>
        <w:rPr>
          <w:i/>
          <w:iCs/>
        </w:rPr>
        <w:t xml:space="preserve">Déficit y deuda públicos</w:t>
      </w:r>
      <w:r>
        <w:t xml:space="preserve">: altos, persistentes o con trayectoria insostenible.</w:t>
      </w:r>
    </w:p>
    <w:p>
      <w:pPr>
        <w:numPr>
          <w:ilvl w:val="1"/>
          <w:numId w:val="1049"/>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49"/>
        </w:numPr>
      </w:pPr>
      <w:r>
        <w:rPr>
          <w:i/>
          <w:iCs/>
        </w:rPr>
        <w:t xml:space="preserve">Riesgos en el sistema financiero</w:t>
      </w:r>
      <w:r>
        <w:t xml:space="preserve">: prima de riesgo alta, endeudamiento privado y público alto, morosidad, racionamiento del crédito.</w:t>
      </w:r>
    </w:p>
    <w:p>
      <w:pPr>
        <w:numPr>
          <w:ilvl w:val="1"/>
          <w:numId w:val="1049"/>
        </w:numPr>
      </w:pPr>
      <w:r>
        <w:rPr>
          <w:i/>
          <w:iCs/>
        </w:rPr>
        <w:t xml:space="preserve">Estructura sectorial desequilibrada</w:t>
      </w:r>
      <w:r>
        <w:t xml:space="preserve">: dependencia de un sector (inmobiliario, energético, materias primas).</w:t>
      </w:r>
    </w:p>
    <w:p>
      <w:pPr>
        <w:numPr>
          <w:ilvl w:val="0"/>
          <w:numId w:val="1048"/>
        </w:numPr>
      </w:pPr>
      <w:r>
        <w:t xml:space="preserve">Las fortalezas son su reverso (tabla </w:t>
      </w:r>
      <w:hyperlink w:anchor="tab_matriz">
        <w:r>
          <w:rPr>
            <w:rStyle w:val="Hyperlink"/>
          </w:rPr>
          <w:t xml:space="preserve">7</w:t>
        </w:r>
      </w:hyperlink>
      <w:r>
        <w:t xml:space="preserve">, en el anexo </w:t>
      </w:r>
      <w:hyperlink w:anchor="anexo_matriz">
        <w:r>
          <w:rPr>
            <w:rStyle w:val="Hyperlink"/>
          </w:rPr>
          <w:t xml:space="preserve">A.7</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0"/>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83"/>
    <w:bookmarkEnd w:id="84"/>
    <w:bookmarkEnd w:id="85"/>
    <w:bookmarkStart w:id="113" w:name="sec_factores"/>
    <w:p>
      <w:pPr>
        <w:pStyle w:val="Heading1"/>
      </w:pPr>
      <w:r>
        <w:t xml:space="preserve">II.</w:t>
      </w:r>
      <w:r>
        <w:t xml:space="preserve"> </w:t>
      </w:r>
      <w:r>
        <w:t xml:space="preserve">Mercados de factores</w:t>
      </w:r>
    </w:p>
    <w:p>
      <w:pPr>
        <w:numPr>
          <w:ilvl w:val="0"/>
          <w:numId w:val="1051"/>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1"/>
        </w:numPr>
      </w:pPr>
      <w:r>
        <w:t xml:space="preserve">Desde el punto de vista macroeconómico, el trabajo es, junto con el capital, uno de los 2 factores de producción (la tierra se suele incluir en el capital).</w:t>
      </w:r>
    </w:p>
    <w:bookmarkStart w:id="107"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90" w:name="indicadores_de_cantidad"/>
    <w:p>
      <w:pPr>
        <w:pStyle w:val="Heading4"/>
      </w:pPr>
      <w:r>
        <w:t xml:space="preserve">Indicadores de cantidad</w:t>
      </w:r>
    </w:p>
    <w:p>
      <w:pPr>
        <w:numPr>
          <w:ilvl w:val="0"/>
          <w:numId w:val="1052"/>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2"/>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35">
        <w:r>
          <w:rPr>
            <w:rStyle w:val="Referenciaatema"/>
          </w:rPr>
          <w:t xml:space="preserve">[ver tema 4.A.1]</w:t>
        </w:r>
      </w:hyperlink>
      <w:r>
        <w:t xml:space="preserve">,</w:t>
      </w:r>
    </w:p>
    <w:p>
      <w:pPr>
        <w:pStyle w:val="BodyText"/>
        <w:keepNext/>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r>
            <m:rPr>
              <m:sty m:val="p"/>
            </m:rPr>
            <m:t>.</m:t>
          </m:r>
        </m:oMath>
      </m:oMathPara>
    </w:p>
    <w:p>
      <w:pPr>
        <w:numPr>
          <w:ilvl w:val="0"/>
          <w:numId w:val="1052"/>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 Solo se comparan tasas con la misma definición.</w:t>
      </w:r>
    </w:p>
    <w:p>
      <w:pPr>
        <w:numPr>
          <w:ilvl w:val="0"/>
          <w:numId w:val="1052"/>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86">
        <w:r>
          <w:rPr>
            <w:rStyle w:val="Referenciaatema"/>
          </w:rPr>
          <w:t xml:space="preserve">[ver tema 4.A.30]</w:t>
        </w:r>
      </w:hyperlink>
      <w:r>
        <w:t xml:space="preserve">.</w:t>
      </w:r>
    </w:p>
    <w:p>
      <w:pPr>
        <w:numPr>
          <w:ilvl w:val="0"/>
          <w:numId w:val="1052"/>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87"/>
      </w:r>
    </w:p>
    <w:p>
      <w:pPr>
        <w:keepNext/>
        <w:numPr>
          <w:ilvl w:val="0"/>
          <w:numId w:val="1052"/>
        </w:numPr>
      </w:pPr>
      <w:r>
        <w:rPr>
          <w:i/>
          <w:iCs/>
        </w:rPr>
        <w:t xml:space="preserve">Cómo se lee</w:t>
      </w:r>
      <w:r>
        <w:t xml:space="preserve">:</w:t>
      </w:r>
    </w:p>
    <w:p>
      <w:pPr>
        <w:numPr>
          <w:ilvl w:val="1"/>
          <w:numId w:val="1053"/>
        </w:numPr>
      </w:pPr>
      <w:r>
        <w:t xml:space="preserve">la tasa de actividad depende de la demografía, de la incorporación de la mujer, de los años de estudio y de los incentivos (jubilación, prestaciones, fiscalidad), y es importante para la sostenibilidad del Estado del bienestar;</w:t>
      </w:r>
    </w:p>
    <w:p>
      <w:pPr>
        <w:numPr>
          <w:ilvl w:val="1"/>
          <w:numId w:val="1053"/>
        </w:numPr>
      </w:pPr>
      <w:r>
        <w:t xml:space="preserve">la variación del empleo es la creación menos la destrucción de empleo: hay que mirar a partir de qué crecimiento del PIB se crea empleo y con qué elasticidad;</w:t>
      </w:r>
    </w:p>
    <w:p>
      <w:pPr>
        <w:numPr>
          <w:ilvl w:val="1"/>
          <w:numId w:val="1053"/>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3"/>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Un ejemplo de lectura del empleo, las horas y la actividad de la zona del euro está en el gráfico </w:t>
      </w:r>
      <w:hyperlink w:anchor="fig_empleo_horas">
        <w:r>
          <w:rPr>
            <w:rStyle w:val="Hyperlink"/>
          </w:rPr>
          <w:t xml:space="preserve">11</w:t>
        </w:r>
      </w:hyperlink>
      <w:r>
        <w:t xml:space="preserve">, en los anexos, y un párrafo del BCE que lo comenta, en el anexo </w:t>
      </w:r>
      <w:hyperlink w:anchor="anexo_parrafos">
        <w:r>
          <w:rPr>
            <w:rStyle w:val="Hyperlink"/>
          </w:rPr>
          <w:t xml:space="preserve">D.1</w:t>
        </w:r>
      </w:hyperlink>
      <w:r>
        <w:t xml:space="preserve">.</w:t>
      </w:r>
    </w:p>
    <w:p>
      <w:pPr>
        <w:numPr>
          <w:ilvl w:val="0"/>
          <w:numId w:val="1052"/>
        </w:numPr>
      </w:pPr>
      <w:r>
        <w:rPr>
          <w:i/>
          <w:iCs/>
        </w:rPr>
        <w:t xml:space="preserve">Tema</w:t>
      </w:r>
      <w:r>
        <w:t xml:space="preserve">:</w:t>
      </w:r>
      <w:r>
        <w:t xml:space="preserve"> </w:t>
      </w:r>
      <w:hyperlink r:id="rId88">
        <w:r>
          <w:rPr>
            <w:rStyle w:val="Referenciaatema"/>
          </w:rPr>
          <w:t xml:space="preserve">[ver tema 3.A.25]</w:t>
        </w:r>
      </w:hyperlink>
      <w:r>
        <w:t xml:space="preserve"> </w:t>
      </w:r>
      <w:hyperlink r:id="rId89">
        <w:r>
          <w:rPr>
            <w:rStyle w:val="Referenciaatema"/>
          </w:rPr>
          <w:t xml:space="preserve">[ver tema 4.A.16]</w:t>
        </w:r>
      </w:hyperlink>
      <w:r>
        <w:t xml:space="preserve">.</w:t>
      </w:r>
    </w:p>
    <w:bookmarkEnd w:id="90"/>
    <w:bookmarkStart w:id="91" w:name="productividad"/>
    <w:p>
      <w:pPr>
        <w:pStyle w:val="Heading4"/>
      </w:pPr>
      <w:r>
        <w:t xml:space="preserve">Productividad</w:t>
      </w:r>
    </w:p>
    <w:p>
      <w:pPr>
        <w:numPr>
          <w:ilvl w:val="0"/>
          <w:numId w:val="1054"/>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4"/>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w:t>
      </w:r>
    </w:p>
    <w:p>
      <w:pPr>
        <w:numPr>
          <w:ilvl w:val="0"/>
          <w:numId w:val="1054"/>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i/>
          <w:iCs/>
        </w:rPr>
        <w:t xml:space="preserve">intensificación del capital</w:t>
      </w:r>
      <w:r>
        <w:t xml:space="preserve"> </w:t>
      </w:r>
      <w:r>
        <w:t xml:space="preserve">(más capital físico por trabajador, gracias a la inversión neta), por inversión en</w:t>
      </w:r>
      <w:r>
        <w:t xml:space="preserve"> </w:t>
      </w:r>
      <w:r>
        <w:rPr>
          <w:i/>
          <w:iCs/>
        </w:rPr>
        <w:t xml:space="preserve">capital intangible</w:t>
      </w:r>
      <w:r>
        <w:t xml:space="preserve"> </w:t>
      </w:r>
      <w:r>
        <w:t xml:space="preserve">(innovación, cambios organizativos, I+D) o por</w:t>
      </w:r>
      <w:r>
        <w:t xml:space="preserve"> </w:t>
      </w:r>
      <w:r>
        <w:rPr>
          <w:i/>
          <w:iCs/>
        </w:rPr>
        <w:t xml:space="preserve">progreso técnico</w:t>
      </w:r>
      <w:r>
        <w:t xml:space="preserve"> </w:t>
      </w:r>
      <w:r>
        <w:t xml:space="preserve">(sube la productividad total de los factores). Si cae el empleo menos productivo, la PAT sube sin que nadie trabaje mejor. A largo plazo, la productividad es la que eleva la renta per cápita y los salarios reales. El gráfico </w:t>
      </w:r>
      <w:hyperlink w:anchor="fig_pib_por_pet">
        <w:r>
          <w:rPr>
            <w:rStyle w:val="Hyperlink"/>
          </w:rPr>
          <w:t xml:space="preserve">12</w:t>
        </w:r>
      </w:hyperlink>
      <w:r>
        <w:t xml:space="preserve">, en los anexos, descompone el PIB por persona en edad de trabajar de España en productividad por hora y horas por persona.</w:t>
      </w:r>
    </w:p>
    <w:p>
      <w:pPr>
        <w:numPr>
          <w:ilvl w:val="0"/>
          <w:numId w:val="1054"/>
        </w:numPr>
      </w:pPr>
      <w:r>
        <w:rPr>
          <w:i/>
          <w:iCs/>
        </w:rPr>
        <w:t xml:space="preserve">Tema</w:t>
      </w:r>
      <w:r>
        <w:t xml:space="preserve">:</w:t>
      </w:r>
      <w:r>
        <w:t xml:space="preserve"> </w:t>
      </w:r>
      <w:hyperlink r:id="rId41">
        <w:r>
          <w:rPr>
            <w:rStyle w:val="Referenciaatema"/>
          </w:rPr>
          <w:t xml:space="preserve">[ver tema 3.A.45]</w:t>
        </w:r>
      </w:hyperlink>
      <w:r>
        <w:t xml:space="preserve"> </w:t>
      </w:r>
      <w:hyperlink r:id="rId50">
        <w:r>
          <w:rPr>
            <w:rStyle w:val="Referenciaatema"/>
          </w:rPr>
          <w:t xml:space="preserve">[ver tema 4.A.29]</w:t>
        </w:r>
      </w:hyperlink>
      <w:r>
        <w:t xml:space="preserve">.</w:t>
      </w:r>
    </w:p>
    <w:bookmarkEnd w:id="91"/>
    <w:bookmarkStart w:id="96" w:name="salarios_costes_laborales_unitario_37226"/>
    <w:p>
      <w:pPr>
        <w:pStyle w:val="Heading4"/>
      </w:pPr>
      <w:r>
        <w:t xml:space="preserve">Salarios, costes laborales unitarios y margen</w:t>
      </w:r>
    </w:p>
    <w:p>
      <w:pPr>
        <w:numPr>
          <w:ilvl w:val="0"/>
          <w:numId w:val="1055"/>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 la medida de competitividad en costes que más se usa. Los salarios reales se obtienen deflactando los nominales con el índice de precios adecuado, y a largo plazo su crecimiento suele seguir al de la productividad.</w:t>
      </w:r>
    </w:p>
    <w:p>
      <w:pPr>
        <w:numPr>
          <w:ilvl w:val="0"/>
          <w:numId w:val="1055"/>
        </w:numPr>
      </w:pPr>
      <w:r>
        <w:rPr>
          <w:i/>
          <w:iCs/>
        </w:rPr>
        <w:t xml:space="preserve">Cómo se calcula</w:t>
      </w:r>
      <w:r>
        <w:t xml:space="preserve">:</w:t>
      </w:r>
    </w:p>
    <w:p>
      <w:pPr>
        <w:pStyle w:val="BodyText"/>
        <w:keepNext/>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92"/>
      </w:r>
    </w:p>
    <w:p>
      <w:pPr>
        <w:numPr>
          <w:ilvl w:val="0"/>
          <w:numId w:val="1055"/>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t xml:space="preserve">Los márgenes suben exactamente cuando caen los CLU reales. Es una aproximación: supone constantes los impuestos indirectos netos y el peso de los consumos intermedios importados. El excedente bruto de explotación es otra cosa, un nivel de rentas, y su crecimiento no es el del margen.</w:t>
      </w:r>
    </w:p>
    <w:p>
      <w:pPr>
        <w:numPr>
          <w:ilvl w:val="0"/>
          <w:numId w:val="1055"/>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93"/>
      </w:r>
    </w:p>
    <w:p>
      <w:pPr>
        <w:keepNext/>
        <w:numPr>
          <w:ilvl w:val="0"/>
          <w:numId w:val="1055"/>
        </w:numPr>
      </w:pPr>
      <w:r>
        <w:rPr>
          <w:i/>
          <w:iCs/>
        </w:rPr>
        <w:t xml:space="preserve">Cómo se lee</w:t>
      </w:r>
      <w:r>
        <w:t xml:space="preserve">:</w:t>
      </w:r>
    </w:p>
    <w:p>
      <w:pPr>
        <w:numPr>
          <w:ilvl w:val="1"/>
          <w:numId w:val="1056"/>
        </w:numPr>
      </w:pPr>
      <w:r>
        <w:t xml:space="preserve">CLU nominales que crecen</w:t>
      </w:r>
      <w:r>
        <w:t xml:space="preserve"> </w:t>
      </w:r>
      <w:r>
        <w:rPr>
          <w:i/>
          <w:i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6"/>
        </w:numPr>
      </w:pPr>
      <w:r>
        <w:t xml:space="preserve">CLU nominales que crecen</w:t>
      </w:r>
      <w:r>
        <w:t xml:space="preserve"> </w:t>
      </w:r>
      <w:r>
        <w:rPr>
          <w:i/>
          <w:i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6"/>
        </w:numPr>
      </w:pPr>
      <w:r>
        <w:t xml:space="preserve">CLU que crecen poco con paro alto: ajuste por salarios (devaluación interna).</w:t>
      </w:r>
    </w:p>
    <w:p>
      <w:pPr>
        <w:numPr>
          <w:ilvl w:val="1"/>
          <w:numId w:val="1056"/>
        </w:numPr>
      </w:pPr>
      <w:r>
        <w:t xml:space="preserve">CLU nominales que crecen</w:t>
      </w:r>
      <w:r>
        <w:t xml:space="preserve"> </w:t>
      </w:r>
      <w:r>
        <w:rPr>
          <w:i/>
          <w:iCs/>
        </w:rPr>
        <w:t xml:space="preserve">menos que la inflación</w:t>
      </w:r>
      <w:r>
        <w:t xml:space="preserve"> </w:t>
      </w:r>
      <w:r>
        <w:t xml:space="preserve">(CLU reales a la baja): no hay presiones inflacionistas desde los costes.</w:t>
      </w:r>
    </w:p>
    <w:p>
      <w:pPr>
        <w:numPr>
          <w:ilvl w:val="0"/>
          <w:numId w:val="1055"/>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5"/>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5"/>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5"/>
        </w:numPr>
      </w:pPr>
      <w:r>
        <w:rPr>
          <w:i/>
          <w:iCs/>
        </w:rPr>
        <w:t xml:space="preserve">Tema</w:t>
      </w:r>
      <w:r>
        <w:t xml:space="preserve">:</w:t>
      </w:r>
      <w:r>
        <w:t xml:space="preserve"> </w:t>
      </w:r>
      <w:hyperlink r:id="rId94">
        <w:r>
          <w:rPr>
            <w:rStyle w:val="Referenciaatema"/>
          </w:rPr>
          <w:t xml:space="preserve">[ver tema 3.A.27]</w:t>
        </w:r>
      </w:hyperlink>
      <w:r>
        <w:t xml:space="preserve"> </w:t>
      </w:r>
      <w:hyperlink r:id="rId38">
        <w:r>
          <w:rPr>
            <w:rStyle w:val="Referenciaatema"/>
          </w:rPr>
          <w:t xml:space="preserve">[ver tema 3.A.28]</w:t>
        </w:r>
      </w:hyperlink>
      <w:r>
        <w:t xml:space="preserve"> </w:t>
      </w:r>
      <w:hyperlink r:id="rId95">
        <w:r>
          <w:rPr>
            <w:rStyle w:val="Referenciaatema"/>
          </w:rPr>
          <w:t xml:space="preserve">[ver tema 4.A.22]</w:t>
        </w:r>
      </w:hyperlink>
      <w:r>
        <w:t xml:space="preserve">.</w:t>
      </w:r>
    </w:p>
    <w:bookmarkEnd w:id="96"/>
    <w:bookmarkStart w:id="97" w:name="demanda_y_oferta_de_trabajo"/>
    <w:p>
      <w:pPr>
        <w:pStyle w:val="Heading4"/>
      </w:pPr>
      <w:r>
        <w:t xml:space="preserve">Demanda y oferta de trabajo</w:t>
      </w:r>
    </w:p>
    <w:p>
      <w:pPr>
        <w:numPr>
          <w:ilvl w:val="0"/>
          <w:numId w:val="1057"/>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57"/>
        </w:numPr>
      </w:pPr>
      <w:r>
        <w:rPr>
          <w:i/>
          <w:iCs/>
        </w:rPr>
        <w:t xml:space="preserve">Oferta de trabajo</w:t>
      </w:r>
      <w:r>
        <w:t xml:space="preserve"> </w:t>
      </w:r>
      <w:r>
        <w:t xml:space="preserve">(los activos): depende del salario real y de la demografía y la inmigración, y la reducen las prestaciones mal diseñadas.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D.1</w:t>
        </w:r>
      </w:hyperlink>
      <w:r>
        <w:t xml:space="preserve">.</w:t>
      </w:r>
    </w:p>
    <w:bookmarkEnd w:id="97"/>
    <w:bookmarkStart w:id="99" w:name="qu___tipo_de_paro_hay"/>
    <w:p>
      <w:pPr>
        <w:pStyle w:val="Heading4"/>
      </w:pPr>
      <w:r>
        <w:t xml:space="preserve">Qué tipo de paro hay</w:t>
      </w:r>
    </w:p>
    <w:p>
      <w:pPr>
        <w:keepNext/>
        <w:numPr>
          <w:ilvl w:val="0"/>
          <w:numId w:val="1058"/>
        </w:numPr>
      </w:pPr>
      <w:r>
        <w:t xml:space="preserve">La receta depende del diagnóstico, así que hay que identificar el tipo de paro:</w:t>
      </w:r>
    </w:p>
    <w:p>
      <w:pPr>
        <w:numPr>
          <w:ilvl w:val="1"/>
          <w:numId w:val="1059"/>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p>
    <w:p>
      <w:pPr>
        <w:numPr>
          <w:ilvl w:val="1"/>
          <w:numId w:val="1059"/>
        </w:numPr>
      </w:pPr>
      <w:r>
        <w:rPr>
          <w:b/>
          <w:bCs/>
        </w:rPr>
        <w:t xml:space="preserve">keynesiano</w:t>
      </w:r>
      <w:r>
        <w:t xml:space="preserve">: demanda insuficiente; consumo y demanda interna anémicos;</w:t>
      </w:r>
    </w:p>
    <w:p>
      <w:pPr>
        <w:numPr>
          <w:ilvl w:val="1"/>
          <w:numId w:val="1059"/>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59"/>
        </w:numPr>
      </w:pPr>
      <w:r>
        <w:rPr>
          <w:b/>
          <w:bCs/>
        </w:rPr>
        <w:t xml:space="preserve">de larga duración</w:t>
      </w:r>
      <w:r>
        <w:t xml:space="preserve">: se retroalimenta (pérdida de cualificación, desánimo, estigma) y es causa de histéresis.</w:t>
      </w:r>
    </w:p>
    <w:p>
      <w:pPr>
        <w:numPr>
          <w:ilvl w:val="0"/>
          <w:numId w:val="1058"/>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38">
        <w:r>
          <w:rPr>
            <w:rStyle w:val="Referenciaatema"/>
          </w:rPr>
          <w:t xml:space="preserve">[ver tema 3.A.28]</w:t>
        </w:r>
      </w:hyperlink>
      <w:r>
        <w:t xml:space="preserve">. En el examen se aproxima con el paro de los años en que la brecha de producción es nula.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58"/>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38">
        <w:r>
          <w:rPr>
            <w:rStyle w:val="Referenciaatema"/>
          </w:rPr>
          <w:t xml:space="preserve">[ver tema 3.A.28]</w:t>
        </w:r>
      </w:hyperlink>
      <w:r>
        <w:t xml:space="preserve">.</w:t>
      </w:r>
    </w:p>
    <w:p>
      <w:pPr>
        <w:keepNext/>
        <w:numPr>
          <w:ilvl w:val="0"/>
          <w:numId w:val="1058"/>
        </w:numPr>
      </w:pPr>
      <w:r>
        <w:rPr>
          <w:i/>
          <w:iCs/>
        </w:rPr>
        <w:t xml:space="preserve">Ley de</w:t>
      </w:r>
      <w:r>
        <w:rPr>
          <w:i/>
          <w:iCs/>
        </w:rPr>
        <w:t xml:space="preserve"> </w:t>
      </w:r>
      <w:r>
        <w:rPr>
          <w:i/>
          <w:iCs/>
          <w:smallCaps/>
        </w:rPr>
        <w:t xml:space="preserve">Okun</w:t>
      </w:r>
      <w:r>
        <w:rPr>
          <w:i/>
          <w:iCs/>
        </w:rPr>
        <w:t xml:space="preserve"> </w:t>
      </w:r>
      <w:r>
        <w:rPr>
          <w:i/>
          <w:iCs/>
        </w:rPr>
        <w:t xml:space="preserve">y curva de</w:t>
      </w:r>
      <w:r>
        <w:rPr>
          <w:i/>
          <w:iCs/>
        </w:rPr>
        <w:t xml:space="preserve"> </w:t>
      </w:r>
      <w:r>
        <w:rPr>
          <w:i/>
          <w:iCs/>
          <w:smallCaps/>
        </w:rPr>
        <w:t xml:space="preserve">Phillips</w:t>
      </w:r>
      <w:r>
        <w:t xml:space="preserve">:</w:t>
      </w:r>
    </w:p>
    <w:p>
      <w:pPr>
        <w:numPr>
          <w:ilvl w:val="1"/>
          <w:numId w:val="1060"/>
        </w:numPr>
      </w:pPr>
      <w:r>
        <w:t xml:space="preserve">la ley de</w:t>
      </w:r>
      <w:r>
        <w:t xml:space="preserve"> </w:t>
      </w:r>
      <w:r>
        <w:rPr>
          <w:smallCaps/>
        </w:rPr>
        <w:t xml:space="preserve">Okun</w:t>
      </w:r>
      <w:r>
        <w:t xml:space="preserve"> </w:t>
      </w:r>
      <w:r>
        <w:t xml:space="preserve">relaciona la variación del paro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 En el cuadro sirve para ver a partir de qué crecimiento baja el paro (si el PIB crece mucho y el empleo poco, la elasticidad es baja);</w:t>
      </w:r>
    </w:p>
    <w:p>
      <w:pPr>
        <w:numPr>
          <w:ilvl w:val="1"/>
          <w:numId w:val="1060"/>
        </w:numPr>
      </w:pPr>
      <w:r>
        <w:t xml:space="preserve">la curva de</w:t>
      </w:r>
      <w:r>
        <w:t xml:space="preserve"> </w:t>
      </w:r>
      <w:r>
        <w:rPr>
          <w:smallCaps/>
        </w:rPr>
        <w:t xml:space="preserve">Phillips</w:t>
      </w:r>
      <w:r>
        <w:t xml:space="preserve"> </w:t>
      </w:r>
      <w:r>
        <w:t xml:space="preserve">con expectativas,</w:t>
      </w:r>
      <w:r>
        <w:t xml:space="preserve"> </w:t>
      </w: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w:r>
        <w:t xml:space="preserve">,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rPr>
          <w:rStyle w:val="FootnoteReference"/>
        </w:rPr>
        <w:footnoteReference w:id="98"/>
      </w:r>
      <w:r>
        <w:t xml:space="preserve"> </w:t>
      </w:r>
      <w:hyperlink r:id="rId38">
        <w:r>
          <w:rPr>
            <w:rStyle w:val="Referenciaatema"/>
          </w:rPr>
          <w:t xml:space="preserve">[ver tema 3.A.28]</w:t>
        </w:r>
      </w:hyperlink>
      <w:r>
        <w:t xml:space="preserve">;</w:t>
      </w:r>
    </w:p>
    <w:p>
      <w:pPr>
        <w:numPr>
          <w:ilvl w:val="1"/>
          <w:numId w:val="1060"/>
        </w:numPr>
      </w:pPr>
      <w:r>
        <w:t xml:space="preserve">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w:t>
      </w:r>
    </w:p>
    <w:bookmarkEnd w:id="99"/>
    <w:bookmarkStart w:id="105" w:name="curva_de_beveridge"/>
    <w:p>
      <w:pPr>
        <w:pStyle w:val="Heading4"/>
      </w:pPr>
      <w:r>
        <w:t xml:space="preserve">Curva de</w:t>
      </w:r>
      <w:r>
        <w:t xml:space="preserve"> </w:t>
      </w:r>
      <w:r>
        <w:rPr>
          <w:smallCaps/>
        </w:rPr>
        <w:t xml:space="preserve">Beveridge</w:t>
      </w:r>
    </w:p>
    <w:p>
      <w:pPr>
        <w:numPr>
          <w:ilvl w:val="0"/>
          <w:numId w:val="1061"/>
        </w:numPr>
      </w:pPr>
      <w:r>
        <w:rPr>
          <w:i/>
          <w:iCs/>
        </w:rPr>
        <w:t xml:space="preserve">Qué mide</w:t>
      </w:r>
      <w:r>
        <w:t xml:space="preserve">: la relación entre la tasa de vacantes y la de paro.</w:t>
      </w:r>
    </w:p>
    <w:p>
      <w:pPr>
        <w:numPr>
          <w:ilvl w:val="0"/>
          <w:numId w:val="1061"/>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 Si las vacantes suben y el paro no baja, el problema es estructural, no de demanda. La ratio vacantes/parados resume la tensión del mercado: si sube, presiona sobre los salarios. Un ejemplo de lectura, la curva española de 1994 a 2022, está en el anexo </w:t>
      </w:r>
      <w:hyperlink w:anchor="anexo_casos">
        <w:r>
          <w:rPr>
            <w:rStyle w:val="Hyperlink"/>
          </w:rPr>
          <w:t xml:space="preserve">E</w:t>
        </w:r>
      </w:hyperlink>
      <w:r>
        <w:t xml:space="preserve">.</w:t>
      </w:r>
    </w:p>
    <w:p>
      <w:pPr>
        <w:numPr>
          <w:ilvl w:val="0"/>
          <w:numId w:val="1061"/>
        </w:numPr>
      </w:pPr>
      <w:r>
        <w:rPr>
          <w:i/>
          <w:iCs/>
        </w:rPr>
        <w:t xml:space="preserve">Tema</w:t>
      </w:r>
      <w:r>
        <w:t xml:space="preserve">:</w:t>
      </w:r>
      <w:r>
        <w:t xml:space="preserve"> </w:t>
      </w:r>
      <w:hyperlink r:id="rId100">
        <w:r>
          <w:rPr>
            <w:rStyle w:val="Referenciaatema"/>
          </w:rPr>
          <w:t xml:space="preserve">[ver tema 3.A.26]</w:t>
        </w:r>
      </w:hyperlink>
      <w:r>
        <w:t xml:space="preserve">.</w:t>
      </w:r>
    </w:p>
    <w:bookmarkStart w:id="104" w:name="fig_beveridge"/>
    <w:p>
      <w:pPr>
        <w:pStyle w:val="ImageCaption"/>
      </w:pPr>
      <w:r>
        <w:t xml:space="preserve">Gráfico 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342640" cy="2303331"/>
            <wp:effectExtent b="0" l="0" r="0" t="0"/>
            <wp:docPr descr="Gráfico 3.– Curva de Beveridge de España y de la zona del euro" title="" id="102" name="Picture"/>
            <a:graphic>
              <a:graphicData uri="http://schemas.openxmlformats.org/drawingml/2006/picture">
                <pic:pic>
                  <pic:nvPicPr>
                    <pic:cNvPr descr="C:\Users\vgutierrez\Documents\src\victorgutierrezmarcos.github.io-revision\oposicion\temario\fuentes\1D01\graficos/beveridge-espana-zona-euro.png" id="103" name="Picture"/>
                    <pic:cNvPicPr>
                      <a:picLocks noChangeArrowheads="1" noChangeAspect="1"/>
                    </pic:cNvPicPr>
                  </pic:nvPicPr>
                  <pic:blipFill>
                    <a:blip r:embed="rId101"/>
                    <a:stretch>
                      <a:fillRect/>
                    </a:stretch>
                  </pic:blipFill>
                  <pic:spPr bwMode="auto">
                    <a:xfrm>
                      <a:off x="0" y="0"/>
                      <a:ext cx="3342640" cy="2303331"/>
                    </a:xfrm>
                    <a:prstGeom prst="rect">
                      <a:avLst/>
                    </a:prstGeom>
                    <a:noFill/>
                    <a:ln w="9525">
                      <a:noFill/>
                      <a:headEnd/>
                      <a:tailEnd/>
                    </a:ln>
                  </pic:spPr>
                </pic:pic>
              </a:graphicData>
            </a:graphic>
          </wp:inline>
        </w:drawing>
      </w:r>
    </w:p>
    <w:bookmarkEnd w:id="104"/>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05"/>
    <w:bookmarkStart w:id="106" w:name="demograf__a_migraci__n_y_salario_m__nimo"/>
    <w:p>
      <w:pPr>
        <w:pStyle w:val="Heading4"/>
      </w:pPr>
      <w:r>
        <w:t xml:space="preserve">Demografía, migración y salario mínimo</w:t>
      </w:r>
    </w:p>
    <w:p>
      <w:pPr>
        <w:numPr>
          <w:ilvl w:val="0"/>
          <w:numId w:val="1062"/>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E</w:t>
        </w:r>
      </w:hyperlink>
      <w:r>
        <w:t xml:space="preserve">.</w:t>
      </w:r>
    </w:p>
    <w:bookmarkEnd w:id="106"/>
    <w:bookmarkEnd w:id="107"/>
    <w:bookmarkStart w:id="112"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08" w:name="capital_f__sico"/>
    <w:p>
      <w:pPr>
        <w:pStyle w:val="Heading4"/>
      </w:pPr>
      <w:r>
        <w:t xml:space="preserve">Capital físico</w:t>
      </w:r>
    </w:p>
    <w:p>
      <w:pPr>
        <w:numPr>
          <w:ilvl w:val="0"/>
          <w:numId w:val="1063"/>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08"/>
    <w:bookmarkStart w:id="111" w:name="cr__dito_y_financiaci__n_como_factor"/>
    <w:p>
      <w:pPr>
        <w:pStyle w:val="Heading4"/>
      </w:pPr>
      <w:r>
        <w:t xml:space="preserve">Crédito y financiación como factor</w:t>
      </w:r>
    </w:p>
    <w:p>
      <w:pPr>
        <w:numPr>
          <w:ilvl w:val="0"/>
          <w:numId w:val="1064"/>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4"/>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4"/>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4"/>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09">
        <w:r>
          <w:rPr>
            <w:rStyle w:val="Referenciaatema"/>
          </w:rPr>
          <w:t xml:space="preserve">[ver tema 3.B.27]</w:t>
        </w:r>
      </w:hyperlink>
      <w:r>
        <w:t xml:space="preserve"> </w:t>
      </w:r>
      <w:hyperlink r:id="rId110">
        <w:r>
          <w:rPr>
            <w:rStyle w:val="Referenciaatema"/>
          </w:rPr>
          <w:t xml:space="preserve">[ver tema 4.A.19]</w:t>
        </w:r>
      </w:hyperlink>
      <w:r>
        <w:t xml:space="preserve">.</w:t>
      </w:r>
    </w:p>
    <w:p>
      <w:pPr>
        <w:numPr>
          <w:ilvl w:val="0"/>
          <w:numId w:val="1065"/>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11"/>
    <w:bookmarkEnd w:id="112"/>
    <w:bookmarkEnd w:id="113"/>
    <w:bookmarkStart w:id="134" w:name="sec_competitividad"/>
    <w:p>
      <w:pPr>
        <w:pStyle w:val="Heading1"/>
      </w:pPr>
      <w:r>
        <w:t xml:space="preserve">III.</w:t>
      </w:r>
      <w:r>
        <w:t xml:space="preserve"> </w:t>
      </w:r>
      <w:r>
        <w:t xml:space="preserve">Competitividad</w:t>
      </w:r>
    </w:p>
    <w:p>
      <w:pPr>
        <w:numPr>
          <w:ilvl w:val="0"/>
          <w:numId w:val="1066"/>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23"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16" w:name="tc___ndices_de_precios"/>
    <w:p>
      <w:pPr>
        <w:pStyle w:val="Heading4"/>
      </w:pPr>
      <w:r>
        <w:t xml:space="preserve">Índices de precios</w:t>
      </w:r>
    </w:p>
    <w:p>
      <w:pPr>
        <w:numPr>
          <w:ilvl w:val="0"/>
          <w:numId w:val="1067"/>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67"/>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14"/>
      </w:r>
    </w:p>
    <w:p>
      <w:pPr>
        <w:keepNext/>
        <w:numPr>
          <w:ilvl w:val="0"/>
          <w:numId w:val="1067"/>
        </w:numPr>
      </w:pPr>
      <w:r>
        <w:rPr>
          <w:i/>
          <w:iCs/>
        </w:rPr>
        <w:t xml:space="preserve">Los índices especializados</w:t>
      </w:r>
      <w:r>
        <w:t xml:space="preserve">:</w:t>
      </w:r>
    </w:p>
    <w:p>
      <w:pPr>
        <w:numPr>
          <w:ilvl w:val="1"/>
          <w:numId w:val="1068"/>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68"/>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68"/>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68"/>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68"/>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68"/>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69"/>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69"/>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69"/>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69"/>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0"/>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0"/>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0"/>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0"/>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0"/>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15">
        <w:r>
          <w:rPr>
            <w:rStyle w:val="Referenciaatema"/>
          </w:rPr>
          <w:t xml:space="preserve">[ver tema 3.A.9]</w:t>
        </w:r>
      </w:hyperlink>
      <w:r>
        <w:t xml:space="preserve"> </w:t>
      </w:r>
      <w:hyperlink r:id="rId20">
        <w:r>
          <w:rPr>
            <w:rStyle w:val="Referenciaatema"/>
          </w:rPr>
          <w:t xml:space="preserve">[ver tema 3.A.30]</w:t>
        </w:r>
      </w:hyperlink>
      <w:r>
        <w:t xml:space="preserve"> </w:t>
      </w:r>
      <w:hyperlink r:id="rId35">
        <w:r>
          <w:rPr>
            <w:rStyle w:val="Referenciaatema"/>
          </w:rPr>
          <w:t xml:space="preserve">[ver tema 4.A.1]</w:t>
        </w:r>
      </w:hyperlink>
      <w:r>
        <w:t xml:space="preserve">.</w:t>
      </w:r>
    </w:p>
    <w:bookmarkEnd w:id="116"/>
    <w:bookmarkStart w:id="117" w:name="ipc_frente_a_deflactor_e_inflaci___23185"/>
    <w:p>
      <w:pPr>
        <w:pStyle w:val="Heading4"/>
      </w:pPr>
      <w:r>
        <w:t xml:space="preserve">IPC frente a deflactor e inflación importada</w:t>
      </w:r>
    </w:p>
    <w:p>
      <w:pPr>
        <w:keepNext/>
        <w:numPr>
          <w:ilvl w:val="0"/>
          <w:numId w:val="1071"/>
        </w:numPr>
      </w:pPr>
      <w:r>
        <w:t xml:space="preserve">Aunque los 2 se usan como medida del nivel general de precios, no siempre se mueven juntos, por 2 diferencias:</w:t>
      </w:r>
    </w:p>
    <w:p>
      <w:pPr>
        <w:numPr>
          <w:ilvl w:val="1"/>
          <w:numId w:val="1072"/>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2"/>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1"/>
        </w:numPr>
      </w:pPr>
      <w:r>
        <w:t xml:space="preserve">En la práctica suelen dar resultados parecidos; cuando se separan, dicen algo:</w:t>
      </w:r>
    </w:p>
    <w:p>
      <w:pPr>
        <w:numPr>
          <w:ilvl w:val="1"/>
          <w:numId w:val="1073"/>
        </w:numPr>
      </w:pPr>
      <w:r>
        <w:t xml:space="preserve">IPC que crece</w:t>
      </w:r>
      <w:r>
        <w:t xml:space="preserve"> </w:t>
      </w:r>
      <w:r>
        <w:rPr>
          <w:i/>
          <w:i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3"/>
        </w:numPr>
      </w:pPr>
      <w:r>
        <w:t xml:space="preserve">IPC que crece</w:t>
      </w:r>
      <w:r>
        <w:t xml:space="preserve"> </w:t>
      </w:r>
      <w:r>
        <w:rPr>
          <w:i/>
          <w:i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1"/>
        </w:numPr>
      </w:pPr>
      <w:r>
        <w:t xml:space="preserve">El deflactor aísla el efecto externo, pero refleja peor el poder adquisitivo; por eso el salario real del trabajador se deflacta con el IPC y el coste real para la empresa, con el deflactor.</w:t>
      </w:r>
    </w:p>
    <w:p>
      <w:pPr>
        <w:numPr>
          <w:ilvl w:val="0"/>
          <w:numId w:val="1071"/>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End w:id="117"/>
    <w:bookmarkStart w:id="120" w:name="inflaci__n_subyacente_y_efectos_de_56893"/>
    <w:p>
      <w:pPr>
        <w:pStyle w:val="Heading4"/>
      </w:pPr>
      <w:r>
        <w:t xml:space="preserve">Inflación subyacente y efectos de segunda ronda</w:t>
      </w:r>
    </w:p>
    <w:p>
      <w:pPr>
        <w:numPr>
          <w:ilvl w:val="0"/>
          <w:numId w:val="1074"/>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4"/>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hay que decir cuál se usa.</w:t>
      </w:r>
      <w:r>
        <w:rPr>
          <w:rStyle w:val="FootnoteReference"/>
        </w:rPr>
        <w:footnoteReference w:id="118"/>
      </w:r>
    </w:p>
    <w:p>
      <w:pPr>
        <w:numPr>
          <w:ilvl w:val="0"/>
          <w:numId w:val="1074"/>
        </w:numPr>
      </w:pPr>
      <w:r>
        <w:rPr>
          <w:i/>
          <w:iCs/>
        </w:rPr>
        <w:t xml:space="preserve">Cómo se lee</w:t>
      </w:r>
      <w:r>
        <w:t xml:space="preserve">: sirve para ver si un choque de oferta (energía) se está extendiendo al resto de la cesta. Son los</w:t>
      </w:r>
      <w:r>
        <w:t xml:space="preserve"> </w:t>
      </w:r>
      <w:r>
        <w:rPr>
          <w:b/>
          <w:bCs/>
        </w:rPr>
        <w:t xml:space="preserve">efectos de segunda ronda</w:t>
      </w:r>
      <w:r>
        <w:t xml:space="preserve">: los salarios y los márgenes suben para recuperar lo perdido y alimentan una espiral de precios y salarios</w:t>
      </w:r>
      <w:r>
        <w:t xml:space="preserve"> </w:t>
      </w:r>
      <w:hyperlink r:id="rId119">
        <w:r>
          <w:rPr>
            <w:rStyle w:val="Referenciaatema"/>
          </w:rPr>
          <w:t xml:space="preserve">[ver tema 3.A.41]</w:t>
        </w:r>
      </w:hyperlink>
      <w:r>
        <w:t xml:space="preserve">.</w:t>
      </w:r>
    </w:p>
    <w:bookmarkEnd w:id="120"/>
    <w:bookmarkStart w:id="122" w:name="de_d__nde_viene_la_inflaci__n"/>
    <w:p>
      <w:pPr>
        <w:pStyle w:val="Heading4"/>
      </w:pPr>
      <w:r>
        <w:t xml:space="preserve">De dónde viene la inflación</w:t>
      </w:r>
    </w:p>
    <w:p>
      <w:pPr>
        <w:numPr>
          <w:ilvl w:val="0"/>
          <w:numId w:val="1075"/>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 demanda, de los costes (choques de oferta) y de la inercia</w:t>
      </w:r>
      <w:r>
        <w:t xml:space="preserve"> </w:t>
      </w:r>
      <w:hyperlink r:id="rId119">
        <w:r>
          <w:rPr>
            <w:rStyle w:val="Referenciaatema"/>
          </w:rPr>
          <w:t xml:space="preserve">[ver tema 3.A.41]</w:t>
        </w:r>
      </w:hyperlink>
      <w:r>
        <w:t xml:space="preserve">.</w:t>
      </w:r>
    </w:p>
    <w:p>
      <w:pPr>
        <w:numPr>
          <w:ilvl w:val="0"/>
          <w:numId w:val="1075"/>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75"/>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75"/>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w:t>
      </w:r>
      <w:r>
        <w:t xml:space="preserve"> </w:t>
      </w: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r>
        <w:t xml:space="preserve"> </w:t>
      </w:r>
      <w:r>
        <w:t xml:space="preserve">(tasa mensual que entra menos la que sale).</w:t>
      </w:r>
    </w:p>
    <w:p>
      <w:pPr>
        <w:numPr>
          <w:ilvl w:val="0"/>
          <w:numId w:val="1075"/>
        </w:numPr>
      </w:pPr>
      <w:r>
        <w:rPr>
          <w:i/>
          <w:iCs/>
        </w:rPr>
        <w:t xml:space="preserve">¿Transitoria o persistente?</w:t>
      </w:r>
      <w:r>
        <w:t xml:space="preserve"> </w:t>
      </w:r>
      <w:r>
        <w:t xml:space="preserve">Transitoria si se concentra en energía y alimentos con la subyacente contenida, salarios moderados, expectativas ancladas y materias primas que ya bajan. Persistente si la subyacente sube y se generaliza (servicios), los salarios y los márgenes se aceleran, la brecha es positiva, el paro está por debajo de la NAIRU y suben las expectativas. Cómo se explican la resistencia inicial de un brote inflacionista, su cambio de tendencia y la «última milla» de la desinflación está en el anexo </w:t>
      </w:r>
      <w:hyperlink w:anchor="anexo_casos">
        <w:r>
          <w:rPr>
            <w:rStyle w:val="Hyperlink"/>
          </w:rPr>
          <w:t xml:space="preserve">E</w:t>
        </w:r>
      </w:hyperlink>
      <w:r>
        <w:t xml:space="preserve">.</w:t>
      </w:r>
    </w:p>
    <w:p>
      <w:pPr>
        <w:keepNext/>
        <w:numPr>
          <w:ilvl w:val="0"/>
          <w:numId w:val="1075"/>
        </w:numPr>
      </w:pPr>
      <w:r>
        <w:t xml:space="preserve">Si la inflación es alta y persistente, lo natural es endurecer la política monetaria, pero depende del origen:</w:t>
      </w:r>
    </w:p>
    <w:p>
      <w:pPr>
        <w:numPr>
          <w:ilvl w:val="1"/>
          <w:numId w:val="1076"/>
        </w:numPr>
      </w:pPr>
      <w:r>
        <w:rPr>
          <w:i/>
          <w:iCs/>
        </w:rPr>
        <w:t xml:space="preserve">de demanda</w:t>
      </w:r>
      <w:r>
        <w:t xml:space="preserve">: subir tipos, y que la política fiscal no empuje en sentido contrario;</w:t>
      </w:r>
    </w:p>
    <w:p>
      <w:pPr>
        <w:numPr>
          <w:ilvl w:val="1"/>
          <w:numId w:val="107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76"/>
        </w:numPr>
      </w:pPr>
      <w:r>
        <w:t xml:space="preserve">en una unión monetaria el país no tiene política monetaria propia: le quedan la fiscal y las de oferta.</w:t>
      </w:r>
    </w:p>
    <w:p>
      <w:pPr>
        <w:numPr>
          <w:ilvl w:val="0"/>
          <w:numId w:val="1075"/>
        </w:numPr>
      </w:pPr>
      <w:r>
        <w:rPr>
          <w:i/>
          <w:iCs/>
        </w:rPr>
        <w:t xml:space="preserve">Con deflación</w:t>
      </w:r>
      <w:r>
        <w:t xml:space="preserve">: política monetaria expansiva; si los tipos están en su límite inferior, expectativas, compras de activos y política fiscal expansiva.</w:t>
      </w:r>
    </w:p>
    <w:p>
      <w:pPr>
        <w:numPr>
          <w:ilvl w:val="0"/>
          <w:numId w:val="1075"/>
        </w:numPr>
      </w:pPr>
      <w:r>
        <w:rPr>
          <w:i/>
          <w:iCs/>
        </w:rPr>
        <w:t xml:space="preserve">Siempre</w:t>
      </w:r>
      <w:r>
        <w:t xml:space="preserve">: políticas que aumenten la competencia y reduzcan los márgenes.</w:t>
      </w:r>
    </w:p>
    <w:p>
      <w:pPr>
        <w:numPr>
          <w:ilvl w:val="0"/>
          <w:numId w:val="107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21">
        <w:r>
          <w:rPr>
            <w:rStyle w:val="Referenciaatema"/>
          </w:rPr>
          <w:t xml:space="preserve">[ver tema 3.A.36]</w:t>
        </w:r>
      </w:hyperlink>
      <w:r>
        <w:t xml:space="preserve">.</w:t>
      </w:r>
    </w:p>
    <w:bookmarkEnd w:id="122"/>
    <w:bookmarkEnd w:id="123"/>
    <w:bookmarkStart w:id="130" w:name="sec_tipo_cambio"/>
    <w:p>
      <w:pPr>
        <w:pStyle w:val="Heading2"/>
      </w:pPr>
      <w:r>
        <w:t xml:space="preserve">III.2.</w:t>
      </w:r>
      <w:r>
        <w:t xml:space="preserve"> </w:t>
      </w:r>
      <w:r>
        <w:t xml:space="preserve">Tipo de cambio</w:t>
      </w:r>
    </w:p>
    <w:p>
      <w:pPr>
        <w:numPr>
          <w:ilvl w:val="0"/>
          <w:numId w:val="107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keepNext/>
        <w:numPr>
          <w:ilvl w:val="0"/>
          <w:numId w:val="1077"/>
        </w:numPr>
      </w:pPr>
      <w:r>
        <w:rPr>
          <w:i/>
          <w:iCs/>
        </w:rPr>
        <w:t xml:space="preserve">Cómo se calcula</w:t>
      </w:r>
      <w:r>
        <w:t xml:space="preserve"> </w:t>
      </w:r>
      <w:hyperlink r:id="rId124">
        <w:r>
          <w:rPr>
            <w:rStyle w:val="Referenciaatema"/>
          </w:rPr>
          <w:t xml:space="preserve">[ver tema 3.B.13]</w:t>
        </w:r>
      </w:hyperlink>
      <w:r>
        <w:t xml:space="preserve">:</w:t>
      </w:r>
    </w:p>
    <w:p>
      <w:pPr>
        <w:numPr>
          <w:ilvl w:val="1"/>
          <w:numId w:val="107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78"/>
        </w:numPr>
      </w:pPr>
      <w:r>
        <w:rPr>
          <w:b/>
          <w:bCs/>
        </w:rPr>
        <w:t xml:space="preserve">efectivo</w:t>
      </w:r>
      <w:r>
        <w:t xml:space="preserve">: media geométrica de los bilaterales ponderada por el comercio con cada socio;</w:t>
      </w:r>
    </w:p>
    <w:p>
      <w:pPr>
        <w:numPr>
          <w:ilvl w:val="1"/>
          <w:numId w:val="1078"/>
        </w:numPr>
      </w:pPr>
      <w:r>
        <w:rPr>
          <w:b/>
          <w:bCs/>
        </w:rPr>
        <w:t xml:space="preserve">real</w:t>
      </w:r>
      <w:r>
        <w:t xml:space="preserve">:</w:t>
      </w:r>
      <w:r>
        <w:t xml:space="preserve"> </w:t>
      </w:r>
      <m:oMath>
        <m:r>
          <m:t>q</m:t>
        </m:r>
        <m:r>
          <m:rPr>
            <m:sty m:val="p"/>
          </m:rPr>
          <m:t>≡</m:t>
        </m:r>
        <m:r>
          <m:t>E</m:t>
        </m:r>
        <m:sSup>
          <m:e>
            <m:r>
              <m:t>P</m:t>
            </m:r>
          </m:e>
          <m:sup>
            <m:r>
              <m:rPr>
                <m:sty m:val="p"/>
              </m:rPr>
              <m:t>*</m:t>
            </m:r>
          </m:sup>
        </m:sSup>
        <m:r>
          <m:rPr>
            <m:sty m:val="p"/>
          </m:rPr>
          <m:t>/</m:t>
        </m:r>
        <m:r>
          <m:t>P</m:t>
        </m:r>
      </m:oMath>
      <w:r>
        <w:t xml:space="preserve">; si sube, la producción nacional se abarata frente a la extranjera y la economía gana competitividad-precio. El efectivo real es</w:t>
      </w:r>
      <w:r>
        <w:t xml:space="preserve"> </w:t>
      </w:r>
      <m:oMath>
        <m:sSup>
          <m:e>
            <m:r>
              <m:t>q</m:t>
            </m:r>
          </m:e>
          <m:sup>
            <m:r>
              <m:t>e</m:t>
            </m:r>
            <m:r>
              <m:t>f</m:t>
            </m:r>
          </m:sup>
        </m:sSup>
        <m:r>
          <m:rPr>
            <m:sty m:val="p"/>
          </m:rPr>
          <m:t>=</m:t>
        </m:r>
        <m:nary>
          <m:naryPr>
            <m:chr m:val="∏"/>
            <m:limLoc m:val="undOvr"/>
            <m:subHide m:val="off"/>
            <m:supHide m:val="on"/>
          </m:naryPr>
          <m:sub>
            <m:r>
              <m:t>i</m:t>
            </m:r>
          </m:sub>
          <m:sup>
            <m:r>
              <m:t>​</m:t>
            </m:r>
          </m:sup>
          <m:e>
            <m:sSup>
              <m:e>
                <m:d>
                  <m:dPr>
                    <m:begChr m:val="("/>
                    <m:sepChr m:val=""/>
                    <m:endChr m:val=")"/>
                    <m:grow/>
                  </m:dPr>
                  <m:e>
                    <m:sSub>
                      <m:e>
                        <m:r>
                          <m:t>E</m:t>
                        </m:r>
                      </m:e>
                      <m:sub>
                        <m:r>
                          <m:t>i</m:t>
                        </m:r>
                      </m:sub>
                    </m:sSub>
                    <m:sSubSup>
                      <m:e>
                        <m:r>
                          <m:t>P</m:t>
                        </m:r>
                      </m:e>
                      <m:sub>
                        <m:r>
                          <m:t>i</m:t>
                        </m:r>
                      </m:sub>
                      <m:sup>
                        <m:r>
                          <m:rPr>
                            <m:sty m:val="p"/>
                          </m:rPr>
                          <m:t>*</m:t>
                        </m:r>
                      </m:sup>
                    </m:sSubSup>
                    <m:r>
                      <m:rPr>
                        <m:sty m:val="p"/>
                      </m:rPr>
                      <m:t>/</m:t>
                    </m:r>
                    <m:r>
                      <m:t>P</m:t>
                    </m:r>
                  </m:e>
                </m:d>
              </m:e>
              <m:sup>
                <m:sSub>
                  <m:e>
                    <m:r>
                      <m:t>ω</m:t>
                    </m:r>
                  </m:e>
                  <m:sub>
                    <m:r>
                      <m:t>i</m:t>
                    </m:r>
                  </m:sub>
                </m:sSub>
              </m:sup>
            </m:sSup>
          </m:e>
        </m:nary>
      </m:oMath>
      <w:r>
        <w:t xml:space="preserve">; con los CLU en lugar de los precios se obtiene la competitividad en costes.</w:t>
      </w:r>
    </w:p>
    <w:p>
      <w:pPr>
        <w:numPr>
          <w:ilvl w:val="0"/>
          <w:numId w:val="1077"/>
        </w:numPr>
      </w:pPr>
      <w:r>
        <w:rPr>
          <w:i/>
          <w:iCs/>
        </w:rPr>
        <w:t xml:space="preserve">Cuidado con las unidades</w:t>
      </w:r>
      <w:r>
        <w:t xml:space="preserve">: el BCE y el Banco de España publican los índices al revés (una subida es una apreciación y una pérdida de competitividad)</w:t>
      </w:r>
      <w:r>
        <w:t xml:space="preserve"> </w:t>
      </w:r>
      <w:hyperlink r:id="rId95">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7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77"/>
        </w:numPr>
      </w:pPr>
      <w:r>
        <w:rPr>
          <w:i/>
          <w:iCs/>
        </w:rPr>
        <w:t xml:space="preserve">Cómo se lee</w:t>
      </w:r>
      <w:r>
        <w:t xml:space="preserve">: la competitividad-precio mejora por depreciación nominal o por una inflación menor que la de los socios (devaluación interna).</w:t>
      </w:r>
    </w:p>
    <w:bookmarkStart w:id="125" w:name="traspaso_pass_through"/>
    <w:p>
      <w:pPr>
        <w:pStyle w:val="Heading4"/>
      </w:pPr>
      <w:r>
        <w:t xml:space="preserve">Traspaso (</w:t>
      </w:r>
      <w:r>
        <w:rPr>
          <w:i/>
          <w:iCs/>
        </w:rPr>
        <w:t xml:space="preserve">pass-through</w:t>
      </w:r>
      <w:r>
        <w:t xml:space="preserve">)</w:t>
      </w:r>
    </w:p>
    <w:p>
      <w:pPr>
        <w:numPr>
          <w:ilvl w:val="0"/>
          <w:numId w:val="1079"/>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79"/>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79"/>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25"/>
    <w:bookmarkStart w:id="127"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80"/>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80"/>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w:t>
      </w:r>
    </w:p>
    <w:p>
      <w:pPr>
        <w:numPr>
          <w:ilvl w:val="0"/>
          <w:numId w:val="1080"/>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26">
        <w:r>
          <w:rPr>
            <w:rStyle w:val="Referenciaatema"/>
          </w:rPr>
          <w:t xml:space="preserve">[ver tema 3.B.12]</w:t>
        </w:r>
      </w:hyperlink>
      <w:r>
        <w:t xml:space="preserve">.</w:t>
      </w:r>
    </w:p>
    <w:bookmarkEnd w:id="127"/>
    <w:bookmarkStart w:id="129" w:name="r__gimen_cambiario_e_intervenci__n"/>
    <w:p>
      <w:pPr>
        <w:pStyle w:val="Heading4"/>
      </w:pPr>
      <w:r>
        <w:t xml:space="preserve">Régimen cambiario e intervención</w:t>
      </w:r>
    </w:p>
    <w:p>
      <w:pPr>
        <w:numPr>
          <w:ilvl w:val="0"/>
          <w:numId w:val="1081"/>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128">
        <w:r>
          <w:rPr>
            <w:rStyle w:val="Referenciaatema"/>
          </w:rPr>
          <w:t xml:space="preserve">[ver tema 3.B.15]</w:t>
        </w:r>
      </w:hyperlink>
      <w:r>
        <w:t xml:space="preserve">.</w:t>
      </w:r>
    </w:p>
    <w:p>
      <w:pPr>
        <w:numPr>
          <w:ilvl w:val="0"/>
          <w:numId w:val="1081"/>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81"/>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bookmarkEnd w:id="129"/>
    <w:bookmarkEnd w:id="130"/>
    <w:bookmarkStart w:id="133" w:name="sec_no_precio"/>
    <w:p>
      <w:pPr>
        <w:pStyle w:val="Heading2"/>
      </w:pPr>
      <w:r>
        <w:t xml:space="preserve">III.3.</w:t>
      </w:r>
      <w:r>
        <w:t xml:space="preserve"> </w:t>
      </w:r>
      <w:r>
        <w:t xml:space="preserve">Competitividad no precio y política comercial</w:t>
      </w:r>
    </w:p>
    <w:p>
      <w:pPr>
        <w:numPr>
          <w:ilvl w:val="0"/>
          <w:numId w:val="1082"/>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82"/>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82"/>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2"/>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82"/>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131">
        <w:r>
          <w:rPr>
            <w:rStyle w:val="Referenciaatema"/>
          </w:rPr>
          <w:t xml:space="preserve">[ver tema 3.B.6]</w:t>
        </w:r>
      </w:hyperlink>
      <w:r>
        <w:t xml:space="preserve"> </w:t>
      </w:r>
      <w:hyperlink r:id="rId95">
        <w:r>
          <w:rPr>
            <w:rStyle w:val="Referenciaatema"/>
          </w:rPr>
          <w:t xml:space="preserve">[ver tema 4.A.22]</w:t>
        </w:r>
      </w:hyperlink>
      <w:r>
        <w:t xml:space="preserve">.</w:t>
      </w:r>
    </w:p>
    <w:bookmarkStart w:id="132" w:name="aranceles_y_fragmentaci__n_del_comercio"/>
    <w:p>
      <w:pPr>
        <w:pStyle w:val="Heading4"/>
      </w:pPr>
      <w:r>
        <w:t xml:space="preserve">Aranceles y fragmentación del comercio</w:t>
      </w:r>
    </w:p>
    <w:p>
      <w:pPr>
        <w:numPr>
          <w:ilvl w:val="0"/>
          <w:numId w:val="1083"/>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E</w:t>
        </w:r>
      </w:hyperlink>
      <w:r>
        <w:t xml:space="preserve">.</w:t>
      </w:r>
    </w:p>
    <w:p>
      <w:pPr>
        <w:numPr>
          <w:ilvl w:val="0"/>
          <w:numId w:val="1084"/>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132"/>
    <w:bookmarkEnd w:id="133"/>
    <w:bookmarkEnd w:id="134"/>
    <w:bookmarkStart w:id="151" w:name="sec_exterior"/>
    <w:p>
      <w:pPr>
        <w:pStyle w:val="Heading1"/>
      </w:pPr>
      <w:r>
        <w:t xml:space="preserve">IV.</w:t>
      </w:r>
      <w:r>
        <w:t xml:space="preserve"> </w:t>
      </w:r>
      <w:r>
        <w:t xml:space="preserve">Sector exterior</w:t>
      </w:r>
    </w:p>
    <w:p>
      <w:pPr>
        <w:numPr>
          <w:ilvl w:val="0"/>
          <w:numId w:val="1085"/>
        </w:numPr>
      </w:pPr>
      <w:r>
        <w:t xml:space="preserve">La conclusión por adelantado: el sector exterior se analiza en 4 preguntas encadenadas: ¿hay capacidad o necesidad de financiación y por qué?, ¿cómo se financia?, ¿qué posición acumula el país frente al exterior? y ¿es sostenible? Ser deudor no es malo en sí: lo que importa es la sostenibilidad (enfoque intertemporal,</w:t>
      </w:r>
      <w:r>
        <w:t xml:space="preserve"> </w:t>
      </w:r>
      <w:hyperlink r:id="rId126">
        <w:r>
          <w:rPr>
            <w:rStyle w:val="Referenciaatema"/>
          </w:rPr>
          <w:t xml:space="preserve">[ver tema 3.B.12]</w:t>
        </w:r>
      </w:hyperlink>
      <w:r>
        <w:t xml:space="preserve">).</w:t>
      </w:r>
    </w:p>
    <w:p>
      <w:pPr>
        <w:numPr>
          <w:ilvl w:val="0"/>
          <w:numId w:val="1085"/>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144" w:name="sec_cuenta_corriente"/>
    <w:p>
      <w:pPr>
        <w:pStyle w:val="Heading2"/>
      </w:pPr>
      <w:r>
        <w:t xml:space="preserve">IV.1.</w:t>
      </w:r>
      <w:r>
        <w:t xml:space="preserve"> </w:t>
      </w:r>
      <w:r>
        <w:t xml:space="preserve">Capacidad o necesidad de financiación</w:t>
      </w:r>
    </w:p>
    <w:bookmarkStart w:id="137" w:name="la_balanza_de_pagos"/>
    <w:p>
      <w:pPr>
        <w:pStyle w:val="Heading4"/>
      </w:pPr>
      <w:r>
        <w:t xml:space="preserve">La balanza de pagos</w:t>
      </w:r>
    </w:p>
    <w:p>
      <w:pPr>
        <w:numPr>
          <w:ilvl w:val="0"/>
          <w:numId w:val="1086"/>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086"/>
        </w:numPr>
      </w:pPr>
      <w:r>
        <w:rPr>
          <w:i/>
          <w:iCs/>
        </w:rPr>
        <w:t xml:space="preserve">La identidad, desarrollada</w:t>
      </w:r>
      <w:r>
        <w:t xml:space="preserve"> </w:t>
      </w:r>
      <w:r>
        <w:t xml:space="preserve">(MBP6,</w:t>
      </w:r>
      <w:r>
        <w:t xml:space="preserve"> </w:t>
      </w:r>
      <w:hyperlink r:id="rId43">
        <w:r>
          <w:rPr>
            <w:rStyle w:val="Referenciaatema"/>
          </w:rPr>
          <w:t xml:space="preserve">[ver tema 3.B.11]</w:t>
        </w:r>
      </w:hyperlink>
      <w:r>
        <w:t xml:space="preserve">):</w:t>
      </w:r>
      <w:r>
        <w:rPr>
          <w:rStyle w:val="FootnoteReference"/>
        </w:rPr>
        <w:footnoteReference w:id="135"/>
      </w:r>
    </w:p>
    <w:bookmarkStart w:id="136" w:name="eq_identidad_bp"/>
    <w:bookmarkEnd w:id="136"/>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086"/>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086"/>
        </w:numPr>
      </w:pPr>
      <w:r>
        <w:rPr>
          <w:i/>
          <w:iCs/>
        </w:rPr>
        <w:t xml:space="preserve">Por subcuentas</w:t>
      </w:r>
      <w:r>
        <w:t xml:space="preserve">:</w:t>
      </w:r>
    </w:p>
    <w:p>
      <w:pPr>
        <w:numPr>
          <w:ilvl w:val="1"/>
          <w:numId w:val="1087"/>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087"/>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087"/>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087"/>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E</w:t>
        </w:r>
      </w:hyperlink>
      <w:r>
        <w:t xml:space="preserve">.</w:t>
      </w:r>
    </w:p>
    <w:p>
      <w:pPr>
        <w:numPr>
          <w:ilvl w:val="0"/>
          <w:numId w:val="1086"/>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137"/>
    <w:bookmarkStart w:id="140" w:name="apertura_penetraci__n_de_importaci_32273"/>
    <w:p>
      <w:pPr>
        <w:pStyle w:val="Heading4"/>
      </w:pPr>
      <w:r>
        <w:t xml:space="preserve">Apertura, penetración de importaciones y relación real de intercambio</w:t>
      </w:r>
    </w:p>
    <w:p>
      <w:pPr>
        <w:numPr>
          <w:ilvl w:val="0"/>
          <w:numId w:val="1088"/>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138">
        <w:r>
          <w:rPr>
            <w:rStyle w:val="Referenciaatema"/>
          </w:rPr>
          <w:t xml:space="preserve">[ver tema 3.B.9]</w:t>
        </w:r>
      </w:hyperlink>
      <w:r>
        <w:t xml:space="preserve">.</w:t>
      </w:r>
    </w:p>
    <w:p>
      <w:pPr>
        <w:numPr>
          <w:ilvl w:val="0"/>
          <w:numId w:val="1088"/>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088"/>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139">
        <w:r>
          <w:rPr>
            <w:rStyle w:val="Referenciaatema"/>
          </w:rPr>
          <w:t xml:space="preserve">[ver tema 3.B.5]</w:t>
        </w:r>
      </w:hyperlink>
      <w:r>
        <w:t xml:space="preserve">.</w:t>
      </w:r>
    </w:p>
    <w:bookmarkEnd w:id="140"/>
    <w:bookmarkStart w:id="141" w:name="exportaciones_e_importaciones_dete_61269"/>
    <w:p>
      <w:pPr>
        <w:pStyle w:val="Heading4"/>
      </w:pPr>
      <w:r>
        <w:t xml:space="preserve">Exportaciones e importaciones: determinantes</w:t>
      </w:r>
    </w:p>
    <w:p>
      <w:pPr>
        <w:numPr>
          <w:ilvl w:val="0"/>
          <w:numId w:val="1089"/>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q</m:t>
          </m:r>
          <m:r>
            <m:rPr>
              <m:sty m:val="p"/>
            </m:rPr>
            <m:t>=</m:t>
          </m:r>
          <m:f>
            <m:fPr>
              <m:type m:val="bar"/>
            </m:fPr>
            <m:num>
              <m:r>
                <m:t>E</m:t>
              </m:r>
              <m:sSup>
                <m:e>
                  <m:r>
                    <m:t>P</m:t>
                  </m:r>
                </m:e>
                <m:sup>
                  <m:r>
                    <m:rPr>
                      <m:sty m:val="p"/>
                    </m:rPr>
                    <m:t>*</m:t>
                  </m:r>
                </m:sup>
              </m:sSup>
            </m:num>
            <m:den>
              <m:r>
                <m:t>P</m:t>
              </m:r>
            </m:den>
          </m:f>
        </m:oMath>
      </m:oMathPara>
    </w:p>
    <w:p>
      <w:pPr>
        <w:numPr>
          <w:ilvl w:val="0"/>
          <w:numId w:val="1089"/>
        </w:numPr>
      </w:pPr>
      <w:r>
        <w:rPr>
          <w:i/>
          <w:iCs/>
        </w:rPr>
        <w:t xml:space="preserve">Importaciones</w:t>
      </w:r>
      <w:r>
        <w:t xml:space="preserve">: dependen positivamente de la renta nacional (son procíclicas, por su alta elasticidad-renta) y negativamente de la competitividad-precio y no precio de la producción nacional; y de rasgos estructurales, como la dependencia energética o tecnológica:</w:t>
      </w:r>
    </w:p>
    <w:p>
      <w:pPr>
        <w:pStyle w:val="Funcionclave"/>
        <w:keepLines/>
      </w:pPr>
      <m:oMathPara>
        <m:oMathParaPr>
          <m:jc m:val="center"/>
        </m:oMathParaPr>
        <m:oMath>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089"/>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D.1</w:t>
        </w:r>
      </w:hyperlink>
      <w:r>
        <w:t xml:space="preserve">.</w:t>
      </w:r>
    </w:p>
    <w:bookmarkEnd w:id="141"/>
    <w:bookmarkStart w:id="143" w:name="ahorro_inversi__n_y_saldos_sectoriales"/>
    <w:p>
      <w:pPr>
        <w:pStyle w:val="Heading4"/>
      </w:pPr>
      <w:r>
        <w:t xml:space="preserve">Ahorro, inversión y saldos sectoriales</w:t>
      </w:r>
    </w:p>
    <w:p>
      <w:pPr>
        <w:numPr>
          <w:ilvl w:val="0"/>
          <w:numId w:val="1090"/>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 un déficit corriente es un exceso de inversión sobre el ahorro nacional.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90"/>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keepNext/>
        <w:numPr>
          <w:ilvl w:val="0"/>
          <w:numId w:val="1090"/>
        </w:numPr>
      </w:pPr>
      <w:r>
        <w:rPr>
          <w:i/>
          <w:iCs/>
        </w:rPr>
        <w:t xml:space="preserve">Cómo se lee</w:t>
      </w:r>
      <w:r>
        <w:t xml:space="preserve">:</w:t>
      </w:r>
    </w:p>
    <w:p>
      <w:pPr>
        <w:numPr>
          <w:ilvl w:val="1"/>
          <w:numId w:val="1091"/>
        </w:numPr>
      </w:pPr>
      <w:r>
        <w:t xml:space="preserve">un déficit por</w:t>
      </w:r>
      <w:r>
        <w:t xml:space="preserve"> </w:t>
      </w:r>
      <w:r>
        <w:rPr>
          <w:i/>
          <w:iCs/>
        </w:rPr>
        <w:t xml:space="preserve">poco ahorro</w:t>
      </w:r>
      <w:r>
        <w:t xml:space="preserve"> </w:t>
      </w:r>
      <w:r>
        <w:t xml:space="preserve">(consumo excesivo, déficit público) es peor que uno por</w:t>
      </w:r>
      <w:r>
        <w:t xml:space="preserve"> </w:t>
      </w:r>
      <w:r>
        <w:rPr>
          <w:i/>
          <w:iCs/>
        </w:rPr>
        <w:t xml:space="preserve">mucha inversión</w:t>
      </w:r>
      <w:r>
        <w:t xml:space="preserve"> </w:t>
      </w:r>
      <w:r>
        <w:t xml:space="preserve">productiva, que eleva la capacidad de pago futura;</w:t>
      </w:r>
    </w:p>
    <w:p>
      <w:pPr>
        <w:numPr>
          <w:ilvl w:val="1"/>
          <w:numId w:val="1091"/>
        </w:numPr>
      </w:pPr>
      <w:r>
        <w:t xml:space="preserve">si viene del</w:t>
      </w:r>
      <w:r>
        <w:t xml:space="preserve"> </w:t>
      </w:r>
      <w:r>
        <w:rPr>
          <w:i/>
          <w:iCs/>
        </w:rPr>
        <w:t xml:space="preserve">sector privado</w:t>
      </w:r>
      <w:r>
        <w:t xml:space="preserve"> </w:t>
      </w:r>
      <w:r>
        <w:t xml:space="preserve">(hogares y empresas que invierten con crédito), el riesgo es una corrección brusca cuando se corte el crédito; si viene del</w:t>
      </w:r>
      <w:r>
        <w:t xml:space="preserve"> </w:t>
      </w:r>
      <w:r>
        <w:rPr>
          <w:i/>
          <w:iCs/>
        </w:rPr>
        <w:t xml:space="preserve">público</w:t>
      </w:r>
      <w:r>
        <w:t xml:space="preserve">, es un problema de sostenibilidad fiscal;</w:t>
      </w:r>
    </w:p>
    <w:p>
      <w:pPr>
        <w:numPr>
          <w:ilvl w:val="1"/>
          <w:numId w:val="1091"/>
        </w:numPr>
      </w:pPr>
      <w:r>
        <w:t xml:space="preserve">en las crisis el sector privado suele pasar a ahorrar y el público a endeudarse: los saldos se compensan;</w:t>
      </w:r>
    </w:p>
    <w:p>
      <w:pPr>
        <w:numPr>
          <w:ilvl w:val="1"/>
          <w:numId w:val="1091"/>
        </w:numPr>
      </w:pPr>
      <w:r>
        <w:t xml:space="preserve">un</w:t>
      </w:r>
      <w:r>
        <w:t xml:space="preserve"> </w:t>
      </w:r>
      <w:r>
        <w:rPr>
          <w:i/>
          <w:i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091"/>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090"/>
        </w:numPr>
      </w:pPr>
      <w:r>
        <w:rPr>
          <w:b/>
          <w:bCs/>
        </w:rPr>
        <w:t xml:space="preserve">Déficits gemelos</w:t>
      </w:r>
      <w:r>
        <w:t xml:space="preserve">: si el saldo privado no cambia, más déficit público es más déficit exterior. La causalidad iría por 2 vías</w:t>
      </w:r>
      <w:r>
        <w:t xml:space="preserve"> </w:t>
      </w:r>
      <w:hyperlink r:id="rId142">
        <w:r>
          <w:rPr>
            <w:rStyle w:val="Referenciaatema"/>
          </w:rPr>
          <w:t xml:space="preserve">[ver tema 3.A.32]</w:t>
        </w:r>
      </w:hyperlink>
      <w:r>
        <w:t xml:space="preserve">:</w:t>
      </w:r>
      <w:r>
        <w:t xml:space="preserve"> </w:t>
      </w:r>
      <m:oMath>
        <m:r>
          <m:rPr>
            <m:sty m:val="p"/>
          </m:rPr>
          <m:t>↓</m:t>
        </m:r>
        <m:d>
          <m:dPr>
            <m:begChr m:val="("/>
            <m:sepChr m:val=""/>
            <m:endChr m:val=")"/>
            <m:grow/>
          </m:dPr>
          <m:e>
            <m:r>
              <m:t>T</m:t>
            </m:r>
            <m:r>
              <m:rPr>
                <m:sty m:val="p"/>
              </m:rPr>
              <m:t>−</m:t>
            </m:r>
            <m:r>
              <m:t>G</m:t>
            </m:r>
          </m:e>
        </m:d>
        <m:r>
          <m:rPr>
            <m:sty m:val="p"/>
          </m:rPr>
          <m:t>⇒</m:t>
        </m:r>
        <m:r>
          <m:rPr>
            <m:sty m:val="p"/>
          </m:rPr>
          <m:t>↑</m:t>
        </m:r>
        <m:r>
          <m:t>i</m:t>
        </m:r>
        <m:r>
          <m:rPr>
            <m:sty m:val="p"/>
          </m:rPr>
          <m:t>⇒</m:t>
        </m:r>
      </m:oMath>
      <w:r>
        <w:t xml:space="preserve"> </w:t>
      </w:r>
      <w:r>
        <w:t xml:space="preserve">entrada de capitales</w:t>
      </w:r>
      <w:r>
        <w:t xml:space="preserve"> </w:t>
      </w:r>
      <m:oMath>
        <m:r>
          <m:rPr>
            <m:sty m:val="p"/>
          </m:rPr>
          <m:t>⇒</m:t>
        </m:r>
        <m:r>
          <m:rPr>
            <m:sty m:val="p"/>
          </m:rPr>
          <m:t>↓</m:t>
        </m:r>
        <m:r>
          <m:t>E</m:t>
        </m:r>
      </m:oMath>
      <w:r>
        <w:t xml:space="preserve"> </w:t>
      </w:r>
      <w:r>
        <w:t xml:space="preserve">(apreciación)</w:t>
      </w:r>
      <w:r>
        <w:t xml:space="preserve"> </w:t>
      </w:r>
      <m:oMath>
        <m:r>
          <m:rPr>
            <m:sty m:val="p"/>
          </m:rPr>
          <m:t>⇒</m:t>
        </m:r>
        <m:r>
          <m:rPr>
            <m:sty m:val="p"/>
          </m:rPr>
          <m:t>↓</m:t>
        </m:r>
        <m:d>
          <m:dPr>
            <m:begChr m:val="("/>
            <m:sepChr m:val=""/>
            <m:endChr m:val=")"/>
            <m:grow/>
          </m:dPr>
          <m:e>
            <m:r>
              <m:t>X</m:t>
            </m:r>
            <m:r>
              <m:rPr>
                <m:sty m:val="p"/>
              </m:rPr>
              <m:t>−</m:t>
            </m:r>
            <m:r>
              <m:t>M</m:t>
            </m:r>
          </m:e>
        </m:d>
      </m:oMath>
      <w:r>
        <w:t xml:space="preserve">; y</w:t>
      </w:r>
      <w:r>
        <w:t xml:space="preserve"> </w:t>
      </w:r>
      <m:oMath>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oMath>
      <w:r>
        <w:t xml:space="preserve">. En los datos no siempre van juntos: si el sector privado ahorra más cuando el Estado gasta más, el déficit exterior puede corregirse.</w:t>
      </w:r>
    </w:p>
    <w:p>
      <w:pPr>
        <w:numPr>
          <w:ilvl w:val="0"/>
          <w:numId w:val="1090"/>
        </w:numPr>
      </w:pPr>
      <w:r>
        <w:t xml:space="preserve">Si el cuadro no da el ahorro nacional pero sí el de los hogares o el privado, se dice y se razona con él suponiendo que el nacional sigue la misma tónica.</w:t>
      </w:r>
    </w:p>
    <w:bookmarkEnd w:id="143"/>
    <w:bookmarkEnd w:id="144"/>
    <w:bookmarkStart w:id="146" w:name="sec_financiacion"/>
    <w:p>
      <w:pPr>
        <w:pStyle w:val="Heading2"/>
      </w:pPr>
      <w:r>
        <w:t xml:space="preserve">IV.2.</w:t>
      </w:r>
      <w:r>
        <w:t xml:space="preserve"> </w:t>
      </w:r>
      <w:r>
        <w:t xml:space="preserve">Cómo se financia</w:t>
      </w:r>
    </w:p>
    <w:p>
      <w:pPr>
        <w:numPr>
          <w:ilvl w:val="0"/>
          <w:numId w:val="1092"/>
        </w:numPr>
      </w:pPr>
      <w:r>
        <w:rPr>
          <w:i/>
          <w:iCs/>
        </w:rPr>
        <w:t xml:space="preserve">Cómo se escribe</w:t>
      </w:r>
      <w:r>
        <w:t xml:space="preserve">: «veamos cómo se financia esta economía a través de la cuenta financiera».</w:t>
      </w:r>
    </w:p>
    <w:p>
      <w:pPr>
        <w:keepNext/>
        <w:numPr>
          <w:ilvl w:val="0"/>
          <w:numId w:val="1092"/>
        </w:numPr>
      </w:pPr>
      <w:r>
        <w:rPr>
          <w:i/>
          <w:iCs/>
        </w:rPr>
        <w:t xml:space="preserve">Qué se mira</w:t>
      </w:r>
      <w:r>
        <w:t xml:space="preserve">: la cuenta financiera por instrumentos, porque no es lo mismo financiarse con capital que con deuda:</w:t>
      </w:r>
    </w:p>
    <w:p>
      <w:pPr>
        <w:numPr>
          <w:ilvl w:val="1"/>
          <w:numId w:val="1093"/>
        </w:numPr>
      </w:pPr>
      <w:r>
        <w:rPr>
          <w:i/>
          <w:iCs/>
        </w:rPr>
        <w:t xml:space="preserve">inversión directa</w:t>
      </w:r>
      <w:r>
        <w:t xml:space="preserve">: estable, con transferencia de tecnología y efectos desbordamiento;</w:t>
      </w:r>
    </w:p>
    <w:p>
      <w:pPr>
        <w:numPr>
          <w:ilvl w:val="1"/>
          <w:numId w:val="1093"/>
        </w:numPr>
      </w:pPr>
      <w:r>
        <w:rPr>
          <w:i/>
          <w:iCs/>
        </w:rPr>
        <w:t xml:space="preserve">inversión de cartera</w:t>
      </w:r>
      <w:r>
        <w:t xml:space="preserve">: volátil y con efecto rebaño ante un cambio de expectativas;</w:t>
      </w:r>
    </w:p>
    <w:p>
      <w:pPr>
        <w:numPr>
          <w:ilvl w:val="1"/>
          <w:numId w:val="1093"/>
        </w:numPr>
      </w:pPr>
      <w:r>
        <w:rPr>
          <w:i/>
          <w:iCs/>
        </w:rPr>
        <w:t xml:space="preserve">derivados</w:t>
      </w:r>
      <w:r>
        <w:t xml:space="preserve">: aún más volátiles;</w:t>
      </w:r>
    </w:p>
    <w:p>
      <w:pPr>
        <w:numPr>
          <w:ilvl w:val="1"/>
          <w:numId w:val="1093"/>
        </w:numPr>
      </w:pPr>
      <w:r>
        <w:rPr>
          <w:i/>
          <w:iCs/>
        </w:rPr>
        <w:t xml:space="preserve">otra inversión</w:t>
      </w:r>
      <w:r>
        <w:t xml:space="preserve">: préstamos y depósitos (incluidos los del Eurosistema por TARGET y los de organismos como el FMI o la UE);</w:t>
      </w:r>
    </w:p>
    <w:p>
      <w:pPr>
        <w:numPr>
          <w:ilvl w:val="1"/>
          <w:numId w:val="1093"/>
        </w:numPr>
      </w:pPr>
      <w:r>
        <w:rPr>
          <w:i/>
          <w:i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p>
      <w:pPr>
        <w:keepNext/>
        <w:numPr>
          <w:ilvl w:val="0"/>
          <w:numId w:val="1092"/>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09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09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w:t>
      </w:r>
    </w:p>
    <w:p>
      <w:pPr>
        <w:numPr>
          <w:ilvl w:val="1"/>
          <w:numId w:val="109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09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w:t>
      </w:r>
    </w:p>
    <w:p>
      <w:pPr>
        <w:numPr>
          <w:ilvl w:val="0"/>
          <w:numId w:val="1092"/>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numPr>
          <w:ilvl w:val="0"/>
          <w:numId w:val="1092"/>
        </w:numPr>
      </w:pPr>
      <w:r>
        <w:rPr>
          <w:i/>
          <w:iCs/>
        </w:rPr>
        <w:t xml:space="preserve">Tema</w:t>
      </w:r>
      <w:r>
        <w:t xml:space="preserve">:</w:t>
      </w:r>
      <w:r>
        <w:t xml:space="preserve"> </w:t>
      </w:r>
      <w:hyperlink r:id="rId43">
        <w:r>
          <w:rPr>
            <w:rStyle w:val="Referenciaatema"/>
          </w:rPr>
          <w:t xml:space="preserve">[ver tema 3.B.11]</w:t>
        </w:r>
      </w:hyperlink>
      <w:r>
        <w:t xml:space="preserve"> </w:t>
      </w:r>
      <w:hyperlink r:id="rId145">
        <w:r>
          <w:rPr>
            <w:rStyle w:val="Referenciaatema"/>
          </w:rPr>
          <w:t xml:space="preserve">[ver tema 3.B.22]</w:t>
        </w:r>
      </w:hyperlink>
      <w:r>
        <w:t xml:space="preserve"> </w:t>
      </w:r>
      <w:hyperlink r:id="rId44">
        <w:r>
          <w:rPr>
            <w:rStyle w:val="Referenciaatema"/>
          </w:rPr>
          <w:t xml:space="preserve">[ver tema 4.A.21]</w:t>
        </w:r>
      </w:hyperlink>
      <w:r>
        <w:t xml:space="preserve">.</w:t>
      </w:r>
    </w:p>
    <w:bookmarkEnd w:id="146"/>
    <w:bookmarkStart w:id="148" w:name="sec_piin"/>
    <w:p>
      <w:pPr>
        <w:pStyle w:val="Heading2"/>
      </w:pPr>
      <w:r>
        <w:t xml:space="preserve">IV.3.</w:t>
      </w:r>
      <w:r>
        <w:t xml:space="preserve"> </w:t>
      </w:r>
      <w:r>
        <w:t xml:space="preserve">Posición de inversión internacional y deuda externa</w:t>
      </w:r>
    </w:p>
    <w:p>
      <w:pPr>
        <w:numPr>
          <w:ilvl w:val="0"/>
          <w:numId w:val="1095"/>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BodyText"/>
        <w:keepNext/>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r>
            <m:rPr>
              <m:sty m:val="p"/>
            </m:rPr>
            <m:t>,</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43">
        <w:r>
          <w:rPr>
            <w:rStyle w:val="Referenciaatema"/>
          </w:rPr>
          <w:t xml:space="preserve">[ver tema 3.B.11]</w:t>
        </w:r>
      </w:hyperlink>
      <w:r>
        <w:t xml:space="preserve">.</w:t>
      </w:r>
    </w:p>
    <w:p>
      <w:pPr>
        <w:numPr>
          <w:ilvl w:val="0"/>
          <w:numId w:val="1095"/>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095"/>
        </w:numPr>
      </w:pPr>
      <w:r>
        <w:rPr>
          <w:i/>
          <w:iCs/>
        </w:rPr>
        <w:t xml:space="preserve">Cómo se lee</w:t>
      </w:r>
      <w:r>
        <w:t xml:space="preserve">: primero, si el país es acreedor o deudor; después, cómo evoluciona y por qué; y la composición de los pasivos, que importa tanto como el nivel:</w:t>
      </w:r>
      <w:r>
        <w:rPr>
          <w:rStyle w:val="FootnoteReference"/>
        </w:rPr>
        <w:footnoteReference w:id="147"/>
      </w:r>
    </w:p>
    <w:p>
      <w:pPr>
        <w:numPr>
          <w:ilvl w:val="1"/>
          <w:numId w:val="1096"/>
        </w:numPr>
      </w:pPr>
      <w:r>
        <w:rPr>
          <w:i/>
          <w:iCs/>
        </w:rPr>
        <w:t xml:space="preserve">instrumentos</w:t>
      </w:r>
      <w:r>
        <w:t xml:space="preserve">: mejor no exigibles (inversión directa antes que cartera y que derivados);</w:t>
      </w:r>
    </w:p>
    <w:p>
      <w:pPr>
        <w:numPr>
          <w:ilvl w:val="1"/>
          <w:numId w:val="1096"/>
        </w:numPr>
      </w:pPr>
      <w:r>
        <w:rPr>
          <w:i/>
          <w:iCs/>
        </w:rPr>
        <w:t xml:space="preserve">sectores</w:t>
      </w:r>
      <w:r>
        <w:t xml:space="preserve">: los pasivos del banco central no tienen riesgo de refinanciación;</w:t>
      </w:r>
    </w:p>
    <w:p>
      <w:pPr>
        <w:numPr>
          <w:ilvl w:val="1"/>
          <w:numId w:val="1096"/>
        </w:numPr>
      </w:pPr>
      <w:r>
        <w:rPr>
          <w:i/>
          <w:iCs/>
        </w:rPr>
        <w:t xml:space="preserve">plazos</w:t>
      </w:r>
      <w:r>
        <w:t xml:space="preserve">: mejor largos;</w:t>
      </w:r>
    </w:p>
    <w:p>
      <w:pPr>
        <w:numPr>
          <w:ilvl w:val="1"/>
          <w:numId w:val="1096"/>
        </w:numPr>
      </w:pPr>
      <w:r>
        <w:rPr>
          <w:i/>
          <w:iCs/>
        </w:rPr>
        <w:t xml:space="preserve">monedas</w:t>
      </w:r>
      <w:r>
        <w:t xml:space="preserve">: mejor en moneda nacional; si en divisas, mejor en las que se deprecian frente a la nacional.</w:t>
      </w:r>
    </w:p>
    <w:p>
      <w:pPr>
        <w:numPr>
          <w:ilvl w:val="0"/>
          <w:numId w:val="1095"/>
        </w:numPr>
      </w:pPr>
      <w:r>
        <w:rPr>
          <w:i/>
          <w:iCs/>
        </w:rPr>
        <w:t xml:space="preserve">Efecto valoración</w:t>
      </w:r>
      <w:r>
        <w:t xml:space="preserve">: la PIIN cambia por las transacciones y por las</w:t>
      </w:r>
      <w:r>
        <w:t xml:space="preserve"> </w:t>
      </w:r>
      <w:r>
        <w:rPr>
          <w:i/>
          <w:iCs/>
        </w:rPr>
        <w:t xml:space="preserve">otras variaciones</w:t>
      </w:r>
      <w:r>
        <w:t xml:space="preserve"> </w:t>
      </w:r>
      <w:r>
        <w:t xml:space="preserve">(precios de los activos y tipo de cambio), que pesan mucho en las economías pequeñas con monedas débiles que flotan. Un empeoramiento de la PIIN por valoración no siempre es más vulnerabilidad: si suben los precios de las acciones y los bonos nacionales en manos de no residentes porque mejoran las perspectivas de la economía o por una política monetaria acomodaticia, los pasivos valen más.</w:t>
      </w:r>
    </w:p>
    <w:bookmarkEnd w:id="148"/>
    <w:bookmarkStart w:id="150" w:name="sec_sostenibilidad_exterior"/>
    <w:p>
      <w:pPr>
        <w:pStyle w:val="Heading2"/>
      </w:pPr>
      <w:r>
        <w:t xml:space="preserve">IV.4.</w:t>
      </w:r>
      <w:r>
        <w:t xml:space="preserve"> </w:t>
      </w:r>
      <w:r>
        <w:t xml:space="preserve">¿Es sostenible?</w:t>
      </w:r>
    </w:p>
    <w:p>
      <w:pPr>
        <w:numPr>
          <w:ilvl w:val="0"/>
          <w:numId w:val="1097"/>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26">
        <w:r>
          <w:rPr>
            <w:rStyle w:val="Referenciaatema"/>
          </w:rPr>
          <w:t xml:space="preserve">[ver tema 3.B.12]</w:t>
        </w:r>
      </w:hyperlink>
      <w:r>
        <w:t xml:space="preserve">,</w:t>
      </w:r>
      <w:r>
        <w:t xml:space="preserve"> </w:t>
      </w:r>
      <w:bookmarkStart w:id="149" w:name="eq_dinamica_piin"/>
      <w:bookmarkEnd w:id="149"/>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097"/>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097"/>
        </w:numPr>
      </w:pPr>
      <w:r>
        <w:rPr>
          <w:i/>
          <w:iCs/>
        </w:rPr>
        <w:t xml:space="preserve">Cada determinante</w:t>
      </w:r>
      <w:r>
        <w:t xml:space="preserve">:</w:t>
      </w:r>
    </w:p>
    <w:p>
      <w:pPr>
        <w:numPr>
          <w:ilvl w:val="1"/>
          <w:numId w:val="1098"/>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098"/>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098"/>
        </w:numPr>
      </w:pPr>
      <w:r>
        <w:rPr>
          <w:i/>
          <w:iCs/>
        </w:rPr>
        <w:t xml:space="preserve">tipos de interés</w:t>
      </w:r>
      <w:r>
        <w:t xml:space="preserve"> </w:t>
      </w:r>
      <w:r>
        <w:t xml:space="preserve">(</w:t>
      </w:r>
      <m:oMath>
        <m:r>
          <m:rPr>
            <m:sty m:val="p"/>
          </m:rPr>
          <m:t>−</m:t>
        </m:r>
      </m:oMath>
      <w:r>
        <w:t xml:space="preserve">);</w:t>
      </w:r>
    </w:p>
    <w:p>
      <w:pPr>
        <w:numPr>
          <w:ilvl w:val="1"/>
          <w:numId w:val="1098"/>
        </w:numPr>
      </w:pPr>
      <w:r>
        <w:rPr>
          <w:i/>
          <w:iCs/>
        </w:rPr>
        <w:t xml:space="preserve">inflación</w:t>
      </w:r>
      <w:r>
        <w:t xml:space="preserve"> </w:t>
      </w:r>
      <w:r>
        <w:t xml:space="preserve">(ambigua): solo licúa la deuda emitida en moneda nacional;</w:t>
      </w:r>
    </w:p>
    <w:p>
      <w:pPr>
        <w:numPr>
          <w:ilvl w:val="1"/>
          <w:numId w:val="1098"/>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8"/>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098"/>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097"/>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p>
      <w:pPr>
        <w:numPr>
          <w:ilvl w:val="0"/>
          <w:numId w:val="1099"/>
        </w:numPr>
      </w:pPr>
      <w:r>
        <w:rPr>
          <w:i/>
          <w:iCs/>
        </w:rPr>
        <w:t xml:space="preserve">Recapitulación</w:t>
      </w:r>
      <w:r>
        <w:t xml:space="preserve">: capacidad o necesidad (subcuentas, ahorro e inversión, sectores), financiación (instrumentos y reservas) y posición (PIIN, composición y dinámica). Con el diagnóstico de todos los bloques, pasamos a las políticas.</w:t>
      </w:r>
    </w:p>
    <w:bookmarkEnd w:id="150"/>
    <w:bookmarkEnd w:id="151"/>
    <w:bookmarkStart w:id="196" w:name="sec_politicas"/>
    <w:p>
      <w:pPr>
        <w:pStyle w:val="Heading1"/>
      </w:pPr>
      <w:r>
        <w:t xml:space="preserve">V.</w:t>
      </w:r>
      <w:r>
        <w:t xml:space="preserve"> </w:t>
      </w:r>
      <w:r>
        <w:t xml:space="preserve">Políticas</w:t>
      </w:r>
    </w:p>
    <w:p>
      <w:pPr>
        <w:numPr>
          <w:ilvl w:val="0"/>
          <w:numId w:val="1100"/>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1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p>
      <w:pPr>
        <w:numPr>
          <w:ilvl w:val="0"/>
          <w:numId w:val="1101"/>
        </w:numPr>
      </w:pPr>
      <w:r>
        <w:rPr>
          <w:i/>
          <w:iCs/>
        </w:rPr>
        <w:t xml:space="preserve">Diseño</w:t>
      </w:r>
      <w:r>
        <w:t xml:space="preserve">: hay cierto consenso en que la política monetaria apenas altera el nivel de actividad a largo plazo, aunque sí a corto. Por eso el papel básico de los bancos centrales es controlar la inflación,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21">
        <w:r>
          <w:rPr>
            <w:rStyle w:val="Referenciaatema"/>
          </w:rPr>
          <w:t xml:space="preserve">[ver tema 3.A.36]</w:t>
        </w:r>
      </w:hyperlink>
      <w:r>
        <w:t xml:space="preserve">.</w:t>
      </w:r>
    </w:p>
    <w:p>
      <w:pPr>
        <w:numPr>
          <w:ilvl w:val="0"/>
          <w:numId w:val="1101"/>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01"/>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p>
      <w:pPr>
        <w:numPr>
          <w:ilvl w:val="0"/>
          <w:numId w:val="1101"/>
        </w:numPr>
      </w:pPr>
      <w:r>
        <w:rPr>
          <w:i/>
          <w:iCs/>
        </w:rPr>
        <w:t xml:space="preserve">Tono</w:t>
      </w:r>
      <w:r>
        <w:t xml:space="preserve">: se juzga por el</w:t>
      </w:r>
      <w:r>
        <w:t xml:space="preserve"> </w:t>
      </w:r>
      <w:r>
        <w:rPr>
          <w:i/>
          <w:iCs/>
        </w:rPr>
        <w:t xml:space="preserve">nivel</w:t>
      </w:r>
      <w:r>
        <w:t xml:space="preserve"> </w:t>
      </w:r>
      <w:r>
        <w:t xml:space="preserve">del tipo real a corto,</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frente al tipo real natural</w:t>
      </w:r>
      <w:r>
        <w:t xml:space="preserve"> </w:t>
      </w:r>
      <m:oMath>
        <m:sSup>
          <m:e>
            <m:r>
              <m:t>r</m:t>
            </m:r>
          </m:e>
          <m:sup>
            <m:r>
              <m:t>n</m:t>
            </m:r>
          </m:sup>
        </m:sSup>
      </m:oMath>
      <w:r>
        <w:t xml:space="preserve">:</w:t>
      </w:r>
      <w:r>
        <w:t xml:space="preserve"> </w:t>
      </w:r>
      <w:r>
        <w:rPr>
          <w:i/>
          <w:i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 neutral si</w:t>
      </w:r>
      <w:r>
        <w:t xml:space="preserve"> </w:t>
      </w:r>
      <m:oMath>
        <m:sSub>
          <m:e>
            <m:r>
              <m:t>r</m:t>
            </m:r>
          </m:e>
          <m:sub>
            <m:r>
              <m:t>t</m:t>
            </m:r>
          </m:sub>
        </m:sSub>
        <m:r>
          <m:rPr>
            <m:sty m:val="p"/>
          </m:rPr>
          <m:t>≈</m:t>
        </m:r>
        <m:sSup>
          <m:e>
            <m:r>
              <m:t>r</m:t>
            </m:r>
          </m:e>
          <m:sup>
            <m:r>
              <m:t>n</m:t>
            </m:r>
          </m:sup>
        </m:sSup>
      </m:oMath>
      <w:r>
        <w:t xml:space="preserve">; contractiva si</w:t>
      </w:r>
      <w:r>
        <w:t xml:space="preserve"> </w:t>
      </w:r>
      <m:oMath>
        <m:sSub>
          <m:e>
            <m:r>
              <m:t>r</m:t>
            </m:r>
          </m:e>
          <m:sub>
            <m:r>
              <m:t>t</m:t>
            </m:r>
          </m:sub>
        </m:sSub>
        <m:r>
          <m:rPr>
            <m:sty m:val="p"/>
          </m:rPr>
          <m:t>&gt;</m:t>
        </m:r>
        <m:sSup>
          <m:e>
            <m:r>
              <m:t>r</m:t>
            </m:r>
          </m:e>
          <m:sup>
            <m:r>
              <m:t>n</m:t>
            </m:r>
          </m:sup>
        </m:sSup>
      </m:oMath>
      <w:r>
        <w:t xml:space="preserve">. Como</w:t>
      </w:r>
      <w:r>
        <w:t xml:space="preserve"> </w:t>
      </w:r>
      <m:oMath>
        <m:sSup>
          <m:e>
            <m:r>
              <m:t>r</m:t>
            </m:r>
          </m:e>
          <m:sup>
            <m:r>
              <m:t>n</m:t>
            </m:r>
          </m:sup>
        </m:sSup>
      </m:oMath>
      <w:r>
        <w:t xml:space="preserve"> </w:t>
      </w:r>
      <w:r>
        <w:t xml:space="preserve">no se observa, se completa con la regla de</w:t>
      </w:r>
      <w:r>
        <w:t xml:space="preserve"> </w:t>
      </w:r>
      <w:r>
        <w:rPr>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p>
      <w:pPr>
        <w:pStyle w:val="BodyText"/>
        <w:keepNext/>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r>
            <m:rPr>
              <m:sty m:val="p"/>
            </m:rPr>
            <m:t>,</m:t>
          </m:r>
        </m:oMath>
      </m:oMathPara>
    </w:p>
    <w:p>
      <w:pPr>
        <w:numPr>
          <w:ilvl w:val="0"/>
          <w:numId w:val="1000"/>
        </w:numPr>
      </w:pPr>
      <w:r>
        <w:t xml:space="preserve">y, si los tipos están en su límite inferior, con el</w:t>
      </w:r>
      <w:r>
        <w:t xml:space="preserve"> </w:t>
      </w:r>
      <w:r>
        <w:rPr>
          <w:i/>
          <w:iCs/>
        </w:rPr>
        <w:t xml:space="preserve">balance del banco central</w:t>
      </w:r>
      <w:r>
        <w:t xml:space="preserve"> </w:t>
      </w:r>
      <w:r>
        <w:t xml:space="preserve">(las compras de activos se reflejan en parte en los agregados monetarios, como M3).</w:t>
      </w:r>
      <w:r>
        <w:rPr>
          <w:rStyle w:val="FootnoteReference"/>
        </w:rPr>
        <w:footnoteReference w:id="152"/>
      </w:r>
    </w:p>
    <w:p>
      <w:pPr>
        <w:keepNext/>
        <w:numPr>
          <w:ilvl w:val="0"/>
          <w:numId w:val="1101"/>
        </w:numPr>
      </w:pPr>
      <w:r>
        <w:rPr>
          <w:i/>
          <w:iCs/>
        </w:rPr>
        <w:t xml:space="preserve">Canales de transmisión</w:t>
      </w:r>
      <w:r>
        <w:t xml:space="preserve"> </w:t>
      </w:r>
      <w:hyperlink r:id="rId153">
        <w:r>
          <w:rPr>
            <w:rStyle w:val="Referenciaatema"/>
          </w:rPr>
          <w:t xml:space="preserve">[ver tema 3.A.37]</w:t>
        </w:r>
      </w:hyperlink>
      <w:r>
        <w:t xml:space="preserve">:</w:t>
      </w:r>
    </w:p>
    <w:p>
      <w:pPr>
        <w:numPr>
          <w:ilvl w:val="1"/>
          <w:numId w:val="1102"/>
        </w:numPr>
      </w:pPr>
      <w:r>
        <w:rPr>
          <w:i/>
          <w:iCs/>
        </w:rPr>
        <w:t xml:space="preserve">tipo de interés</w:t>
      </w:r>
      <w:r>
        <w:t xml:space="preserve">: del tipo oficial a la curva de tipos y a los tipos de préstamos y depósitos, y de ahí al consumo y la inversión;</w:t>
      </w:r>
    </w:p>
    <w:p>
      <w:pPr>
        <w:numPr>
          <w:ilvl w:val="1"/>
          <w:numId w:val="1102"/>
        </w:numPr>
      </w:pPr>
      <w:r>
        <w:rPr>
          <w:i/>
          <w:iCs/>
        </w:rPr>
        <w:t xml:space="preserve">crédito</w:t>
      </w:r>
      <w:r>
        <w:t xml:space="preserve">: la oferta de crédito de los bancos y el valor de las garantías de los prestatarios;</w:t>
      </w:r>
    </w:p>
    <w:p>
      <w:pPr>
        <w:numPr>
          <w:ilvl w:val="1"/>
          <w:numId w:val="1102"/>
        </w:numPr>
      </w:pPr>
      <w:r>
        <w:rPr>
          <w:i/>
          <w:i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02"/>
        </w:numPr>
      </w:pPr>
      <w:r>
        <w:rPr>
          <w:i/>
          <w:iCs/>
        </w:rPr>
        <w:t xml:space="preserve">tipo de cambio</w:t>
      </w:r>
      <w:r>
        <w:t xml:space="preserve">: un tipo más alto aprecia la moneda y reduce la inflación importada;</w:t>
      </w:r>
    </w:p>
    <w:p>
      <w:pPr>
        <w:numPr>
          <w:ilvl w:val="1"/>
          <w:numId w:val="1102"/>
        </w:numPr>
      </w:pPr>
      <w:r>
        <w:rPr>
          <w:i/>
          <w:iCs/>
        </w:rPr>
        <w:t xml:space="preserve">expectativas</w:t>
      </w:r>
      <w:r>
        <w:t xml:space="preserve">: si la política es creíble, ancla las de inflación y modera salarios y precios.</w:t>
      </w:r>
    </w:p>
    <w:p>
      <w:pPr>
        <w:numPr>
          <w:ilvl w:val="0"/>
          <w:numId w:val="1101"/>
        </w:numPr>
      </w:pPr>
      <w:r>
        <w:rPr>
          <w:i/>
          <w:iCs/>
        </w:rPr>
        <w:t xml:space="preserve">Eficacia sobre variables nominales y reales</w:t>
      </w:r>
      <w:r>
        <w:t xml:space="preserve">: si tras las subidas baja la inflación (con 1 o 2 años de retraso), se frena el crédito y se aprecia la moneda, la transmisión funciona. Es menos eficaz con un sistema financiero poco desarrollado, mucha dolarización o dominancia fiscal.</w:t>
      </w:r>
    </w:p>
    <w:p>
      <w:pPr>
        <w:numPr>
          <w:ilvl w:val="0"/>
          <w:numId w:val="1101"/>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w:t>
      </w:r>
    </w:p>
    <w:p>
      <w:pPr>
        <w:numPr>
          <w:ilvl w:val="0"/>
          <w:numId w:val="1101"/>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60">
        <w:r>
          <w:rPr>
            <w:rStyle w:val="Referenciaatema"/>
          </w:rPr>
          <w:t xml:space="preserve">[ver tema 3.A.39]</w:t>
        </w:r>
      </w:hyperlink>
      <w:r>
        <w:t xml:space="preserve">.</w:t>
      </w:r>
    </w:p>
    <w:p>
      <w:pPr>
        <w:numPr>
          <w:ilvl w:val="0"/>
          <w:numId w:val="1101"/>
        </w:numPr>
      </w:pPr>
      <w:r>
        <w:rPr>
          <w:i/>
          <w:iCs/>
        </w:rPr>
        <w:t xml:space="preserve">Relación con el ciclo</w:t>
      </w:r>
      <w:r>
        <w:t xml:space="preserve">: contracíclica si sube los tipos con la brecha positiva y los baja con la negativa; procíclica si hace lo contrario.</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D.1</w:t>
        </w:r>
      </w:hyperlink>
      <w:r>
        <w:t xml:space="preserve">.</w:t>
      </w:r>
    </w:p>
    <w:bookmarkStart w:id="157" w:name="fig_tipos_balance_bce"/>
    <w:p>
      <w:pPr>
        <w:pStyle w:val="ImageCaption"/>
      </w:pPr>
      <w:r>
        <w:t xml:space="preserve">Gráfico 4.–</w:t>
      </w:r>
      <w:r>
        <w:t xml:space="preserve"> </w:t>
      </w:r>
      <w:r>
        <w:t xml:space="preserve">Tipos de interés oficiales del BCE y balance del Eurosistema</w:t>
      </w:r>
    </w:p>
    <w:p>
      <w:pPr>
        <w:pStyle w:val="CaptionedFigure"/>
      </w:pPr>
      <w:r>
        <w:drawing>
          <wp:inline>
            <wp:extent cx="4417060" cy="2379151"/>
            <wp:effectExtent b="0" l="0" r="0" t="0"/>
            <wp:docPr descr="Gráfico 4.– Tipos de interés oficiales del BCE y balance del Eurosistema" title="" id="155" name="Picture"/>
            <a:graphic>
              <a:graphicData uri="http://schemas.openxmlformats.org/drawingml/2006/picture">
                <pic:pic>
                  <pic:nvPicPr>
                    <pic:cNvPr descr="C:\Users\vgutierrez\Documents\src\victorgutierrezmarcos.github.io-revision\oposicion\temario\fuentes\1D01\graficos/tipos-balance-bce.png" id="156" name="Picture"/>
                    <pic:cNvPicPr>
                      <a:picLocks noChangeArrowheads="1" noChangeAspect="1"/>
                    </pic:cNvPicPr>
                  </pic:nvPicPr>
                  <pic:blipFill>
                    <a:blip r:embed="rId154"/>
                    <a:stretch>
                      <a:fillRect/>
                    </a:stretch>
                  </pic:blipFill>
                  <pic:spPr bwMode="auto">
                    <a:xfrm>
                      <a:off x="0" y="0"/>
                      <a:ext cx="4417060" cy="2379151"/>
                    </a:xfrm>
                    <a:prstGeom prst="rect">
                      <a:avLst/>
                    </a:prstGeom>
                    <a:noFill/>
                    <a:ln w="9525">
                      <a:noFill/>
                      <a:headEnd/>
                      <a:tailEnd/>
                    </a:ln>
                  </pic:spPr>
                </pic:pic>
              </a:graphicData>
            </a:graphic>
          </wp:inline>
        </w:drawing>
      </w:r>
    </w:p>
    <w:bookmarkEnd w:id="157"/>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bookmarkEnd w:id="158"/>
    <w:bookmarkStart w:id="171"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03"/>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09">
        <w:r>
          <w:rPr>
            <w:rStyle w:val="Referenciaatema"/>
          </w:rPr>
          <w:t xml:space="preserve">[ver tema 3.B.27]</w:t>
        </w:r>
      </w:hyperlink>
      <w:r>
        <w:t xml:space="preserve"> </w:t>
      </w:r>
      <w:hyperlink r:id="rId110">
        <w:r>
          <w:rPr>
            <w:rStyle w:val="Referenciaatema"/>
          </w:rPr>
          <w:t xml:space="preserve">[ver tema 4.A.19]</w:t>
        </w:r>
      </w:hyperlink>
      <w:r>
        <w:t xml:space="preserve">.</w:t>
      </w:r>
    </w:p>
    <w:p>
      <w:pPr>
        <w:numPr>
          <w:ilvl w:val="0"/>
          <w:numId w:val="1103"/>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03"/>
        </w:numPr>
      </w:pPr>
      <w:r>
        <w:rPr>
          <w:i/>
          <w:iCs/>
        </w:rPr>
        <w:t xml:space="preserve">Orden del análisis</w:t>
      </w:r>
      <w:r>
        <w:t xml:space="preserve">: endeudamiento y ciclo financiero; indicadores de la banca (solvencia, calidad de los activos, liquidez y rentabilidad); riesgos (vivienda, crédito, divisas, tipos, bolsa); regulación microprudencial, supervisión y unión bancaria; y política macroprudencial.</w:t>
      </w:r>
    </w:p>
    <w:bookmarkStart w:id="160" w:name="endeudamiento_y_ciclo_financiero"/>
    <w:p>
      <w:pPr>
        <w:pStyle w:val="Heading4"/>
      </w:pPr>
      <w:r>
        <w:t xml:space="preserve">Endeudamiento y ciclo financiero</w:t>
      </w:r>
    </w:p>
    <w:p>
      <w:pPr>
        <w:numPr>
          <w:ilvl w:val="0"/>
          <w:numId w:val="1104"/>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04"/>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04"/>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09">
        <w:r>
          <w:rPr>
            <w:rStyle w:val="Referenciaatema"/>
          </w:rPr>
          <w:t xml:space="preserve">[ver tema 3.B.27]</w:t>
        </w:r>
      </w:hyperlink>
      <w:r>
        <w:t xml:space="preserve">.</w:t>
      </w:r>
    </w:p>
    <w:p>
      <w:pPr>
        <w:numPr>
          <w:ilvl w:val="0"/>
          <w:numId w:val="1104"/>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159">
        <w:r>
          <w:rPr>
            <w:rStyle w:val="Referenciaatema"/>
          </w:rPr>
          <w:t xml:space="preserve">[ver tema 3.B.44]</w:t>
        </w:r>
      </w:hyperlink>
      <w:r>
        <w:t xml:space="preserve">.</w:t>
      </w:r>
    </w:p>
    <w:p>
      <w:pPr>
        <w:numPr>
          <w:ilvl w:val="0"/>
          <w:numId w:val="1104"/>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D.1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160"/>
    <w:bookmarkStart w:id="162" w:name="indicadores_de_la_banca_solvencia"/>
    <w:p>
      <w:pPr>
        <w:pStyle w:val="Heading4"/>
      </w:pPr>
      <w:r>
        <w:t xml:space="preserve">Indicadores de la banca: solvencia</w:t>
      </w:r>
    </w:p>
    <w:p>
      <w:pPr>
        <w:numPr>
          <w:ilvl w:val="0"/>
          <w:numId w:val="1105"/>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05"/>
        </w:numPr>
      </w:pPr>
      <w:r>
        <w:rPr>
          <w:i/>
          <w:iCs/>
        </w:rPr>
        <w:t xml:space="preserve">Las 3 ratios</w:t>
      </w:r>
      <w:r>
        <w:t xml:space="preserve">, según la calidad de lo que se incluye en el numerador:</w:t>
      </w:r>
    </w:p>
    <w:p>
      <w:pPr>
        <w:numPr>
          <w:ilvl w:val="1"/>
          <w:numId w:val="1106"/>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06"/>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06"/>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161"/>
      </w:r>
    </w:p>
    <w:p>
      <w:pPr>
        <w:numPr>
          <w:ilvl w:val="0"/>
          <w:numId w:val="1105"/>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(tabla </w:t>
      </w:r>
      <w:hyperlink w:anchor="tab_basilea">
        <w:r>
          <w:rPr>
            <w:rStyle w:val="Hyperlink"/>
          </w:rPr>
          <w:t xml:space="preserve">12</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05"/>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05"/>
        </w:numPr>
      </w:pPr>
      <w:r>
        <w:rPr>
          <w:i/>
          <w:iCs/>
        </w:rPr>
        <w:t xml:space="preserve">Cómo se lee</w:t>
      </w:r>
      <w:r>
        <w:t xml:space="preserve">: en una buena coyuntura hay 2 efectos opuestos sobre la ratio de capital: más beneficios retenidos (sube el numerador) y más crédito (suben los APR del denominador). Un capital que cumple, pero muy justo, puede no bastar ante un choque.</w:t>
      </w:r>
    </w:p>
    <w:bookmarkEnd w:id="162"/>
    <w:bookmarkStart w:id="163" w:name="calidad_de_los_activos"/>
    <w:p>
      <w:pPr>
        <w:pStyle w:val="Heading4"/>
      </w:pPr>
      <w:r>
        <w:t xml:space="preserve">Calidad de los activos</w:t>
      </w:r>
    </w:p>
    <w:p>
      <w:pPr>
        <w:numPr>
          <w:ilvl w:val="0"/>
          <w:numId w:val="1107"/>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07"/>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07"/>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7"/>
        </w:numPr>
      </w:pPr>
      <w:r>
        <w:rPr>
          <w:i/>
          <w:iCs/>
        </w:rPr>
        <w:t xml:space="preserve">Cómo se lee</w:t>
      </w:r>
      <w:r>
        <w:t xml:space="preserve">: la morosidad va retrasada respecto al ciclo; las moratorias y las garantías públicas pueden retrasar su reconocimiento.</w:t>
      </w:r>
    </w:p>
    <w:bookmarkEnd w:id="163"/>
    <w:bookmarkStart w:id="164" w:name="liquidez"/>
    <w:p>
      <w:pPr>
        <w:pStyle w:val="Heading4"/>
      </w:pPr>
      <w:r>
        <w:t xml:space="preserve">Liquidez</w:t>
      </w:r>
    </w:p>
    <w:p>
      <w:pPr>
        <w:numPr>
          <w:ilvl w:val="0"/>
          <w:numId w:val="1108"/>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08"/>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08"/>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164"/>
    <w:bookmarkStart w:id="166" w:name="rentabilidad"/>
    <w:p>
      <w:pPr>
        <w:pStyle w:val="Heading4"/>
      </w:pPr>
      <w:r>
        <w:t xml:space="preserve">Rentabilidad</w:t>
      </w:r>
    </w:p>
    <w:p>
      <w:pPr>
        <w:numPr>
          <w:ilvl w:val="0"/>
          <w:numId w:val="1109"/>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09"/>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165">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09"/>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Referencias orientativas de la Autoridad Bancaria Europea: ROE favorable por encima del 10 %;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09"/>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09"/>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11</w:t>
        </w:r>
      </w:hyperlink>
      <w:r>
        <w:t xml:space="preserve">, y las ratios de la banca española y la europea, en la tabla </w:t>
      </w:r>
      <w:hyperlink w:anchor="tab_ratios_banca">
        <w:r>
          <w:rPr>
            <w:rStyle w:val="Hyperlink"/>
          </w:rPr>
          <w:t xml:space="preserve">13</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D.1</w:t>
        </w:r>
      </w:hyperlink>
      <w:r>
        <w:t xml:space="preserve">.</w:t>
      </w:r>
    </w:p>
    <w:bookmarkEnd w:id="166"/>
    <w:bookmarkStart w:id="167" w:name="riesgos_para_la_estabilidad_financiera"/>
    <w:p>
      <w:pPr>
        <w:pStyle w:val="Heading4"/>
      </w:pPr>
      <w:r>
        <w:t xml:space="preserve">Riesgos para la estabilidad financiera</w:t>
      </w:r>
    </w:p>
    <w:p>
      <w:pPr>
        <w:keepNext/>
        <w:numPr>
          <w:ilvl w:val="0"/>
          <w:numId w:val="1110"/>
        </w:numPr>
      </w:pPr>
      <w:r>
        <w:rPr>
          <w:i/>
          <w:iCs/>
        </w:rPr>
        <w:t xml:space="preserve">Vivienda</w:t>
      </w:r>
      <w:r>
        <w:t xml:space="preserve">: es el principal activo de los hogares, su principal deuda y la garantía de buena parte del crédito bancario. Hay que separar fundamentos y burbuja:</w:t>
      </w:r>
    </w:p>
    <w:p>
      <w:pPr>
        <w:numPr>
          <w:ilvl w:val="1"/>
          <w:numId w:val="1111"/>
        </w:numPr>
      </w:pPr>
      <w:r>
        <w:rPr>
          <w:i/>
          <w:iCs/>
        </w:rPr>
        <w:t xml:space="preserve">fundamentos</w:t>
      </w:r>
      <w:r>
        <w:t xml:space="preserve">: renta disponible, población y formación de hogares, tipos hipotecarios, oferta de vivienda nueva, fiscalidad, demanda extranjera;</w:t>
      </w:r>
    </w:p>
    <w:p>
      <w:pPr>
        <w:numPr>
          <w:ilvl w:val="1"/>
          <w:numId w:val="1111"/>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11"/>
        </w:numPr>
      </w:pPr>
      <w:r>
        <w:rPr>
          <w:i/>
          <w:iCs/>
        </w:rPr>
        <w:t xml:space="preserve">umbrales</w:t>
      </w:r>
      <w:r>
        <w:t xml:space="preserve">: el cuadro de indicadores del procedimiento de desequilibrios alerta con subidas del precio nominal 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11"/>
        </w:numPr>
      </w:pPr>
      <w:r>
        <w:rPr>
          <w:i/>
          <w:iCs/>
        </w:rPr>
        <w:t xml:space="preserve">con qué se cruza</w:t>
      </w:r>
      <w:r>
        <w:t xml:space="preserve">: consumo (efecto riqueza), inversión residencial, crédito y morosidad, y movilidad laboral (vivienda cara, peor emparejamiento)</w:t>
      </w:r>
      <w:r>
        <w:t xml:space="preserve"> </w:t>
      </w:r>
      <w:hyperlink r:id="rId64">
        <w:r>
          <w:rPr>
            <w:rStyle w:val="Referenciaatema"/>
          </w:rPr>
          <w:t xml:space="preserve">[ver tema 4.A.11]</w:t>
        </w:r>
      </w:hyperlink>
      <w:r>
        <w:t xml:space="preserve">.</w:t>
      </w:r>
    </w:p>
    <w:p>
      <w:pPr>
        <w:numPr>
          <w:ilvl w:val="0"/>
          <w:numId w:val="1110"/>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10"/>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10"/>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10"/>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68">
        <w:r>
          <w:rPr>
            <w:rStyle w:val="Referenciaatema"/>
          </w:rPr>
          <w:t xml:space="preserve">[ver tema 3.A.34]</w:t>
        </w:r>
      </w:hyperlink>
      <w:r>
        <w:t xml:space="preserve">) y con el consumo (efecto riqueza, menor que el de la vivienda).</w:t>
      </w:r>
    </w:p>
    <w:p>
      <w:pPr>
        <w:numPr>
          <w:ilvl w:val="0"/>
          <w:numId w:val="1110"/>
        </w:numPr>
      </w:pPr>
      <w:r>
        <w:rPr>
          <w:i/>
          <w:iCs/>
        </w:rPr>
        <w:t xml:space="preserve">Riesgos externos</w:t>
      </w:r>
      <w:r>
        <w:t xml:space="preserve">: salidas bruscas de capitales, contagio de crisis de otros países y exposición de los bancos a economías en dificultades.</w:t>
      </w:r>
    </w:p>
    <w:bookmarkEnd w:id="167"/>
    <w:bookmarkStart w:id="168" w:name="regulaci__n_microprudencial_basilea_iii"/>
    <w:p>
      <w:pPr>
        <w:pStyle w:val="Heading4"/>
      </w:pPr>
      <w:r>
        <w:t xml:space="preserve">Regulación microprudencial: Basilea III</w:t>
      </w:r>
    </w:p>
    <w:p>
      <w:pPr>
        <w:numPr>
          <w:ilvl w:val="0"/>
          <w:numId w:val="1112"/>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12"/>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13"/>
        </w:numPr>
      </w:pPr>
      <w:r>
        <w:rPr>
          <w:i/>
          <w:iCs/>
        </w:rPr>
        <w:t xml:space="preserve">Pilar 1</w:t>
      </w:r>
      <w:r>
        <w:t xml:space="preserve">: requisitos mínimos de capital por riesgo de crédito, de mercado y operacional; la ratio de apalancamiento; y las ratios de liquidez (LCR y NSFR);</w:t>
      </w:r>
    </w:p>
    <w:p>
      <w:pPr>
        <w:numPr>
          <w:ilvl w:val="1"/>
          <w:numId w:val="1113"/>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13"/>
        </w:numPr>
      </w:pPr>
      <w:r>
        <w:rPr>
          <w:i/>
          <w:iCs/>
        </w:rPr>
        <w:t xml:space="preserve">Pilar 3</w:t>
      </w:r>
      <w:r>
        <w:t xml:space="preserve">: la disciplina de mercado, con la obligación de publicar información sobre el capital y los riesgos.</w:t>
      </w:r>
    </w:p>
    <w:p>
      <w:pPr>
        <w:numPr>
          <w:ilvl w:val="0"/>
          <w:numId w:val="1112"/>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168"/>
    <w:bookmarkStart w:id="169" w:name="supervisi__n_y_uni__n_bancaria"/>
    <w:p>
      <w:pPr>
        <w:pStyle w:val="Heading4"/>
      </w:pPr>
      <w:r>
        <w:t xml:space="preserve">Supervisión y unión bancaria</w:t>
      </w:r>
    </w:p>
    <w:p>
      <w:pPr>
        <w:numPr>
          <w:ilvl w:val="0"/>
          <w:numId w:val="1114"/>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159">
        <w:r>
          <w:rPr>
            <w:rStyle w:val="Referenciaatema"/>
          </w:rPr>
          <w:t xml:space="preserve">[ver tema 3.B.44]</w:t>
        </w:r>
      </w:hyperlink>
      <w:r>
        <w:t xml:space="preserve">.</w:t>
      </w:r>
    </w:p>
    <w:p>
      <w:pPr>
        <w:keepNext/>
        <w:numPr>
          <w:ilvl w:val="0"/>
          <w:numId w:val="1114"/>
        </w:numPr>
      </w:pPr>
      <w:r>
        <w:rPr>
          <w:i/>
          <w:iCs/>
        </w:rPr>
        <w:t xml:space="preserve">Sus pilares</w:t>
      </w:r>
      <w:r>
        <w:t xml:space="preserve">:</w:t>
      </w:r>
    </w:p>
    <w:p>
      <w:pPr>
        <w:numPr>
          <w:ilvl w:val="1"/>
          <w:numId w:val="1115"/>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15"/>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w:t>
        </w:r>
      </w:hyperlink>
      <w:r>
        <w:t xml:space="preserve">)</w:t>
      </w:r>
      <w:r>
        <w:t xml:space="preserve">;</w:t>
      </w:r>
    </w:p>
    <w:p>
      <w:pPr>
        <w:numPr>
          <w:ilvl w:val="1"/>
          <w:numId w:val="1115"/>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14"/>
        </w:numPr>
      </w:pPr>
      <w:r>
        <w:rPr>
          <w:i/>
          <w:iCs/>
        </w:rPr>
        <w:t xml:space="preserve">Cómo se lee</w:t>
      </w:r>
      <w:r>
        <w:t xml:space="preserve">: en un país del euro, la supervisión y la resolución son europeas; la política macroprudencial sigue siendo sobre todo nacional, con el BCE como garante.</w:t>
      </w:r>
    </w:p>
    <w:bookmarkEnd w:id="169"/>
    <w:bookmarkStart w:id="170" w:name="pol__tica_macroprudencial"/>
    <w:p>
      <w:pPr>
        <w:pStyle w:val="Heading4"/>
      </w:pPr>
      <w:r>
        <w:t xml:space="preserve">Política macroprudencial</w:t>
      </w:r>
    </w:p>
    <w:p>
      <w:pPr>
        <w:numPr>
          <w:ilvl w:val="0"/>
          <w:numId w:val="1116"/>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16"/>
        </w:numPr>
      </w:pPr>
      <w:r>
        <w:rPr>
          <w:i/>
          <w:iCs/>
        </w:rPr>
        <w:t xml:space="preserve">Instrumentos</w:t>
      </w:r>
      <w:r>
        <w:t xml:space="preserve">:</w:t>
      </w:r>
    </w:p>
    <w:p>
      <w:pPr>
        <w:numPr>
          <w:ilvl w:val="1"/>
          <w:numId w:val="1117"/>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17"/>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17"/>
        </w:numPr>
      </w:pPr>
      <w:r>
        <w:t xml:space="preserve">límites a la concentración y a las exposiciones a un sector.</w:t>
      </w:r>
    </w:p>
    <w:p>
      <w:pPr>
        <w:numPr>
          <w:ilvl w:val="0"/>
          <w:numId w:val="1116"/>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16"/>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D.1</w:t>
        </w:r>
      </w:hyperlink>
      <w:r>
        <w:t xml:space="preserve">.</w:t>
      </w:r>
    </w:p>
    <w:p>
      <w:pPr>
        <w:numPr>
          <w:ilvl w:val="0"/>
          <w:numId w:val="1116"/>
        </w:numPr>
      </w:pPr>
      <w:r>
        <w:rPr>
          <w:i/>
          <w:iCs/>
        </w:rPr>
        <w:t xml:space="preserve">Tema</w:t>
      </w:r>
      <w:r>
        <w:t xml:space="preserve">:</w:t>
      </w:r>
      <w:r>
        <w:t xml:space="preserve"> </w:t>
      </w:r>
      <w:hyperlink r:id="rId109">
        <w:r>
          <w:rPr>
            <w:rStyle w:val="Referenciaatema"/>
          </w:rPr>
          <w:t xml:space="preserve">[ver tema 3.B.27]</w:t>
        </w:r>
      </w:hyperlink>
      <w:r>
        <w:t xml:space="preserve"> </w:t>
      </w:r>
      <w:hyperlink r:id="rId159">
        <w:r>
          <w:rPr>
            <w:rStyle w:val="Referenciaatema"/>
          </w:rPr>
          <w:t xml:space="preserve">[ver tema 3.B.44]</w:t>
        </w:r>
      </w:hyperlink>
      <w:r>
        <w:t xml:space="preserve"> </w:t>
      </w:r>
      <w:hyperlink r:id="rId110">
        <w:r>
          <w:rPr>
            <w:rStyle w:val="Referenciaatema"/>
          </w:rPr>
          <w:t xml:space="preserve">[ver tema 4.A.19]</w:t>
        </w:r>
      </w:hyperlink>
      <w:r>
        <w:t xml:space="preserve">.</w:t>
      </w:r>
    </w:p>
    <w:bookmarkEnd w:id="170"/>
    <w:bookmarkEnd w:id="171"/>
    <w:bookmarkStart w:id="187"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18"/>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172"/>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173">
        <w:r>
          <w:rPr>
            <w:rStyle w:val="Referenciaatema"/>
          </w:rPr>
          <w:t xml:space="preserve">[ver tema 3.A.38]</w:t>
        </w:r>
      </w:hyperlink>
      <w:r>
        <w:t xml:space="preserve">.</w:t>
      </w:r>
    </w:p>
    <w:bookmarkStart w:id="175" w:name="saldos_y_tono"/>
    <w:p>
      <w:pPr>
        <w:pStyle w:val="Heading4"/>
      </w:pPr>
      <w:r>
        <w:t xml:space="preserve">Saldos y tono</w:t>
      </w:r>
    </w:p>
    <w:p>
      <w:pPr>
        <w:keepNext/>
        <w:numPr>
          <w:ilvl w:val="0"/>
          <w:numId w:val="1119"/>
        </w:numPr>
      </w:pPr>
      <w:r>
        <w:rPr>
          <w:i/>
          <w:iCs/>
        </w:rPr>
        <w:t xml:space="preserve">Las 5 variables del saldo</w:t>
      </w:r>
      <w:r>
        <w:t xml:space="preserve">, en porcentaje del PIB y con la notación del temario</w:t>
      </w:r>
      <w:r>
        <w:t xml:space="preserve"> </w:t>
      </w:r>
      <w:hyperlink r:id="rId39">
        <w:r>
          <w:rPr>
            <w:rStyle w:val="Referenciaatema"/>
          </w:rPr>
          <w:t xml:space="preserve">[ver tema 4.B.4]</w:t>
        </w:r>
      </w:hyperlink>
      <w:r>
        <w:t xml:space="preserve">:</w:t>
      </w:r>
    </w:p>
    <w:p>
      <w:pPr>
        <w:numPr>
          <w:ilvl w:val="1"/>
          <w:numId w:val="1120"/>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20"/>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20"/>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20"/>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174"/>
      </w:r>
    </w:p>
    <w:p>
      <w:pPr>
        <w:numPr>
          <w:ilvl w:val="1"/>
          <w:numId w:val="1120"/>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119"/>
        </w:numPr>
      </w:pPr>
      <w:r>
        <w:rPr>
          <w:i/>
          <w:iCs/>
        </w:rPr>
        <w:t xml:space="preserve">Tono</w:t>
      </w:r>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13</w:t>
        </w:r>
      </w:hyperlink>
      <w:r>
        <w:t xml:space="preserve">, en los anexos). Cuidado con el signo: si el saldo era negativo y se hace más negativo, ha</w:t>
      </w:r>
      <w:r>
        <w:t xml:space="preserve"> </w:t>
      </w:r>
      <w:r>
        <w:rPr>
          <w:i/>
          <w:iCs/>
        </w:rPr>
        <w:t xml:space="preserve">bajado</w:t>
      </w:r>
      <w:r>
        <w:t xml:space="preserve"> </w:t>
      </w:r>
      <w:r>
        <w:t xml:space="preserve">y el tono es expansivo.</w:t>
      </w:r>
    </w:p>
    <w:p>
      <w:pPr>
        <w:numPr>
          <w:ilvl w:val="0"/>
          <w:numId w:val="1119"/>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D.1</w:t>
        </w:r>
      </w:hyperlink>
      <w:r>
        <w:t xml:space="preserve">). Desde 2024 la Comisión mide la orientación con el crecimiento del gasto primario neto frente al potencial.</w:t>
      </w:r>
    </w:p>
    <w:p>
      <w:pPr>
        <w:numPr>
          <w:ilvl w:val="0"/>
          <w:numId w:val="1119"/>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bookmarkEnd w:id="175"/>
    <w:bookmarkStart w:id="176" w:name="efectos_no_keynesianos"/>
    <w:p>
      <w:pPr>
        <w:pStyle w:val="Heading4"/>
      </w:pPr>
      <w:r>
        <w:t xml:space="preserve">Efectos no keynesianos</w:t>
      </w:r>
    </w:p>
    <w:p>
      <w:pPr>
        <w:numPr>
          <w:ilvl w:val="0"/>
          <w:numId w:val="1121"/>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21"/>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173">
        <w:r>
          <w:rPr>
            <w:rStyle w:val="Referenciaatema"/>
          </w:rPr>
          <w:t xml:space="preserve">[ver tema 3.A.38]</w:t>
        </w:r>
      </w:hyperlink>
      <w:r>
        <w:t xml:space="preserve">.</w:t>
      </w:r>
    </w:p>
    <w:p>
      <w:pPr>
        <w:numPr>
          <w:ilvl w:val="0"/>
          <w:numId w:val="1121"/>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bookmarkEnd w:id="176"/>
    <w:bookmarkStart w:id="178" w:name="las_reglas_fiscales_de_la_ue"/>
    <w:p>
      <w:pPr>
        <w:pStyle w:val="Heading4"/>
      </w:pPr>
      <w:r>
        <w:t xml:space="preserve">Las reglas fiscales de la UE</w:t>
      </w:r>
    </w:p>
    <w:p>
      <w:pPr>
        <w:numPr>
          <w:ilvl w:val="0"/>
          <w:numId w:val="1122"/>
        </w:numPr>
      </w:pPr>
      <w:r>
        <w:t xml:space="preserve">Se mantienen los valores de referencia del Tratado (déficit del 3 % y deuda del 60 % del PIB) y el procedimiento de déficit excesivo; desde 2024 el indicador operativo es una senda de gasto primario neto, dentro de un plan fiscal-estructural a 4 años (ampliable a 7 con reformas e inversiones)</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 </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77">
        <w:r>
          <w:rPr>
            <w:rStyle w:val="Referenciaatema"/>
          </w:rPr>
          <w:t xml:space="preserve">[ver tema 3.B.45]</w:t>
        </w:r>
      </w:hyperlink>
      <w:r>
        <w:t xml:space="preserve">. Las salvaguardas y cómo se aplica a un país con déficit y deuda altos están en el anexo </w:t>
      </w:r>
      <w:hyperlink w:anchor="anexo_casos">
        <w:r>
          <w:rPr>
            <w:rStyle w:val="Hyperlink"/>
          </w:rPr>
          <w:t xml:space="preserve">E</w:t>
        </w:r>
      </w:hyperlink>
      <w:r>
        <w:t xml:space="preserve">.</w:t>
      </w:r>
    </w:p>
    <w:bookmarkEnd w:id="178"/>
    <w:bookmarkStart w:id="181" w:name="din__mica_y_sostenibilidad_de_la_d_76756"/>
    <w:p>
      <w:pPr>
        <w:pStyle w:val="Heading4"/>
      </w:pPr>
      <w:r>
        <w:t xml:space="preserve">Dinámica y sostenibilidad de la deuda pública</w:t>
      </w:r>
    </w:p>
    <w:p>
      <w:pPr>
        <w:numPr>
          <w:ilvl w:val="0"/>
          <w:numId w:val="1123"/>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60">
        <w:r>
          <w:rPr>
            <w:rStyle w:val="Referenciaatema"/>
          </w:rPr>
          <w:t xml:space="preserve">[ver tema 3.A.39]</w:t>
        </w:r>
      </w:hyperlink>
      <w:r>
        <w:t xml:space="preserve">,</w:t>
      </w:r>
      <w:r>
        <w:t xml:space="preserve"> </w:t>
      </w:r>
      <w:bookmarkStart w:id="179" w:name="eq_dinamica_deuda"/>
      <w:bookmarkEnd w:id="179"/>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 </w:t>
      </w:r>
      <w:r>
        <w:t xml:space="preserve">y ADD el ajuste déficit-deuda (privatizaciones, ayudas financieras, depósitos del Tesoro, efecto del tipo de cambio en la deuda en divisas).</w:t>
      </w:r>
    </w:p>
    <w:p>
      <w:pPr>
        <w:numPr>
          <w:ilvl w:val="0"/>
          <w:numId w:val="1123"/>
        </w:numPr>
      </w:pPr>
      <w:r>
        <w:rPr>
          <w:i/>
          <w:iCs/>
        </w:rPr>
        <w:t xml:space="preserve">Saldo primario que estabiliza la deuda</w:t>
      </w:r>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p>
      <w:pPr>
        <w:keepNext/>
        <w:numPr>
          <w:ilvl w:val="0"/>
          <w:numId w:val="1123"/>
        </w:numPr>
      </w:pPr>
      <w:r>
        <w:rPr>
          <w:i/>
          <w:iCs/>
        </w:rPr>
        <w:t xml:space="preserve">Riesgos para la sostenibilidad</w:t>
      </w:r>
      <w:r>
        <w:t xml:space="preserve">:</w:t>
      </w:r>
    </w:p>
    <w:p>
      <w:pPr>
        <w:numPr>
          <w:ilvl w:val="1"/>
          <w:numId w:val="1124"/>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24"/>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23"/>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180">
        <w:r>
          <w:rPr>
            <w:rStyle w:val="Referenciaatema"/>
          </w:rPr>
          <w:t xml:space="preserve">[ver tema 4.B.26]</w:t>
        </w:r>
      </w:hyperlink>
      <w:r>
        <w:t xml:space="preserve">.</w:t>
      </w:r>
    </w:p>
    <w:bookmarkEnd w:id="181"/>
    <w:bookmarkStart w:id="183" w:name="la_inflaci__n_y_las_cuentas_p__blicas"/>
    <w:p>
      <w:pPr>
        <w:pStyle w:val="Heading4"/>
      </w:pPr>
      <w:r>
        <w:t xml:space="preserve">La inflación y las cuentas públicas</w:t>
      </w:r>
    </w:p>
    <w:p>
      <w:pPr>
        <w:numPr>
          <w:ilvl w:val="0"/>
          <w:numId w:val="1125"/>
        </w:numPr>
      </w:pPr>
      <w:r>
        <w:rPr>
          <w:i/>
          <w:iCs/>
        </w:rPr>
        <w:t xml:space="preserve">La idea</w:t>
      </w:r>
      <w:r>
        <w:t xml:space="preserve">: la inflación aumenta los ingresos y los gastos públicos, pero con distinto retraso. 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25"/>
        </w:numPr>
      </w:pPr>
      <w:r>
        <w:rPr>
          <w:i/>
          <w:iCs/>
        </w:rPr>
        <w:t xml:space="preserve">Los ingresos suben deprisa</w:t>
      </w:r>
      <w:r>
        <w:t xml:space="preserve">:</w:t>
      </w:r>
    </w:p>
    <w:p>
      <w:pPr>
        <w:numPr>
          <w:ilvl w:val="1"/>
          <w:numId w:val="1126"/>
        </w:numPr>
      </w:pPr>
      <w:r>
        <w:t xml:space="preserve">las bases tributarias (consumo, beneficios, masa salarial) son variables nominales y crecen con la inflación;</w:t>
      </w:r>
    </w:p>
    <w:p>
      <w:pPr>
        <w:numPr>
          <w:ilvl w:val="1"/>
          <w:numId w:val="1126"/>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25"/>
        </w:numPr>
      </w:pPr>
      <w:r>
        <w:rPr>
          <w:i/>
          <w:iCs/>
        </w:rPr>
        <w:t xml:space="preserve">Los gastos suben más despacio</w:t>
      </w:r>
      <w:r>
        <w:t xml:space="preserve">:</w:t>
      </w:r>
    </w:p>
    <w:p>
      <w:pPr>
        <w:numPr>
          <w:ilvl w:val="1"/>
          <w:numId w:val="1127"/>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27"/>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27"/>
        </w:numPr>
      </w:pPr>
      <w:r>
        <w:rPr>
          <w:i/>
          <w:iCs/>
        </w:rPr>
        <w:t xml:space="preserve">compras y suministros</w:t>
      </w:r>
      <w:r>
        <w:t xml:space="preserve"> </w:t>
      </w:r>
      <w:r>
        <w:t xml:space="preserve">(alquileres, contratos): suben a medida que vencen los contratos y se licitan a precios más altos.</w:t>
      </w:r>
    </w:p>
    <w:p>
      <w:pPr>
        <w:numPr>
          <w:ilvl w:val="0"/>
          <w:numId w:val="1125"/>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1</w:t>
        </w:r>
      </w:hyperlink>
      <w:r>
        <w:t xml:space="preserve"> </w:t>
      </w:r>
      <w:r>
        <w:t xml:space="preserve">ordena los canales, y el gráfico </w:t>
      </w:r>
      <w:hyperlink w:anchor="fig_inflacion_cuentas">
        <w:r>
          <w:rPr>
            <w:rStyle w:val="Hyperlink"/>
          </w:rPr>
          <w:t xml:space="preserve">14</w:t>
        </w:r>
      </w:hyperlink>
      <w:r>
        <w:t xml:space="preserve">, en los anexos, su calendario.</w:t>
      </w:r>
    </w:p>
    <w:bookmarkStart w:id="182" w:name="tab_inflacion_cuentas"/>
    <w:p>
      <w:pPr>
        <w:pStyle w:val="TableCaption"/>
      </w:pPr>
      <w:r>
        <w:t xml:space="preserve">Tabla 1.–</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1.–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182"/>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End w:id="183"/>
    <w:bookmarkStart w:id="186" w:name="otros_an__lisis_de_las_cuentas_p__blicas"/>
    <w:p>
      <w:pPr>
        <w:pStyle w:val="Heading4"/>
      </w:pPr>
      <w:r>
        <w:t xml:space="preserve">Otros análisis de las cuentas públicas</w:t>
      </w:r>
    </w:p>
    <w:p>
      <w:pPr>
        <w:keepNext/>
        <w:numPr>
          <w:ilvl w:val="0"/>
          <w:numId w:val="1128"/>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184">
        <w:r>
          <w:rPr>
            <w:rStyle w:val="Referenciaatema"/>
          </w:rPr>
          <w:t xml:space="preserve">[ver tema 4.B.5]</w:t>
        </w:r>
      </w:hyperlink>
      <w:r>
        <w:t xml:space="preserve"> </w:t>
      </w:r>
      <w:hyperlink r:id="rId185">
        <w:r>
          <w:rPr>
            <w:rStyle w:val="Referenciaatema"/>
          </w:rPr>
          <w:t xml:space="preserve">[ver tema 4.B.7]</w:t>
        </w:r>
      </w:hyperlink>
      <w:r>
        <w:t xml:space="preserve">. Con ingresos bajos hay 2 vías para subirlos sin dañar el crecimiento:</w:t>
      </w:r>
    </w:p>
    <w:p>
      <w:pPr>
        <w:numPr>
          <w:ilvl w:val="1"/>
          <w:numId w:val="1129"/>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29"/>
        </w:numPr>
      </w:pPr>
      <w:r>
        <w:rPr>
          <w:i/>
          <w:iCs/>
        </w:rPr>
        <w:t xml:space="preserve">más ingresos no tributarios</w:t>
      </w:r>
      <w:r>
        <w:t xml:space="preserve">: tasas, contribuciones especiales, cotizaciones sociales y sanciones.</w:t>
      </w:r>
    </w:p>
    <w:p>
      <w:pPr>
        <w:numPr>
          <w:ilvl w:val="0"/>
          <w:numId w:val="1128"/>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28"/>
        </w:numPr>
      </w:pPr>
      <w:r>
        <w:rPr>
          <w:i/>
          <w:iCs/>
        </w:rPr>
        <w:t xml:space="preserve">Peso de la deuda a corto plazo</w:t>
      </w:r>
      <w:r>
        <w:t xml:space="preserve">: cuanto más concentrados los vencimientos, mayor el riesgo de refinanciación; mejor un calendario escalonado.</w:t>
      </w:r>
    </w:p>
    <w:p>
      <w:pPr>
        <w:numPr>
          <w:ilvl w:val="0"/>
          <w:numId w:val="1128"/>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28"/>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28"/>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(la escala completa de S&amp;P, Moody’s y Fitch está en la tabla </w:t>
      </w:r>
      <w:hyperlink w:anchor="tab_calificaciones">
        <w:r>
          <w:rPr>
            <w:rStyle w:val="Hyperlink"/>
          </w:rPr>
          <w:t xml:space="preserve">14</w:t>
        </w:r>
      </w:hyperlink>
      <w:r>
        <w:t xml:space="preserve">, en los anexos)</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D.1</w:t>
        </w:r>
      </w:hyperlink>
      <w:r>
        <w:t xml:space="preserve">.</w:t>
      </w:r>
    </w:p>
    <w:bookmarkEnd w:id="186"/>
    <w:bookmarkEnd w:id="187"/>
    <w:bookmarkStart w:id="193"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30"/>
        </w:numPr>
      </w:pPr>
      <w:r>
        <w:rPr>
          <w:i/>
          <w:iCs/>
        </w:rPr>
        <w:t xml:space="preserve">Qué es</w:t>
      </w:r>
      <w:r>
        <w:t xml:space="preserve">: la combinación de los tonos de la política monetaria y la fiscal.</w:t>
      </w:r>
    </w:p>
    <w:p>
      <w:pPr>
        <w:keepNext/>
        <w:numPr>
          <w:ilvl w:val="0"/>
          <w:numId w:val="1130"/>
        </w:numPr>
      </w:pPr>
      <w:r>
        <w:rPr>
          <w:i/>
          <w:iCs/>
        </w:rPr>
        <w:t xml:space="preserve">Cómo se lee</w:t>
      </w:r>
      <w:r>
        <w:t xml:space="preserve">: el</w:t>
      </w:r>
      <w:r>
        <w:t xml:space="preserve"> </w:t>
      </w:r>
      <w:r>
        <w:rPr>
          <w:i/>
          <w:iCs/>
        </w:rPr>
        <w:t xml:space="preserve">policy mix</w:t>
      </w:r>
      <w:r>
        <w:t xml:space="preserve"> </w:t>
      </w:r>
      <w:r>
        <w:t xml:space="preserve">es</w:t>
      </w:r>
      <w:r>
        <w:t xml:space="preserve"> </w:t>
      </w:r>
      <w:r>
        <w:rPr>
          <w:i/>
          <w:iCs/>
        </w:rPr>
        <w:t xml:space="preserve">coherente</w:t>
      </w:r>
      <w:r>
        <w:t xml:space="preserve"> </w:t>
      </w:r>
      <w:r>
        <w:t xml:space="preserve">si cada política contribuye a los objetivos de la otra, no si las 2 tienen el mismo signo,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5</w:t>
        </w:r>
      </w:hyperlink>
      <w:r>
        <w:t xml:space="preserve">)</w:t>
      </w:r>
      <w:r>
        <w:t xml:space="preserve"> </w:t>
      </w:r>
      <w:hyperlink r:id="rId188">
        <w:r>
          <w:rPr>
            <w:rStyle w:val="Referenciaatema"/>
          </w:rPr>
          <w:t xml:space="preserve">[ver tema 3.A.40]</w:t>
        </w:r>
      </w:hyperlink>
      <w:r>
        <w:t xml:space="preserve">:</w:t>
      </w:r>
    </w:p>
    <w:p>
      <w:pPr>
        <w:numPr>
          <w:ilvl w:val="1"/>
          <w:numId w:val="1131"/>
        </w:numPr>
      </w:pPr>
      <w:r>
        <w:rPr>
          <w:i/>
          <w:iCs/>
        </w:rPr>
        <w:t xml:space="preserve">ambas expansivas</w:t>
      </w:r>
      <w:r>
        <w:t xml:space="preserve">: adecuado en una recesión con inflación baja; riesgo de inflación si se mantienen en la recuperación;</w:t>
      </w:r>
    </w:p>
    <w:p>
      <w:pPr>
        <w:numPr>
          <w:ilvl w:val="1"/>
          <w:numId w:val="1131"/>
        </w:numPr>
      </w:pPr>
      <w:r>
        <w:rPr>
          <w:i/>
          <w:iCs/>
        </w:rPr>
        <w:t xml:space="preserve">ambas contractivas</w:t>
      </w:r>
      <w:r>
        <w:t xml:space="preserve">: adecuado con sobrecalentamiento e inflación; riesgo de recesión;</w:t>
      </w:r>
    </w:p>
    <w:p>
      <w:pPr>
        <w:numPr>
          <w:ilvl w:val="1"/>
          <w:numId w:val="1131"/>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31"/>
        </w:numPr>
      </w:pPr>
      <w:r>
        <w:rPr>
          <w:i/>
          <w:iCs/>
        </w:rPr>
        <w:t xml:space="preserve">fiscal contractiva y monetaria expansiva</w:t>
      </w:r>
      <w:r>
        <w:t xml:space="preserve">: la combinación clásica para consolidar con deuda alta y brecha negativa sin hundir la demanda.</w:t>
      </w:r>
    </w:p>
    <w:p>
      <w:pPr>
        <w:numPr>
          <w:ilvl w:val="0"/>
          <w:numId w:val="1130"/>
        </w:numPr>
      </w:pPr>
      <w:r>
        <w:t xml:space="preserve">En una unión monetaria la política monetaria es común: el país solo controla la fiscal, que tiene que compensar si su ciclo va por delante o por detrás del de la zona.</w:t>
      </w:r>
    </w:p>
    <w:p>
      <w:pPr>
        <w:numPr>
          <w:ilvl w:val="0"/>
          <w:numId w:val="1130"/>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Start w:id="192" w:name="fig_policy_mix"/>
    <w:p>
      <w:pPr>
        <w:pStyle w:val="ImageCaption"/>
      </w:pPr>
      <w:r>
        <w:t xml:space="preserve">Gráfico 5.–</w:t>
      </w:r>
      <w:r>
        <w:t xml:space="preserve"> </w:t>
      </w:r>
      <w:r>
        <w:t xml:space="preserve">Los 4 cuadrantes del</w:t>
      </w:r>
      <w:r>
        <w:t xml:space="preserve"> </w:t>
      </w:r>
      <w:r>
        <w:rPr>
          <w:i/>
          <w:iCs/>
        </w:rPr>
        <w:t xml:space="preserve">policy mix</w:t>
      </w:r>
    </w:p>
    <w:p>
      <w:pPr>
        <w:pStyle w:val="CaptionedFigure"/>
      </w:pPr>
      <w:r>
        <w:drawing>
          <wp:inline>
            <wp:extent cx="2626360" cy="1680285"/>
            <wp:effectExtent b="0" l="0" r="0" t="0"/>
            <wp:docPr descr="Gráfico 5.– Los 4 cuadrantes del policy mix" title="" id="190" name="Picture"/>
            <a:graphic>
              <a:graphicData uri="http://schemas.openxmlformats.org/drawingml/2006/picture">
                <pic:pic>
                  <pic:nvPicPr>
                    <pic:cNvPr descr="C:\Users\vgutierrez\Documents\src\victorgutierrezmarcos.github.io-revision\oposicion\temario\fuentes\1D01\graficos/policy-mix.png" id="191" name="Picture"/>
                    <pic:cNvPicPr>
                      <a:picLocks noChangeArrowheads="1" noChangeAspect="1"/>
                    </pic:cNvPicPr>
                  </pic:nvPicPr>
                  <pic:blipFill>
                    <a:blip r:embed="rId189"/>
                    <a:stretch>
                      <a:fillRect/>
                    </a:stretch>
                  </pic:blipFill>
                  <pic:spPr bwMode="auto">
                    <a:xfrm>
                      <a:off x="0" y="0"/>
                      <a:ext cx="2626360" cy="1680285"/>
                    </a:xfrm>
                    <a:prstGeom prst="rect">
                      <a:avLst/>
                    </a:prstGeom>
                    <a:noFill/>
                    <a:ln w="9525">
                      <a:noFill/>
                      <a:headEnd/>
                      <a:tailEnd/>
                    </a:ln>
                  </pic:spPr>
                </pic:pic>
              </a:graphicData>
            </a:graphic>
          </wp:inline>
        </w:drawing>
      </w:r>
    </w:p>
    <w:bookmarkEnd w:id="192"/>
    <w:p>
      <w:pPr>
        <w:pStyle w:val="Piedeimagen"/>
      </w:pPr>
      <w:r>
        <w:t xml:space="preserve">Fuente: Elaboración propia. Qué hay que ver: el tono de cada política se sitúa en un eje; la coherencia depende de la situación (inflación, brecha, deuda), no de que las 2 vayan en el mismo sentido.</w:t>
      </w:r>
    </w:p>
    <w:bookmarkEnd w:id="193"/>
    <w:bookmarkStart w:id="195" w:name="sec_politicas_oferta"/>
    <w:p>
      <w:pPr>
        <w:pStyle w:val="Heading2"/>
      </w:pPr>
      <w:r>
        <w:t xml:space="preserve">V.5.</w:t>
      </w:r>
      <w:r>
        <w:t xml:space="preserve"> </w:t>
      </w:r>
      <w:r>
        <w:t xml:space="preserve">Políticas de oferta</w:t>
      </w:r>
    </w:p>
    <w:p>
      <w:pPr>
        <w:keepNext/>
        <w:numPr>
          <w:ilvl w:val="0"/>
          <w:numId w:val="1132"/>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41">
        <w:r>
          <w:rPr>
            <w:rStyle w:val="Referenciaatema"/>
          </w:rPr>
          <w:t xml:space="preserve">[ver tema 3.A.45]</w:t>
        </w:r>
      </w:hyperlink>
      <w:r>
        <w:t xml:space="preserve"> </w:t>
      </w:r>
      <w:hyperlink r:id="rId194">
        <w:r>
          <w:rPr>
            <w:rStyle w:val="Referenciaatema"/>
          </w:rPr>
          <w:t xml:space="preserve">[ver tema 3.A.44]</w:t>
        </w:r>
      </w:hyperlink>
      <w:r>
        <w:t xml:space="preserve">:</w:t>
      </w:r>
    </w:p>
    <w:p>
      <w:pPr>
        <w:numPr>
          <w:ilvl w:val="1"/>
          <w:numId w:val="1133"/>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33"/>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33"/>
        </w:numPr>
      </w:pPr>
      <w:r>
        <w:rPr>
          <w:i/>
          <w:iCs/>
        </w:rPr>
        <w:t xml:space="preserve">capital humano</w:t>
      </w:r>
      <w:r>
        <w:t xml:space="preserve">: menos abandono escolar, formación profesional dual, recualificación de los desplazados por la digitalización;</w:t>
      </w:r>
    </w:p>
    <w:p>
      <w:pPr>
        <w:numPr>
          <w:ilvl w:val="1"/>
          <w:numId w:val="1133"/>
        </w:numPr>
      </w:pPr>
      <w:r>
        <w:rPr>
          <w:i/>
          <w:iCs/>
        </w:rPr>
        <w:t xml:space="preserve">mejorar el mercado de trabajo</w:t>
      </w:r>
      <w:r>
        <w:t xml:space="preserve">: según el tipo de paro (lista siguiente);</w:t>
      </w:r>
    </w:p>
    <w:p>
      <w:pPr>
        <w:numPr>
          <w:ilvl w:val="1"/>
          <w:numId w:val="1133"/>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33"/>
        </w:numPr>
      </w:pPr>
      <w:r>
        <w:rPr>
          <w:i/>
          <w:iCs/>
        </w:rPr>
        <w:t xml:space="preserve">instituciones</w:t>
      </w:r>
      <w:r>
        <w:t xml:space="preserve">: seguridad jurídica, calidad regulatoria, eficacia de la justicia y de la Administración.</w:t>
      </w:r>
    </w:p>
    <w:p>
      <w:pPr>
        <w:keepNext/>
        <w:numPr>
          <w:ilvl w:val="0"/>
          <w:numId w:val="1132"/>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38">
        <w:r>
          <w:rPr>
            <w:rStyle w:val="Referenciaatema"/>
          </w:rPr>
          <w:t xml:space="preserve">[ver tema 3.A.28]</w:t>
        </w:r>
      </w:hyperlink>
      <w:r>
        <w:t xml:space="preserve"> </w:t>
      </w:r>
      <w:hyperlink r:id="rId89">
        <w:r>
          <w:rPr>
            <w:rStyle w:val="Referenciaatema"/>
          </w:rPr>
          <w:t xml:space="preserve">[ver tema 4.A.16]</w:t>
        </w:r>
      </w:hyperlink>
      <w:r>
        <w:t xml:space="preserve">:</w:t>
      </w:r>
    </w:p>
    <w:p>
      <w:pPr>
        <w:numPr>
          <w:ilvl w:val="1"/>
          <w:numId w:val="1134"/>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34"/>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34"/>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34"/>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34"/>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35"/>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y la oferta, por el cuello de botella del crecimiento potencial. Con todo ello, solo queda la última pregunta: qué hacer.</w:t>
      </w:r>
    </w:p>
    <w:bookmarkEnd w:id="195"/>
    <w:bookmarkEnd w:id="196"/>
    <w:bookmarkStart w:id="200" w:name="sec_recomendaciones"/>
    <w:p>
      <w:pPr>
        <w:pStyle w:val="Heading1"/>
      </w:pPr>
      <w:r>
        <w:t xml:space="preserve">VI.</w:t>
      </w:r>
      <w:r>
        <w:t xml:space="preserve"> </w:t>
      </w:r>
      <w:r>
        <w:t xml:space="preserve">Recomendaciones de política económica</w:t>
      </w:r>
    </w:p>
    <w:bookmarkStart w:id="197"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36"/>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36"/>
        </w:numPr>
      </w:pPr>
      <w:r>
        <w:t xml:space="preserve">Nunca tajante ni demasiado preciso: «parece necesaria una consolidación fiscal, pero sin que resulte excesiva para no lastrar la recuperación».</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A.7</w:t>
        </w:r>
      </w:hyperlink>
      <w:r>
        <w:t xml:space="preserve">). Hay recomendaciones que valen para casi todos los países (estabilidad macroeconómica, reformas que eleven la productividad), pero las que puntúan son las que responden a los datos del cuadro.</w:t>
      </w:r>
    </w:p>
    <w:bookmarkEnd w:id="197"/>
    <w:bookmarkStart w:id="199" w:name="sec_por_desequilibrio"/>
    <w:p>
      <w:pPr>
        <w:pStyle w:val="Heading2"/>
      </w:pPr>
      <w:r>
        <w:t xml:space="preserve">VI.2.</w:t>
      </w:r>
      <w:r>
        <w:t xml:space="preserve"> </w:t>
      </w:r>
      <w:r>
        <w:t xml:space="preserve">Recomendaciones por desequilibrio</w:t>
      </w:r>
    </w:p>
    <w:p>
      <w:pPr>
        <w:numPr>
          <w:ilvl w:val="0"/>
          <w:numId w:val="1137"/>
        </w:numPr>
      </w:pPr>
      <w:r>
        <w:t xml:space="preserve">La tabla </w:t>
      </w:r>
      <w:hyperlink w:anchor="tab_recomendaciones">
        <w:r>
          <w:rPr>
            <w:rStyle w:val="Hyperlink"/>
          </w:rPr>
          <w:t xml:space="preserve">2</w:t>
        </w:r>
      </w:hyperlink>
      <w:r>
        <w:t xml:space="preserve"> </w:t>
      </w:r>
      <w:r>
        <w:t xml:space="preserve">da la recomendación tipo para cada desequilibrio; algunos piden más detalle.</w:t>
      </w:r>
    </w:p>
    <w:p>
      <w:pPr>
        <w:numPr>
          <w:ilvl w:val="0"/>
          <w:numId w:val="1138"/>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numPr>
          <w:ilvl w:val="0"/>
          <w:numId w:val="1138"/>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w:t>
      </w:r>
    </w:p>
    <w:p>
      <w:pPr>
        <w:numPr>
          <w:ilvl w:val="0"/>
          <w:numId w:val="1138"/>
        </w:numPr>
      </w:pPr>
      <w:r>
        <w:rPr>
          <w:i/>
          <w:iCs/>
        </w:rPr>
        <w:t xml:space="preserve">Rigidez o fragilidad del sistema financiero</w:t>
      </w:r>
      <w:r>
        <w:t xml:space="preserve">: el objetivo es un sistema que canalice de verdad el ahorro hacia la inversión, con una gran variedad de activos que se ajusten a las preferencias de los inversores, muchas operaciones que le den liquidez y una supervisión completa que proteja a ahorradores e inversores (apartado </w:t>
      </w:r>
      <w:hyperlink w:anchor="sec_estabilidad">
        <w:r>
          <w:rPr>
            <w:rStyle w:val="Hyperlink"/>
          </w:rPr>
          <w:t xml:space="preserve">V.2</w:t>
        </w:r>
      </w:hyperlink>
      <w:r>
        <w:t xml:space="preserve">).</w:t>
      </w:r>
    </w:p>
    <w:p>
      <w:pPr>
        <w:numPr>
          <w:ilvl w:val="0"/>
          <w:numId w:val="1138"/>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El FMI, por ejemplo, recomendaba a España en 2026 un ajuste de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numPr>
          <w:ilvl w:val="0"/>
          <w:numId w:val="1138"/>
        </w:numPr>
      </w:pPr>
      <w:r>
        <w:rPr>
          <w:i/>
          <w:iCs/>
        </w:rPr>
        <w:t xml:space="preserve">Un programa del FMI</w:t>
      </w:r>
      <w:r>
        <w:t xml:space="preserve">: si el país lo tiene, hay que ver si el cuadro refleja sus efectos típicos (anexo </w:t>
      </w:r>
      <w:hyperlink w:anchor="anexo_fmi">
        <w:r>
          <w:rPr>
            <w:rStyle w:val="Hyperlink"/>
          </w:rPr>
          <w:t xml:space="preserve">H</w:t>
        </w:r>
      </w:hyperlink>
      <w:r>
        <w:t xml:space="preserve">).</w:t>
      </w:r>
    </w:p>
    <w:p>
      <w:pPr>
        <w:numPr>
          <w:ilvl w:val="0"/>
          <w:numId w:val="1138"/>
        </w:numPr>
      </w:pPr>
      <w:r>
        <w:rPr>
          <w:i/>
          <w:iCs/>
        </w:rPr>
        <w:t xml:space="preserve">Riesgos de suministro</w:t>
      </w:r>
      <w:r>
        <w:t xml:space="preserve">: ante la fragmentación de las cadenas globales de valor, una</w:t>
      </w:r>
      <w:r>
        <w:t xml:space="preserve"> </w:t>
      </w:r>
      <w:r>
        <w:rPr>
          <w:i/>
          <w:iCs/>
        </w:rPr>
        <w:t xml:space="preserve">autonomía estratégica abierta</w:t>
      </w:r>
      <w:r>
        <w:t xml:space="preserve">: seguir con la apertura y el multilateralismo, pero mitigar los riesgos de abastecimiento (energía, metales, componentes, equipos sanitarios) no solo con más producción interior, sino diversificando los suministros críticos, construyendo reservas estratégicas y eligiendo socios más próximos.</w:t>
      </w:r>
    </w:p>
    <w:bookmarkStart w:id="198" w:name="tab_recomendaciones"/>
    <w:p>
      <w:pPr>
        <w:pStyle w:val="TableCaption"/>
      </w:pPr>
      <w:r>
        <w:t xml:space="preserve">Tabla 2.–</w:t>
      </w:r>
      <w:r>
        <w:t xml:space="preserve"> </w:t>
      </w:r>
      <w:r>
        <w:t xml:space="preserve">Desequilibrios típicos, indicios y recomendaciones</w:t>
      </w:r>
    </w:p>
    <w:tbl>
      <w:tblPr>
        <w:tblStyle w:val="Table"/>
        <w:tblW w:type="auto" w:w="0"/>
        <w:tblLook w:firstRow="1" w:lastRow="0" w:firstColumn="0" w:lastColumn="0" w:noHBand="0" w:noVBand="0" w:val="0020"/>
        <w:tblCaption w:val="Tabla 2.–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Saneamiento y recapitalización;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bl>
    <w:bookmarkEnd w:id="198"/>
    <w:p>
      <w:pPr>
        <w:pStyle w:val="BodyT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bookmarkEnd w:id="199"/>
    <w:bookmarkEnd w:id="200"/>
    <w:bookmarkStart w:id="201" w:name="sec_cierre"/>
    <w:p>
      <w:pPr>
        <w:pStyle w:val="Heading1"/>
      </w:pPr>
      <w:r>
        <w:t xml:space="preserve">Conclusión</w:t>
      </w:r>
    </w:p>
    <w:p>
      <w:pPr>
        <w:numPr>
          <w:ilvl w:val="0"/>
          <w:numId w:val="1139"/>
        </w:numPr>
      </w:pPr>
      <w:r>
        <w:rPr>
          <w:i/>
          <w:iCs/>
        </w:rPr>
        <w:t xml:space="preserve">Cómo se cierra el dictamen</w:t>
      </w:r>
      <w:r>
        <w:t xml:space="preserve">: con una valoración final, en 1 o 2 frases adecuadas y concisas, que resuma la coyuntura del país y responda a la frase de diagnóstico del principio: dónde está la economía, qué la sostiene, qué la amenaza y qué haría falta. Por ejemplo: «En conclusión, la economía afronta en los próximos años estos retos, y su crecimiento dependerá de cómo los aborde; los fondos europeos son, además, una oportunidad para fundamentar una senda de crecimiento sostenible e inclusivo».</w:t>
      </w:r>
    </w:p>
    <w:p>
      <w:pPr>
        <w:keepNext/>
        <w:numPr>
          <w:ilvl w:val="0"/>
          <w:numId w:val="1139"/>
        </w:numPr>
      </w:pPr>
      <w:r>
        <w:rPr>
          <w:i/>
          <w:iCs/>
        </w:rPr>
        <w:t xml:space="preserve">Lo que hay que llevarse de esta guía</w:t>
      </w:r>
      <w:r>
        <w:t xml:space="preserve">:</w:t>
      </w:r>
    </w:p>
    <w:p>
      <w:pPr>
        <w:numPr>
          <w:ilvl w:val="1"/>
          <w:numId w:val="1140"/>
        </w:numPr>
      </w:pPr>
      <w:r>
        <w:t xml:space="preserve">el método (anexo </w:t>
      </w:r>
      <w:hyperlink w:anchor="anexo_metodo">
        <w:r>
          <w:rPr>
            <w:rStyle w:val="Hyperlink"/>
          </w:rPr>
          <w:t xml:space="preserve">A</w:t>
        </w:r>
      </w:hyperlink>
      <w:r>
        <w:t xml:space="preserve">): leer 10-12 minutos, dar más tiempo a las preguntas donde están los retos de la economía, empezar cada respuesta con la conclusión y anotar fortalezas y debilidades;</w:t>
      </w:r>
    </w:p>
    <w:p>
      <w:pPr>
        <w:numPr>
          <w:ilvl w:val="1"/>
          <w:numId w:val="1140"/>
        </w:numPr>
      </w:pPr>
      <w:r>
        <w:t xml:space="preserve">el esquema de cada bloque: fases y motor del crecimiento; empleo, CLU y crédito; inflación y tipo de cambio; capacidad de financiación, financiación y PIIN; tono y sostenibilidad de las políticas, y la solidez del sistema financiero;</w:t>
      </w:r>
    </w:p>
    <w:p>
      <w:pPr>
        <w:numPr>
          <w:ilvl w:val="1"/>
          <w:numId w:val="1140"/>
        </w:numPr>
      </w:pPr>
      <w:r>
        <w:t xml:space="preserve">los umbrales, sabiendo cuáles son oficiales y cuáles orientativos, y las recomendaciones por desequilibrio.</w:t>
      </w:r>
    </w:p>
    <w:p>
      <w:pPr>
        <w:numPr>
          <w:ilvl w:val="0"/>
          <w:numId w:val="1139"/>
        </w:numPr>
      </w:pPr>
      <w:r>
        <w:rPr>
          <w:i/>
          <w:iCs/>
        </w:rPr>
        <w:t xml:space="preserve">Idea final</w:t>
      </w:r>
      <w:r>
        <w:t xml:space="preserve">: «lo bueno, si breve, dos veces bueno». Un buen dictamen no dice todo lo que se sabe: dice, con pocos datos bien elegidos y con prudencia, qué le pasa a esa economía y qué haría falta, en el tiempo que da el tribunal.</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1"/>
    <w:bookmarkStart w:id="217" w:name="anexo_metodo"/>
    <w:p>
      <w:pPr>
        <w:pStyle w:val="Heading1"/>
      </w:pPr>
      <w:r>
        <w:t xml:space="preserve">A. El ejercicio y el método</w:t>
      </w:r>
    </w:p>
    <w:p>
      <w:pPr>
        <w:numPr>
          <w:ilvl w:val="0"/>
          <w:numId w:val="1141"/>
        </w:numPr>
      </w:pPr>
      <w:r>
        <w:t xml:space="preserve">Este anexo recoge lo que se refiere al examen: qué es, cómo se califica, qué valora el tribunal, cómo se reparte el tiempo, cómo se lee el cuadernillo, cómo se redacta, qué errores evitar y la matriz de fortalezas y debilidades.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203" w:name="anexo_ejercicio"/>
    <w:p>
      <w:pPr>
        <w:pStyle w:val="Heading2"/>
      </w:pPr>
      <w:r>
        <w:t xml:space="preserve">A.1. Qué es el ejercicio y cómo se califica</w:t>
      </w:r>
    </w:p>
    <w:p>
      <w:pPr>
        <w:numPr>
          <w:ilvl w:val="0"/>
          <w:numId w:val="1142"/>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142"/>
        </w:numPr>
      </w:pPr>
      <w:r>
        <w:rPr>
          <w:i/>
          <w:iCs/>
        </w:rPr>
        <w:t xml:space="preserve">Qué trae el cuadernillo</w:t>
      </w:r>
      <w:r>
        <w:t xml:space="preserve">:</w:t>
      </w:r>
    </w:p>
    <w:p>
      <w:pPr>
        <w:numPr>
          <w:ilvl w:val="1"/>
          <w:numId w:val="1143"/>
        </w:numPr>
      </w:pPr>
      <w:r>
        <w:t xml:space="preserve">un cuadro macroeconómico de unos 8-12 años (a veces con previsiones), con el PIB y sus componentes, el mercado de trabajo, los precios, el sector exterior, las cuentas públicas y los tipos de interés;</w:t>
      </w:r>
    </w:p>
    <w:p>
      <w:pPr>
        <w:numPr>
          <w:ilvl w:val="1"/>
          <w:numId w:val="1143"/>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143"/>
        </w:numPr>
      </w:pPr>
      <w:r>
        <w:t xml:space="preserve">a veces, unas líneas de contexto: régimen cambiario, objetivo de inflación, pertenencia al euro o al G-20, un programa del FMI, un sector dominante;</w:t>
      </w:r>
    </w:p>
    <w:p>
      <w:pPr>
        <w:numPr>
          <w:ilvl w:val="1"/>
          <w:numId w:val="1143"/>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42"/>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142"/>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44"/>
        </w:numPr>
      </w:pPr>
      <w:r>
        <w:t xml:space="preserve">no se da la vuelta al cuadernillo hasta que lo indique el tribunal, so pena de eliminación;</w:t>
      </w:r>
    </w:p>
    <w:p>
      <w:pPr>
        <w:numPr>
          <w:ilvl w:val="1"/>
          <w:numId w:val="1144"/>
        </w:numPr>
      </w:pPr>
      <w:r>
        <w:t xml:space="preserve">nombre y apellidos en la parte superior de cada hoja, antes de que acabe la prueba, y hojas numeradas;</w:t>
      </w:r>
    </w:p>
    <w:p>
      <w:pPr>
        <w:numPr>
          <w:ilvl w:val="1"/>
          <w:numId w:val="1144"/>
        </w:numPr>
      </w:pPr>
      <w:r>
        <w:t xml:space="preserve">el tribunal no contesta preguntas: en caso de duda, cada aspirante interpreta lo que está escrito;</w:t>
      </w:r>
    </w:p>
    <w:p>
      <w:pPr>
        <w:numPr>
          <w:ilvl w:val="1"/>
          <w:numId w:val="1144"/>
        </w:numPr>
      </w:pPr>
      <w:r>
        <w:t xml:space="preserve">no se puede salir de la sala en los 10 primeros ni en los 10 últimos minutos (para salir, se levanta la mano y se espera a que recojan las hojas);</w:t>
      </w:r>
    </w:p>
    <w:p>
      <w:pPr>
        <w:numPr>
          <w:ilvl w:val="1"/>
          <w:numId w:val="1144"/>
        </w:numPr>
      </w:pPr>
      <w:r>
        <w:t xml:space="preserve">al anunciarse el final hay que dejar de escribir inmediatamente, también so pena de eliminación;</w:t>
      </w:r>
    </w:p>
    <w:p>
      <w:pPr>
        <w:numPr>
          <w:ilvl w:val="1"/>
          <w:numId w:val="1144"/>
        </w:numPr>
      </w:pPr>
      <w:r>
        <w:t xml:space="preserve">las hojas se meten en un sobre cerrado, con el nombre delante y la firma por detrás, abarcando la solapa y el sobre, que se abre delante del aspirante el día de su lectura;</w:t>
      </w:r>
    </w:p>
    <w:p>
      <w:pPr>
        <w:numPr>
          <w:ilvl w:val="1"/>
          <w:numId w:val="1144"/>
        </w:numPr>
      </w:pPr>
      <w:r>
        <w:t xml:space="preserve">tapones sí, cascos no; móviles y dispositivos, apagados y lejos.</w:t>
      </w:r>
    </w:p>
    <w:p>
      <w:pPr>
        <w:numPr>
          <w:ilvl w:val="0"/>
          <w:numId w:val="1142"/>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42"/>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142"/>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3</w:t>
        </w:r>
      </w:hyperlink>
      <w:r>
        <w:t xml:space="preserve">). La guía, por eso, da reglas que valen para cualquier formato y no un horario cerrado.</w:t>
      </w:r>
    </w:p>
    <w:bookmarkStart w:id="202" w:name="tab_formato"/>
    <w:p>
      <w:pPr>
        <w:pStyle w:val="TableCaption"/>
      </w:pPr>
      <w:r>
        <w:t xml:space="preserve">Tabla 3.–</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3.–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202"/>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203"/>
    <w:bookmarkStart w:id="204" w:name="anexo_que_valora"/>
    <w:p>
      <w:pPr>
        <w:pStyle w:val="Heading2"/>
      </w:pPr>
      <w:r>
        <w:t xml:space="preserve">A.2. Qué valora el tribunal</w:t>
      </w:r>
    </w:p>
    <w:p>
      <w:pPr>
        <w:numPr>
          <w:ilvl w:val="0"/>
          <w:numId w:val="1145"/>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45"/>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145"/>
        </w:numPr>
      </w:pPr>
      <w:r>
        <w:t xml:space="preserve">De ahí salen 4 capacidades:</w:t>
      </w:r>
    </w:p>
    <w:p>
      <w:pPr>
        <w:numPr>
          <w:ilvl w:val="1"/>
          <w:numId w:val="1146"/>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146"/>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A.5</w:t>
        </w:r>
      </w:hyperlink>
      <w:r>
        <w:t xml:space="preserve">), y una visión de conjunto de la serie, no año a año.</w:t>
      </w:r>
    </w:p>
    <w:p>
      <w:pPr>
        <w:numPr>
          <w:ilvl w:val="1"/>
          <w:numId w:val="1146"/>
        </w:numPr>
      </w:pPr>
      <w:r>
        <w:rPr>
          <w:b/>
          <w:bCs/>
        </w:rPr>
        <w:t xml:space="preserve">Comprensión lectora</w:t>
      </w:r>
      <w:r>
        <w:t xml:space="preserve">: contestar a todo lo que se pregunta, cada subpregunta con su rótulo, y solo a eso.</w:t>
      </w:r>
    </w:p>
    <w:p>
      <w:pPr>
        <w:numPr>
          <w:ilvl w:val="1"/>
          <w:numId w:val="1146"/>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145"/>
        </w:numPr>
      </w:pPr>
      <w:r>
        <w:t xml:space="preserve">Y 2 principios que ordenan todo el análisis:</w:t>
      </w:r>
    </w:p>
    <w:p>
      <w:pPr>
        <w:numPr>
          <w:ilvl w:val="1"/>
          <w:numId w:val="1147"/>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147"/>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145"/>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204"/>
    <w:bookmarkStart w:id="207" w:name="anexo_tiempo"/>
    <w:p>
      <w:pPr>
        <w:pStyle w:val="Heading2"/>
      </w:pPr>
      <w:r>
        <w:t xml:space="preserve">A.3. El reparto del tiempo</w:t>
      </w:r>
    </w:p>
    <w:p>
      <w:pPr>
        <w:numPr>
          <w:ilvl w:val="0"/>
          <w:numId w:val="1148"/>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148"/>
        </w:numPr>
      </w:pPr>
      <w:r>
        <w:t xml:space="preserve">No hay tiempo que perder: si las preguntas o las tablas vienen grapadas, se separan. Si el dictamen es libre (sin preguntas), se empieza anunciando la estructura que se va a seguir.</w:t>
      </w:r>
    </w:p>
    <w:p>
      <w:pPr>
        <w:keepNext/>
        <w:numPr>
          <w:ilvl w:val="0"/>
          <w:numId w:val="1148"/>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149"/>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A.4</w:t>
        </w:r>
      </w:hyperlink>
      <w:r>
        <w:t xml:space="preserve">).</w:t>
      </w:r>
    </w:p>
    <w:p>
      <w:pPr>
        <w:numPr>
          <w:ilvl w:val="1"/>
          <w:numId w:val="1149"/>
        </w:numPr>
      </w:pPr>
      <w:r>
        <w:rPr>
          <w:i/>
          <w:iCs/>
        </w:rPr>
        <w:t xml:space="preserve">Repaso final</w:t>
      </w:r>
      <w:r>
        <w:t xml:space="preserve">: 4′-8′ (en torno al 5 %), para releer, completar la frase de diagnóstico y cerrar lo que haya quedado abierto.</w:t>
      </w:r>
    </w:p>
    <w:p>
      <w:pPr>
        <w:keepNext/>
        <w:numPr>
          <w:ilvl w:val="1"/>
          <w:numId w:val="1149"/>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150"/>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150"/>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148"/>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4</w:t>
        </w:r>
      </w:hyperlink>
      <w:r>
        <w:t xml:space="preserve">). Son medias: dentro de ellas se da más a la pregunta del reto principal y menos a las de trámite.</w:t>
      </w:r>
    </w:p>
    <w:bookmarkStart w:id="205" w:name="tab_reparto"/>
    <w:p>
      <w:pPr>
        <w:pStyle w:val="TableCaption"/>
      </w:pPr>
      <w:r>
        <w:t xml:space="preserve">Tabla 4.–</w:t>
      </w:r>
      <w:r>
        <w:t xml:space="preserve"> </w:t>
      </w:r>
      <w:r>
        <w:t xml:space="preserve">Reparto del tiempo según la regla, por convocatoria</w:t>
      </w:r>
    </w:p>
    <w:tbl>
      <w:tblPr>
        <w:tblStyle w:val="Table"/>
        <w:tblW w:type="auto" w:w="0"/>
        <w:tblLook w:firstRow="1" w:lastRow="0" w:firstColumn="0" w:lastColumn="0" w:noHBand="0" w:noVBand="0" w:val="0020"/>
        <w:tblCaption w:val="Tabla 4.–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205"/>
    <w:p>
      <w:pPr>
        <w:pStyle w:val="BodyText"/>
        <w:keepNext/>
      </w:pPr>
      <w:r>
        <w:rPr>
          <w:i/>
          <w:iCs/>
        </w:rPr>
        <w:t xml:space="preserve">Fuente: Elaboración propia con la regla del texto y los formatos de la tabla </w:t>
      </w:r>
      <w:hyperlink w:anchor="tab_formato">
        <w:r>
          <w:rPr>
            <w:rStyle w:val="Hyperlink"/>
            <w:i/>
            <w:iCs/>
          </w:rPr>
          <w:t xml:space="preserve">3</w:t>
        </w:r>
      </w:hyperlink>
      <w:r>
        <w:rPr>
          <w:i/>
          <w:iCs/>
        </w:rPr>
        <w:t xml:space="preserve">.</w:t>
      </w:r>
    </w:p>
    <w:p>
      <w:pPr>
        <w:numPr>
          <w:ilvl w:val="0"/>
          <w:numId w:val="1151"/>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5</w:t>
        </w:r>
      </w:hyperlink>
      <w:r>
        <w:t xml:space="preserve">). Supone que el número de preguntas incluye el perfil cíclico y no deja tiempo aparte para el repaso.</w:t>
      </w:r>
    </w:p>
    <w:bookmarkStart w:id="206" w:name="tab_reparto_anterior"/>
    <w:p>
      <w:pPr>
        <w:pStyle w:val="TableCaption"/>
      </w:pPr>
      <w:r>
        <w:t xml:space="preserve">Tabla 5.–</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5.–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206"/>
    <w:p>
      <w:pPr>
        <w:pStyle w:val="BodyText"/>
        <w:keepNext/>
      </w:pPr>
      <w:r>
        <w:rPr>
          <w:i/>
          <w:iCs/>
        </w:rPr>
        <w:t xml:space="preserve">Fuente: Guía anterior (versión de 2025). Qué hay que ver: las cifras son medias; las preguntas con más peso o más análisis reciben más.</w:t>
      </w:r>
    </w:p>
    <w:p>
      <w:pPr>
        <w:numPr>
          <w:ilvl w:val="0"/>
          <w:numId w:val="1152"/>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152"/>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152"/>
        </w:numPr>
      </w:pPr>
      <w:r>
        <w:rPr>
          <w:i/>
          <w:iCs/>
        </w:rPr>
        <w:t xml:space="preserve">Antes de cada pregunta</w:t>
      </w:r>
      <w:r>
        <w:t xml:space="preserve">, si el tiempo lo permite, 1 o 2 minutos para pensar la frase que anticipa el diagnóstico de ese bloque.</w:t>
      </w:r>
    </w:p>
    <w:bookmarkEnd w:id="207"/>
    <w:bookmarkStart w:id="210" w:name="anexo_leer"/>
    <w:p>
      <w:pPr>
        <w:pStyle w:val="Heading2"/>
      </w:pPr>
      <w:r>
        <w:t xml:space="preserve">A.4. Cómo leer el cuadernillo</w:t>
      </w:r>
    </w:p>
    <w:p>
      <w:pPr>
        <w:numPr>
          <w:ilvl w:val="0"/>
          <w:numId w:val="1153"/>
        </w:numPr>
      </w:pPr>
      <w:r>
        <w:t xml:space="preserve">La idea: en los 10-12 primeros minutos no se escribe nada en las hojas de respuesta. Se trabaja sobre el cuadernillo, en el que sí se puede anotar, y se sale de ahí con el dictamen pensado.</w:t>
      </w:r>
    </w:p>
    <w:p>
      <w:pPr>
        <w:keepNext/>
        <w:numPr>
          <w:ilvl w:val="0"/>
          <w:numId w:val="1153"/>
        </w:numPr>
      </w:pPr>
      <w:r>
        <w:t xml:space="preserve">Los pasos, por este orden:</w:t>
      </w:r>
    </w:p>
    <w:p>
      <w:pPr>
        <w:numPr>
          <w:ilvl w:val="1"/>
          <w:numId w:val="1154"/>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154"/>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54"/>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154"/>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154"/>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154"/>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208"/>
      </w:r>
    </w:p>
    <w:p>
      <w:pPr>
        <w:numPr>
          <w:ilvl w:val="1"/>
          <w:numId w:val="1154"/>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A.7</w:t>
        </w:r>
      </w:hyperlink>
      <w:r>
        <w:t xml:space="preserve">).</w:t>
      </w:r>
    </w:p>
    <w:bookmarkStart w:id="209" w:name="tab_cuadernillo"/>
    <w:p>
      <w:pPr>
        <w:pStyle w:val="TableCaption"/>
      </w:pPr>
      <w:r>
        <w:t xml:space="preserve">Tabla 6.–</w:t>
      </w:r>
      <w:r>
        <w:t xml:space="preserve"> </w:t>
      </w:r>
      <w:r>
        <w:t xml:space="preserve">Un cuadro macroeconómico leído: el dictamen de 2026</w:t>
      </w:r>
    </w:p>
    <w:tbl>
      <w:tblPr>
        <w:tblStyle w:val="Table"/>
        <w:tblW w:type="auto" w:w="0"/>
        <w:tblLook w:firstRow="0" w:lastRow="0" w:firstColumn="0" w:lastColumn="0" w:noHBand="0" w:noVBand="0" w:val="0000"/>
        <w:tblCaption w:val="Tabla 6.–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209"/>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155"/>
        </w:numPr>
      </w:pPr>
      <w:r>
        <w:rPr>
          <w:i/>
          <w:iCs/>
        </w:rPr>
        <w:t xml:space="preserve">Qué hay que ver en la tabla </w:t>
      </w:r>
      <w:hyperlink w:anchor="tab_cuadernillo">
        <w:r>
          <w:rPr>
            <w:rStyle w:val="Hyperlink"/>
            <w:i/>
            <w:iCs/>
          </w:rPr>
          <w:t xml:space="preserve">6</w:t>
        </w:r>
      </w:hyperlink>
      <w:r>
        <w:t xml:space="preserve">: el cuadro no da la brecha de producción, así que las fases salen solo del crecimiento del PIB.</w:t>
      </w:r>
    </w:p>
    <w:p>
      <w:pPr>
        <w:numPr>
          <w:ilvl w:val="1"/>
          <w:numId w:val="1156"/>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156"/>
        </w:numPr>
      </w:pPr>
      <w:r>
        <w:t xml:space="preserve">La RNB crece más que el PIB en varios años y el superávit corriente lo explican las rentas primarias: un acreedor neto frente al exterior (preguntas 1 y 2).</w:t>
      </w:r>
    </w:p>
    <w:p>
      <w:pPr>
        <w:numPr>
          <w:ilvl w:val="1"/>
          <w:numId w:val="1156"/>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156"/>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55"/>
        </w:numPr>
      </w:pPr>
      <w:r>
        <w:t xml:space="preserve">Ni hace falta ni conviene adivinar el país: basta con lo que dice el cuadernillo.</w:t>
      </w:r>
    </w:p>
    <w:bookmarkEnd w:id="210"/>
    <w:bookmarkStart w:id="212" w:name="anexo_redactar"/>
    <w:p>
      <w:pPr>
        <w:pStyle w:val="Heading2"/>
      </w:pPr>
      <w:r>
        <w:t xml:space="preserve">A.5. Cómo redactar</w:t>
      </w:r>
    </w:p>
    <w:p>
      <w:pPr>
        <w:numPr>
          <w:ilvl w:val="0"/>
          <w:numId w:val="1157"/>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157"/>
        </w:numPr>
      </w:pPr>
      <w:r>
        <w:rPr>
          <w:i/>
          <w:iCs/>
        </w:rPr>
        <w:t xml:space="preserve">Analizar, no describir</w:t>
      </w:r>
      <w:r>
        <w:t xml:space="preserve">:</w:t>
      </w:r>
    </w:p>
    <w:p>
      <w:pPr>
        <w:numPr>
          <w:ilvl w:val="1"/>
          <w:numId w:val="1158"/>
        </w:numPr>
      </w:pPr>
      <w:r>
        <w:t xml:space="preserve">Descriptivo (a evitar): «la contribución de la demanda interna es positiva en 20x1, negativa en 20x2 y vuelve a ser positiva en 20x3».</w:t>
      </w:r>
    </w:p>
    <w:p>
      <w:pPr>
        <w:numPr>
          <w:ilvl w:val="1"/>
          <w:numId w:val="1158"/>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158"/>
        </w:numPr>
      </w:pPr>
      <w:r>
        <w:t xml:space="preserve">La descripción de los datos es tarea de la estadística; al economista le toca explicar lo que hay detrás.</w:t>
      </w:r>
    </w:p>
    <w:p>
      <w:pPr>
        <w:numPr>
          <w:ilvl w:val="0"/>
          <w:numId w:val="1157"/>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157"/>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157"/>
        </w:numPr>
      </w:pPr>
      <w:r>
        <w:rPr>
          <w:i/>
          <w:iCs/>
        </w:rPr>
        <w:t xml:space="preserve">Condicionales y matices</w:t>
      </w:r>
      <w:r>
        <w:t xml:space="preserve">: con pocos datos y poco tiempo solo se ven correlaciones, no causalidad (</w:t>
      </w:r>
      <w:hyperlink r:id="rId21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157"/>
        </w:numPr>
      </w:pPr>
      <w:r>
        <w:rPr>
          <w:i/>
          <w:iCs/>
        </w:rPr>
        <w:t xml:space="preserve">Sin solapes</w:t>
      </w:r>
      <w:r>
        <w:t xml:space="preserve">: cada cosa en su pregunta, tratadas como estancas. Si algo ya se ha explicado, basta una remisión («como se ha visto al analizar la demanda…»).</w:t>
      </w:r>
    </w:p>
    <w:p>
      <w:pPr>
        <w:numPr>
          <w:ilvl w:val="0"/>
          <w:numId w:val="1157"/>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157"/>
        </w:numPr>
      </w:pPr>
      <w:r>
        <w:rPr>
          <w:i/>
          <w:iCs/>
        </w:rPr>
        <w:t xml:space="preserve">Recomendaciones concretas</w:t>
      </w:r>
      <w:r>
        <w:t xml:space="preserve">: qué medida, para qué desequilibrio y con qué riesgo («una consolidación gradual, centrada en el gasto corriente, para no frenar la recuperación»).</w:t>
      </w:r>
    </w:p>
    <w:bookmarkEnd w:id="212"/>
    <w:bookmarkStart w:id="213" w:name="anexo_errores"/>
    <w:p>
      <w:pPr>
        <w:pStyle w:val="Heading2"/>
      </w:pPr>
      <w:r>
        <w:t xml:space="preserve">A.6. Errores típicos y la lectura</w:t>
      </w:r>
    </w:p>
    <w:p>
      <w:pPr>
        <w:keepNext/>
        <w:numPr>
          <w:ilvl w:val="0"/>
          <w:numId w:val="1159"/>
        </w:numPr>
      </w:pPr>
      <w:r>
        <w:rPr>
          <w:i/>
          <w:iCs/>
        </w:rPr>
        <w:t xml:space="preserve">Errores que más se repiten</w:t>
      </w:r>
      <w:r>
        <w:t xml:space="preserve">:</w:t>
      </w:r>
    </w:p>
    <w:p>
      <w:pPr>
        <w:numPr>
          <w:ilvl w:val="1"/>
          <w:numId w:val="1160"/>
        </w:numPr>
      </w:pPr>
      <w:r>
        <w:t xml:space="preserve">describir sin analizar («en 20x1 sube, en 20x2 baja, en 20x3 sube»);</w:t>
      </w:r>
    </w:p>
    <w:p>
      <w:pPr>
        <w:numPr>
          <w:ilvl w:val="1"/>
          <w:numId w:val="1160"/>
        </w:numPr>
      </w:pPr>
      <w:r>
        <w:t xml:space="preserve">confundir porcentajes con puntos porcentuales, niveles con variaciones o tasas nominales con reales;</w:t>
      </w:r>
    </w:p>
    <w:p>
      <w:pPr>
        <w:numPr>
          <w:ilvl w:val="1"/>
          <w:numId w:val="1160"/>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160"/>
        </w:numPr>
      </w:pPr>
      <w:r>
        <w:t xml:space="preserve">leer al revés el tipo de cambio (directo o indirecto) o la posición de inversión internacional;</w:t>
      </w:r>
    </w:p>
    <w:p>
      <w:pPr>
        <w:numPr>
          <w:ilvl w:val="1"/>
          <w:numId w:val="1160"/>
        </w:numPr>
      </w:pPr>
      <w:r>
        <w:t xml:space="preserve">juzgar el tono de la política monetaria solo por si el tipo nominal sube o baja, o el de la fiscal por el saldo total y no por el estructural primario;</w:t>
      </w:r>
    </w:p>
    <w:p>
      <w:pPr>
        <w:numPr>
          <w:ilvl w:val="1"/>
          <w:numId w:val="1160"/>
        </w:numPr>
      </w:pPr>
      <w:r>
        <w:t xml:space="preserve">dedicar demasiado tiempo al perfil cíclico y dejar a medias las últimas preguntas;</w:t>
      </w:r>
    </w:p>
    <w:p>
      <w:pPr>
        <w:numPr>
          <w:ilvl w:val="1"/>
          <w:numId w:val="1160"/>
        </w:numPr>
      </w:pPr>
      <w:r>
        <w:t xml:space="preserve">no contestar a una subpregunta, o contestar a lo que no se pregunta.</w:t>
      </w:r>
    </w:p>
    <w:p>
      <w:pPr>
        <w:numPr>
          <w:ilvl w:val="0"/>
          <w:numId w:val="1159"/>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159"/>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213"/>
    <w:bookmarkStart w:id="216" w:name="anexo_matriz"/>
    <w:p>
      <w:pPr>
        <w:pStyle w:val="Heading2"/>
      </w:pPr>
      <w:r>
        <w:t xml:space="preserve">A.7. La matriz de fortalezas y debilidades</w:t>
      </w:r>
    </w:p>
    <w:p>
      <w:pPr>
        <w:numPr>
          <w:ilvl w:val="0"/>
          <w:numId w:val="1161"/>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161"/>
        </w:numPr>
      </w:pPr>
      <w:r>
        <w:t xml:space="preserve">Sirve para 3 cosas:</w:t>
      </w:r>
    </w:p>
    <w:p>
      <w:pPr>
        <w:numPr>
          <w:ilvl w:val="1"/>
          <w:numId w:val="1162"/>
        </w:numPr>
      </w:pPr>
      <w:r>
        <w:t xml:space="preserve">anticipar el diagnóstico en la primera pregunta (apartado </w:t>
      </w:r>
      <w:hyperlink w:anchor="sec_anticipar">
        <w:r>
          <w:rPr>
            <w:rStyle w:val="Hyperlink"/>
          </w:rPr>
          <w:t xml:space="preserve">I.6</w:t>
        </w:r>
      </w:hyperlink>
      <w:r>
        <w:t xml:space="preserve">);</w:t>
      </w:r>
    </w:p>
    <w:p>
      <w:pPr>
        <w:numPr>
          <w:ilvl w:val="1"/>
          <w:numId w:val="1162"/>
        </w:numPr>
      </w:pPr>
      <w:r>
        <w:t xml:space="preserve">no contradecirse entre preguntas;</w:t>
      </w:r>
    </w:p>
    <w:p>
      <w:pPr>
        <w:numPr>
          <w:ilvl w:val="1"/>
          <w:numId w:val="1162"/>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214" w:name="tab_matriz"/>
    <w:p>
      <w:pPr>
        <w:pStyle w:val="TableCaption"/>
      </w:pPr>
      <w:r>
        <w:t xml:space="preserve">Tabla 7.–</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7.–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214"/>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163"/>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8</w:t>
        </w:r>
      </w:hyperlink>
      <w:r>
        <w:t xml:space="preserve">). Las columnas de fortalezas y de tendencia se dejan en blanco para rellenarlas con el cuadro de cada examen.</w:t>
      </w:r>
    </w:p>
    <w:bookmarkStart w:id="215" w:name="tab_matriz_completa"/>
    <w:p>
      <w:pPr>
        <w:pStyle w:val="TableCaption"/>
      </w:pPr>
      <w:r>
        <w:t xml:space="preserve">Tabla 8.–</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8.–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oferta; flexibilizar el mercado laboral</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215"/>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164"/>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20</w:t>
        </w:r>
      </w:hyperlink>
      <w:r>
        <w:t xml:space="preserve"> </w:t>
      </w:r>
      <w:r>
        <w:t xml:space="preserve">los reúne por bloque.</w:t>
      </w:r>
    </w:p>
    <w:p>
      <w:pPr>
        <w:numPr>
          <w:ilvl w:val="0"/>
          <w:numId w:val="1164"/>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w:t>
      </w:r>
    </w:p>
    <w:p>
      <w:pPr>
        <w:numPr>
          <w:ilvl w:val="0"/>
          <w:numId w:val="1164"/>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216"/>
    <w:bookmarkEnd w:id="217"/>
    <w:bookmarkStart w:id="229" w:name="anexo_indicadores"/>
    <w:p>
      <w:pPr>
        <w:pStyle w:val="Heading1"/>
      </w:pPr>
      <w:r>
        <w:t xml:space="preserve">B. Indicadores y umbrales de referencia</w:t>
      </w:r>
    </w:p>
    <w:p>
      <w:pPr>
        <w:keepNext/>
        <w:numPr>
          <w:ilvl w:val="0"/>
          <w:numId w:val="1165"/>
        </w:numPr>
      </w:pPr>
      <w:r>
        <w:t xml:space="preserve">Cada indicador con su cálculo, su referencia y el tema donde se estudia. Las referencias se separan siempre en 2 columnas:</w:t>
      </w:r>
    </w:p>
    <w:p>
      <w:pPr>
        <w:numPr>
          <w:ilvl w:val="1"/>
          <w:numId w:val="1166"/>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66"/>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65"/>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218" w:name="tab_indicadores_ciclo"/>
    <w:p>
      <w:pPr>
        <w:pStyle w:val="TableCaption"/>
      </w:pPr>
      <w:r>
        <w:t xml:space="preserve">Tabla 9.–</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9.–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39">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43">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47">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38">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89">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41">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95">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38">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19">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218"/>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11</w:t>
        </w:r>
      </w:hyperlink>
      <w:r>
        <w:rPr>
          <w:i/>
          <w:iCs/>
        </w:rPr>
        <w:t xml:space="preserve"> </w:t>
      </w:r>
      <w:r>
        <w:rPr>
          <w:i/>
          <w:iCs/>
        </w:rPr>
        <w:t xml:space="preserve">y la escala de calificaciones, en la tabla </w:t>
      </w:r>
      <w:hyperlink w:anchor="tab_calificaciones">
        <w:r>
          <w:rPr>
            <w:rStyle w:val="Hyperlink"/>
            <w:i/>
            <w:iCs/>
          </w:rPr>
          <w:t xml:space="preserve">14</w:t>
        </w:r>
      </w:hyperlink>
      <w:r>
        <w:rPr>
          <w:i/>
          <w:iCs/>
        </w:rPr>
        <w:t xml:space="preserve">.</w:t>
      </w:r>
    </w:p>
    <w:bookmarkStart w:id="221" w:name="tab_indicadores_exterior"/>
    <w:p>
      <w:pPr>
        <w:pStyle w:val="TableCaption"/>
      </w:pPr>
      <w:r>
        <w:t xml:space="preserve">Tabla 10.–</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10.–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24">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95">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138">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43">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26">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219">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145">
              <w:r>
                <w:rPr>
                  <w:rStyle w:val="Referenciaatema"/>
                </w:rPr>
                <w:t xml:space="preserve">[ver tema 3.B.22]</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220">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39">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60">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60">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180">
              <w:r>
                <w:rPr>
                  <w:rStyle w:val="Referenciaatema"/>
                </w:rPr>
                <w:t xml:space="preserve">[ver tema 4.B.26]</w:t>
              </w:r>
            </w:hyperlink>
          </w:p>
        </w:tc>
      </w:tr>
    </w:tbl>
    <w:bookmarkEnd w:id="221"/>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223" w:name="tab_indicadores_financiero"/>
    <w:p>
      <w:pPr>
        <w:pStyle w:val="TableCaption"/>
      </w:pPr>
      <w:r>
        <w:t xml:space="preserve">Tabla 11.–</w:t>
      </w:r>
      <w:r>
        <w:t xml:space="preserve"> </w:t>
      </w:r>
      <w:r>
        <w:t xml:space="preserve">Indicadores del sistema financiero</w:t>
      </w:r>
    </w:p>
    <w:tbl>
      <w:tblPr>
        <w:tblStyle w:val="Table"/>
        <w:tblW w:type="auto" w:w="0"/>
        <w:tblLook w:firstRow="1" w:lastRow="0" w:firstColumn="0" w:lastColumn="0" w:noHBand="0" w:noVBand="0" w:val="0020"/>
        <w:tblCaption w:val="Tabla 11.–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w:r>
              <w:t xml:space="preserve">Coste del capital: 8-12 %;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165">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10">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09">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222">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222">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64">
              <w:r>
                <w:rPr>
                  <w:rStyle w:val="Referenciaatema"/>
                </w:rPr>
                <w:t xml:space="preserve">[ver tema 4.A.11]</w:t>
              </w:r>
            </w:hyperlink>
          </w:p>
        </w:tc>
      </w:tr>
    </w:tbl>
    <w:bookmarkEnd w:id="223"/>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224" w:name="tab_basilea"/>
    <w:p>
      <w:pPr>
        <w:pStyle w:val="TableCaption"/>
      </w:pPr>
      <w:r>
        <w:t xml:space="preserve">Tabla 12.–</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2.–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224"/>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225" w:name="tab_ratios_banca"/>
    <w:p>
      <w:pPr>
        <w:pStyle w:val="TableCaption"/>
      </w:pPr>
      <w:r>
        <w:t xml:space="preserve">Tabla 13.–</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3.–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225"/>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Start w:id="226" w:name="tab_calificaciones"/>
    <w:p>
      <w:pPr>
        <w:pStyle w:val="TableCaption"/>
      </w:pPr>
      <w:r>
        <w:t xml:space="preserve">Tabla 14.–</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14.–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226"/>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bookmarkStart w:id="228" w:name="econom__a_avanzada_o_emergente_qu__95834"/>
    <w:p>
      <w:pPr>
        <w:pStyle w:val="Heading4"/>
      </w:pPr>
      <w:r>
        <w:t xml:space="preserve">Economía avanzada o emergente: qué cambia en el análisis</w:t>
      </w:r>
    </w:p>
    <w:p>
      <w:pPr>
        <w:numPr>
          <w:ilvl w:val="0"/>
          <w:numId w:val="1167"/>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15</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167"/>
        </w:numPr>
      </w:pPr>
      <w:r>
        <w:t xml:space="preserve">Ojo con los países exportadores de petróleo, con rentas per cápita altas y rasgos de emergente.</w:t>
      </w:r>
    </w:p>
    <w:bookmarkStart w:id="227" w:name="tab_avanzada_emergente"/>
    <w:p>
      <w:pPr>
        <w:pStyle w:val="TableCaption"/>
      </w:pPr>
      <w:r>
        <w:t xml:space="preserve">Tabla 15.–</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15.–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227"/>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228"/>
    <w:bookmarkEnd w:id="229"/>
    <w:bookmarkStart w:id="231" w:name="anexo_preguntas"/>
    <w:p>
      <w:pPr>
        <w:pStyle w:val="Heading1"/>
      </w:pPr>
      <w:r>
        <w:t xml:space="preserve">C. Qué se ha preguntado (2011-2026)</w:t>
      </w:r>
    </w:p>
    <w:p>
      <w:pPr>
        <w:numPr>
          <w:ilvl w:val="0"/>
          <w:numId w:val="1168"/>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68"/>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68"/>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230" w:name="tab_bloques_anio"/>
    <w:p>
      <w:pPr>
        <w:pStyle w:val="TableCaption"/>
      </w:pPr>
      <w:r>
        <w:t xml:space="preserve">Tabla 16.–</w:t>
      </w:r>
      <w:r>
        <w:t xml:space="preserve"> </w:t>
      </w:r>
      <w:r>
        <w:t xml:space="preserve">Bloques preguntados en cada dictamen</w:t>
      </w:r>
    </w:p>
    <w:tbl>
      <w:tblPr>
        <w:tblStyle w:val="Table"/>
        <w:tblW w:type="auto" w:w="0"/>
        <w:tblLook w:firstRow="1" w:lastRow="0" w:firstColumn="0" w:lastColumn="0" w:noHBand="0" w:noVBand="0" w:val="0020"/>
        <w:tblCaption w:val="Tabla 16.–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230"/>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bookmarkEnd w:id="231"/>
    <w:bookmarkStart w:id="239" w:name="anexo_expresiones"/>
    <w:p>
      <w:pPr>
        <w:pStyle w:val="Heading1"/>
      </w:pPr>
      <w:r>
        <w:t xml:space="preserve">D. Expresiones útiles para redactar</w:t>
      </w:r>
    </w:p>
    <w:p>
      <w:pPr>
        <w:numPr>
          <w:ilvl w:val="0"/>
          <w:numId w:val="1169"/>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169"/>
        </w:numPr>
      </w:pPr>
      <w:r>
        <w:rPr>
          <w:i/>
          <w:iCs/>
        </w:rPr>
        <w:t xml:space="preserve">Diagnóstico</w:t>
      </w:r>
      <w:r>
        <w:t xml:space="preserve">:</w:t>
      </w:r>
    </w:p>
    <w:p>
      <w:pPr>
        <w:numPr>
          <w:ilvl w:val="1"/>
          <w:numId w:val="1170"/>
        </w:numPr>
      </w:pPr>
      <w:r>
        <w:t xml:space="preserve">«La economía muestra un crecimiento sólido pero desequilibrado, apoyado en la demanda interna y con una necesidad de financiación exterior creciente».</w:t>
      </w:r>
    </w:p>
    <w:p>
      <w:pPr>
        <w:numPr>
          <w:ilvl w:val="1"/>
          <w:numId w:val="1170"/>
        </w:numPr>
      </w:pPr>
      <w:r>
        <w:t xml:space="preserve">«Parece tratarse de una economía avanzada en recuperación, con la brecha de producción aún negativa, la inflación contenida y un margen fiscal reducido».</w:t>
      </w:r>
    </w:p>
    <w:p>
      <w:pPr>
        <w:keepNext/>
        <w:numPr>
          <w:ilvl w:val="0"/>
          <w:numId w:val="1169"/>
        </w:numPr>
      </w:pPr>
      <w:r>
        <w:rPr>
          <w:i/>
          <w:iCs/>
        </w:rPr>
        <w:t xml:space="preserve">Ciclo</w:t>
      </w:r>
      <w:r>
        <w:t xml:space="preserve">:</w:t>
      </w:r>
    </w:p>
    <w:p>
      <w:pPr>
        <w:numPr>
          <w:ilvl w:val="1"/>
          <w:numId w:val="1171"/>
        </w:numPr>
      </w:pPr>
      <w:r>
        <w:t xml:space="preserve">«El cuadro recoge más de un ciclo: …».</w:t>
      </w:r>
    </w:p>
    <w:p>
      <w:pPr>
        <w:numPr>
          <w:ilvl w:val="1"/>
          <w:numId w:val="1171"/>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171"/>
        </w:numPr>
      </w:pPr>
      <w:r>
        <w:t xml:space="preserve">«la recuperación tiene forma de uve: …».</w:t>
      </w:r>
    </w:p>
    <w:p>
      <w:pPr>
        <w:keepNext/>
        <w:numPr>
          <w:ilvl w:val="0"/>
          <w:numId w:val="1169"/>
        </w:numPr>
      </w:pPr>
      <w:r>
        <w:rPr>
          <w:i/>
          <w:iCs/>
        </w:rPr>
        <w:t xml:space="preserve">Contribuciones</w:t>
      </w:r>
      <w:r>
        <w:t xml:space="preserve">:</w:t>
      </w:r>
    </w:p>
    <w:p>
      <w:pPr>
        <w:numPr>
          <w:ilvl w:val="1"/>
          <w:numId w:val="1172"/>
        </w:numPr>
      </w:pPr>
      <w:r>
        <w:t xml:space="preserve">«De los … puntos que crece el PIB, … los aporta la demanda interna y … la externa».</w:t>
      </w:r>
    </w:p>
    <w:p>
      <w:pPr>
        <w:numPr>
          <w:ilvl w:val="1"/>
          <w:numId w:val="1172"/>
        </w:numPr>
      </w:pPr>
      <w:r>
        <w:t xml:space="preserve">«La demanda externa amortigua la caída del PIB, más por el desplome de las importaciones que por el empuje de las exportaciones».</w:t>
      </w:r>
    </w:p>
    <w:p>
      <w:pPr>
        <w:numPr>
          <w:ilvl w:val="1"/>
          <w:numId w:val="1172"/>
        </w:numPr>
      </w:pPr>
      <w:r>
        <w:t xml:space="preserve">«La demanda interna es procíclica y la externa, contracíclica».</w:t>
      </w:r>
    </w:p>
    <w:p>
      <w:pPr>
        <w:numPr>
          <w:ilvl w:val="1"/>
          <w:numId w:val="1172"/>
        </w:numPr>
      </w:pPr>
      <w:r>
        <w:t xml:space="preserve">«La demanda interna es la protagonista absoluta durante toda la serie»; «la demanda externa muestra un comportamiento más errático e imprevisible que la nacional».</w:t>
      </w:r>
    </w:p>
    <w:p>
      <w:pPr>
        <w:numPr>
          <w:ilvl w:val="1"/>
          <w:numId w:val="1172"/>
        </w:numPr>
      </w:pPr>
      <w:r>
        <w:t xml:space="preserve">«Indaguemos en los componentes de la demanda interna (consumo e inversión, públicos y privados)».</w:t>
      </w:r>
    </w:p>
    <w:p>
      <w:pPr>
        <w:keepNext/>
        <w:numPr>
          <w:ilvl w:val="0"/>
          <w:numId w:val="1169"/>
        </w:numPr>
      </w:pPr>
      <w:r>
        <w:rPr>
          <w:i/>
          <w:iCs/>
        </w:rPr>
        <w:t xml:space="preserve">Prudencia</w:t>
      </w:r>
      <w:r>
        <w:t xml:space="preserve">:</w:t>
      </w:r>
    </w:p>
    <w:p>
      <w:pPr>
        <w:numPr>
          <w:ilvl w:val="1"/>
          <w:numId w:val="1173"/>
        </w:numPr>
      </w:pPr>
      <w:r>
        <w:t xml:space="preserve">«Con la información disponible, …»; «esta evolución sería coherente con …, aunque no puede descartarse …»; «a falta de datos sobre …, cabe suponer que …, lo que habría que confirmar».</w:t>
      </w:r>
    </w:p>
    <w:p>
      <w:pPr>
        <w:numPr>
          <w:ilvl w:val="1"/>
          <w:numId w:val="1173"/>
        </w:numPr>
      </w:pPr>
      <w:r>
        <w:t xml:space="preserve">«Aunque los agentes deciden con el tipo real, la fuerte subida del tipo nominal al final de la serie indica un endurecimiento de la política monetaria».</w:t>
      </w:r>
    </w:p>
    <w:p>
      <w:pPr>
        <w:numPr>
          <w:ilvl w:val="0"/>
          <w:numId w:val="1169"/>
        </w:numPr>
      </w:pPr>
      <w:r>
        <w:rPr>
          <w:i/>
          <w:iCs/>
        </w:rPr>
        <w:t xml:space="preserve">Interpretación</w:t>
      </w:r>
      <w:r>
        <w:t xml:space="preserve">: «más que …, lo que llama la atención es …»; «este dato es especialmente relevante porque …».</w:t>
      </w:r>
    </w:p>
    <w:p>
      <w:pPr>
        <w:keepNext/>
        <w:numPr>
          <w:ilvl w:val="0"/>
          <w:numId w:val="1169"/>
        </w:numPr>
      </w:pPr>
      <w:r>
        <w:rPr>
          <w:i/>
          <w:iCs/>
        </w:rPr>
        <w:t xml:space="preserve">Sector exterior</w:t>
      </w:r>
      <w:r>
        <w:t xml:space="preserve">:</w:t>
      </w:r>
    </w:p>
    <w:p>
      <w:pPr>
        <w:numPr>
          <w:ilvl w:val="1"/>
          <w:numId w:val="1174"/>
        </w:numPr>
      </w:pPr>
      <w:r>
        <w:t xml:space="preserve">«Los desequilibrios externos suelen ser síntoma de desequilibrios internos».</w:t>
      </w:r>
    </w:p>
    <w:p>
      <w:pPr>
        <w:numPr>
          <w:ilvl w:val="1"/>
          <w:numId w:val="1174"/>
        </w:numPr>
      </w:pPr>
      <w:r>
        <w:t xml:space="preserve">«El déficit exterior refleja un exceso de inversión sobre el ahorro, cuyo origen parece estar en el sector …».</w:t>
      </w:r>
    </w:p>
    <w:p>
      <w:pPr>
        <w:numPr>
          <w:ilvl w:val="1"/>
          <w:numId w:val="1174"/>
        </w:numPr>
      </w:pPr>
      <w:r>
        <w:t xml:space="preserve">«La mejora de la posición de inversión internacional, pese a la necesidad de financiación, se debería a efectos valoración y al crecimiento del PIB nominal».</w:t>
      </w:r>
    </w:p>
    <w:p>
      <w:pPr>
        <w:keepNext/>
        <w:numPr>
          <w:ilvl w:val="0"/>
          <w:numId w:val="1169"/>
        </w:numPr>
      </w:pPr>
      <w:r>
        <w:rPr>
          <w:i/>
          <w:iCs/>
        </w:rPr>
        <w:t xml:space="preserve">Políticas</w:t>
      </w:r>
      <w:r>
        <w:t xml:space="preserve">:</w:t>
      </w:r>
    </w:p>
    <w:p>
      <w:pPr>
        <w:numPr>
          <w:ilvl w:val="1"/>
          <w:numId w:val="1175"/>
        </w:numPr>
      </w:pPr>
      <w:r>
        <w:t xml:space="preserve">«El tono de la política fiscal, medido por la variación del saldo estructural primario, habría sido expansivo en …».</w:t>
      </w:r>
    </w:p>
    <w:p>
      <w:pPr>
        <w:numPr>
          <w:ilvl w:val="1"/>
          <w:numId w:val="1175"/>
        </w:numPr>
      </w:pPr>
      <w:r>
        <w:t xml:space="preserve">«Aunque el tipo nominal sube, el tipo real sigue siendo negativo: la política monetaria seguiría siendo acomodaticia».</w:t>
      </w:r>
    </w:p>
    <w:p>
      <w:pPr>
        <w:numPr>
          <w:ilvl w:val="0"/>
          <w:numId w:val="1169"/>
        </w:numPr>
      </w:pPr>
      <w:r>
        <w:rPr>
          <w:i/>
          <w:iCs/>
        </w:rPr>
        <w:t xml:space="preserve">Recomendaciones</w:t>
      </w:r>
      <w:r>
        <w:t xml:space="preserve">: «parece necesaria una consolidación fiscal, pero gradual, para no lastrar la recuperación»; «a corto plazo …; a medio y largo plazo …».</w:t>
      </w:r>
    </w:p>
    <w:p>
      <w:pPr>
        <w:numPr>
          <w:ilvl w:val="0"/>
          <w:numId w:val="1169"/>
        </w:numPr>
      </w:pPr>
      <w:r>
        <w:rPr>
          <w:i/>
          <w:iCs/>
        </w:rPr>
        <w:t xml:space="preserve">Cierre</w:t>
      </w:r>
      <w:r>
        <w:t xml:space="preserve">: «en conclusión, la economía afronta … retos; cómo los aborde determinará su crecimiento en los próximos años».</w:t>
      </w:r>
    </w:p>
    <w:bookmarkStart w:id="238" w:name="anexo_parrafos"/>
    <w:p>
      <w:pPr>
        <w:pStyle w:val="Heading2"/>
      </w:pPr>
      <w:r>
        <w:t xml:space="preserve">D.1. Párrafos modelo por bloque</w:t>
      </w:r>
    </w:p>
    <w:p>
      <w:pPr>
        <w:numPr>
          <w:ilvl w:val="0"/>
          <w:numId w:val="1176"/>
        </w:numPr>
      </w:pPr>
      <w:r>
        <w:t xml:space="preserve">Ejemplos de redacción de la guía anterior que completan los de cada capítulo, en el orden de la guía y con años y cifras genéricos (20xx).</w:t>
      </w:r>
    </w:p>
    <w:bookmarkStart w:id="232"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232"/>
    <w:bookmarkStart w:id="233"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233"/>
    <w:bookmarkStart w:id="234"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234"/>
    <w:bookmarkStart w:id="235"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235"/>
    <w:bookmarkStart w:id="236"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177"/>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177"/>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177"/>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236"/>
    <w:bookmarkStart w:id="237"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237"/>
    <w:bookmarkEnd w:id="238"/>
    <w:bookmarkEnd w:id="239"/>
    <w:bookmarkStart w:id="258" w:name="anexo_casos"/>
    <w:p>
      <w:pPr>
        <w:pStyle w:val="Heading1"/>
      </w:pPr>
      <w:r>
        <w:t xml:space="preserve">E. Análisis de casos frecuentes</w:t>
      </w:r>
    </w:p>
    <w:p>
      <w:pPr>
        <w:numPr>
          <w:ilvl w:val="0"/>
          <w:numId w:val="1178"/>
        </w:numPr>
      </w:pPr>
      <w:r>
        <w:t xml:space="preserve">Choques y situaciones concretas que han aparecido en los dictámenes y que se analizan con las herramientas de cada capítulo: un sector dominante, la demografía, la migración y el salario mínimo, los aranceles de un tercero, la lectura de una curva de</w:t>
      </w:r>
      <w:r>
        <w:t xml:space="preserve"> </w:t>
      </w:r>
      <w:r>
        <w:rPr>
          <w:smallCaps/>
        </w:rPr>
        <w:t xml:space="preserve">Beveridge</w:t>
      </w:r>
      <w:r>
        <w:t xml:space="preserve"> </w:t>
      </w:r>
      <w:r>
        <w:t xml:space="preserve">y los fondos europeos en la balanza de pagos.</w:t>
      </w:r>
    </w:p>
    <w:bookmarkStart w:id="242" w:name="un_sector_dominante_petr__leo_y_ma_15552"/>
    <w:p>
      <w:pPr>
        <w:pStyle w:val="Heading4"/>
      </w:pPr>
      <w:r>
        <w:t xml:space="preserve">Un sector dominante: petróleo y materias primas</w:t>
      </w:r>
    </w:p>
    <w:p>
      <w:pPr>
        <w:numPr>
          <w:ilvl w:val="0"/>
          <w:numId w:val="1179"/>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15</w:t>
        </w:r>
      </w:hyperlink>
      <w:r>
        <w:t xml:space="preserve">, en los anexos).</w:t>
      </w:r>
    </w:p>
    <w:p>
      <w:pPr>
        <w:keepNext/>
        <w:numPr>
          <w:ilvl w:val="0"/>
          <w:numId w:val="1179"/>
        </w:numPr>
      </w:pPr>
      <w:r>
        <w:rPr>
          <w:i/>
          <w:iCs/>
        </w:rPr>
        <w:t xml:space="preserve">Canales de un cambio del precio del petróleo</w:t>
      </w:r>
      <w:r>
        <w:t xml:space="preserve">:</w:t>
      </w:r>
    </w:p>
    <w:p>
      <w:pPr>
        <w:numPr>
          <w:ilvl w:val="1"/>
          <w:numId w:val="1180"/>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180"/>
        </w:numPr>
      </w:pPr>
      <w:r>
        <w:rPr>
          <w:i/>
          <w:iCs/>
        </w:rPr>
        <w:t xml:space="preserve">Sector exterior</w:t>
      </w:r>
      <w:r>
        <w:t xml:space="preserve">: la balanza de bienes y la cuenta corriente siguen al precio; con tipo flexible, la moneda del exportador se aprecia.</w:t>
      </w:r>
    </w:p>
    <w:p>
      <w:pPr>
        <w:numPr>
          <w:ilvl w:val="1"/>
          <w:numId w:val="1180"/>
        </w:numPr>
      </w:pPr>
      <w:r>
        <w:rPr>
          <w:i/>
          <w:iCs/>
        </w:rPr>
        <w:t xml:space="preserve">Cuentas públicas</w:t>
      </w:r>
      <w:r>
        <w:t xml:space="preserve">: regalías e impuestos sobre el sector (exportador) o subvenciones a los combustibles; los ingresos se vuelven volátiles y procíclicos.</w:t>
      </w:r>
    </w:p>
    <w:p>
      <w:pPr>
        <w:numPr>
          <w:ilvl w:val="0"/>
          <w:numId w:val="1179"/>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179"/>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179"/>
        </w:numPr>
      </w:pPr>
      <w:r>
        <w:rPr>
          <w:i/>
          <w:iCs/>
        </w:rPr>
        <w:t xml:space="preserve">Tema</w:t>
      </w:r>
      <w:r>
        <w:t xml:space="preserve">:</w:t>
      </w:r>
      <w:r>
        <w:t xml:space="preserve"> </w:t>
      </w:r>
      <w:hyperlink r:id="rId240">
        <w:r>
          <w:rPr>
            <w:rStyle w:val="Referenciaatema"/>
          </w:rPr>
          <w:t xml:space="preserve">[ver tema 3.B.28]</w:t>
        </w:r>
      </w:hyperlink>
      <w:r>
        <w:t xml:space="preserve"> </w:t>
      </w:r>
      <w:hyperlink r:id="rId241">
        <w:r>
          <w:rPr>
            <w:rStyle w:val="Referenciaatema"/>
          </w:rPr>
          <w:t xml:space="preserve">[ver tema 3.B.32]</w:t>
        </w:r>
      </w:hyperlink>
      <w:r>
        <w:t xml:space="preserve"> </w:t>
      </w:r>
      <w:hyperlink r:id="rId77">
        <w:r>
          <w:rPr>
            <w:rStyle w:val="Referenciaatema"/>
          </w:rPr>
          <w:t xml:space="preserve">[ver tema 4.A.5]</w:t>
        </w:r>
      </w:hyperlink>
      <w:r>
        <w:t xml:space="preserve">.</w:t>
      </w:r>
    </w:p>
    <w:bookmarkEnd w:id="242"/>
    <w:bookmarkStart w:id="245" w:name="demograf__a_migraci__n_y_salario_m_06732"/>
    <w:p>
      <w:pPr>
        <w:pStyle w:val="Heading4"/>
      </w:pPr>
      <w:r>
        <w:t xml:space="preserve">Demografía, migración y salario mínimo</w:t>
      </w:r>
    </w:p>
    <w:p>
      <w:pPr>
        <w:numPr>
          <w:ilvl w:val="0"/>
          <w:numId w:val="1181"/>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243">
        <w:r>
          <w:rPr>
            <w:rStyle w:val="Referenciaatema"/>
          </w:rPr>
          <w:t xml:space="preserve">[ver tema 4.A.2]</w:t>
        </w:r>
      </w:hyperlink>
      <w:r>
        <w:t xml:space="preserve">.</w:t>
      </w:r>
    </w:p>
    <w:p>
      <w:pPr>
        <w:numPr>
          <w:ilvl w:val="0"/>
          <w:numId w:val="1181"/>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181"/>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244">
        <w:r>
          <w:rPr>
            <w:rStyle w:val="Referenciaatema"/>
          </w:rPr>
          <w:t xml:space="preserve">[ver tema 3.A.17]</w:t>
        </w:r>
      </w:hyperlink>
      <w:r>
        <w:t xml:space="preserve">. El saldo público mejora por las cotizaciones de quienes conservan el empleo y empeora por los que lo pierden.</w:t>
      </w:r>
    </w:p>
    <w:bookmarkEnd w:id="245"/>
    <w:bookmarkStart w:id="249" w:name="aranceles_y_fragmentaci__n_del_com_04988"/>
    <w:p>
      <w:pPr>
        <w:pStyle w:val="Heading4"/>
      </w:pPr>
      <w:r>
        <w:t xml:space="preserve">Aranceles y fragmentación del comercio</w:t>
      </w:r>
    </w:p>
    <w:p>
      <w:pPr>
        <w:numPr>
          <w:ilvl w:val="0"/>
          <w:numId w:val="1182"/>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82"/>
        </w:numPr>
      </w:pPr>
      <w:r>
        <w:rPr>
          <w:i/>
          <w:iCs/>
        </w:rPr>
        <w:t xml:space="preserve">Efecto de los aranceles de un tercero</w:t>
      </w:r>
      <w:r>
        <w:t xml:space="preserve"> </w:t>
      </w:r>
      <w:r>
        <w:t xml:space="preserve">sobre el país (como los de Estados Unidos desde 2025):</w:t>
      </w:r>
    </w:p>
    <w:p>
      <w:pPr>
        <w:numPr>
          <w:ilvl w:val="1"/>
          <w:numId w:val="1183"/>
        </w:numPr>
      </w:pPr>
      <w:r>
        <w:rPr>
          <w:i/>
          <w:iCs/>
        </w:rPr>
        <w:t xml:space="preserve">directo</w:t>
      </w:r>
      <w:r>
        <w:t xml:space="preserve">: caen las exportaciones a ese destino, según su peso y la elasticidad de cada producto;</w:t>
      </w:r>
    </w:p>
    <w:p>
      <w:pPr>
        <w:numPr>
          <w:ilvl w:val="1"/>
          <w:numId w:val="1183"/>
        </w:numPr>
      </w:pPr>
      <w:r>
        <w:rPr>
          <w:i/>
          <w:iCs/>
        </w:rPr>
        <w:t xml:space="preserve">indirecto</w:t>
      </w:r>
      <w:r>
        <w:t xml:space="preserve">: por las cadenas de valor y la menor demanda mundial;</w:t>
      </w:r>
    </w:p>
    <w:p>
      <w:pPr>
        <w:numPr>
          <w:ilvl w:val="1"/>
          <w:numId w:val="1183"/>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183"/>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82"/>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82"/>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246">
        <w:r>
          <w:rPr>
            <w:rStyle w:val="Referenciaatema"/>
          </w:rPr>
          <w:t xml:space="preserve">[ver tema 3.B.7]</w:t>
        </w:r>
      </w:hyperlink>
      <w:r>
        <w:t xml:space="preserve"> </w:t>
      </w:r>
      <w:hyperlink r:id="rId247">
        <w:r>
          <w:rPr>
            <w:rStyle w:val="Referenciaatema"/>
          </w:rPr>
          <w:t xml:space="preserve">[ver tema 3.B.33]</w:t>
        </w:r>
      </w:hyperlink>
      <w:r>
        <w:t xml:space="preserve"> </w:t>
      </w:r>
      <w:hyperlink r:id="rId248">
        <w:r>
          <w:rPr>
            <w:rStyle w:val="Referenciaatema"/>
          </w:rPr>
          <w:t xml:space="preserve">[ver tema 3.B.41]</w:t>
        </w:r>
      </w:hyperlink>
      <w:r>
        <w:t xml:space="preserve">.</w:t>
      </w:r>
    </w:p>
    <w:bookmarkEnd w:id="249"/>
    <w:bookmarkStart w:id="254" w:name="un_brote_de_inflaci__n_resistencia_43506"/>
    <w:p>
      <w:pPr>
        <w:pStyle w:val="Heading4"/>
      </w:pPr>
      <w:r>
        <w:t xml:space="preserve">Un brote de inflación: resistencia, cambio de tendencia y última milla</w:t>
      </w:r>
    </w:p>
    <w:p>
      <w:pPr>
        <w:numPr>
          <w:ilvl w:val="0"/>
          <w:numId w:val="1184"/>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Start w:id="253" w:name="fig_iapc_zona_euro"/>
    <w:p>
      <w:pPr>
        <w:pStyle w:val="ImageCaption"/>
      </w:pPr>
      <w:r>
        <w:t xml:space="preserve">Gráfico 6.–</w:t>
      </w:r>
      <w:r>
        <w:t xml:space="preserve"> </w:t>
      </w:r>
      <w:r>
        <w:t xml:space="preserve">Inflación de la zona del euro y contribuciones de sus componentes</w:t>
      </w:r>
    </w:p>
    <w:p>
      <w:pPr>
        <w:pStyle w:val="CaptionedFigure"/>
      </w:pPr>
      <w:r>
        <w:drawing>
          <wp:inline>
            <wp:extent cx="4297680" cy="2378162"/>
            <wp:effectExtent b="0" l="0" r="0" t="0"/>
            <wp:docPr descr="Gráfico 6.– Inflación de la zona del euro y contribuciones de sus componentes" title="" id="251" name="Picture"/>
            <a:graphic>
              <a:graphicData uri="http://schemas.openxmlformats.org/drawingml/2006/picture">
                <pic:pic>
                  <pic:nvPicPr>
                    <pic:cNvPr descr="C:\Users\vgutierrez\Documents\src\victorgutierrezmarcos.github.io-revision\oposicion\temario\fuentes\1D01\graficos/iapc-zona-euro.png" id="252" name="Picture"/>
                    <pic:cNvPicPr>
                      <a:picLocks noChangeArrowheads="1" noChangeAspect="1"/>
                    </pic:cNvPicPr>
                  </pic:nvPicPr>
                  <pic:blipFill>
                    <a:blip r:embed="rId250"/>
                    <a:stretch>
                      <a:fillRect/>
                    </a:stretch>
                  </pic:blipFill>
                  <pic:spPr bwMode="auto">
                    <a:xfrm>
                      <a:off x="0" y="0"/>
                      <a:ext cx="4297680" cy="2378162"/>
                    </a:xfrm>
                    <a:prstGeom prst="rect">
                      <a:avLst/>
                    </a:prstGeom>
                    <a:noFill/>
                    <a:ln w="9525">
                      <a:noFill/>
                      <a:headEnd/>
                      <a:tailEnd/>
                    </a:ln>
                  </pic:spPr>
                </pic:pic>
              </a:graphicData>
            </a:graphic>
          </wp:inline>
        </w:drawing>
      </w:r>
    </w:p>
    <w:bookmarkEnd w:id="253"/>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254"/>
    <w:bookmarkStart w:id="255" w:name="qu___pol__tica_requiere"/>
    <w:p>
      <w:pPr>
        <w:pStyle w:val="Heading4"/>
      </w:pPr>
      <w:r>
        <w:t xml:space="preserve">Qué política requiere</w:t>
      </w:r>
    </w:p>
    <w:p>
      <w:pPr>
        <w:numPr>
          <w:ilvl w:val="0"/>
          <w:numId w:val="1185"/>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255"/>
    <w:bookmarkStart w:id="257" w:name="las_reglas_fiscales_de_la_ue_desde_2024"/>
    <w:p>
      <w:pPr>
        <w:pStyle w:val="Heading4"/>
      </w:pPr>
      <w:r>
        <w:t xml:space="preserve">Las reglas fiscales de la UE desde 2024</w:t>
      </w:r>
    </w:p>
    <w:p>
      <w:pPr>
        <w:numPr>
          <w:ilvl w:val="0"/>
          <w:numId w:val="1186"/>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86"/>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77">
        <w:r>
          <w:rPr>
            <w:rStyle w:val="Referenciaatema"/>
          </w:rPr>
          <w:t xml:space="preserve">[ver tema 3.B.45]</w:t>
        </w:r>
      </w:hyperlink>
      <w:r>
        <w:t xml:space="preserve">:</w:t>
      </w:r>
    </w:p>
    <w:p>
      <w:pPr>
        <w:numPr>
          <w:ilvl w:val="1"/>
          <w:numId w:val="1187"/>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87"/>
        </w:numPr>
      </w:pPr>
      <w:r>
        <w:t xml:space="preserve">un plan fiscal-estructural a 4 años, ampliable a 7 con reformas e inversiones, que debe dejar la deuda en una trayectoria descendente plausible;</w:t>
      </w:r>
    </w:p>
    <w:p>
      <w:pPr>
        <w:numPr>
          <w:ilvl w:val="1"/>
          <w:numId w:val="1187"/>
        </w:numPr>
      </w:pPr>
      <w:r>
        <w:t xml:space="preserve">salvaguardas: la deuda debe bajar al menos 1 punto al año de media si supera el 90 % del PIB (0,5 entre el 60 y el 90 %), y el déficit estructural converger a un margen del 1,5 % del PIB;</w:t>
      </w:r>
    </w:p>
    <w:p>
      <w:pPr>
        <w:numPr>
          <w:ilvl w:val="1"/>
          <w:numId w:val="1187"/>
        </w:numPr>
      </w:pPr>
      <w:r>
        <w:t xml:space="preserve">una cuenta de control de las desviaciones y cláusulas de escape; en 2025-2026 se activó la nacional para el gasto en defensa (hasta el 1,5 % del PIB) en 17 Estados.</w:t>
      </w:r>
    </w:p>
    <w:p>
      <w:pPr>
        <w:numPr>
          <w:ilvl w:val="0"/>
          <w:numId w:val="1186"/>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56">
        <w:r>
          <w:rPr>
            <w:rStyle w:val="Referenciaatema"/>
          </w:rPr>
          <w:t xml:space="preserve">[ver tema 4.B.21]</w:t>
        </w:r>
      </w:hyperlink>
      <w:r>
        <w:t xml:space="preserve">.</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188"/>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188"/>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188"/>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p>
    <w:p>
      <w:pPr>
        <w:pStyle w:val="Cajadeanotaciones"/>
        <w:keepNext/>
        <w:keepLines/>
        <w:numPr>
          <w:ilvl w:val="0"/>
          <w:numId w:val="1188"/>
        </w:numPr>
      </w:pPr>
      <w:r>
        <w:t xml:space="preserve">entre 2013 y 2019 deshace el camino hacia el origen: a principios de 2020 la relación entre vacantes y paro era la del ciclo anterior a la Gran Recesión (la más parecida, la de 1999);</w:t>
      </w:r>
    </w:p>
    <w:p>
      <w:pPr>
        <w:pStyle w:val="Cajadeanotaciones"/>
        <w:keepNext/>
        <w:keepLines/>
        <w:numPr>
          <w:ilvl w:val="0"/>
          <w:numId w:val="1188"/>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257"/>
    <w:bookmarkEnd w:id="258"/>
    <w:bookmarkStart w:id="299" w:name="anexo_series"/>
    <w:p>
      <w:pPr>
        <w:pStyle w:val="Heading1"/>
      </w:pPr>
      <w:r>
        <w:t xml:space="preserve">F. Lectura de series y hechos estilizados del ciclo</w:t>
      </w:r>
    </w:p>
    <w:bookmarkStart w:id="259" w:name="los_datos"/>
    <w:p>
      <w:pPr>
        <w:pStyle w:val="Heading4"/>
      </w:pPr>
      <w:r>
        <w:t xml:space="preserve">Los datos</w:t>
      </w:r>
    </w:p>
    <w:p>
      <w:pPr>
        <w:keepNext/>
        <w:numPr>
          <w:ilvl w:val="0"/>
          <w:numId w:val="1189"/>
        </w:numPr>
      </w:pPr>
      <w:r>
        <w:t xml:space="preserve">Antes de analizar, conviene entender las características básicas de los datos del país. Según su dimensión temporal, hay 3 tipos:</w:t>
      </w:r>
    </w:p>
    <w:p>
      <w:pPr>
        <w:numPr>
          <w:ilvl w:val="1"/>
          <w:numId w:val="1190"/>
        </w:numPr>
      </w:pPr>
      <w:r>
        <w:rPr>
          <w:i/>
          <w:iCs/>
        </w:rPr>
        <w:t xml:space="preserve">series de sección cruzada</w:t>
      </w:r>
      <w:r>
        <w:t xml:space="preserve">: el comportamiento de distintos agentes en un mismo momento; se analizan comparando las diferencias entre ellos;</w:t>
      </w:r>
    </w:p>
    <w:p>
      <w:pPr>
        <w:numPr>
          <w:ilvl w:val="1"/>
          <w:numId w:val="1190"/>
        </w:numPr>
      </w:pPr>
      <w:r>
        <w:rPr>
          <w:i/>
          <w:iCs/>
        </w:rPr>
        <w:t xml:space="preserve">series temporales</w:t>
      </w:r>
      <w:r>
        <w:t xml:space="preserve">: una misma unidad (un país) observada en distintos momentos;</w:t>
      </w:r>
    </w:p>
    <w:p>
      <w:pPr>
        <w:numPr>
          <w:ilvl w:val="1"/>
          <w:numId w:val="1190"/>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89"/>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1"/>
        </w:numPr>
      </w:pPr>
      <w:r>
        <w:rPr>
          <w:i/>
          <w:iCs/>
        </w:rPr>
        <w:t xml:space="preserve">proporciones</w:t>
      </w:r>
      <w:r>
        <w:t xml:space="preserve">: un sumando dividido por el total (entre 0 y 1; todas suman 1);</w:t>
      </w:r>
    </w:p>
    <w:p>
      <w:pPr>
        <w:numPr>
          <w:ilvl w:val="1"/>
          <w:numId w:val="1191"/>
        </w:numPr>
      </w:pPr>
      <w:r>
        <w:rPr>
          <w:i/>
          <w:iCs/>
        </w:rPr>
        <w:t xml:space="preserve">porcentajes</w:t>
      </w:r>
      <w:r>
        <w:t xml:space="preserve">: la proporción por 100; ni proporciones ni porcentajes tienen unidades, y permiten comparar totales medidos en unidades distintas;</w:t>
      </w:r>
    </w:p>
    <w:p>
      <w:pPr>
        <w:numPr>
          <w:ilvl w:val="1"/>
          <w:numId w:val="1191"/>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G.3</w:t>
        </w:r>
      </w:hyperlink>
      <w:r>
        <w:t xml:space="preserve">);</w:t>
      </w:r>
    </w:p>
    <w:p>
      <w:pPr>
        <w:numPr>
          <w:ilvl w:val="1"/>
          <w:numId w:val="1191"/>
        </w:numPr>
      </w:pPr>
      <w:r>
        <w:rPr>
          <w:i/>
          <w:iCs/>
        </w:rPr>
        <w:t xml:space="preserve">tasas</w:t>
      </w:r>
      <w:r>
        <w:t xml:space="preserve">: los porcentajes e índices referidos a incrementos (la tasa de variación).</w:t>
      </w:r>
    </w:p>
    <w:bookmarkEnd w:id="259"/>
    <w:bookmarkStart w:id="269" w:name="conceptos"/>
    <w:p>
      <w:pPr>
        <w:pStyle w:val="Heading4"/>
      </w:pPr>
      <w:r>
        <w:t xml:space="preserve">Conceptos</w:t>
      </w:r>
    </w:p>
    <w:p>
      <w:pPr>
        <w:numPr>
          <w:ilvl w:val="0"/>
          <w:numId w:val="1192"/>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numPr>
          <w:ilvl w:val="0"/>
          <w:numId w:val="1192"/>
        </w:numPr>
      </w:pPr>
      <w:r>
        <w:rPr>
          <w:i/>
          <w:iCs/>
        </w:rPr>
        <w:t xml:space="preserve">Ciclo</w:t>
      </w:r>
      <w:r>
        <w:t xml:space="preserve">: las fluctuaciones de la actividad alrededor de su tendencia (las desviaciones del PIB respecto a ella), que se repiten en periodos relativamente cortos. Tiene 2 puntos de giro, el pico (la cima, el máximo) y el valle (el fondo, el mínimo), y 2 fases: la contracción, del pico al valle (recesión si es grave; depresión o crisis si es mayor y más persistente), y la expansión, del valle al pico. Una serie puede alejarse de su tendencia por un</w:t>
      </w:r>
      <w:r>
        <w:t xml:space="preserve"> </w:t>
      </w:r>
      <w:r>
        <w:rPr>
          <w:i/>
          <w:iCs/>
        </w:rPr>
        <w:t xml:space="preserve">cambio estructural</w:t>
      </w:r>
      <w:r>
        <w:t xml:space="preserve"> </w:t>
      </w:r>
      <w:r>
        <w:t xml:space="preserve">y no por el ciclo (gráfico </w:t>
      </w:r>
      <w:hyperlink w:anchor="fig_ciclo_tendencia">
        <w:r>
          <w:rPr>
            <w:rStyle w:val="Hyperlink"/>
          </w:rPr>
          <w:t xml:space="preserve">7</w:t>
        </w:r>
      </w:hyperlink>
      <w:r>
        <w:t xml:space="preserve">)</w:t>
      </w:r>
      <w:r>
        <w:t xml:space="preserve"> </w:t>
      </w:r>
      <w:hyperlink r:id="rId21">
        <w:r>
          <w:rPr>
            <w:rStyle w:val="Referenciaatema"/>
          </w:rPr>
          <w:t xml:space="preserve">[ver tema 3.A.42]</w:t>
        </w:r>
      </w:hyperlink>
      <w:r>
        <w:t xml:space="preserve">.</w:t>
      </w:r>
    </w:p>
    <w:p>
      <w:pPr>
        <w:numPr>
          <w:ilvl w:val="0"/>
          <w:numId w:val="1192"/>
        </w:numPr>
      </w:pPr>
      <w:r>
        <w:rPr>
          <w:i/>
          <w:iCs/>
        </w:rPr>
        <w:t xml:space="preserve">Frecuencia del ciclo</w:t>
      </w:r>
      <w:r>
        <w:t xml:space="preserve">: los ciclos no son periódicos, sino irregulares (aleatoriedad) y recurrentes (autocorrelación). Entender el ciclo sirve para prever el corto plazo; entender la tendencia, para el largo.</w:t>
      </w:r>
    </w:p>
    <w:p>
      <w:pPr>
        <w:numPr>
          <w:ilvl w:val="0"/>
          <w:numId w:val="1192"/>
        </w:numPr>
      </w:pPr>
      <w:r>
        <w:rPr>
          <w:i/>
          <w:iCs/>
        </w:rPr>
        <w:t xml:space="preserve">Estacionariedad</w:t>
      </w:r>
      <w:r>
        <w:t xml:space="preserve">: una serie estacionaria vuelve a su media tras un choque; una no estacionaria, no</w:t>
      </w:r>
      <w:r>
        <w:t xml:space="preserve"> </w:t>
      </w:r>
      <w:hyperlink r:id="rId211">
        <w:r>
          <w:rPr>
            <w:rStyle w:val="Referenciaatema"/>
          </w:rPr>
          <w:t xml:space="preserve">[ver tema 5.B.5]</w:t>
        </w:r>
      </w:hyperlink>
      <w:r>
        <w:t xml:space="preserve">.</w:t>
      </w:r>
    </w:p>
    <w:p>
      <w:pPr>
        <w:numPr>
          <w:ilvl w:val="0"/>
          <w:numId w:val="1192"/>
        </w:numPr>
      </w:pP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p>
      <w:pPr>
        <w:keepNext/>
        <w:numPr>
          <w:ilvl w:val="0"/>
          <w:numId w:val="1192"/>
        </w:numPr>
      </w:pPr>
      <w:r>
        <w:rPr>
          <w:i/>
          <w:iCs/>
        </w:rPr>
        <w:t xml:space="preserve">Comovimiento con el PIB</w:t>
      </w:r>
      <w:r>
        <w:t xml:space="preserve">, en 5 rasgos:</w:t>
      </w:r>
    </w:p>
    <w:p>
      <w:pPr>
        <w:numPr>
          <w:ilvl w:val="1"/>
          <w:numId w:val="1193"/>
        </w:numPr>
      </w:pPr>
      <w:r>
        <w:rPr>
          <w:i/>
          <w:iCs/>
        </w:rPr>
        <w:t xml:space="preserve">dirección</w:t>
      </w:r>
      <w:r>
        <w:t xml:space="preserve">: procíclica, si crece cuando crece el PIB y cae cuando cae; contracíclica, al revés; acíclica, sin relación (se mide con la correlación entre la variable y el PIB);</w:t>
      </w:r>
    </w:p>
    <w:p>
      <w:pPr>
        <w:numPr>
          <w:ilvl w:val="1"/>
          <w:numId w:val="1193"/>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193"/>
        </w:numPr>
      </w:pPr>
      <w:r>
        <w:rPr>
          <w:i/>
          <w:iCs/>
        </w:rPr>
        <w:t xml:space="preserve">adelanto o retraso</w:t>
      </w:r>
      <w:r>
        <w:t xml:space="preserve">: una variable se adelanta si describe ciclos como los del PIB pero antes, y se retrasa si los describe después (solo se habla de adelanto o retraso si es menor que medio ciclo);</w:t>
      </w:r>
    </w:p>
    <w:p>
      <w:pPr>
        <w:numPr>
          <w:ilvl w:val="1"/>
          <w:numId w:val="1193"/>
        </w:numPr>
      </w:pPr>
      <w:r>
        <w:rPr>
          <w:i/>
          <w:iCs/>
        </w:rPr>
        <w:t xml:space="preserve">persistencia</w:t>
      </w:r>
      <w:r>
        <w:t xml:space="preserve">: cuánto dura una desviación;</w:t>
      </w:r>
    </w:p>
    <w:p>
      <w:pPr>
        <w:numPr>
          <w:ilvl w:val="1"/>
          <w:numId w:val="1193"/>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263" w:name="fig_ciclo_tendencia"/>
    <w:p>
      <w:pPr>
        <w:pStyle w:val="ImageCaption"/>
      </w:pPr>
      <w:r>
        <w:t xml:space="preserve">Gráfico 7.–</w:t>
      </w:r>
      <w:r>
        <w:t xml:space="preserve"> </w:t>
      </w:r>
      <w:r>
        <w:t xml:space="preserve">El ciclo económico: tendencia, fases y brecha de producción</w:t>
      </w:r>
    </w:p>
    <w:p>
      <w:pPr>
        <w:pStyle w:val="CaptionedFigure"/>
      </w:pPr>
      <w:r>
        <w:drawing>
          <wp:inline>
            <wp:extent cx="3786044" cy="1981709"/>
            <wp:effectExtent b="0" l="0" r="0" t="0"/>
            <wp:docPr descr="Gráfico 7.– El ciclo económico: tendencia, fases y brecha de producción" title="" id="261" name="Picture"/>
            <a:graphic>
              <a:graphicData uri="http://schemas.openxmlformats.org/drawingml/2006/picture">
                <pic:pic>
                  <pic:nvPicPr>
                    <pic:cNvPr descr="C:\Users\vgutierrez\Documents\src\victorgutierrezmarcos.github.io-revision\oposicion\temario\fuentes\1D01\graficos/ciclo-tendencia.png" id="262" name="Picture"/>
                    <pic:cNvPicPr>
                      <a:picLocks noChangeArrowheads="1" noChangeAspect="1"/>
                    </pic:cNvPicPr>
                  </pic:nvPicPr>
                  <pic:blipFill>
                    <a:blip r:embed="rId260"/>
                    <a:stretch>
                      <a:fillRect/>
                    </a:stretch>
                  </pic:blipFill>
                  <pic:spPr bwMode="auto">
                    <a:xfrm>
                      <a:off x="0" y="0"/>
                      <a:ext cx="3786044" cy="1981709"/>
                    </a:xfrm>
                    <a:prstGeom prst="rect">
                      <a:avLst/>
                    </a:prstGeom>
                    <a:noFill/>
                    <a:ln w="9525">
                      <a:noFill/>
                      <a:headEnd/>
                      <a:tailEnd/>
                    </a:ln>
                  </pic:spPr>
                </pic:pic>
              </a:graphicData>
            </a:graphic>
          </wp:inline>
        </w:drawing>
      </w:r>
    </w:p>
    <w:bookmarkEnd w:id="263"/>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Start w:id="267" w:name="fig_comovimientos"/>
    <w:p>
      <w:pPr>
        <w:pStyle w:val="ImageCaption"/>
      </w:pPr>
      <w:r>
        <w:t xml:space="preserve">Gráfico 8.–</w:t>
      </w:r>
      <w:r>
        <w:t xml:space="preserve"> </w:t>
      </w:r>
      <w:r>
        <w:t xml:space="preserve">Comovimientos con el PIB: procíclica, contracíclica y adelantada, y el orden de los indicadores adelantados, coincidentes y retrasados</w:t>
      </w:r>
    </w:p>
    <w:p>
      <w:pPr>
        <w:pStyle w:val="CaptionedFigure"/>
      </w:pPr>
      <w:r>
        <w:drawing>
          <wp:inline>
            <wp:extent cx="4874761" cy="4880877"/>
            <wp:effectExtent b="0" l="0" r="0" t="0"/>
            <wp:docPr descr="Gráfico 8.– Comovimientos con el PIB: procíclica, contracíclica y adelantada, y el orden de los indicadores adelantados, coincidentes y retrasados" title="" id="265" name="Picture"/>
            <a:graphic>
              <a:graphicData uri="http://schemas.openxmlformats.org/drawingml/2006/picture">
                <pic:pic>
                  <pic:nvPicPr>
                    <pic:cNvPr descr="C:\Users\vgutierrez\Documents\src\victorgutierrezmarcos.github.io-revision\oposicion\temario\fuentes\1D01\graficos/comovimientos.png" id="266" name="Picture"/>
                    <pic:cNvPicPr>
                      <a:picLocks noChangeArrowheads="1" noChangeAspect="1"/>
                    </pic:cNvPicPr>
                  </pic:nvPicPr>
                  <pic:blipFill>
                    <a:blip r:embed="rId264"/>
                    <a:stretch>
                      <a:fillRect/>
                    </a:stretch>
                  </pic:blipFill>
                  <pic:spPr bwMode="auto">
                    <a:xfrm>
                      <a:off x="0" y="0"/>
                      <a:ext cx="4874761" cy="4880877"/>
                    </a:xfrm>
                    <a:prstGeom prst="rect">
                      <a:avLst/>
                    </a:prstGeom>
                    <a:noFill/>
                    <a:ln w="9525">
                      <a:noFill/>
                      <a:headEnd/>
                      <a:tailEnd/>
                    </a:ln>
                  </pic:spPr>
                </pic:pic>
              </a:graphicData>
            </a:graphic>
          </wp:inline>
        </w:drawing>
      </w:r>
    </w:p>
    <w:bookmarkEnd w:id="267"/>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bookmarkStart w:id="268" w:name="tab_hechos_ciclo"/>
    <w:p>
      <w:pPr>
        <w:pStyle w:val="TableCaption"/>
      </w:pPr>
      <w:r>
        <w:t xml:space="preserve">Tabla 17.–</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7.–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268"/>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bookmarkEnd w:id="269"/>
    <w:bookmarkStart w:id="298" w:name="gr__ficos_de_lectura"/>
    <w:p>
      <w:pPr>
        <w:pStyle w:val="Heading4"/>
      </w:pPr>
      <w:r>
        <w:t xml:space="preserve">Gráficos de lectura</w:t>
      </w:r>
    </w:p>
    <w:p>
      <w:pPr>
        <w:numPr>
          <w:ilvl w:val="0"/>
          <w:numId w:val="1194"/>
        </w:numPr>
      </w:pPr>
      <w:r>
        <w:t xml:space="preserve">Ejemplos de lectura con datos recientes, para practicar el «qué hay que ver»; cada uno se cita junto a su indicador.</w:t>
      </w:r>
    </w:p>
    <w:bookmarkStart w:id="273" w:name="fig_pib_comercio_mundial"/>
    <w:p>
      <w:pPr>
        <w:pStyle w:val="ImageCaption"/>
      </w:pPr>
      <w:r>
        <w:t xml:space="preserve">Gráfico 9.–</w:t>
      </w:r>
      <w:r>
        <w:t xml:space="preserve"> </w:t>
      </w:r>
      <w:r>
        <w:t xml:space="preserve">Crecimiento del PIB y del volumen de comercio mundiales</w:t>
      </w:r>
    </w:p>
    <w:p>
      <w:pPr>
        <w:pStyle w:val="CaptionedFigure"/>
      </w:pPr>
      <w:r>
        <w:drawing>
          <wp:inline>
            <wp:extent cx="4775200" cy="2735171"/>
            <wp:effectExtent b="0" l="0" r="0" t="0"/>
            <wp:docPr descr="Gráfico 9.– Crecimiento del PIB y del volumen de comercio mundiales" title="" id="271" name="Picture"/>
            <a:graphic>
              <a:graphicData uri="http://schemas.openxmlformats.org/drawingml/2006/picture">
                <pic:pic>
                  <pic:nvPicPr>
                    <pic:cNvPr descr="C:\Users\vgutierrez\Documents\src\victorgutierrezmarcos.github.io-revision\oposicion\temario\fuentes\1D01\graficos/pib-comercio-mundial.png" id="272" name="Picture"/>
                    <pic:cNvPicPr>
                      <a:picLocks noChangeArrowheads="1" noChangeAspect="1"/>
                    </pic:cNvPicPr>
                  </pic:nvPicPr>
                  <pic:blipFill>
                    <a:blip r:embed="rId270"/>
                    <a:stretch>
                      <a:fillRect/>
                    </a:stretch>
                  </pic:blipFill>
                  <pic:spPr bwMode="auto">
                    <a:xfrm>
                      <a:off x="0" y="0"/>
                      <a:ext cx="4775200" cy="2735171"/>
                    </a:xfrm>
                    <a:prstGeom prst="rect">
                      <a:avLst/>
                    </a:prstGeom>
                    <a:noFill/>
                    <a:ln w="9525">
                      <a:noFill/>
                      <a:headEnd/>
                      <a:tailEnd/>
                    </a:ln>
                  </pic:spPr>
                </pic:pic>
              </a:graphicData>
            </a:graphic>
          </wp:inline>
        </w:drawing>
      </w:r>
    </w:p>
    <w:bookmarkEnd w:id="273"/>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bookmarkStart w:id="277" w:name="fig_consumo_renta_ahorro"/>
    <w:p>
      <w:pPr>
        <w:pStyle w:val="ImageCaption"/>
      </w:pPr>
      <w:r>
        <w:t xml:space="preserve">Gráfico 10.–</w:t>
      </w:r>
      <w:r>
        <w:t xml:space="preserve"> </w:t>
      </w:r>
      <w:r>
        <w:t xml:space="preserve">Consumo, renta disponible y tasa de ahorro de los hogares de la zona del euro</w:t>
      </w:r>
    </w:p>
    <w:p>
      <w:pPr>
        <w:pStyle w:val="CaptionedFigure"/>
      </w:pPr>
      <w:r>
        <w:drawing>
          <wp:inline>
            <wp:extent cx="4775200" cy="2351686"/>
            <wp:effectExtent b="0" l="0" r="0" t="0"/>
            <wp:docPr descr="Gráfico 10.– Consumo, renta disponible y tasa de ahorro de los hogares de la zona del euro" title="" id="275" name="Picture"/>
            <a:graphic>
              <a:graphicData uri="http://schemas.openxmlformats.org/drawingml/2006/picture">
                <pic:pic>
                  <pic:nvPicPr>
                    <pic:cNvPr descr="C:\Users\vgutierrez\Documents\src\victorgutierrezmarcos.github.io-revision\oposicion\temario\fuentes\1D01\graficos/consumo-renta-ahorro-zona-euro.png" id="276" name="Picture"/>
                    <pic:cNvPicPr>
                      <a:picLocks noChangeArrowheads="1" noChangeAspect="1"/>
                    </pic:cNvPicPr>
                  </pic:nvPicPr>
                  <pic:blipFill>
                    <a:blip r:embed="rId274"/>
                    <a:stretch>
                      <a:fillRect/>
                    </a:stretch>
                  </pic:blipFill>
                  <pic:spPr bwMode="auto">
                    <a:xfrm>
                      <a:off x="0" y="0"/>
                      <a:ext cx="4775200" cy="2351686"/>
                    </a:xfrm>
                    <a:prstGeom prst="rect">
                      <a:avLst/>
                    </a:prstGeom>
                    <a:noFill/>
                    <a:ln w="9525">
                      <a:noFill/>
                      <a:headEnd/>
                      <a:tailEnd/>
                    </a:ln>
                  </pic:spPr>
                </pic:pic>
              </a:graphicData>
            </a:graphic>
          </wp:inline>
        </w:drawing>
      </w:r>
    </w:p>
    <w:bookmarkEnd w:id="277"/>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bookmarkStart w:id="281" w:name="fig_empleo_horas"/>
    <w:p>
      <w:pPr>
        <w:pStyle w:val="ImageCaption"/>
      </w:pPr>
      <w:r>
        <w:t xml:space="preserve">Gráfico 11.–</w:t>
      </w:r>
      <w:r>
        <w:t xml:space="preserve"> </w:t>
      </w:r>
      <w:r>
        <w:t xml:space="preserve">Zona del euro: empleo, horas trabajadas, tasa de actividad y tasa de paro</w:t>
      </w:r>
    </w:p>
    <w:p>
      <w:pPr>
        <w:pStyle w:val="CaptionedFigure"/>
      </w:pPr>
      <w:r>
        <w:drawing>
          <wp:inline>
            <wp:extent cx="5073650" cy="2320925"/>
            <wp:effectExtent b="0" l="0" r="0" t="0"/>
            <wp:docPr descr="Gráfico 11.– Zona del euro: empleo, horas trabajadas, tasa de actividad y tasa de paro" title="" id="279" name="Picture"/>
            <a:graphic>
              <a:graphicData uri="http://schemas.openxmlformats.org/drawingml/2006/picture">
                <pic:pic>
                  <pic:nvPicPr>
                    <pic:cNvPr descr="C:\Users\vgutierrez\Documents\src\victorgutierrezmarcos.github.io-revision\oposicion\temario\fuentes\1D01\graficos/empleo-horas-actividad-zona-euro.png" id="280" name="Picture"/>
                    <pic:cNvPicPr>
                      <a:picLocks noChangeArrowheads="1" noChangeAspect="1"/>
                    </pic:cNvPicPr>
                  </pic:nvPicPr>
                  <pic:blipFill>
                    <a:blip r:embed="rId278"/>
                    <a:stretch>
                      <a:fillRect/>
                    </a:stretch>
                  </pic:blipFill>
                  <pic:spPr bwMode="auto">
                    <a:xfrm>
                      <a:off x="0" y="0"/>
                      <a:ext cx="5073650" cy="2320925"/>
                    </a:xfrm>
                    <a:prstGeom prst="rect">
                      <a:avLst/>
                    </a:prstGeom>
                    <a:noFill/>
                    <a:ln w="9525">
                      <a:noFill/>
                      <a:headEnd/>
                      <a:tailEnd/>
                    </a:ln>
                  </pic:spPr>
                </pic:pic>
              </a:graphicData>
            </a:graphic>
          </wp:inline>
        </w:drawing>
      </w:r>
    </w:p>
    <w:bookmarkEnd w:id="281"/>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el empleo supera en un 6 % el nivel de 2019 y las horas solo en un 5 % (baja la jornada media); el paro, del 6,4 % a mediados de 2026, está cerca de su mínimo.</w:t>
      </w:r>
    </w:p>
    <w:bookmarkStart w:id="285" w:name="fig_pib_por_pet"/>
    <w:p>
      <w:pPr>
        <w:pStyle w:val="ImageCaption"/>
      </w:pPr>
      <w:r>
        <w:t xml:space="preserve">Gráfico 12.–</w:t>
      </w:r>
      <w:r>
        <w:t xml:space="preserve"> </w:t>
      </w:r>
      <w:r>
        <w:t xml:space="preserve">España: PIB por persona en edad de trabajar, por hora y horas por persona (variación acumulada desde el cuarto trimestre de 2019)</w:t>
      </w:r>
    </w:p>
    <w:p>
      <w:pPr>
        <w:pStyle w:val="CaptionedFigure"/>
      </w:pPr>
      <w:r>
        <w:drawing>
          <wp:inline>
            <wp:extent cx="4775200" cy="2437232"/>
            <wp:effectExtent b="0" l="0" r="0" t="0"/>
            <wp:docPr descr="Gráfico 12.– España: PIB por persona en edad de trabajar, por hora y horas por persona (variación acumulada desde el cuarto trimestre de 2019)" title="" id="283" name="Picture"/>
            <a:graphic>
              <a:graphicData uri="http://schemas.openxmlformats.org/drawingml/2006/picture">
                <pic:pic>
                  <pic:nvPicPr>
                    <pic:cNvPr descr="C:\Users\vgutierrez\Documents\src\victorgutierrezmarcos.github.io-revision\oposicion\temario\fuentes\1D01\graficos/pib-por-pet-espana.png" id="284" name="Picture"/>
                    <pic:cNvPicPr>
                      <a:picLocks noChangeArrowheads="1" noChangeAspect="1"/>
                    </pic:cNvPicPr>
                  </pic:nvPicPr>
                  <pic:blipFill>
                    <a:blip r:embed="rId282"/>
                    <a:stretch>
                      <a:fillRect/>
                    </a:stretch>
                  </pic:blipFill>
                  <pic:spPr bwMode="auto">
                    <a:xfrm>
                      <a:off x="0" y="0"/>
                      <a:ext cx="4775200" cy="2437232"/>
                    </a:xfrm>
                    <a:prstGeom prst="rect">
                      <a:avLst/>
                    </a:prstGeom>
                    <a:noFill/>
                    <a:ln w="9525">
                      <a:noFill/>
                      <a:headEnd/>
                      <a:tailEnd/>
                    </a:ln>
                  </pic:spPr>
                </pic:pic>
              </a:graphicData>
            </a:graphic>
          </wp:inline>
        </w:drawing>
      </w:r>
    </w:p>
    <w:bookmarkEnd w:id="285"/>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Start w:id="289" w:name="fig_impulso_fiscal"/>
    <w:p>
      <w:pPr>
        <w:pStyle w:val="ImageCaption"/>
      </w:pPr>
      <w:r>
        <w:t xml:space="preserve">Gráfico 13.–</w:t>
      </w:r>
      <w:r>
        <w:t xml:space="preserve"> </w:t>
      </w:r>
      <w:r>
        <w:t xml:space="preserve">Impulso fiscal en algunas economías avanzadas</w:t>
      </w:r>
    </w:p>
    <w:p>
      <w:pPr>
        <w:pStyle w:val="CaptionedFigure"/>
      </w:pPr>
      <w:r>
        <w:drawing>
          <wp:inline>
            <wp:extent cx="4775200" cy="2378162"/>
            <wp:effectExtent b="0" l="0" r="0" t="0"/>
            <wp:docPr descr="Gráfico 13.– Impulso fiscal en algunas economías avanzadas" title="" id="287" name="Picture"/>
            <a:graphic>
              <a:graphicData uri="http://schemas.openxmlformats.org/drawingml/2006/picture">
                <pic:pic>
                  <pic:nvPicPr>
                    <pic:cNvPr descr="C:\Users\vgutierrez\Documents\src\victorgutierrezmarcos.github.io-revision\oposicion\temario\fuentes\1D01\graficos/impulso-fiscal.png" id="288" name="Picture"/>
                    <pic:cNvPicPr>
                      <a:picLocks noChangeArrowheads="1" noChangeAspect="1"/>
                    </pic:cNvPicPr>
                  </pic:nvPicPr>
                  <pic:blipFill>
                    <a:blip r:embed="rId286"/>
                    <a:stretch>
                      <a:fillRect/>
                    </a:stretch>
                  </pic:blipFill>
                  <pic:spPr bwMode="auto">
                    <a:xfrm>
                      <a:off x="0" y="0"/>
                      <a:ext cx="4775200" cy="2378162"/>
                    </a:xfrm>
                    <a:prstGeom prst="rect">
                      <a:avLst/>
                    </a:prstGeom>
                    <a:noFill/>
                    <a:ln w="9525">
                      <a:noFill/>
                      <a:headEnd/>
                      <a:tailEnd/>
                    </a:ln>
                  </pic:spPr>
                </pic:pic>
              </a:graphicData>
            </a:graphic>
          </wp:inline>
        </w:drawing>
      </w:r>
    </w:p>
    <w:bookmarkEnd w:id="289"/>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Start w:id="293" w:name="fig_inflacion_cuentas"/>
    <w:p>
      <w:pPr>
        <w:pStyle w:val="ImageCaption"/>
      </w:pPr>
      <w:r>
        <w:t xml:space="preserve">Gráfico 14.–</w:t>
      </w:r>
      <w:r>
        <w:t xml:space="preserve"> </w:t>
      </w:r>
      <w:r>
        <w:t xml:space="preserve">Efectos inmediatos de la inflación en las cuentas públicas</w:t>
      </w:r>
    </w:p>
    <w:p>
      <w:pPr>
        <w:pStyle w:val="CaptionedFigure"/>
      </w:pPr>
      <w:r>
        <w:drawing>
          <wp:inline>
            <wp:extent cx="4476750" cy="2098641"/>
            <wp:effectExtent b="0" l="0" r="0" t="0"/>
            <wp:docPr descr="Gráfico 14.– Efectos inmediatos de la inflación en las cuentas públicas" title="" id="291" name="Picture"/>
            <a:graphic>
              <a:graphicData uri="http://schemas.openxmlformats.org/drawingml/2006/picture">
                <pic:pic>
                  <pic:nvPicPr>
                    <pic:cNvPr descr="C:\Users\vgutierrez\Documents\src\victorgutierrezmarcos.github.io-revision\oposicion\temario\fuentes\1D01\graficos/inflacion-cuentas-publicas.png" id="292" name="Picture"/>
                    <pic:cNvPicPr>
                      <a:picLocks noChangeArrowheads="1" noChangeAspect="1"/>
                    </pic:cNvPicPr>
                  </pic:nvPicPr>
                  <pic:blipFill>
                    <a:blip r:embed="rId290"/>
                    <a:stretch>
                      <a:fillRect/>
                    </a:stretch>
                  </pic:blipFill>
                  <pic:spPr bwMode="auto">
                    <a:xfrm>
                      <a:off x="0" y="0"/>
                      <a:ext cx="4476750" cy="2098641"/>
                    </a:xfrm>
                    <a:prstGeom prst="rect">
                      <a:avLst/>
                    </a:prstGeom>
                    <a:noFill/>
                    <a:ln w="9525">
                      <a:noFill/>
                      <a:headEnd/>
                      <a:tailEnd/>
                    </a:ln>
                  </pic:spPr>
                </pic:pic>
              </a:graphicData>
            </a:graphic>
          </wp:inline>
        </w:drawing>
      </w:r>
    </w:p>
    <w:bookmarkEnd w:id="293"/>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Start w:id="297" w:name="fig_brent"/>
    <w:p>
      <w:pPr>
        <w:pStyle w:val="ImageCaption"/>
      </w:pPr>
      <w:r>
        <w:t xml:space="preserve">Gráfico 15.–</w:t>
      </w:r>
      <w:r>
        <w:t xml:space="preserve"> </w:t>
      </w:r>
      <w:r>
        <w:t xml:space="preserve">Precio del petróleo Brent en dólares y en euros</w:t>
      </w:r>
    </w:p>
    <w:p>
      <w:pPr>
        <w:pStyle w:val="CaptionedFigure"/>
      </w:pPr>
      <w:r>
        <w:drawing>
          <wp:inline>
            <wp:extent cx="4775200" cy="2396727"/>
            <wp:effectExtent b="0" l="0" r="0" t="0"/>
            <wp:docPr descr="Gráfico 15.– Precio del petróleo Brent en dólares y en euros" title="" id="295" name="Picture"/>
            <a:graphic>
              <a:graphicData uri="http://schemas.openxmlformats.org/drawingml/2006/picture">
                <pic:pic>
                  <pic:nvPicPr>
                    <pic:cNvPr descr="C:\Users\vgutierrez\Documents\src\victorgutierrezmarcos.github.io-revision\oposicion\temario\fuentes\1D01\graficos/brent.png" id="296" name="Picture"/>
                    <pic:cNvPicPr>
                      <a:picLocks noChangeArrowheads="1" noChangeAspect="1"/>
                    </pic:cNvPicPr>
                  </pic:nvPicPr>
                  <pic:blipFill>
                    <a:blip r:embed="rId294"/>
                    <a:stretch>
                      <a:fillRect/>
                    </a:stretch>
                  </pic:blipFill>
                  <pic:spPr bwMode="auto">
                    <a:xfrm>
                      <a:off x="0" y="0"/>
                      <a:ext cx="4775200" cy="2396727"/>
                    </a:xfrm>
                    <a:prstGeom prst="rect">
                      <a:avLst/>
                    </a:prstGeom>
                    <a:noFill/>
                    <a:ln w="9525">
                      <a:noFill/>
                      <a:headEnd/>
                      <a:tailEnd/>
                    </a:ln>
                  </pic:spPr>
                </pic:pic>
              </a:graphicData>
            </a:graphic>
          </wp:inline>
        </w:drawing>
      </w:r>
    </w:p>
    <w:bookmarkEnd w:id="297"/>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298"/>
    <w:bookmarkEnd w:id="299"/>
    <w:bookmarkStart w:id="321" w:name="anexo_calculos"/>
    <w:p>
      <w:pPr>
        <w:pStyle w:val="Heading1"/>
      </w:pPr>
      <w:r>
        <w:t xml:space="preserve">G. Cálculos tipo</w:t>
      </w:r>
    </w:p>
    <w:p>
      <w:pPr>
        <w:numPr>
          <w:ilvl w:val="0"/>
          <w:numId w:val="1195"/>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95"/>
        </w:numPr>
      </w:pPr>
      <w:r>
        <w:t xml:space="preserve">Primero, la tabla de las fórmulas imprescindibles; después, un cuadro por bloque con la fórmula destacada, qué significa cada término y un ejemplo.</w:t>
      </w:r>
    </w:p>
    <w:bookmarkStart w:id="301" w:name="anexo_formulas"/>
    <w:p>
      <w:pPr>
        <w:pStyle w:val="Heading2"/>
      </w:pPr>
      <w:r>
        <w:t xml:space="preserve">G.1. Las fórmulas imprescindibles</w:t>
      </w:r>
    </w:p>
    <w:bookmarkStart w:id="300" w:name="tab_formulas"/>
    <w:p>
      <w:pPr>
        <w:pStyle w:val="TableCaption"/>
      </w:pPr>
      <w:r>
        <w:t xml:space="preserve">Tabla 18.–</w:t>
      </w:r>
      <w:r>
        <w:t xml:space="preserve"> </w:t>
      </w:r>
      <w:r>
        <w:t xml:space="preserve">Fórmulas imprescindibles del dictamen</w:t>
      </w:r>
    </w:p>
    <w:tbl>
      <w:tblPr>
        <w:tblStyle w:val="Table"/>
        <w:tblW w:type="auto" w:w="0"/>
        <w:tblLook w:firstRow="1" w:lastRow="0" w:firstColumn="0" w:lastColumn="0" w:noHBand="0" w:noVBand="0" w:val="0020"/>
        <w:tblCaption w:val="Tabla 18.– Fórmulas imprescindibles del dictamen"/>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1</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bl>
    <w:bookmarkEnd w:id="300"/>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r>
        <w:rPr>
          <w:i/>
          <w:iCs/>
        </w:rPr>
        <w:t xml:space="preserve"> </w:t>
      </w:r>
      <m:oMath>
        <m:r>
          <m:t>i</m:t>
        </m:r>
      </m:oMath>
      <w:r>
        <w:rPr>
          <w:i/>
          <w:iCs/>
        </w:rPr>
        <w:t xml:space="preserve">, tipo nominal;</w:t>
      </w:r>
      <w:r>
        <w:rPr>
          <w:i/>
          <w:iCs/>
        </w:rPr>
        <w:t xml:space="preserve"> </w:t>
      </w:r>
      <m:oMath>
        <m:r>
          <m:t>d</m:t>
        </m:r>
      </m:oMath>
      <w:r>
        <w:rPr>
          <w:i/>
          <w:iCs/>
        </w:rPr>
        <w:t xml:space="preserve">, deuda sobre el PIB.</w:t>
      </w:r>
    </w:p>
    <w:bookmarkEnd w:id="301"/>
    <w:bookmarkStart w:id="305" w:name="anexo_calc_ciclo"/>
    <w:p>
      <w:pPr>
        <w:pStyle w:val="Heading2"/>
      </w:pPr>
      <w:r>
        <w:t xml:space="preserve">G.2. Ciclo y demanda</w:t>
      </w:r>
    </w:p>
    <w:bookmarkStart w:id="302" w:name="contribuci__n_al_crecimiento"/>
    <w:p>
      <w:pPr>
        <w:pStyle w:val="Heading4"/>
      </w:pPr>
      <w:r>
        <w:t xml:space="preserve">Contribución al crecimiento</w:t>
      </w:r>
    </w:p>
    <w:p>
      <w:pPr>
        <w:numPr>
          <w:ilvl w:val="0"/>
          <w:numId w:val="1196"/>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96"/>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96"/>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96"/>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96"/>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96"/>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96"/>
        </w:numPr>
      </w:pPr>
      <w:r>
        <w:rPr>
          <w:i/>
          <w:iCs/>
        </w:rPr>
        <w:t xml:space="preserve">Cuidado</w:t>
      </w:r>
      <w:r>
        <w:t xml:space="preserve">: con volúmenes encadenados la suma no es exacta; si el cuadro da las contribuciones, se usan esas. Las existencias también contribuyen (si no se dan, se suponen nulas).</w:t>
      </w:r>
    </w:p>
    <w:bookmarkEnd w:id="302"/>
    <w:bookmarkStart w:id="303" w:name="brecha_de_producci__n_y_pib_potencial_1"/>
    <w:p>
      <w:pPr>
        <w:pStyle w:val="Heading4"/>
      </w:pPr>
      <w:r>
        <w:t xml:space="preserve">Brecha de producción y PIB potencial</w:t>
      </w:r>
    </w:p>
    <w:p>
      <w:pPr>
        <w:numPr>
          <w:ilvl w:val="0"/>
          <w:numId w:val="1197"/>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97"/>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03"/>
    <w:bookmarkStart w:id="304" w:name="tasas_a_partir_de_datos_trimestrales"/>
    <w:p>
      <w:pPr>
        <w:pStyle w:val="Heading4"/>
      </w:pPr>
      <w:r>
        <w:t xml:space="preserve">Tasas a partir de datos trimestrales</w:t>
      </w:r>
    </w:p>
    <w:p>
      <w:pPr>
        <w:numPr>
          <w:ilvl w:val="0"/>
          <w:numId w:val="1198"/>
        </w:numPr>
      </w:pPr>
      <w:r>
        <w:rPr>
          <w:i/>
          <w:iCs/>
        </w:rPr>
        <w:t xml:space="preserve">Tasa media anual</w:t>
      </w:r>
      <w:r>
        <w:t xml:space="preserve">: la media de los 4 niveles del año frente a la del año anterior (no la suma de las tasas intertrimestrales).</w:t>
      </w:r>
    </w:p>
    <w:p>
      <w:pPr>
        <w:numPr>
          <w:ilvl w:val="0"/>
          <w:numId w:val="1198"/>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98"/>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04"/>
    <w:bookmarkEnd w:id="305"/>
    <w:bookmarkStart w:id="310" w:name="anexo_calc_precios"/>
    <w:p>
      <w:pPr>
        <w:pStyle w:val="Heading2"/>
      </w:pPr>
      <w:r>
        <w:t xml:space="preserve">G.3. Precios y tipos de interés</w:t>
      </w:r>
    </w:p>
    <w:bookmarkStart w:id="306" w:name="deflactor_del_pib"/>
    <w:p>
      <w:pPr>
        <w:pStyle w:val="Heading4"/>
      </w:pPr>
      <w:r>
        <w:t xml:space="preserve">Deflactor del PIB</w:t>
      </w:r>
    </w:p>
    <w:p>
      <w:pPr>
        <w:numPr>
          <w:ilvl w:val="0"/>
          <w:numId w:val="1199"/>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99"/>
        </w:numPr>
      </w:pPr>
      <w:r>
        <w:rPr>
          <w:i/>
          <w:iCs/>
        </w:rPr>
        <w:t xml:space="preserve">Ejemplo</w:t>
      </w:r>
      <w:r>
        <w:t xml:space="preserve">: si el PIB nominal crece un 5 % y el real un 2 %, el deflactor crece en torno a un 3 %.</w:t>
      </w:r>
    </w:p>
    <w:bookmarkEnd w:id="306"/>
    <w:bookmarkStart w:id="307" w:name="tipos_de_inter__s_reales"/>
    <w:p>
      <w:pPr>
        <w:pStyle w:val="Heading4"/>
      </w:pPr>
      <w:r>
        <w:t xml:space="preserve">Tipos de interés reales</w:t>
      </w:r>
    </w:p>
    <w:p>
      <w:pPr>
        <w:numPr>
          <w:ilvl w:val="0"/>
          <w:numId w:val="1200"/>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200"/>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200"/>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07"/>
    <w:bookmarkStart w:id="308" w:name="salario_real"/>
    <w:p>
      <w:pPr>
        <w:pStyle w:val="Heading4"/>
      </w:pPr>
      <w:r>
        <w:t xml:space="preserve">Salario real</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p>
      <w:pPr>
        <w:numPr>
          <w:ilvl w:val="0"/>
          <w:numId w:val="1201"/>
        </w:numPr>
      </w:pPr>
      <w:r>
        <w:t xml:space="preserve">Con el IPC interesa el poder adquisitivo del trabajador; con el deflactor, el coste para la empresa.</w:t>
      </w:r>
    </w:p>
    <w:bookmarkEnd w:id="308"/>
    <w:bookmarkStart w:id="309" w:name="tc___ndices_y_series"/>
    <w:p>
      <w:pPr>
        <w:pStyle w:val="Heading4"/>
      </w:pPr>
      <w:r>
        <w:t xml:space="preserve">Índices y series</w:t>
      </w:r>
    </w:p>
    <w:p>
      <w:pPr>
        <w:numPr>
          <w:ilvl w:val="0"/>
          <w:numId w:val="1202"/>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202"/>
        </w:numPr>
      </w:pPr>
      <w:r>
        <w:rPr>
          <w:i/>
          <w:iCs/>
        </w:rPr>
        <w:t xml:space="preserve">Cambio de base</w:t>
      </w:r>
      <w:r>
        <w:t xml:space="preserve">: con una regla de 3, sin necesidad de la serie original (exacta solo en los índices de base fija; los encadenados se reescalan).</w:t>
      </w:r>
    </w:p>
    <w:p>
      <w:pPr>
        <w:numPr>
          <w:ilvl w:val="0"/>
          <w:numId w:val="1202"/>
        </w:numPr>
      </w:pPr>
      <w:r>
        <w:rPr>
          <w:i/>
          <w:iCs/>
        </w:rPr>
        <w:t xml:space="preserve">Índices encadenados</w:t>
      </w:r>
      <w:r>
        <w:t xml:space="preserve">: la base es móvil (cada periodo se compara con el anterior).</w:t>
      </w:r>
    </w:p>
    <w:p>
      <w:pPr>
        <w:numPr>
          <w:ilvl w:val="0"/>
          <w:numId w:val="1202"/>
        </w:numPr>
      </w:pPr>
      <w:r>
        <w:t xml:space="preserve">Si el dato viene en porcentaje, no es el índice sino su tasa de variación</w:t>
      </w:r>
      <w:r>
        <w:t xml:space="preserve"> </w:t>
      </w:r>
      <w:hyperlink r:id="rId35">
        <w:r>
          <w:rPr>
            <w:rStyle w:val="Referenciaatema"/>
          </w:rPr>
          <w:t xml:space="preserve">[ver tema 4.A.1]</w:t>
        </w:r>
      </w:hyperlink>
      <w:r>
        <w:t xml:space="preserve">.</w:t>
      </w:r>
    </w:p>
    <w:bookmarkEnd w:id="309"/>
    <w:bookmarkEnd w:id="310"/>
    <w:bookmarkStart w:id="313" w:name="anexo_calc_trabajo"/>
    <w:p>
      <w:pPr>
        <w:pStyle w:val="Heading2"/>
      </w:pPr>
      <w:r>
        <w:t xml:space="preserve">G.4. Trabajo y costes</w:t>
      </w:r>
    </w:p>
    <w:bookmarkStart w:id="312" w:name="productividad_clu_y_margen"/>
    <w:p>
      <w:pPr>
        <w:pStyle w:val="Heading4"/>
      </w:pPr>
      <w:r>
        <w:t xml:space="preserve">Productividad, CLU y margen</w:t>
      </w:r>
    </w:p>
    <w:p>
      <w:pPr>
        <w:numPr>
          <w:ilvl w:val="0"/>
          <w:numId w:val="1203"/>
        </w:numPr>
      </w:pPr>
      <w:r>
        <w:t xml:space="preserve">Las 4 fórmulas encadenadas: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p>
      <w:pPr>
        <w:numPr>
          <w:ilvl w:val="0"/>
          <w:numId w:val="1203"/>
        </w:numPr>
      </w:pPr>
      <w:r>
        <w:rPr>
          <w:i/>
          <w:iCs/>
        </w:rPr>
        <w:t xml:space="preserve">Términos</w:t>
      </w:r>
      <w:r>
        <w:t xml:space="preserve">:</w:t>
      </w:r>
      <w:r>
        <w:t xml:space="preserve"> </w:t>
      </w:r>
      <m:oMath>
        <m:r>
          <m:t>W</m:t>
        </m:r>
      </m:oMath>
      <w:r>
        <w:t xml:space="preserve">, remuneración por asalariado (si se da la remuneración total y la tasa de asalarización es 1, el salario medio);</w:t>
      </w:r>
      <w:r>
        <w:t xml:space="preserve"> </w:t>
      </w:r>
      <m:oMath>
        <m:r>
          <m:t>L</m:t>
        </m:r>
      </m:oMath>
      <w:r>
        <w:t xml:space="preserve">, empleo (o horas);</w:t>
      </w:r>
      <w:r>
        <w:t xml:space="preserve"> </w:t>
      </w:r>
      <m:oMath>
        <m:r>
          <m:t>P</m:t>
        </m:r>
      </m:oMath>
      <w:r>
        <w:t xml:space="preserve">, deflactor del PIB;</w:t>
      </w:r>
      <w:r>
        <w:t xml:space="preserve"> </w:t>
      </w:r>
      <m:oMath>
        <m:r>
          <m:t>μ</m:t>
        </m:r>
      </m:oMath>
      <w:r>
        <w:t xml:space="preserve">, margen sobre los costes laborales.</w:t>
      </w:r>
    </w:p>
    <w:p>
      <w:pPr>
        <w:numPr>
          <w:ilvl w:val="0"/>
          <w:numId w:val="1203"/>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bookmarkStart w:id="311" w:name="tab_ejemplo_clu"/>
    <w:p>
      <w:pPr>
        <w:pStyle w:val="TableCaption"/>
      </w:pPr>
      <w:r>
        <w:t xml:space="preserve">Tabla 19.–</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9.–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11"/>
    <w:p>
      <w:pPr>
        <w:pStyle w:val="BodyText"/>
      </w:pPr>
      <w:r>
        <w:rPr>
          <w:i/>
          <w:iCs/>
        </w:rPr>
        <w:t xml:space="preserve">Fuente: Elaboración propia. Qué hay que ver: los salarios crecen más que la productividad más la inflación, los CLU reales suben y el margen se estrecha.</w:t>
      </w:r>
    </w:p>
    <w:bookmarkEnd w:id="312"/>
    <w:bookmarkEnd w:id="313"/>
    <w:bookmarkStart w:id="317" w:name="anexo_calc_exterior"/>
    <w:p>
      <w:pPr>
        <w:pStyle w:val="Heading2"/>
      </w:pPr>
      <w:r>
        <w:t xml:space="preserve">G.5. Sector exterior</w:t>
      </w:r>
    </w:p>
    <w:bookmarkStart w:id="314" w:name="balanza_de_pagos_ahorro_e_inversi__n"/>
    <w:p>
      <w:pPr>
        <w:pStyle w:val="Heading4"/>
      </w:pPr>
      <w:r>
        <w:t xml:space="preserve">Balanza de pagos, ahorro e inversión</w:t>
      </w:r>
    </w:p>
    <w:p>
      <w:pPr>
        <w:numPr>
          <w:ilvl w:val="0"/>
          <w:numId w:val="1204"/>
        </w:numPr>
      </w:pPr>
      <w:r>
        <w:t xml:space="preserve">La identidad completa es la de la ecuación (</w:t>
      </w:r>
      <w:hyperlink w:anchor="eq_identidad_bp">
        <w:r>
          <w:rPr>
            <w:rStyle w:val="Hyperlink"/>
          </w:rPr>
          <w:t xml:space="preserve">1</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204"/>
        </w:numPr>
      </w:pPr>
      <w:r>
        <w:rPr>
          <w:i/>
          <w:iCs/>
        </w:rPr>
        <w:t xml:space="preserve">Ejemplo</w:t>
      </w:r>
      <w:r>
        <w:t xml:space="preserve">: con una tasa de inversión del 20 % y un déficit corriente del 3 % del PIB, la tasa de ahorro nacional es del 17 %.</w:t>
      </w:r>
    </w:p>
    <w:bookmarkEnd w:id="314"/>
    <w:bookmarkStart w:id="315" w:name="posici__n_de_inversi__n_internacional"/>
    <w:p>
      <w:pPr>
        <w:pStyle w:val="Heading4"/>
      </w:pPr>
      <w:r>
        <w:t xml:space="preserve">Posición de inversión internacional</w:t>
      </w:r>
    </w:p>
    <w:p>
      <w:pPr>
        <w:numPr>
          <w:ilvl w:val="0"/>
          <w:numId w:val="1205"/>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205"/>
        </w:numPr>
      </w:pPr>
      <w:r>
        <w:t xml:space="preserve">En porcentaje del PIB hay que añadir el efecto del crecimiento nominal (ecuación (</w:t>
      </w:r>
      <w:hyperlink w:anchor="eq_dinamica_piin">
        <w:r>
          <w:rPr>
            <w:rStyle w:val="Hyperlink"/>
          </w:rPr>
          <w:t xml:space="preserve">2</w:t>
        </w:r>
      </w:hyperlink>
      <w:r>
        <w:t xml:space="preserve">)).</w:t>
      </w:r>
    </w:p>
    <w:p>
      <w:pPr>
        <w:numPr>
          <w:ilvl w:val="0"/>
          <w:numId w:val="1205"/>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15"/>
    <w:bookmarkStart w:id="316" w:name="exportaciones_y_renta_exterior"/>
    <w:p>
      <w:pPr>
        <w:pStyle w:val="Heading4"/>
      </w:pPr>
      <w:r>
        <w:t xml:space="preserve">Exportaciones y renta exterior</w:t>
      </w:r>
    </w:p>
    <w:p>
      <w:pPr>
        <w:numPr>
          <w:ilvl w:val="0"/>
          <w:numId w:val="1206"/>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206"/>
        </w:numPr>
      </w:pPr>
      <w:r>
        <w:rPr>
          <w:i/>
          <w:iCs/>
        </w:rPr>
        <w:t xml:space="preserve">Ejemplo</w:t>
      </w:r>
      <w:r>
        <w:t xml:space="preserve">: con una elasticidad de 1,1 y un comercio mundial que crece un 7,3 %, las exportaciones crecen en torno a un 8 %.</w:t>
      </w:r>
    </w:p>
    <w:bookmarkEnd w:id="316"/>
    <w:bookmarkEnd w:id="317"/>
    <w:bookmarkStart w:id="320" w:name="anexo_calc_fiscal"/>
    <w:p>
      <w:pPr>
        <w:pStyle w:val="Heading2"/>
      </w:pPr>
      <w:r>
        <w:t xml:space="preserve">G.6. Cuentas públicas</w:t>
      </w:r>
    </w:p>
    <w:bookmarkStart w:id="318" w:name="saldos_y_esfuerzo_fiscal"/>
    <w:p>
      <w:pPr>
        <w:pStyle w:val="Heading4"/>
      </w:pPr>
      <w:r>
        <w:t xml:space="preserve">Saldos y esfuerzo fiscal</w:t>
      </w:r>
    </w:p>
    <w:p>
      <w:pPr>
        <w:numPr>
          <w:ilvl w:val="0"/>
          <w:numId w:val="1207"/>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207"/>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207"/>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207"/>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18"/>
    <w:bookmarkStart w:id="319" w:name="saldo_primario_que_estabiliza_la_deuda"/>
    <w:p>
      <w:pPr>
        <w:pStyle w:val="Heading4"/>
      </w:pPr>
      <w:r>
        <w:t xml:space="preserve">Saldo primario que estabiliza la deuda</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208"/>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19"/>
    <w:bookmarkEnd w:id="320"/>
    <w:bookmarkEnd w:id="321"/>
    <w:bookmarkStart w:id="323" w:name="anexo_fmi"/>
    <w:p>
      <w:pPr>
        <w:pStyle w:val="Heading1"/>
      </w:pPr>
      <w:r>
        <w:t xml:space="preserve">H. El FMI: programación financiera y programas</w:t>
      </w:r>
    </w:p>
    <w:p>
      <w:pPr>
        <w:numPr>
          <w:ilvl w:val="0"/>
          <w:numId w:val="1209"/>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09"/>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10"/>
        </w:numPr>
      </w:pPr>
      <w:r>
        <w:rPr>
          <w:i/>
          <w:iCs/>
        </w:rPr>
        <w:t xml:space="preserve">fiscales</w:t>
      </w:r>
      <w:r>
        <w:t xml:space="preserve">: la gestión de los recursos del Estado (impuestos y gasto público);</w:t>
      </w:r>
    </w:p>
    <w:p>
      <w:pPr>
        <w:numPr>
          <w:ilvl w:val="1"/>
          <w:numId w:val="1210"/>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10"/>
        </w:numPr>
      </w:pPr>
      <w:r>
        <w:rPr>
          <w:i/>
          <w:iCs/>
        </w:rPr>
        <w:t xml:space="preserve">estructurales</w:t>
      </w:r>
      <w:r>
        <w:t xml:space="preserve">: las regulaciones e instituciones que determinan cómo funciona la economía.</w:t>
      </w:r>
    </w:p>
    <w:p>
      <w:pPr>
        <w:keepNext/>
        <w:numPr>
          <w:ilvl w:val="0"/>
          <w:numId w:val="1209"/>
        </w:numPr>
      </w:pPr>
      <w:r>
        <w:rPr>
          <w:i/>
          <w:iCs/>
        </w:rPr>
        <w:t xml:space="preserve">Los 2 objetivos</w:t>
      </w:r>
      <w:r>
        <w:t xml:space="preserve">:</w:t>
      </w:r>
    </w:p>
    <w:p>
      <w:pPr>
        <w:numPr>
          <w:ilvl w:val="1"/>
          <w:numId w:val="1211"/>
        </w:numPr>
      </w:pPr>
      <w:r>
        <w:rPr>
          <w:i/>
          <w:iCs/>
        </w:rPr>
        <w:t xml:space="preserve">equilibrio interno</w:t>
      </w:r>
      <w:r>
        <w:t xml:space="preserve">: producción en su potencial con una inflación baja y estable;</w:t>
      </w:r>
    </w:p>
    <w:p>
      <w:pPr>
        <w:numPr>
          <w:ilvl w:val="1"/>
          <w:numId w:val="1211"/>
        </w:numPr>
      </w:pPr>
      <w:r>
        <w:rPr>
          <w:i/>
          <w:iCs/>
        </w:rPr>
        <w:t xml:space="preserve">equilibrio externo</w:t>
      </w:r>
      <w:r>
        <w:t xml:space="preserve">: una cuenta corriente que se pueda financiar de forma sostenible, con reservas suficientes.</w:t>
      </w:r>
    </w:p>
    <w:p>
      <w:pPr>
        <w:numPr>
          <w:ilvl w:val="0"/>
          <w:numId w:val="1209"/>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09"/>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145">
        <w:r>
          <w:rPr>
            <w:rStyle w:val="Referenciaatema"/>
          </w:rPr>
          <w:t xml:space="preserve">[ver tema 3.B.22]</w:t>
        </w:r>
      </w:hyperlink>
      <w:r>
        <w:t xml:space="preserve">.</w:t>
      </w:r>
    </w:p>
    <w:bookmarkStart w:id="322"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14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(2021 y 2022):</w:t>
      </w:r>
    </w:p>
    <w:p>
      <w:pPr>
        <w:pStyle w:val="Cajadeanotaciones"/>
        <w:keepNext/>
        <w:keepLines/>
        <w:numPr>
          <w:ilvl w:val="0"/>
          <w:numId w:val="1212"/>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12"/>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22"/>
    <w:bookmarkEnd w:id="323"/>
    <w:bookmarkStart w:id="324" w:name="anexo_espana"/>
    <w:p>
      <w:pPr>
        <w:pStyle w:val="Heading1"/>
      </w:pPr>
      <w:r>
        <w:t xml:space="preserve">I. Un caso: la economía española</w:t>
      </w:r>
    </w:p>
    <w:p>
      <w:pPr>
        <w:numPr>
          <w:ilvl w:val="0"/>
          <w:numId w:val="1213"/>
        </w:numPr>
      </w:pPr>
      <w:r>
        <w:rPr>
          <w:i/>
          <w:iCs/>
        </w:rPr>
        <w:t xml:space="preserve">Para qué</w:t>
      </w:r>
      <w:r>
        <w:t xml:space="preserve">: aplicar el método a un país conocido, con datos recientes, como ejercicio. La situación y las políticas de España se estudian en</w:t>
      </w:r>
      <w:r>
        <w:t xml:space="preserve"> </w:t>
      </w:r>
      <w:hyperlink r:id="rId50">
        <w:r>
          <w:rPr>
            <w:rStyle w:val="Referenciaatema"/>
          </w:rPr>
          <w:t xml:space="preserve">[ver tema 4.A.29]</w:t>
        </w:r>
      </w:hyperlink>
      <w:r>
        <w:t xml:space="preserve">.</w:t>
      </w:r>
    </w:p>
    <w:p>
      <w:pPr>
        <w:numPr>
          <w:ilvl w:val="0"/>
          <w:numId w:val="1213"/>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13"/>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13"/>
        </w:numPr>
      </w:pPr>
      <w:r>
        <w:rPr>
          <w:i/>
          <w:iCs/>
        </w:rPr>
        <w:t xml:space="preserve">Fortalezas</w:t>
      </w:r>
      <w:r>
        <w:t xml:space="preserve">:</w:t>
      </w:r>
    </w:p>
    <w:p>
      <w:pPr>
        <w:numPr>
          <w:ilvl w:val="1"/>
          <w:numId w:val="1214"/>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14"/>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14"/>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14"/>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13"/>
        </w:numPr>
      </w:pPr>
      <w:r>
        <w:rPr>
          <w:i/>
          <w:iCs/>
        </w:rPr>
        <w:t xml:space="preserve">Debilidades</w:t>
      </w:r>
      <w:r>
        <w:t xml:space="preserve">:</w:t>
      </w:r>
    </w:p>
    <w:p>
      <w:pPr>
        <w:numPr>
          <w:ilvl w:val="1"/>
          <w:numId w:val="1215"/>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15"/>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12</w:t>
        </w:r>
      </w:hyperlink>
      <w:r>
        <w:t xml:space="preserve">);</w:t>
      </w:r>
    </w:p>
    <w:p>
      <w:pPr>
        <w:numPr>
          <w:ilvl w:val="1"/>
          <w:numId w:val="1215"/>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215"/>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213"/>
        </w:numPr>
      </w:pPr>
      <w:r>
        <w:rPr>
          <w:i/>
          <w:iCs/>
        </w:rPr>
        <w:t xml:space="preserve">Recomendaciones</w:t>
      </w:r>
      <w:r>
        <w:t xml:space="preserve"> </w:t>
      </w:r>
      <w:r>
        <w:t xml:space="preserve">(tabla </w:t>
      </w:r>
      <w:hyperlink w:anchor="tab_recomendaciones">
        <w:r>
          <w:rPr>
            <w:rStyle w:val="Hyperlink"/>
          </w:rPr>
          <w:t xml:space="preserve">2</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y de vivienda que mejoren el emparejamiento; y reformas que eleven la productividad (capital humano, tamaño empresarial, inversión en I+D).</w:t>
      </w:r>
    </w:p>
    <w:bookmarkEnd w:id="324"/>
    <w:bookmarkStart w:id="346" w:name="anexo_temas"/>
    <w:p>
      <w:pPr>
        <w:pStyle w:val="Heading1"/>
      </w:pPr>
      <w:r>
        <w:t xml:space="preserve">J. Dónde se estudia cada bloque</w:t>
      </w:r>
    </w:p>
    <w:p>
      <w:pPr>
        <w:numPr>
          <w:ilvl w:val="0"/>
          <w:numId w:val="1216"/>
        </w:numPr>
      </w:pPr>
      <w:r>
        <w:t xml:space="preserve">La guía remite en cada indicador al tema donde se estudia a fondo: primero el del tercer ejercicio (la teoría) y después el del cuarto (la aplicación a España o al sector público).</w:t>
      </w:r>
    </w:p>
    <w:p>
      <w:pPr>
        <w:numPr>
          <w:ilvl w:val="0"/>
          <w:numId w:val="1216"/>
        </w:numPr>
      </w:pPr>
      <w:r>
        <w:t xml:space="preserve">Son relevantes todos los temas de macroeconomía y, para entenderla bien, los de su microfundamentación.</w:t>
      </w:r>
    </w:p>
    <w:bookmarkStart w:id="345" w:name="tab_donde_se_estudia"/>
    <w:p>
      <w:pPr>
        <w:pStyle w:val="TableCaption"/>
      </w:pPr>
      <w:r>
        <w:t xml:space="preserve">Tabla 20.–</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20.–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325">
              <w:r>
                <w:rPr>
                  <w:rStyle w:val="Referenciaatema"/>
                </w:rPr>
                <w:t xml:space="preserve">3.A.31</w:t>
              </w:r>
            </w:hyperlink>
            <w:r>
              <w:t xml:space="preserve">,</w:t>
            </w:r>
            <w:r>
              <w:t xml:space="preserve"> </w:t>
            </w:r>
            <w:hyperlink r:id="rId56">
              <w:r>
                <w:rPr>
                  <w:rStyle w:val="Referenciaatema"/>
                </w:rPr>
                <w:t xml:space="preserve">3.A.33</w:t>
              </w:r>
            </w:hyperlink>
            <w:r>
              <w:t xml:space="preserve">,</w:t>
            </w:r>
            <w:r>
              <w:t xml:space="preserve"> </w:t>
            </w:r>
            <w:hyperlink r:id="rId68">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74">
              <w:r>
                <w:rPr>
                  <w:rStyle w:val="Referenciaatema"/>
                </w:rPr>
                <w:t xml:space="preserve">3.A.43</w:t>
              </w:r>
            </w:hyperlink>
            <w:r>
              <w:t xml:space="preserve">,</w:t>
            </w:r>
            <w:r>
              <w:t xml:space="preserve"> </w:t>
            </w:r>
            <w:hyperlink r:id="rId194">
              <w:r>
                <w:rPr>
                  <w:rStyle w:val="Referenciaatema"/>
                </w:rPr>
                <w:t xml:space="preserve">3.A.44</w:t>
              </w:r>
            </w:hyperlink>
            <w:r>
              <w:t xml:space="preserve">,</w:t>
            </w:r>
            <w:r>
              <w:t xml:space="preserve"> </w:t>
            </w:r>
            <w:hyperlink r:id="rId41">
              <w:r>
                <w:rPr>
                  <w:rStyle w:val="Referenciaatema"/>
                </w:rPr>
                <w:t xml:space="preserve">3.A.45</w:t>
              </w:r>
            </w:hyperlink>
            <w:r>
              <w:t xml:space="preserve">,</w:t>
            </w:r>
            <w:r>
              <w:t xml:space="preserve"> </w:t>
            </w:r>
            <w:hyperlink r:id="rId240">
              <w:r>
                <w:rPr>
                  <w:rStyle w:val="Referenciaatema"/>
                </w:rPr>
                <w:t xml:space="preserve">3.B.28</w:t>
              </w:r>
            </w:hyperlink>
            <w:r>
              <w:t xml:space="preserve">,</w:t>
            </w:r>
            <w:r>
              <w:t xml:space="preserve"> </w:t>
            </w:r>
            <w:hyperlink r:id="rId241">
              <w:r>
                <w:rPr>
                  <w:rStyle w:val="Referenciaatema"/>
                </w:rPr>
                <w:t xml:space="preserve">3.B.32</w:t>
              </w:r>
            </w:hyperlink>
          </w:p>
        </w:tc>
        <w:tc>
          <w:tcPr/>
          <w:p>
            <w:pPr>
              <w:pStyle w:val="Compact"/>
              <w:jc w:val="left"/>
            </w:pPr>
            <w:hyperlink r:id="rId35">
              <w:r>
                <w:rPr>
                  <w:rStyle w:val="Referenciaatema"/>
                </w:rPr>
                <w:t xml:space="preserve">4.A.1</w:t>
              </w:r>
            </w:hyperlink>
            <w:r>
              <w:t xml:space="preserve">,</w:t>
            </w:r>
            <w:r>
              <w:t xml:space="preserve"> </w:t>
            </w:r>
            <w:hyperlink r:id="rId76">
              <w:r>
                <w:rPr>
                  <w:rStyle w:val="Referenciaatema"/>
                </w:rPr>
                <w:t xml:space="preserve">4.A.4</w:t>
              </w:r>
            </w:hyperlink>
            <w:r>
              <w:t xml:space="preserve">,</w:t>
            </w:r>
            <w:r>
              <w:t xml:space="preserve"> </w:t>
            </w:r>
            <w:hyperlink r:id="rId77">
              <w:r>
                <w:rPr>
                  <w:rStyle w:val="Referenciaatema"/>
                </w:rPr>
                <w:t xml:space="preserve">4.A.5</w:t>
              </w:r>
            </w:hyperlink>
            <w:r>
              <w:t xml:space="preserve">,</w:t>
            </w:r>
            <w:r>
              <w:t xml:space="preserve"> </w:t>
            </w:r>
            <w:hyperlink r:id="rId78">
              <w:r>
                <w:rPr>
                  <w:rStyle w:val="Referenciaatema"/>
                </w:rPr>
                <w:t xml:space="preserve">4.A.9</w:t>
              </w:r>
            </w:hyperlink>
            <w:r>
              <w:t xml:space="preserve">,</w:t>
            </w:r>
            <w:r>
              <w:t xml:space="preserve"> </w:t>
            </w:r>
            <w:hyperlink r:id="rId64">
              <w:r>
                <w:rPr>
                  <w:rStyle w:val="Referenciaatema"/>
                </w:rPr>
                <w:t xml:space="preserve">4.A.11</w:t>
              </w:r>
            </w:hyperlink>
            <w:r>
              <w:t xml:space="preserve">,</w:t>
            </w:r>
            <w:r>
              <w:t xml:space="preserve"> </w:t>
            </w:r>
            <w:hyperlink r:id="rId79">
              <w:r>
                <w:rPr>
                  <w:rStyle w:val="Referenciaatema"/>
                </w:rPr>
                <w:t xml:space="preserve">4.A.13</w:t>
              </w:r>
            </w:hyperlink>
            <w:r>
              <w:t xml:space="preserve">,</w:t>
            </w:r>
            <w:r>
              <w:t xml:space="preserve"> </w:t>
            </w:r>
            <w:hyperlink r:id="rId50">
              <w:r>
                <w:rPr>
                  <w:rStyle w:val="Referenciaatema"/>
                </w:rPr>
                <w:t xml:space="preserve">4.A.29</w:t>
              </w:r>
            </w:hyperlink>
            <w:r>
              <w:t xml:space="preserve">,</w:t>
            </w:r>
            <w:r>
              <w:t xml:space="preserve"> </w:t>
            </w:r>
            <w:hyperlink r:id="rId39">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326">
              <w:r>
                <w:rPr>
                  <w:rStyle w:val="Referenciaatema"/>
                </w:rPr>
                <w:t xml:space="preserve">3.A.13</w:t>
              </w:r>
            </w:hyperlink>
            <w:r>
              <w:t xml:space="preserve">,</w:t>
            </w:r>
            <w:r>
              <w:t xml:space="preserve"> </w:t>
            </w:r>
            <w:hyperlink r:id="rId244">
              <w:r>
                <w:rPr>
                  <w:rStyle w:val="Referenciaatema"/>
                </w:rPr>
                <w:t xml:space="preserve">3.A.17</w:t>
              </w:r>
            </w:hyperlink>
            <w:r>
              <w:t xml:space="preserve">,</w:t>
            </w:r>
            <w:r>
              <w:t xml:space="preserve"> </w:t>
            </w:r>
            <w:hyperlink r:id="rId88">
              <w:r>
                <w:rPr>
                  <w:rStyle w:val="Referenciaatema"/>
                </w:rPr>
                <w:t xml:space="preserve">3.A.25</w:t>
              </w:r>
            </w:hyperlink>
            <w:r>
              <w:t xml:space="preserve">,</w:t>
            </w:r>
            <w:r>
              <w:t xml:space="preserve"> </w:t>
            </w:r>
            <w:hyperlink r:id="rId100">
              <w:r>
                <w:rPr>
                  <w:rStyle w:val="Referenciaatema"/>
                </w:rPr>
                <w:t xml:space="preserve">3.A.26</w:t>
              </w:r>
            </w:hyperlink>
            <w:r>
              <w:t xml:space="preserve">,</w:t>
            </w:r>
            <w:r>
              <w:t xml:space="preserve"> </w:t>
            </w:r>
            <w:hyperlink r:id="rId94">
              <w:r>
                <w:rPr>
                  <w:rStyle w:val="Referenciaatema"/>
                </w:rPr>
                <w:t xml:space="preserve">3.A.27</w:t>
              </w:r>
            </w:hyperlink>
            <w:r>
              <w:t xml:space="preserve">,</w:t>
            </w:r>
            <w:r>
              <w:t xml:space="preserve"> </w:t>
            </w:r>
            <w:hyperlink r:id="rId38">
              <w:r>
                <w:rPr>
                  <w:rStyle w:val="Referenciaatema"/>
                </w:rPr>
                <w:t xml:space="preserve">3.A.28</w:t>
              </w:r>
            </w:hyperlink>
            <w:r>
              <w:t xml:space="preserve">,</w:t>
            </w:r>
            <w:r>
              <w:t xml:space="preserve"> </w:t>
            </w:r>
            <w:hyperlink r:id="rId327">
              <w:r>
                <w:rPr>
                  <w:rStyle w:val="Referenciaatema"/>
                </w:rPr>
                <w:t xml:space="preserve">3.B.18</w:t>
              </w:r>
            </w:hyperlink>
            <w:r>
              <w:t xml:space="preserve">,</w:t>
            </w:r>
            <w:r>
              <w:t xml:space="preserve"> </w:t>
            </w:r>
            <w:hyperlink r:id="rId328">
              <w:r>
                <w:rPr>
                  <w:rStyle w:val="Referenciaatema"/>
                </w:rPr>
                <w:t xml:space="preserve">3.B.23</w:t>
              </w:r>
            </w:hyperlink>
            <w:r>
              <w:t xml:space="preserve">,</w:t>
            </w:r>
            <w:r>
              <w:t xml:space="preserve"> </w:t>
            </w:r>
            <w:hyperlink r:id="rId47">
              <w:r>
                <w:rPr>
                  <w:rStyle w:val="Referenciaatema"/>
                </w:rPr>
                <w:t xml:space="preserve">3.B.24</w:t>
              </w:r>
            </w:hyperlink>
            <w:r>
              <w:t xml:space="preserve">,</w:t>
            </w:r>
            <w:r>
              <w:t xml:space="preserve"> </w:t>
            </w:r>
            <w:hyperlink r:id="rId329">
              <w:r>
                <w:rPr>
                  <w:rStyle w:val="Referenciaatema"/>
                </w:rPr>
                <w:t xml:space="preserve">3.B.26</w:t>
              </w:r>
            </w:hyperlink>
            <w:r>
              <w:t xml:space="preserve">,</w:t>
            </w:r>
            <w:r>
              <w:t xml:space="preserve"> </w:t>
            </w:r>
            <w:hyperlink r:id="rId109">
              <w:r>
                <w:rPr>
                  <w:rStyle w:val="Referenciaatema"/>
                </w:rPr>
                <w:t xml:space="preserve">3.B.27</w:t>
              </w:r>
            </w:hyperlink>
            <w:r>
              <w:t xml:space="preserve">,</w:t>
            </w:r>
            <w:r>
              <w:t xml:space="preserve"> </w:t>
            </w:r>
            <w:hyperlink r:id="rId159">
              <w:r>
                <w:rPr>
                  <w:rStyle w:val="Referenciaatema"/>
                </w:rPr>
                <w:t xml:space="preserve">3.B.44</w:t>
              </w:r>
            </w:hyperlink>
          </w:p>
        </w:tc>
        <w:tc>
          <w:tcPr/>
          <w:p>
            <w:pPr>
              <w:pStyle w:val="Compact"/>
              <w:jc w:val="left"/>
            </w:pPr>
            <w:hyperlink r:id="rId243">
              <w:r>
                <w:rPr>
                  <w:rStyle w:val="Referenciaatema"/>
                </w:rPr>
                <w:t xml:space="preserve">4.A.2</w:t>
              </w:r>
            </w:hyperlink>
            <w:r>
              <w:t xml:space="preserve">,</w:t>
            </w:r>
            <w:r>
              <w:t xml:space="preserve"> </w:t>
            </w:r>
            <w:hyperlink r:id="rId64">
              <w:r>
                <w:rPr>
                  <w:rStyle w:val="Referenciaatema"/>
                </w:rPr>
                <w:t xml:space="preserve">4.A.11</w:t>
              </w:r>
            </w:hyperlink>
            <w:r>
              <w:t xml:space="preserve">,</w:t>
            </w:r>
            <w:r>
              <w:t xml:space="preserve"> </w:t>
            </w:r>
            <w:hyperlink r:id="rId89">
              <w:r>
                <w:rPr>
                  <w:rStyle w:val="Referenciaatema"/>
                </w:rPr>
                <w:t xml:space="preserve">4.A.16</w:t>
              </w:r>
            </w:hyperlink>
            <w:r>
              <w:t xml:space="preserve">,</w:t>
            </w:r>
            <w:r>
              <w:t xml:space="preserve"> </w:t>
            </w:r>
            <w:hyperlink r:id="rId222">
              <w:r>
                <w:rPr>
                  <w:rStyle w:val="Referenciaatema"/>
                </w:rPr>
                <w:t xml:space="preserve">4.A.18</w:t>
              </w:r>
            </w:hyperlink>
            <w:r>
              <w:t xml:space="preserve">,</w:t>
            </w:r>
            <w:r>
              <w:t xml:space="preserve"> </w:t>
            </w:r>
            <w:hyperlink r:id="rId110">
              <w:r>
                <w:rPr>
                  <w:rStyle w:val="Referenciaatema"/>
                </w:rPr>
                <w:t xml:space="preserve">4.A.19</w:t>
              </w:r>
            </w:hyperlink>
            <w:r>
              <w:t xml:space="preserve">,</w:t>
            </w:r>
            <w:r>
              <w:t xml:space="preserve"> </w:t>
            </w:r>
            <w:hyperlink r:id="rId330">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15">
              <w:r>
                <w:rPr>
                  <w:rStyle w:val="Referenciaatema"/>
                </w:rPr>
                <w:t xml:space="preserve">3.A.9</w:t>
              </w:r>
            </w:hyperlink>
            <w:r>
              <w:t xml:space="preserve">,</w:t>
            </w:r>
            <w:r>
              <w:t xml:space="preserve"> </w:t>
            </w:r>
            <w:hyperlink r:id="rId119">
              <w:r>
                <w:rPr>
                  <w:rStyle w:val="Referenciaatema"/>
                </w:rPr>
                <w:t xml:space="preserve">3.A.41</w:t>
              </w:r>
            </w:hyperlink>
            <w:r>
              <w:t xml:space="preserve">,</w:t>
            </w:r>
            <w:r>
              <w:t xml:space="preserve"> </w:t>
            </w:r>
            <w:hyperlink r:id="rId139">
              <w:r>
                <w:rPr>
                  <w:rStyle w:val="Referenciaatema"/>
                </w:rPr>
                <w:t xml:space="preserve">3.B.5</w:t>
              </w:r>
            </w:hyperlink>
            <w:r>
              <w:t xml:space="preserve">,</w:t>
            </w:r>
            <w:r>
              <w:t xml:space="preserve"> </w:t>
            </w:r>
            <w:hyperlink r:id="rId131">
              <w:r>
                <w:rPr>
                  <w:rStyle w:val="Referenciaatema"/>
                </w:rPr>
                <w:t xml:space="preserve">3.B.6</w:t>
              </w:r>
            </w:hyperlink>
            <w:r>
              <w:t xml:space="preserve">,</w:t>
            </w:r>
            <w:r>
              <w:t xml:space="preserve"> </w:t>
            </w:r>
            <w:hyperlink r:id="rId246">
              <w:r>
                <w:rPr>
                  <w:rStyle w:val="Referenciaatema"/>
                </w:rPr>
                <w:t xml:space="preserve">3.B.7</w:t>
              </w:r>
            </w:hyperlink>
            <w:r>
              <w:t xml:space="preserve">,</w:t>
            </w:r>
            <w:r>
              <w:t xml:space="preserve"> </w:t>
            </w:r>
            <w:hyperlink r:id="rId126">
              <w:r>
                <w:rPr>
                  <w:rStyle w:val="Referenciaatema"/>
                </w:rPr>
                <w:t xml:space="preserve">3.B.12</w:t>
              </w:r>
            </w:hyperlink>
            <w:r>
              <w:t xml:space="preserve">,</w:t>
            </w:r>
            <w:r>
              <w:t xml:space="preserve"> </w:t>
            </w:r>
            <w:hyperlink r:id="rId124">
              <w:r>
                <w:rPr>
                  <w:rStyle w:val="Referenciaatema"/>
                </w:rPr>
                <w:t xml:space="preserve">3.B.13</w:t>
              </w:r>
            </w:hyperlink>
            <w:r>
              <w:t xml:space="preserve">,</w:t>
            </w:r>
            <w:r>
              <w:t xml:space="preserve"> </w:t>
            </w:r>
            <w:hyperlink r:id="rId331">
              <w:r>
                <w:rPr>
                  <w:rStyle w:val="Referenciaatema"/>
                </w:rPr>
                <w:t xml:space="preserve">3.B.14</w:t>
              </w:r>
            </w:hyperlink>
            <w:r>
              <w:t xml:space="preserve">,</w:t>
            </w:r>
            <w:r>
              <w:t xml:space="preserve"> </w:t>
            </w:r>
            <w:hyperlink r:id="rId128">
              <w:r>
                <w:rPr>
                  <w:rStyle w:val="Referenciaatema"/>
                </w:rPr>
                <w:t xml:space="preserve">3.B.15</w:t>
              </w:r>
            </w:hyperlink>
            <w:r>
              <w:t xml:space="preserve">,</w:t>
            </w:r>
            <w:r>
              <w:t xml:space="preserve"> </w:t>
            </w:r>
            <w:hyperlink r:id="rId247">
              <w:r>
                <w:rPr>
                  <w:rStyle w:val="Referenciaatema"/>
                </w:rPr>
                <w:t xml:space="preserve">3.B.33</w:t>
              </w:r>
            </w:hyperlink>
            <w:r>
              <w:t xml:space="preserve">,</w:t>
            </w:r>
            <w:r>
              <w:t xml:space="preserve"> </w:t>
            </w:r>
            <w:hyperlink r:id="rId248">
              <w:r>
                <w:rPr>
                  <w:rStyle w:val="Referenciaatema"/>
                </w:rPr>
                <w:t xml:space="preserve">3.B.41</w:t>
              </w:r>
            </w:hyperlink>
          </w:p>
        </w:tc>
        <w:tc>
          <w:tcPr/>
          <w:p>
            <w:pPr>
              <w:pStyle w:val="Compact"/>
              <w:jc w:val="left"/>
            </w:pPr>
            <w:hyperlink r:id="rId35">
              <w:r>
                <w:rPr>
                  <w:rStyle w:val="Referenciaatema"/>
                </w:rPr>
                <w:t xml:space="preserve">4.A.1</w:t>
              </w:r>
            </w:hyperlink>
            <w:r>
              <w:t xml:space="preserve">,</w:t>
            </w:r>
            <w:r>
              <w:t xml:space="preserve"> </w:t>
            </w:r>
            <w:hyperlink r:id="rId95">
              <w:r>
                <w:rPr>
                  <w:rStyle w:val="Referenciaatema"/>
                </w:rPr>
                <w:t xml:space="preserve">4.A.22</w:t>
              </w:r>
            </w:hyperlink>
            <w:r>
              <w:t xml:space="preserve">,</w:t>
            </w:r>
            <w:r>
              <w:t xml:space="preserve"> </w:t>
            </w:r>
            <w:hyperlink r:id="rId332">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43">
              <w:r>
                <w:rPr>
                  <w:rStyle w:val="Referenciaatema"/>
                </w:rPr>
                <w:t xml:space="preserve">3.B.11</w:t>
              </w:r>
            </w:hyperlink>
            <w:r>
              <w:t xml:space="preserve">,</w:t>
            </w:r>
            <w:r>
              <w:t xml:space="preserve"> </w:t>
            </w:r>
            <w:hyperlink r:id="rId126">
              <w:r>
                <w:rPr>
                  <w:rStyle w:val="Referenciaatema"/>
                </w:rPr>
                <w:t xml:space="preserve">3.B.12</w:t>
              </w:r>
            </w:hyperlink>
            <w:r>
              <w:t xml:space="preserve">,</w:t>
            </w:r>
            <w:r>
              <w:t xml:space="preserve"> </w:t>
            </w:r>
            <w:hyperlink r:id="rId128">
              <w:r>
                <w:rPr>
                  <w:rStyle w:val="Referenciaatema"/>
                </w:rPr>
                <w:t xml:space="preserve">3.B.15</w:t>
              </w:r>
            </w:hyperlink>
            <w:r>
              <w:t xml:space="preserve">,</w:t>
            </w:r>
            <w:r>
              <w:t xml:space="preserve"> </w:t>
            </w:r>
            <w:hyperlink r:id="rId333">
              <w:r>
                <w:rPr>
                  <w:rStyle w:val="Referenciaatema"/>
                </w:rPr>
                <w:t xml:space="preserve">3.B.17</w:t>
              </w:r>
            </w:hyperlink>
            <w:r>
              <w:t xml:space="preserve">,</w:t>
            </w:r>
            <w:r>
              <w:t xml:space="preserve"> </w:t>
            </w:r>
            <w:hyperlink r:id="rId327">
              <w:r>
                <w:rPr>
                  <w:rStyle w:val="Referenciaatema"/>
                </w:rPr>
                <w:t xml:space="preserve">3.B.18</w:t>
              </w:r>
            </w:hyperlink>
            <w:r>
              <w:t xml:space="preserve">,</w:t>
            </w:r>
            <w:r>
              <w:t xml:space="preserve"> </w:t>
            </w:r>
            <w:hyperlink r:id="rId145">
              <w:r>
                <w:rPr>
                  <w:rStyle w:val="Referenciaatema"/>
                </w:rPr>
                <w:t xml:space="preserve">3.B.22</w:t>
              </w:r>
            </w:hyperlink>
            <w:r>
              <w:t xml:space="preserve">,</w:t>
            </w:r>
            <w:r>
              <w:t xml:space="preserve"> </w:t>
            </w:r>
            <w:hyperlink r:id="rId219">
              <w:r>
                <w:rPr>
                  <w:rStyle w:val="Referenciaatema"/>
                </w:rPr>
                <w:t xml:space="preserve">3.B.29</w:t>
              </w:r>
            </w:hyperlink>
            <w:r>
              <w:t xml:space="preserve">,</w:t>
            </w:r>
            <w:r>
              <w:t xml:space="preserve"> </w:t>
            </w:r>
            <w:hyperlink r:id="rId177">
              <w:r>
                <w:rPr>
                  <w:rStyle w:val="Referenciaatema"/>
                </w:rPr>
                <w:t xml:space="preserve">3.B.45</w:t>
              </w:r>
            </w:hyperlink>
          </w:p>
        </w:tc>
        <w:tc>
          <w:tcPr/>
          <w:p>
            <w:pPr>
              <w:pStyle w:val="Compact"/>
              <w:jc w:val="left"/>
            </w:pPr>
            <w:hyperlink r:id="rId44">
              <w:r>
                <w:rPr>
                  <w:rStyle w:val="Referenciaatema"/>
                </w:rPr>
                <w:t xml:space="preserve">4.A.21</w:t>
              </w:r>
            </w:hyperlink>
            <w:r>
              <w:t xml:space="preserve">,</w:t>
            </w:r>
            <w:r>
              <w:t xml:space="preserve"> </w:t>
            </w:r>
            <w:hyperlink r:id="rId95">
              <w:r>
                <w:rPr>
                  <w:rStyle w:val="Referenciaatema"/>
                </w:rPr>
                <w:t xml:space="preserve">4.A.22</w:t>
              </w:r>
            </w:hyperlink>
            <w:r>
              <w:t xml:space="preserve">,</w:t>
            </w:r>
            <w:r>
              <w:t xml:space="preserve"> </w:t>
            </w:r>
            <w:hyperlink r:id="rId334">
              <w:r>
                <w:rPr>
                  <w:rStyle w:val="Referenciaatema"/>
                </w:rPr>
                <w:t xml:space="preserve">4.A.23</w:t>
              </w:r>
            </w:hyperlink>
            <w:r>
              <w:t xml:space="preserve">,</w:t>
            </w:r>
            <w:r>
              <w:t xml:space="preserve"> </w:t>
            </w:r>
            <w:hyperlink r:id="rId50">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142">
              <w:r>
                <w:rPr>
                  <w:rStyle w:val="Referenciaatema"/>
                </w:rPr>
                <w:t xml:space="preserve">3.A.32</w:t>
              </w:r>
            </w:hyperlink>
            <w:r>
              <w:t xml:space="preserve">,</w:t>
            </w:r>
            <w:r>
              <w:t xml:space="preserve"> </w:t>
            </w:r>
            <w:hyperlink r:id="rId335">
              <w:r>
                <w:rPr>
                  <w:rStyle w:val="Referenciaatema"/>
                </w:rPr>
                <w:t xml:space="preserve">3.A.35</w:t>
              </w:r>
            </w:hyperlink>
            <w:r>
              <w:t xml:space="preserve">,</w:t>
            </w:r>
            <w:r>
              <w:t xml:space="preserve"> </w:t>
            </w:r>
            <w:hyperlink r:id="rId121">
              <w:r>
                <w:rPr>
                  <w:rStyle w:val="Referenciaatema"/>
                </w:rPr>
                <w:t xml:space="preserve">3.A.36</w:t>
              </w:r>
            </w:hyperlink>
            <w:r>
              <w:t xml:space="preserve">,</w:t>
            </w:r>
            <w:r>
              <w:t xml:space="preserve"> </w:t>
            </w:r>
            <w:hyperlink r:id="rId153">
              <w:r>
                <w:rPr>
                  <w:rStyle w:val="Referenciaatema"/>
                </w:rPr>
                <w:t xml:space="preserve">3.A.37</w:t>
              </w:r>
            </w:hyperlink>
            <w:r>
              <w:t xml:space="preserve">,</w:t>
            </w:r>
            <w:r>
              <w:t xml:space="preserve"> </w:t>
            </w:r>
            <w:hyperlink r:id="rId173">
              <w:r>
                <w:rPr>
                  <w:rStyle w:val="Referenciaatema"/>
                </w:rPr>
                <w:t xml:space="preserve">3.A.38</w:t>
              </w:r>
            </w:hyperlink>
            <w:r>
              <w:t xml:space="preserve">,</w:t>
            </w:r>
            <w:r>
              <w:t xml:space="preserve"> </w:t>
            </w:r>
            <w:hyperlink r:id="rId60">
              <w:r>
                <w:rPr>
                  <w:rStyle w:val="Referenciaatema"/>
                </w:rPr>
                <w:t xml:space="preserve">3.A.39</w:t>
              </w:r>
            </w:hyperlink>
            <w:r>
              <w:t xml:space="preserve">,</w:t>
            </w:r>
            <w:r>
              <w:t xml:space="preserve"> </w:t>
            </w:r>
            <w:hyperlink r:id="rId188">
              <w:r>
                <w:rPr>
                  <w:rStyle w:val="Referenciaatema"/>
                </w:rPr>
                <w:t xml:space="preserve">3.A.40</w:t>
              </w:r>
            </w:hyperlink>
            <w:r>
              <w:t xml:space="preserve">,</w:t>
            </w:r>
            <w:r>
              <w:t xml:space="preserve"> </w:t>
            </w:r>
            <w:hyperlink r:id="rId119">
              <w:r>
                <w:rPr>
                  <w:rStyle w:val="Referenciaatema"/>
                </w:rPr>
                <w:t xml:space="preserve">3.A.41</w:t>
              </w:r>
            </w:hyperlink>
            <w:r>
              <w:t xml:space="preserve">,</w:t>
            </w:r>
            <w:r>
              <w:t xml:space="preserve"> </w:t>
            </w:r>
            <w:hyperlink r:id="rId336">
              <w:r>
                <w:rPr>
                  <w:rStyle w:val="Referenciaatema"/>
                </w:rPr>
                <w:t xml:space="preserve">3.B.19</w:t>
              </w:r>
            </w:hyperlink>
            <w:r>
              <w:t xml:space="preserve">,</w:t>
            </w:r>
            <w:r>
              <w:t xml:space="preserve"> </w:t>
            </w:r>
            <w:hyperlink r:id="rId337">
              <w:r>
                <w:rPr>
                  <w:rStyle w:val="Referenciaatema"/>
                </w:rPr>
                <w:t xml:space="preserve">3.B.43</w:t>
              </w:r>
            </w:hyperlink>
            <w:r>
              <w:t xml:space="preserve">,</w:t>
            </w:r>
            <w:r>
              <w:t xml:space="preserve"> </w:t>
            </w:r>
            <w:hyperlink r:id="rId177">
              <w:r>
                <w:rPr>
                  <w:rStyle w:val="Referenciaatema"/>
                </w:rPr>
                <w:t xml:space="preserve">3.B.45</w:t>
              </w:r>
            </w:hyperlink>
          </w:p>
        </w:tc>
        <w:tc>
          <w:tcPr/>
          <w:p>
            <w:pPr>
              <w:pStyle w:val="Compact"/>
              <w:jc w:val="left"/>
            </w:pPr>
            <w:hyperlink r:id="rId338">
              <w:r>
                <w:rPr>
                  <w:rStyle w:val="Referenciaatema"/>
                </w:rPr>
                <w:t xml:space="preserve">4.A.15</w:t>
              </w:r>
            </w:hyperlink>
            <w:r>
              <w:t xml:space="preserve">,</w:t>
            </w:r>
            <w:r>
              <w:t xml:space="preserve"> </w:t>
            </w:r>
            <w:hyperlink r:id="rId89">
              <w:r>
                <w:rPr>
                  <w:rStyle w:val="Referenciaatema"/>
                </w:rPr>
                <w:t xml:space="preserve">4.A.16</w:t>
              </w:r>
            </w:hyperlink>
            <w:r>
              <w:t xml:space="preserve">,</w:t>
            </w:r>
            <w:r>
              <w:t xml:space="preserve"> </w:t>
            </w:r>
            <w:hyperlink r:id="rId220">
              <w:r>
                <w:rPr>
                  <w:rStyle w:val="Referenciaatema"/>
                </w:rPr>
                <w:t xml:space="preserve">4.B.1</w:t>
              </w:r>
            </w:hyperlink>
            <w:r>
              <w:t xml:space="preserve">,</w:t>
            </w:r>
            <w:r>
              <w:t xml:space="preserve"> </w:t>
            </w:r>
            <w:hyperlink r:id="rId39">
              <w:r>
                <w:rPr>
                  <w:rStyle w:val="Referenciaatema"/>
                </w:rPr>
                <w:t xml:space="preserve">4.B.4</w:t>
              </w:r>
            </w:hyperlink>
            <w:r>
              <w:t xml:space="preserve">,</w:t>
            </w:r>
            <w:r>
              <w:t xml:space="preserve"> </w:t>
            </w:r>
            <w:hyperlink r:id="rId184">
              <w:r>
                <w:rPr>
                  <w:rStyle w:val="Referenciaatema"/>
                </w:rPr>
                <w:t xml:space="preserve">4.B.5</w:t>
              </w:r>
            </w:hyperlink>
            <w:r>
              <w:t xml:space="preserve">,</w:t>
            </w:r>
            <w:r>
              <w:t xml:space="preserve"> </w:t>
            </w:r>
            <w:hyperlink r:id="rId185">
              <w:r>
                <w:rPr>
                  <w:rStyle w:val="Referenciaatema"/>
                </w:rPr>
                <w:t xml:space="preserve">4.B.7</w:t>
              </w:r>
            </w:hyperlink>
            <w:r>
              <w:t xml:space="preserve">,</w:t>
            </w:r>
            <w:r>
              <w:t xml:space="preserve"> </w:t>
            </w:r>
            <w:hyperlink r:id="rId256">
              <w:r>
                <w:rPr>
                  <w:rStyle w:val="Referenciaatema"/>
                </w:rPr>
                <w:t xml:space="preserve">4.B.21</w:t>
              </w:r>
            </w:hyperlink>
            <w:r>
              <w:t xml:space="preserve">,</w:t>
            </w:r>
            <w:r>
              <w:t xml:space="preserve"> </w:t>
            </w:r>
            <w:hyperlink r:id="rId339">
              <w:r>
                <w:rPr>
                  <w:rStyle w:val="Referenciaatema"/>
                </w:rPr>
                <w:t xml:space="preserve">4.B.23</w:t>
              </w:r>
            </w:hyperlink>
            <w:r>
              <w:t xml:space="preserve">,</w:t>
            </w:r>
            <w:r>
              <w:t xml:space="preserve"> </w:t>
            </w:r>
            <w:hyperlink r:id="rId180">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340">
              <w:r>
                <w:rPr>
                  <w:rStyle w:val="Referenciaatema"/>
                </w:rPr>
                <w:t xml:space="preserve">3.A.15</w:t>
              </w:r>
            </w:hyperlink>
            <w:r>
              <w:t xml:space="preserve">,</w:t>
            </w:r>
            <w:r>
              <w:t xml:space="preserve"> </w:t>
            </w:r>
            <w:hyperlink r:id="rId341">
              <w:r>
                <w:rPr>
                  <w:rStyle w:val="Referenciaatema"/>
                </w:rPr>
                <w:t xml:space="preserve">3.A.20</w:t>
              </w:r>
            </w:hyperlink>
            <w:r>
              <w:t xml:space="preserve">,</w:t>
            </w:r>
            <w:r>
              <w:t xml:space="preserve"> </w:t>
            </w:r>
            <w:hyperlink r:id="rId342">
              <w:r>
                <w:rPr>
                  <w:rStyle w:val="Referenciaatema"/>
                </w:rPr>
                <w:t xml:space="preserve">3.A.23</w:t>
              </w:r>
            </w:hyperlink>
            <w:r>
              <w:t xml:space="preserve">,</w:t>
            </w:r>
            <w:r>
              <w:t xml:space="preserve"> </w:t>
            </w:r>
            <w:hyperlink r:id="rId145">
              <w:r>
                <w:rPr>
                  <w:rStyle w:val="Referenciaatema"/>
                </w:rPr>
                <w:t xml:space="preserve">3.B.22</w:t>
              </w:r>
            </w:hyperlink>
          </w:p>
        </w:tc>
        <w:tc>
          <w:tcPr/>
          <w:p>
            <w:pPr>
              <w:pStyle w:val="Compact"/>
              <w:jc w:val="left"/>
            </w:pPr>
            <w:hyperlink r:id="rId343">
              <w:r>
                <w:rPr>
                  <w:rStyle w:val="Referenciaatema"/>
                </w:rPr>
                <w:t xml:space="preserve">4.A.7</w:t>
              </w:r>
            </w:hyperlink>
            <w:r>
              <w:t xml:space="preserve">,</w:t>
            </w:r>
            <w:r>
              <w:t xml:space="preserve"> </w:t>
            </w:r>
            <w:hyperlink r:id="rId338">
              <w:r>
                <w:rPr>
                  <w:rStyle w:val="Referenciaatema"/>
                </w:rPr>
                <w:t xml:space="preserve">4.A.15</w:t>
              </w:r>
            </w:hyperlink>
            <w:r>
              <w:t xml:space="preserve">,</w:t>
            </w:r>
            <w:r>
              <w:t xml:space="preserve"> </w:t>
            </w:r>
            <w:hyperlink r:id="rId89">
              <w:r>
                <w:rPr>
                  <w:rStyle w:val="Referenciaatema"/>
                </w:rPr>
                <w:t xml:space="preserve">4.A.16</w:t>
              </w:r>
            </w:hyperlink>
            <w:r>
              <w:t xml:space="preserve">,</w:t>
            </w:r>
            <w:r>
              <w:t xml:space="preserve"> </w:t>
            </w:r>
            <w:hyperlink r:id="rId344">
              <w:r>
                <w:rPr>
                  <w:rStyle w:val="Referenciaatema"/>
                </w:rPr>
                <w:t xml:space="preserve">4.A.24</w:t>
              </w:r>
            </w:hyperlink>
            <w:r>
              <w:t xml:space="preserve">,</w:t>
            </w:r>
            <w:r>
              <w:t xml:space="preserve"> </w:t>
            </w:r>
            <w:hyperlink r:id="rId332">
              <w:r>
                <w:rPr>
                  <w:rStyle w:val="Referenciaatema"/>
                </w:rPr>
                <w:t xml:space="preserve">4.A.25</w:t>
              </w:r>
            </w:hyperlink>
          </w:p>
        </w:tc>
      </w:tr>
      <w:tr>
        <w:trPr>
          <w:cantSplit/>
        </w:trPr>
        <w:tc>
          <w:tcPr/>
          <w:p>
            <w:pPr>
              <w:pStyle w:val="Compact"/>
              <w:jc w:val="left"/>
            </w:pPr>
            <w:r>
              <w:t xml:space="preserve">Lectura de series</w:t>
            </w:r>
          </w:p>
        </w:tc>
        <w:tc>
          <w:tcPr/>
          <w:p>
            <w:pPr>
              <w:pStyle w:val="Compact"/>
              <w:jc w:val="left"/>
            </w:pPr>
            <w:hyperlink r:id="rId21">
              <w:r>
                <w:rPr>
                  <w:rStyle w:val="Referenciaatema"/>
                </w:rPr>
                <w:t xml:space="preserve">3.A.42</w:t>
              </w:r>
            </w:hyperlink>
            <w:r>
              <w:t xml:space="preserve">,</w:t>
            </w:r>
            <w:r>
              <w:t xml:space="preserve"> </w:t>
            </w:r>
            <w:hyperlink r:id="rId211">
              <w:r>
                <w:rPr>
                  <w:rStyle w:val="Referenciaatema"/>
                </w:rPr>
                <w:t xml:space="preserve">5.B.5</w:t>
              </w:r>
            </w:hyperlink>
          </w:p>
        </w:tc>
        <w:tc>
          <w:tcPr/>
          <w:p>
            <w:pPr>
              <w:pStyle w:val="Compact"/>
              <w:jc w:val="left"/>
            </w:pPr>
            <w:hyperlink r:id="rId35">
              <w:r>
                <w:rPr>
                  <w:rStyle w:val="Referenciaatema"/>
                </w:rPr>
                <w:t xml:space="preserve">4.A.1</w:t>
              </w:r>
            </w:hyperlink>
          </w:p>
        </w:tc>
      </w:tr>
    </w:tbl>
    <w:bookmarkEnd w:id="345"/>
    <w:p>
      <w:pPr>
        <w:pStyle w:val="BodyText"/>
      </w:pPr>
      <w:r>
        <w:rPr>
          <w:i/>
          <w:iCs/>
        </w:rPr>
        <w:t xml:space="preserve">Fuente: Elaboración propia a partir de los títulos del temario vigente.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Start w:id="607" w:name="bibliografia"/>
    <w:p>
      <w:pPr>
        <w:pStyle w:val="Heading1"/>
      </w:pPr>
      <w:r>
        <w:t xml:space="preserve">Bibliografía</w:t>
      </w:r>
    </w:p>
    <w:bookmarkStart w:id="606" w:name="refs"/>
    <w:bookmarkStart w:id="348"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347">
        <w:r>
          <w:rPr>
            <w:rStyle w:val="Hyperlink"/>
          </w:rPr>
          <w:t xml:space="preserve">https://doi.org/10.1257/jep.33.4.187</w:t>
        </w:r>
      </w:hyperlink>
      <w:r>
        <w:t xml:space="preserve">.</w:t>
      </w:r>
    </w:p>
    <w:bookmarkEnd w:id="348"/>
    <w:bookmarkStart w:id="350"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349">
        <w:r>
          <w:rPr>
            <w:rStyle w:val="Hyperlink"/>
          </w:rPr>
          <w:t xml:space="preserve">https://youtu.be/gJoQz2CiHBI</w:t>
        </w:r>
      </w:hyperlink>
      <w:r>
        <w:t xml:space="preserve">.</w:t>
      </w:r>
    </w:p>
    <w:bookmarkEnd w:id="350"/>
    <w:bookmarkStart w:id="352"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351">
        <w:r>
          <w:rPr>
            <w:rStyle w:val="Hyperlink"/>
          </w:rPr>
          <w:t xml:space="preserve">https://atcee.es/la-oposicion-tcee/examenes-anteriores/</w:t>
        </w:r>
      </w:hyperlink>
      <w:r>
        <w:t xml:space="preserve">.</w:t>
      </w:r>
    </w:p>
    <w:bookmarkEnd w:id="352"/>
    <w:bookmarkStart w:id="354"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353">
        <w:r>
          <w:rPr>
            <w:rStyle w:val="Hyperlink"/>
          </w:rPr>
          <w:t xml:space="preserve">https://www.eba.europa.eu/regulation-and-policy/credit-risk/guidelines-legislative-and-non-legislative-moratoria-loan-repayments-applied-light-covid-19-crisis</w:t>
        </w:r>
      </w:hyperlink>
      <w:r>
        <w:t xml:space="preserve">.</w:t>
      </w:r>
    </w:p>
    <w:bookmarkEnd w:id="354"/>
    <w:bookmarkStart w:id="356"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355">
        <w:r>
          <w:rPr>
            <w:rStyle w:val="Hyperlink"/>
          </w:rPr>
          <w:t xml:space="preserve">https://doi.org/10.1111/jmcb.12420</w:t>
        </w:r>
      </w:hyperlink>
      <w:r>
        <w:t xml:space="preserve">.</w:t>
      </w:r>
    </w:p>
    <w:bookmarkEnd w:id="356"/>
    <w:bookmarkStart w:id="358"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357">
        <w:r>
          <w:rPr>
            <w:rStyle w:val="Hyperlink"/>
          </w:rPr>
          <w:t xml:space="preserve">https://www.ecb.europa.eu/pub/financial-stability/fsr/html/ecb.fsr202011~b7be9ae1f1.en.html</w:t>
        </w:r>
      </w:hyperlink>
      <w:r>
        <w:t xml:space="preserve">.</w:t>
      </w:r>
    </w:p>
    <w:bookmarkEnd w:id="358"/>
    <w:bookmarkStart w:id="360"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359">
        <w:r>
          <w:rPr>
            <w:rStyle w:val="Hyperlink"/>
          </w:rPr>
          <w:t xml:space="preserve">https://eur-lex.europa.eu/legal-content/ES/TXT/?uri=CELEX:32020HB0019</w:t>
        </w:r>
      </w:hyperlink>
      <w:r>
        <w:t xml:space="preserve">.</w:t>
      </w:r>
    </w:p>
    <w:bookmarkEnd w:id="360"/>
    <w:bookmarkStart w:id="362"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361">
        <w:r>
          <w:rPr>
            <w:rStyle w:val="Hyperlink"/>
          </w:rPr>
          <w:t xml:space="preserve">https://www.ecb.europa.eu/pub/annual/html/ecb.ar2022~8ae51d163b.es.html</w:t>
        </w:r>
      </w:hyperlink>
      <w:r>
        <w:t xml:space="preserve">.</w:t>
      </w:r>
    </w:p>
    <w:bookmarkEnd w:id="362"/>
    <w:bookmarkStart w:id="364"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363">
        <w:r>
          <w:rPr>
            <w:rStyle w:val="Hyperlink"/>
          </w:rPr>
          <w:t xml:space="preserve">https://www.ecb.europa.eu/press/pr/date/2024/html/ecb.pr240313~807e240020.en.html</w:t>
        </w:r>
      </w:hyperlink>
      <w:r>
        <w:t xml:space="preserve">.</w:t>
      </w:r>
    </w:p>
    <w:bookmarkEnd w:id="364"/>
    <w:bookmarkStart w:id="366"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365">
        <w:r>
          <w:rPr>
            <w:rStyle w:val="Hyperlink"/>
          </w:rPr>
          <w:t xml:space="preserve">https://www.bankingsupervision.europa.eu/activities/srep/2025/html/ssm.srep202511_aggregatedresults2025.en.html</w:t>
        </w:r>
      </w:hyperlink>
      <w:r>
        <w:t xml:space="preserve">.</w:t>
      </w:r>
    </w:p>
    <w:bookmarkEnd w:id="366"/>
    <w:bookmarkStart w:id="368"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367">
        <w:r>
          <w:rPr>
            <w:rStyle w:val="Hyperlink"/>
          </w:rPr>
          <w:t xml:space="preserve">https://www.ecb.europa.eu/mopo/strategy/strategy-review/ecb.strategyreview202506_strategy_statement.es.html</w:t>
        </w:r>
      </w:hyperlink>
      <w:r>
        <w:t xml:space="preserve">.</w:t>
      </w:r>
    </w:p>
    <w:bookmarkEnd w:id="368"/>
    <w:bookmarkStart w:id="370"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369">
        <w:r>
          <w:rPr>
            <w:rStyle w:val="Hyperlink"/>
          </w:rPr>
          <w:t xml:space="preserve">https://www.ecb.europa.eu/press/pr/date/2026/html/ecb.pr260101~c830245e42.es.html</w:t>
        </w:r>
      </w:hyperlink>
      <w:r>
        <w:t xml:space="preserve">.</w:t>
      </w:r>
    </w:p>
    <w:bookmarkEnd w:id="370"/>
    <w:bookmarkStart w:id="372"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371">
        <w:r>
          <w:rPr>
            <w:rStyle w:val="Hyperlink"/>
          </w:rPr>
          <w:t xml:space="preserve">https://data.ecb.europa.eu/data/datasets/EXR</w:t>
        </w:r>
      </w:hyperlink>
      <w:r>
        <w:t xml:space="preserve">.</w:t>
      </w:r>
    </w:p>
    <w:bookmarkEnd w:id="372"/>
    <w:bookmarkStart w:id="374"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373">
        <w:r>
          <w:rPr>
            <w:rStyle w:val="Hyperlink"/>
          </w:rPr>
          <w:t xml:space="preserve">https://data.ecb.europa.eu/data/datasets/ILM</w:t>
        </w:r>
      </w:hyperlink>
      <w:r>
        <w:t xml:space="preserve">.</w:t>
      </w:r>
    </w:p>
    <w:bookmarkEnd w:id="374"/>
    <w:bookmarkStart w:id="376"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375">
        <w:r>
          <w:rPr>
            <w:rStyle w:val="Hyperlink"/>
          </w:rPr>
          <w:t xml:space="preserve">https://www.bankingsupervision.europa.eu/press/pr/date/2026/html/ssm.pr260915~7917ca1416.es.html</w:t>
        </w:r>
      </w:hyperlink>
      <w:r>
        <w:t xml:space="preserve">.</w:t>
      </w:r>
    </w:p>
    <w:bookmarkEnd w:id="376"/>
    <w:bookmarkStart w:id="378"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377">
        <w:r>
          <w:rPr>
            <w:rStyle w:val="Hyperlink"/>
          </w:rPr>
          <w:t xml:space="preserve">https://www.ecb.europa.eu/paym/coll/risk/ecaf/html/index.en.html</w:t>
        </w:r>
      </w:hyperlink>
      <w:r>
        <w:t xml:space="preserve">.</w:t>
      </w:r>
    </w:p>
    <w:bookmarkEnd w:id="378"/>
    <w:bookmarkStart w:id="380"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379">
        <w:r>
          <w:rPr>
            <w:rStyle w:val="Hyperlink"/>
          </w:rPr>
          <w:t xml:space="preserve">https://www.ecb.europa.eu/stats/policy_and_exchange_rates/key_ecb_interest_rates/html/index.en.html</w:t>
        </w:r>
      </w:hyperlink>
      <w:r>
        <w:t xml:space="preserve">.</w:t>
      </w:r>
    </w:p>
    <w:bookmarkEnd w:id="380"/>
    <w:bookmarkStart w:id="382"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381">
        <w:r>
          <w:rPr>
            <w:rStyle w:val="Hyperlink"/>
          </w:rPr>
          <w:t xml:space="preserve">https://www.bde.es/webbe/es/estadisticas/compartido/docs/notaNGEU.pdf</w:t>
        </w:r>
      </w:hyperlink>
      <w:r>
        <w:t xml:space="preserve">.</w:t>
      </w:r>
    </w:p>
    <w:bookmarkEnd w:id="382"/>
    <w:bookmarkStart w:id="384"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383">
        <w:r>
          <w:rPr>
            <w:rStyle w:val="Hyperlink"/>
          </w:rPr>
          <w:t xml:space="preserve">https://www.bde.es/f/webbe/INF/MenuVertical/EstabilidadFinanciera/Colchon_capital/Resolucion_CCA_2025T4.pdf</w:t>
        </w:r>
      </w:hyperlink>
      <w:r>
        <w:t xml:space="preserve">.</w:t>
      </w:r>
    </w:p>
    <w:bookmarkEnd w:id="384"/>
    <w:bookmarkStart w:id="386"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385">
        <w:r>
          <w:rPr>
            <w:rStyle w:val="Hyperlink"/>
          </w:rPr>
          <w:t xml:space="preserve">https://www.bde.es/f/webbe/GAP/Secciones/SalaPrensa/NotasInformativas/26/presbe2026-90.pdf</w:t>
        </w:r>
      </w:hyperlink>
      <w:r>
        <w:t xml:space="preserve">.</w:t>
      </w:r>
    </w:p>
    <w:bookmarkEnd w:id="386"/>
    <w:bookmarkStart w:id="388"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387">
        <w:r>
          <w:rPr>
            <w:rStyle w:val="Hyperlink"/>
          </w:rPr>
          <w:t xml:space="preserve">https://www.bde.es/wbe/es/publicaciones/informes-memorias-anuales/informe-anual/informe-anual-2025.html</w:t>
        </w:r>
      </w:hyperlink>
      <w:r>
        <w:t xml:space="preserve">.</w:t>
      </w:r>
    </w:p>
    <w:bookmarkEnd w:id="388"/>
    <w:bookmarkStart w:id="390"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389">
        <w:r>
          <w:rPr>
            <w:rStyle w:val="Hyperlink"/>
          </w:rPr>
          <w:t xml:space="preserve">https://www.bis.org/publ/arpdf/ar2024e.htm</w:t>
        </w:r>
      </w:hyperlink>
      <w:r>
        <w:t xml:space="preserve">.</w:t>
      </w:r>
    </w:p>
    <w:bookmarkEnd w:id="390"/>
    <w:bookmarkStart w:id="392" w:name="ref_BM2026WDI"/>
    <w:p>
      <w:pPr>
        <w:pStyle w:val="Bibliography"/>
      </w:pPr>
      <w:r>
        <w:t xml:space="preserve">Banco Mundial (2026).</w:t>
      </w:r>
      <w:r>
        <w:t xml:space="preserve"> </w:t>
      </w:r>
      <w:r>
        <w:t xml:space="preserve">«World Development Indicators»</w:t>
      </w:r>
      <w:r>
        <w:t xml:space="preserve">. 2026.</w:t>
      </w:r>
      <w:r>
        <w:t xml:space="preserve"> </w:t>
      </w:r>
      <w:hyperlink r:id="rId391">
        <w:r>
          <w:rPr>
            <w:rStyle w:val="Hyperlink"/>
          </w:rPr>
          <w:t xml:space="preserve">https://data.worldbank.org/indicator/NE.TRD.GNFS.ZS</w:t>
        </w:r>
      </w:hyperlink>
      <w:r>
        <w:t xml:space="preserve">.</w:t>
      </w:r>
    </w:p>
    <w:bookmarkEnd w:id="392"/>
    <w:bookmarkStart w:id="394"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393">
        <w:r>
          <w:rPr>
            <w:rStyle w:val="Hyperlink"/>
          </w:rPr>
          <w:t xml:space="preserve">https://www.bankinter.com/blog/economia/leer-rating-agencias-calificacion-financiera</w:t>
        </w:r>
      </w:hyperlink>
      <w:r>
        <w:t xml:space="preserve">.</w:t>
      </w:r>
    </w:p>
    <w:bookmarkEnd w:id="394"/>
    <w:bookmarkStart w:id="396"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395">
        <w:r>
          <w:rPr>
            <w:rStyle w:val="Hyperlink"/>
          </w:rPr>
          <w:t xml:space="preserve">https://doi.org/10.1086/260266</w:t>
        </w:r>
      </w:hyperlink>
      <w:r>
        <w:t xml:space="preserve">.</w:t>
      </w:r>
    </w:p>
    <w:bookmarkEnd w:id="396"/>
    <w:bookmarkStart w:id="398"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397">
        <w:r>
          <w:rPr>
            <w:rStyle w:val="Hyperlink"/>
          </w:rPr>
          <w:t xml:space="preserve">https://www.bis.org/bcbs/publ/d424.htm</w:t>
        </w:r>
      </w:hyperlink>
      <w:r>
        <w:t xml:space="preserve">.</w:t>
      </w:r>
    </w:p>
    <w:bookmarkEnd w:id="398"/>
    <w:bookmarkStart w:id="400"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399">
        <w:r>
          <w:rPr>
            <w:rStyle w:val="Hyperlink"/>
          </w:rPr>
          <w:t xml:space="preserve">https://doi.org/10.1257/aer.109.4.1197</w:t>
        </w:r>
      </w:hyperlink>
      <w:r>
        <w:t xml:space="preserve">.</w:t>
      </w:r>
    </w:p>
    <w:bookmarkEnd w:id="400"/>
    <w:bookmarkStart w:id="402"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401">
        <w:r>
          <w:rPr>
            <w:rStyle w:val="Hyperlink"/>
          </w:rPr>
          <w:t xml:space="preserve">https://doi.org/10.2307/2534495</w:t>
        </w:r>
      </w:hyperlink>
      <w:r>
        <w:t xml:space="preserve">.</w:t>
      </w:r>
    </w:p>
    <w:bookmarkEnd w:id="402"/>
    <w:bookmarkStart w:id="404"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403">
        <w:r>
          <w:rPr>
            <w:rStyle w:val="Hyperlink"/>
          </w:rPr>
          <w:t xml:space="preserve">https://doi.org/10.1257/jep.5.1.73</w:t>
        </w:r>
      </w:hyperlink>
      <w:r>
        <w:t xml:space="preserve">.</w:t>
      </w:r>
    </w:p>
    <w:bookmarkEnd w:id="404"/>
    <w:bookmarkStart w:id="406"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405">
        <w:r>
          <w:rPr>
            <w:rStyle w:val="Hyperlink"/>
          </w:rPr>
          <w:t xml:space="preserve">https://www.bbvaresearch.com/publicaciones/espana-la-economia-espanola-en-el-primer-ano-de-la-guerra-de-ucrania/</w:t>
        </w:r>
      </w:hyperlink>
      <w:r>
        <w:t xml:space="preserve">.</w:t>
      </w:r>
    </w:p>
    <w:bookmarkEnd w:id="406"/>
    <w:bookmarkStart w:id="408"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407">
        <w:r>
          <w:rPr>
            <w:rStyle w:val="Hyperlink"/>
          </w:rPr>
          <w:t xml:space="preserve">https://doi.org/10.2307/1344503</w:t>
        </w:r>
      </w:hyperlink>
      <w:r>
        <w:t xml:space="preserve">.</w:t>
      </w:r>
    </w:p>
    <w:bookmarkEnd w:id="408"/>
    <w:bookmarkStart w:id="410"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409">
        <w:r>
          <w:rPr>
            <w:rStyle w:val="Hyperlink"/>
          </w:rPr>
          <w:t xml:space="preserve">https://doi.org/10.1080/15140326.1998.12040516</w:t>
        </w:r>
      </w:hyperlink>
      <w:r>
        <w:t xml:space="preserve">.</w:t>
      </w:r>
    </w:p>
    <w:bookmarkEnd w:id="410"/>
    <w:bookmarkStart w:id="412"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411">
        <w:r>
          <w:rPr>
            <w:rStyle w:val="Hyperlink"/>
          </w:rPr>
          <w:t xml:space="preserve">https://doi.org/10.1162/003355302753650274</w:t>
        </w:r>
      </w:hyperlink>
      <w:r>
        <w:t xml:space="preserve">.</w:t>
      </w:r>
    </w:p>
    <w:bookmarkEnd w:id="412"/>
    <w:bookmarkStart w:id="414"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413">
        <w:r>
          <w:rPr>
            <w:rStyle w:val="Hyperlink"/>
          </w:rPr>
          <w:t xml:space="preserve">https://doi.org/10.1162/003465305775098189</w:t>
        </w:r>
      </w:hyperlink>
      <w:r>
        <w:t xml:space="preserve">.</w:t>
      </w:r>
    </w:p>
    <w:bookmarkEnd w:id="414"/>
    <w:bookmarkStart w:id="416"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415">
        <w:r>
          <w:rPr>
            <w:rStyle w:val="Hyperlink"/>
          </w:rPr>
          <w:t xml:space="preserve">https://doi.org/10.1093/jeea/jvx028</w:t>
        </w:r>
      </w:hyperlink>
      <w:r>
        <w:t xml:space="preserve">.</w:t>
      </w:r>
    </w:p>
    <w:bookmarkEnd w:id="416"/>
    <w:bookmarkStart w:id="417"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417"/>
    <w:bookmarkStart w:id="419"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418">
        <w:r>
          <w:rPr>
            <w:rStyle w:val="Hyperlink"/>
          </w:rPr>
          <w:t xml:space="preserve">https://doi.org/10.1016/j.jinteco.2014.05.003</w:t>
        </w:r>
      </w:hyperlink>
      <w:r>
        <w:t xml:space="preserve">.</w:t>
      </w:r>
    </w:p>
    <w:bookmarkEnd w:id="419"/>
    <w:bookmarkStart w:id="421"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420">
        <w:r>
          <w:rPr>
            <w:rStyle w:val="Hyperlink"/>
          </w:rPr>
          <w:t xml:space="preserve">https://eur-lex.europa.eu/legal-content/ES/TXT/?uri=CELEX:52015PC0586</w:t>
        </w:r>
      </w:hyperlink>
      <w:r>
        <w:t xml:space="preserve">.</w:t>
      </w:r>
    </w:p>
    <w:bookmarkEnd w:id="421"/>
    <w:bookmarkStart w:id="423" w:name="ref_CE2024Envejecimiento"/>
    <w:p>
      <w:pPr>
        <w:pStyle w:val="Bibliography"/>
      </w:pPr>
      <w:r>
        <w:t xml:space="preserve">Comisión Europea (2024).</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422">
        <w:r>
          <w:rPr>
            <w:rStyle w:val="Hyperlink"/>
          </w:rPr>
          <w:t xml:space="preserve">https://doi.org/10.2765/022983</w:t>
        </w:r>
      </w:hyperlink>
      <w:r>
        <w:t xml:space="preserve">.</w:t>
      </w:r>
    </w:p>
    <w:bookmarkEnd w:id="423"/>
    <w:bookmarkStart w:id="425"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424">
        <w:r>
          <w:rPr>
            <w:rStyle w:val="Hyperlink"/>
          </w:rPr>
          <w:t xml:space="preserve">https://eur-lex.europa.eu/legal-content/EN/ALL/?uri=CELEX:52025DC0956</w:t>
        </w:r>
      </w:hyperlink>
      <w:r>
        <w:t xml:space="preserve">.</w:t>
      </w:r>
    </w:p>
    <w:bookmarkEnd w:id="425"/>
    <w:bookmarkStart w:id="427"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426">
        <w:r>
          <w:rPr>
            <w:rStyle w:val="Hyperlink"/>
          </w:rPr>
          <w:t xml:space="preserve">https://economy-finance.ec.europa.eu/economic-forecast-and-surveys/business-and-consumer-surveys_en</w:t>
        </w:r>
      </w:hyperlink>
      <w:r>
        <w:t xml:space="preserve">.</w:t>
      </w:r>
    </w:p>
    <w:bookmarkEnd w:id="427"/>
    <w:bookmarkStart w:id="429"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428">
        <w:r>
          <w:rPr>
            <w:rStyle w:val="Hyperlink"/>
          </w:rPr>
          <w:t xml:space="preserve">https://economy-finance.ec.europa.eu/economic-research-and-databases/economic-databases/ameco-database_en</w:t>
        </w:r>
      </w:hyperlink>
      <w:r>
        <w:t xml:space="preserve">.</w:t>
      </w:r>
    </w:p>
    <w:bookmarkEnd w:id="429"/>
    <w:bookmarkStart w:id="431"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430">
        <w:r>
          <w:rPr>
            <w:rStyle w:val="Hyperlink"/>
          </w:rPr>
          <w:t xml:space="preserve">https://www.bis.org/publ/bcbs187.htm</w:t>
        </w:r>
      </w:hyperlink>
      <w:r>
        <w:t xml:space="preserve">.</w:t>
      </w:r>
    </w:p>
    <w:bookmarkEnd w:id="431"/>
    <w:bookmarkStart w:id="433"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432">
        <w:r>
          <w:rPr>
            <w:rStyle w:val="Hyperlink"/>
          </w:rPr>
          <w:t xml:space="preserve">https://www.bis.org/publ/bcbs189.htm</w:t>
        </w:r>
      </w:hyperlink>
      <w:r>
        <w:t xml:space="preserve">.</w:t>
      </w:r>
    </w:p>
    <w:bookmarkEnd w:id="433"/>
    <w:bookmarkStart w:id="435"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434">
        <w:r>
          <w:rPr>
            <w:rStyle w:val="Hyperlink"/>
          </w:rPr>
          <w:t xml:space="preserve">https://www.bis.org/publ/bcbs238.htm</w:t>
        </w:r>
      </w:hyperlink>
      <w:r>
        <w:t xml:space="preserve">.</w:t>
      </w:r>
    </w:p>
    <w:bookmarkEnd w:id="435"/>
    <w:bookmarkStart w:id="437"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436">
        <w:r>
          <w:rPr>
            <w:rStyle w:val="Hyperlink"/>
          </w:rPr>
          <w:t xml:space="preserve">https://www.bis.org/bcbs/publ/d295.htm</w:t>
        </w:r>
      </w:hyperlink>
      <w:r>
        <w:t xml:space="preserve">.</w:t>
      </w:r>
    </w:p>
    <w:bookmarkEnd w:id="437"/>
    <w:bookmarkStart w:id="439"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438">
        <w:r>
          <w:rPr>
            <w:rStyle w:val="Hyperlink"/>
          </w:rPr>
          <w:t xml:space="preserve">https://eur-lex.europa.eu/legal-content/ES/TXT/?uri=CELEX:32013R1024</w:t>
        </w:r>
      </w:hyperlink>
      <w:r>
        <w:t xml:space="preserve">.</w:t>
      </w:r>
    </w:p>
    <w:bookmarkEnd w:id="439"/>
    <w:bookmarkStart w:id="441"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440">
        <w:r>
          <w:rPr>
            <w:rStyle w:val="Hyperlink"/>
          </w:rPr>
          <w:t xml:space="preserve">https://eur-lex.europa.eu/eli/reg/2024/1264/oj</w:t>
        </w:r>
      </w:hyperlink>
      <w:r>
        <w:t xml:space="preserve">.</w:t>
      </w:r>
    </w:p>
    <w:bookmarkEnd w:id="441"/>
    <w:bookmarkStart w:id="443"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442">
        <w:r>
          <w:rPr>
            <w:rStyle w:val="Hyperlink"/>
          </w:rPr>
          <w:t xml:space="preserve">https://doi.org/10.2307/2232670</w:t>
        </w:r>
      </w:hyperlink>
      <w:r>
        <w:t xml:space="preserve">.</w:t>
      </w:r>
    </w:p>
    <w:bookmarkEnd w:id="443"/>
    <w:bookmarkStart w:id="444" w:name="ref_GuiaDictamenJLCT"/>
    <w:p>
      <w:pPr>
        <w:pStyle w:val="Bibliography"/>
      </w:pPr>
      <w:r>
        <w:t xml:space="preserve">Cordero Tarifa, Juan Luis (s. f.).</w:t>
      </w:r>
      <w:r>
        <w:t xml:space="preserve"> </w:t>
      </w:r>
      <w:r>
        <w:t xml:space="preserve">«Guía de dictamen económico»</w:t>
      </w:r>
      <w:r>
        <w:t xml:space="preserve">.</w:t>
      </w:r>
    </w:p>
    <w:bookmarkEnd w:id="444"/>
    <w:bookmarkStart w:id="445"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445"/>
    <w:bookmarkStart w:id="447"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446">
        <w:r>
          <w:rPr>
            <w:rStyle w:val="Hyperlink"/>
          </w:rPr>
          <w:t xml:space="preserve">https://doi.org/10.7208/chicago/9780226194578.003.0002</w:t>
        </w:r>
      </w:hyperlink>
      <w:r>
        <w:t xml:space="preserve">.</w:t>
      </w:r>
    </w:p>
    <w:bookmarkEnd w:id="447"/>
    <w:bookmarkStart w:id="449"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448">
        <w:r>
          <w:rPr>
            <w:rStyle w:val="Hyperlink"/>
          </w:rPr>
          <w:t xml:space="preserve">https://doi.org/10.1162/003465398557320</w:t>
        </w:r>
      </w:hyperlink>
      <w:r>
        <w:t xml:space="preserve">.</w:t>
      </w:r>
    </w:p>
    <w:bookmarkEnd w:id="449"/>
    <w:bookmarkStart w:id="451"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450">
        <w:r>
          <w:rPr>
            <w:rStyle w:val="Hyperlink"/>
          </w:rPr>
          <w:t xml:space="preserve">https://www.eba.europa.eu/risk-and-data-analysis/risk-analysis/risk-monitoring/risk-dashboard</w:t>
        </w:r>
      </w:hyperlink>
      <w:r>
        <w:t xml:space="preserve">.</w:t>
      </w:r>
    </w:p>
    <w:bookmarkEnd w:id="451"/>
    <w:bookmarkStart w:id="453"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452">
        <w:r>
          <w:rPr>
            <w:rStyle w:val="Hyperlink"/>
          </w:rPr>
          <w:t xml:space="preserve">https://www.eba.europa.eu/sites/default/files/2026-09/26394108-1837-4b5b-bce2-fba1d3c574b1/EBA%20Dashboard%20-%20Q2%202026.pdf</w:t>
        </w:r>
      </w:hyperlink>
      <w:r>
        <w:t xml:space="preserve">.</w:t>
      </w:r>
    </w:p>
    <w:bookmarkEnd w:id="453"/>
    <w:bookmarkStart w:id="455"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454">
        <w:r>
          <w:rPr>
            <w:rStyle w:val="Hyperlink"/>
          </w:rPr>
          <w:t xml:space="preserve">https://commission.europa.eu/system/files/2021-06/2021_06_16_efb_assessment_of_euro_area_fiscal_stance_en.pdf</w:t>
        </w:r>
      </w:hyperlink>
      <w:r>
        <w:t xml:space="preserve">.</w:t>
      </w:r>
    </w:p>
    <w:bookmarkEnd w:id="455"/>
    <w:bookmarkStart w:id="457"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456">
        <w:r>
          <w:rPr>
            <w:rStyle w:val="Hyperlink"/>
          </w:rPr>
          <w:t xml:space="preserve">https://ec.europa.eu/eurostat/web/products-euro-indicators/-/2-22042013-ap</w:t>
        </w:r>
      </w:hyperlink>
      <w:r>
        <w:t xml:space="preserve">.</w:t>
      </w:r>
    </w:p>
    <w:bookmarkEnd w:id="457"/>
    <w:bookmarkStart w:id="459"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458">
        <w:r>
          <w:rPr>
            <w:rStyle w:val="Hyperlink"/>
          </w:rPr>
          <w:t xml:space="preserve">https://ec.europa.eu/eurostat/statistics-explained/index.php?title=Glossary:Housing_cost_overburden_rate</w:t>
        </w:r>
      </w:hyperlink>
      <w:r>
        <w:t xml:space="preserve">.</w:t>
      </w:r>
    </w:p>
    <w:bookmarkEnd w:id="459"/>
    <w:bookmarkStart w:id="461"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460">
        <w:r>
          <w:rPr>
            <w:rStyle w:val="Hyperlink"/>
          </w:rPr>
          <w:t xml:space="preserve">https://ec.europa.eu/eurostat/statistics-explained/index.php?title=The_Macroeconomic_Imbalance_Procedure_(MIP)_introduced</w:t>
        </w:r>
      </w:hyperlink>
      <w:r>
        <w:t xml:space="preserve">.</w:t>
      </w:r>
    </w:p>
    <w:bookmarkEnd w:id="461"/>
    <w:bookmarkStart w:id="463"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462">
        <w:r>
          <w:rPr>
            <w:rStyle w:val="Hyperlink"/>
          </w:rPr>
          <w:t xml:space="preserve">https://ec.europa.eu/eurostat/databrowser/view/lfsq_argan/default/table</w:t>
        </w:r>
      </w:hyperlink>
      <w:r>
        <w:t xml:space="preserve">.</w:t>
      </w:r>
    </w:p>
    <w:bookmarkEnd w:id="463"/>
    <w:bookmarkStart w:id="465"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464">
        <w:r>
          <w:rPr>
            <w:rStyle w:val="Hyperlink"/>
          </w:rPr>
          <w:t xml:space="preserve">https://ec.europa.eu/eurostat/databrowser/view/lfsa_argan/default/table</w:t>
        </w:r>
      </w:hyperlink>
      <w:r>
        <w:t xml:space="preserve">.</w:t>
      </w:r>
    </w:p>
    <w:bookmarkEnd w:id="465"/>
    <w:bookmarkStart w:id="467"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466">
        <w:r>
          <w:rPr>
            <w:rStyle w:val="Hyperlink"/>
          </w:rPr>
          <w:t xml:space="preserve">https://ec.europa.eu/eurostat/databrowser/view/namq_10_a10_e/default/table</w:t>
        </w:r>
      </w:hyperlink>
      <w:r>
        <w:t xml:space="preserve">.</w:t>
      </w:r>
    </w:p>
    <w:bookmarkEnd w:id="467"/>
    <w:bookmarkStart w:id="469"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468">
        <w:r>
          <w:rPr>
            <w:rStyle w:val="Hyperlink"/>
          </w:rPr>
          <w:t xml:space="preserve">https://ec.europa.eu/eurostat/databrowser/view/namq_10_gdp/default/table</w:t>
        </w:r>
      </w:hyperlink>
      <w:r>
        <w:t xml:space="preserve">.</w:t>
      </w:r>
    </w:p>
    <w:bookmarkEnd w:id="469"/>
    <w:bookmarkStart w:id="471"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470">
        <w:r>
          <w:rPr>
            <w:rStyle w:val="Hyperlink"/>
          </w:rPr>
          <w:t xml:space="preserve">https://ec.europa.eu/eurostat/databrowser/view/nama_10_gdp/default/table</w:t>
        </w:r>
      </w:hyperlink>
      <w:r>
        <w:t xml:space="preserve">.</w:t>
      </w:r>
    </w:p>
    <w:bookmarkEnd w:id="471"/>
    <w:bookmarkStart w:id="473"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472">
        <w:r>
          <w:rPr>
            <w:rStyle w:val="Hyperlink"/>
          </w:rPr>
          <w:t xml:space="preserve">https://ec.europa.eu/eurostat/databrowser/view/nama_10_a10/default/table</w:t>
        </w:r>
      </w:hyperlink>
      <w:r>
        <w:t xml:space="preserve">.</w:t>
      </w:r>
    </w:p>
    <w:bookmarkEnd w:id="473"/>
    <w:bookmarkStart w:id="475"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474">
        <w:r>
          <w:rPr>
            <w:rStyle w:val="Hyperlink"/>
          </w:rPr>
          <w:t xml:space="preserve">https://ec.europa.eu/eurostat/databrowser/view/prc_hicp_minr/default/table</w:t>
        </w:r>
      </w:hyperlink>
      <w:r>
        <w:t xml:space="preserve">.</w:t>
      </w:r>
    </w:p>
    <w:bookmarkEnd w:id="475"/>
    <w:bookmarkStart w:id="477"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476">
        <w:r>
          <w:rPr>
            <w:rStyle w:val="Hyperlink"/>
          </w:rPr>
          <w:t xml:space="preserve">https://ec.europa.eu/eurostat/databrowser/view/jvs_q_r21/default/table</w:t>
        </w:r>
      </w:hyperlink>
      <w:r>
        <w:t xml:space="preserve">.</w:t>
      </w:r>
    </w:p>
    <w:bookmarkEnd w:id="477"/>
    <w:bookmarkStart w:id="479"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478">
        <w:r>
          <w:rPr>
            <w:rStyle w:val="Hyperlink"/>
          </w:rPr>
          <w:t xml:space="preserve">https://ec.europa.eu/eurostat/databrowser/view/une_rt_q/default/table</w:t>
        </w:r>
      </w:hyperlink>
      <w:r>
        <w:t xml:space="preserve">.</w:t>
      </w:r>
    </w:p>
    <w:bookmarkEnd w:id="479"/>
    <w:bookmarkStart w:id="481"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480">
        <w:r>
          <w:rPr>
            <w:rStyle w:val="Hyperlink"/>
          </w:rPr>
          <w:t xml:space="preserve">https://doi.org/10.1093/qje/qjz036</w:t>
        </w:r>
      </w:hyperlink>
      <w:r>
        <w:t xml:space="preserve">.</w:t>
      </w:r>
    </w:p>
    <w:bookmarkEnd w:id="481"/>
    <w:bookmarkStart w:id="483"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482">
        <w:r>
          <w:rPr>
            <w:rStyle w:val="Hyperlink"/>
          </w:rPr>
          <w:t xml:space="preserve">https://www.levyinstitute.org/pubs/wp_651.pdf</w:t>
        </w:r>
      </w:hyperlink>
      <w:r>
        <w:t xml:space="preserve">.</w:t>
      </w:r>
    </w:p>
    <w:bookmarkEnd w:id="483"/>
    <w:bookmarkStart w:id="485"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484">
        <w:r>
          <w:rPr>
            <w:rStyle w:val="Hyperlink"/>
          </w:rPr>
          <w:t xml:space="preserve">https://www.imf.org/external/pubs/ft/bop/2007/pdf/bpm6.pdf</w:t>
        </w:r>
      </w:hyperlink>
      <w:r>
        <w:t xml:space="preserve">.</w:t>
      </w:r>
    </w:p>
    <w:bookmarkEnd w:id="485"/>
    <w:bookmarkStart w:id="487"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486">
        <w:r>
          <w:rPr>
            <w:rStyle w:val="Hyperlink"/>
          </w:rPr>
          <w:t xml:space="preserve">https://www.imf.org/external/np/pp/eng/2011/021411b.pdf</w:t>
        </w:r>
      </w:hyperlink>
      <w:r>
        <w:t xml:space="preserve">.</w:t>
      </w:r>
    </w:p>
    <w:bookmarkEnd w:id="487"/>
    <w:bookmarkStart w:id="488"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488"/>
    <w:bookmarkStart w:id="490"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489">
        <w:r>
          <w:rPr>
            <w:rStyle w:val="Hyperlink"/>
          </w:rPr>
          <w:t xml:space="preserve">https://www.edx.org/es/learn/finance/the-international-monetary-fund-financial-programming-and-policies-part-1-macroeconomic-accounts-analysis</w:t>
        </w:r>
      </w:hyperlink>
      <w:r>
        <w:t xml:space="preserve">.</w:t>
      </w:r>
    </w:p>
    <w:bookmarkEnd w:id="490"/>
    <w:bookmarkStart w:id="492"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491">
        <w:r>
          <w:rPr>
            <w:rStyle w:val="Hyperlink"/>
          </w:rPr>
          <w:t xml:space="preserve">https://www.edx.org/es/course/programacion-y-politicas-financieras-parte-1-cue-2</w:t>
        </w:r>
      </w:hyperlink>
      <w:r>
        <w:t xml:space="preserve">.</w:t>
      </w:r>
    </w:p>
    <w:bookmarkEnd w:id="492"/>
    <w:bookmarkStart w:id="494"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493">
        <w:r>
          <w:rPr>
            <w:rStyle w:val="Hyperlink"/>
          </w:rPr>
          <w:t xml:space="preserve">https://www.imf.org/es/Publications/FM/Issues/2023/04/03/fiscal-monitor-april-2023</w:t>
        </w:r>
      </w:hyperlink>
      <w:r>
        <w:t xml:space="preserve">.</w:t>
      </w:r>
    </w:p>
    <w:bookmarkEnd w:id="494"/>
    <w:bookmarkStart w:id="496"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495">
        <w:r>
          <w:rPr>
            <w:rStyle w:val="Hyperlink"/>
          </w:rPr>
          <w:t xml:space="preserve">https://doi.org/10.5089/9798400230622.002.A001</w:t>
        </w:r>
      </w:hyperlink>
      <w:r>
        <w:t xml:space="preserve">.</w:t>
      </w:r>
    </w:p>
    <w:bookmarkEnd w:id="496"/>
    <w:bookmarkStart w:id="498"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497">
        <w:r>
          <w:rPr>
            <w:rStyle w:val="Hyperlink"/>
          </w:rPr>
          <w:t xml:space="preserve">https://www.imf.org/en/news/articles/2025/03/20/pr25072-imf-and-statistical-community-release-new-global-standards-for-macroeconomic-stats</w:t>
        </w:r>
      </w:hyperlink>
      <w:r>
        <w:t xml:space="preserve">.</w:t>
      </w:r>
    </w:p>
    <w:bookmarkEnd w:id="498"/>
    <w:bookmarkStart w:id="500"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499">
        <w:r>
          <w:rPr>
            <w:rStyle w:val="Hyperlink"/>
          </w:rPr>
          <w:t xml:space="preserve">https://www.imf.org/en/About/Factsheets/Sheets/2023/IMF-Conditionality</w:t>
        </w:r>
      </w:hyperlink>
      <w:r>
        <w:t xml:space="preserve">.</w:t>
      </w:r>
    </w:p>
    <w:bookmarkEnd w:id="500"/>
    <w:bookmarkStart w:id="502"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501">
        <w:r>
          <w:rPr>
            <w:rStyle w:val="Hyperlink"/>
          </w:rPr>
          <w:t xml:space="preserve">https://data.imf.org/en/Dashboards/FM%20Dashboard</w:t>
        </w:r>
      </w:hyperlink>
      <w:r>
        <w:t xml:space="preserve">.</w:t>
      </w:r>
    </w:p>
    <w:bookmarkEnd w:id="502"/>
    <w:bookmarkStart w:id="504"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503">
        <w:r>
          <w:rPr>
            <w:rStyle w:val="Hyperlink"/>
          </w:rPr>
          <w:t xml:space="preserve">https://www.imf.org/en/About/executive-board/Article-IV</w:t>
        </w:r>
      </w:hyperlink>
      <w:r>
        <w:t xml:space="preserve">.</w:t>
      </w:r>
    </w:p>
    <w:bookmarkEnd w:id="504"/>
    <w:bookmarkStart w:id="506"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505">
        <w:r>
          <w:rPr>
            <w:rStyle w:val="Hyperlink"/>
          </w:rPr>
          <w:t xml:space="preserve">https://www.imf.org/en/publications/cr/issues/2026/05/21/spain-2026-article-iv-consultation-press-release-staff-report-and-statement-by-the-576248</w:t>
        </w:r>
      </w:hyperlink>
      <w:r>
        <w:t xml:space="preserve">.</w:t>
      </w:r>
    </w:p>
    <w:bookmarkEnd w:id="506"/>
    <w:bookmarkStart w:id="508"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507">
        <w:r>
          <w:rPr>
            <w:rStyle w:val="Hyperlink"/>
          </w:rPr>
          <w:t xml:space="preserve">https://www.imf.org/en/publications/weo/issues/2026/10/13/world-economic-outlook-october-2026</w:t>
        </w:r>
      </w:hyperlink>
      <w:r>
        <w:t xml:space="preserve">.</w:t>
      </w:r>
    </w:p>
    <w:bookmarkEnd w:id="508"/>
    <w:bookmarkStart w:id="509"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509"/>
    <w:bookmarkStart w:id="511"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510">
        <w:r>
          <w:rPr>
            <w:rStyle w:val="Hyperlink"/>
          </w:rPr>
          <w:t xml:space="preserve">https://doi.org/10.1086/654131</w:t>
        </w:r>
      </w:hyperlink>
      <w:r>
        <w:t xml:space="preserve">.</w:t>
      </w:r>
    </w:p>
    <w:bookmarkEnd w:id="511"/>
    <w:bookmarkStart w:id="513"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512">
        <w:r>
          <w:rPr>
            <w:rStyle w:val="Hyperlink"/>
          </w:rPr>
          <w:t xml:space="preserve">https://doi.org/10.1257/aer.20171201</w:t>
        </w:r>
      </w:hyperlink>
      <w:r>
        <w:t xml:space="preserve">.</w:t>
      </w:r>
    </w:p>
    <w:bookmarkEnd w:id="513"/>
    <w:bookmarkStart w:id="515"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514">
        <w:r>
          <w:rPr>
            <w:rStyle w:val="Hyperlink"/>
          </w:rPr>
          <w:t xml:space="preserve">https://doi.org/10.1111/j.1468-0335.2009.00815.x</w:t>
        </w:r>
      </w:hyperlink>
      <w:r>
        <w:t xml:space="preserve">.</w:t>
      </w:r>
    </w:p>
    <w:bookmarkEnd w:id="515"/>
    <w:bookmarkStart w:id="517"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516">
        <w:r>
          <w:rPr>
            <w:rStyle w:val="Hyperlink"/>
          </w:rPr>
          <w:t xml:space="preserve">https://doi.org/10.1111/jeea.12083</w:t>
        </w:r>
      </w:hyperlink>
      <w:r>
        <w:t xml:space="preserve">.</w:t>
      </w:r>
    </w:p>
    <w:bookmarkEnd w:id="517"/>
    <w:bookmarkStart w:id="519"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518">
        <w:r>
          <w:rPr>
            <w:rStyle w:val="Hyperlink"/>
          </w:rPr>
          <w:t xml:space="preserve">https://doi.org/10.1086/260724</w:t>
        </w:r>
      </w:hyperlink>
      <w:r>
        <w:t xml:space="preserve">.</w:t>
      </w:r>
    </w:p>
    <w:bookmarkEnd w:id="519"/>
    <w:bookmarkStart w:id="521"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520">
        <w:r>
          <w:rPr>
            <w:rStyle w:val="Hyperlink"/>
          </w:rPr>
          <w:t xml:space="preserve">https://doi.org/10.2765/71437</w:t>
        </w:r>
      </w:hyperlink>
      <w:r>
        <w:t xml:space="preserve">.</w:t>
      </w:r>
    </w:p>
    <w:bookmarkEnd w:id="521"/>
    <w:bookmarkStart w:id="523"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522">
        <w:r>
          <w:rPr>
            <w:rStyle w:val="Hyperlink"/>
          </w:rPr>
          <w:t xml:space="preserve">https://doi.org/10.2307/2953682</w:t>
        </w:r>
      </w:hyperlink>
      <w:r>
        <w:t xml:space="preserve">.</w:t>
      </w:r>
    </w:p>
    <w:bookmarkEnd w:id="523"/>
    <w:bookmarkStart w:id="525"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524">
        <w:r>
          <w:rPr>
            <w:rStyle w:val="Hyperlink"/>
          </w:rPr>
          <w:t xml:space="preserve">https://www.ine.es/dyngs/INEbase/es/operacion.htm?c=Estadistica_C&amp;cid=1254736176918&amp;menu=metodologia&amp;idp=1254735976595</w:t>
        </w:r>
      </w:hyperlink>
      <w:r>
        <w:t xml:space="preserve">.</w:t>
      </w:r>
    </w:p>
    <w:bookmarkEnd w:id="525"/>
    <w:bookmarkStart w:id="527"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526">
        <w:r>
          <w:rPr>
            <w:rStyle w:val="Hyperlink"/>
          </w:rPr>
          <w:t xml:space="preserve">https://www.ine.es/metodologia/t25/metodologia_IPC_base_2025.pdf</w:t>
        </w:r>
      </w:hyperlink>
      <w:r>
        <w:t xml:space="preserve">.</w:t>
      </w:r>
    </w:p>
    <w:bookmarkEnd w:id="527"/>
    <w:bookmarkStart w:id="529"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528">
        <w:r>
          <w:rPr>
            <w:rStyle w:val="Hyperlink"/>
          </w:rPr>
          <w:t xml:space="preserve">https://www.esrb.europa.eu/pub/pdf/other/140303_esrb_handbook_mp.en.pdf</w:t>
        </w:r>
      </w:hyperlink>
      <w:r>
        <w:t xml:space="preserve">.</w:t>
      </w:r>
    </w:p>
    <w:bookmarkEnd w:id="529"/>
    <w:bookmarkStart w:id="530"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530"/>
    <w:bookmarkStart w:id="532"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531">
        <w:r>
          <w:rPr>
            <w:rStyle w:val="Hyperlink"/>
          </w:rPr>
          <w:t xml:space="preserve">https://doi.org/10.1086/ma.19.3585327</w:t>
        </w:r>
      </w:hyperlink>
      <w:r>
        <w:t xml:space="preserve">.</w:t>
      </w:r>
    </w:p>
    <w:bookmarkEnd w:id="532"/>
    <w:bookmarkStart w:id="533"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533"/>
    <w:bookmarkStart w:id="535"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534">
        <w:r>
          <w:rPr>
            <w:rStyle w:val="Hyperlink"/>
          </w:rPr>
          <w:t xml:space="preserve">https://doi.org/10.1016/0304-3932(91)90007-B</w:t>
        </w:r>
      </w:hyperlink>
      <w:r>
        <w:t xml:space="preserve">.</w:t>
      </w:r>
    </w:p>
    <w:bookmarkEnd w:id="535"/>
    <w:bookmarkStart w:id="536"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536"/>
    <w:bookmarkStart w:id="537"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537"/>
    <w:bookmarkStart w:id="539"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538">
        <w:r>
          <w:rPr>
            <w:rStyle w:val="Hyperlink"/>
          </w:rPr>
          <w:t xml:space="preserve">https://doi.org/10.2307/2534091</w:t>
        </w:r>
      </w:hyperlink>
      <w:r>
        <w:t xml:space="preserve">.</w:t>
      </w:r>
    </w:p>
    <w:bookmarkEnd w:id="539"/>
    <w:bookmarkStart w:id="541"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540">
        <w:r>
          <w:rPr>
            <w:rStyle w:val="Hyperlink"/>
          </w:rPr>
          <w:t xml:space="preserve">https://doi.org/10.1257/jep.35.1.3</w:t>
        </w:r>
      </w:hyperlink>
      <w:r>
        <w:t xml:space="preserve">.</w:t>
      </w:r>
    </w:p>
    <w:bookmarkEnd w:id="541"/>
    <w:bookmarkStart w:id="542" w:name="ref_Marshall1923"/>
    <w:p>
      <w:pPr>
        <w:pStyle w:val="Bibliography"/>
      </w:pPr>
      <w:r>
        <w:t xml:space="preserve">Marshall, Alfred (1923).</w:t>
      </w:r>
      <w:r>
        <w:t xml:space="preserve"> </w:t>
      </w:r>
      <w:r>
        <w:rPr>
          <w:i/>
          <w:iCs/>
        </w:rPr>
        <w:t xml:space="preserve">Money, Credit and Commerce</w:t>
      </w:r>
      <w:r>
        <w:t xml:space="preserve">. Londres: Macmillan.</w:t>
      </w:r>
    </w:p>
    <w:bookmarkEnd w:id="542"/>
    <w:bookmarkStart w:id="544"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543">
        <w:r>
          <w:rPr>
            <w:rStyle w:val="Hyperlink"/>
          </w:rPr>
          <w:t xml:space="preserve">https://www.boe.es/diario_boe/txt.php?id=BOE-A-2024-27439</w:t>
        </w:r>
      </w:hyperlink>
      <w:r>
        <w:t xml:space="preserve">.</w:t>
      </w:r>
    </w:p>
    <w:bookmarkEnd w:id="544"/>
    <w:bookmarkStart w:id="546"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545">
        <w:r>
          <w:rPr>
            <w:rStyle w:val="Hyperlink"/>
          </w:rPr>
          <w:t xml:space="preserve">https://www.boe.es/diario_boe/txt.php?id=BOE-A-2025-26902</w:t>
        </w:r>
      </w:hyperlink>
      <w:r>
        <w:t xml:space="preserve">.</w:t>
      </w:r>
    </w:p>
    <w:bookmarkEnd w:id="546"/>
    <w:bookmarkStart w:id="547"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547"/>
    <w:bookmarkStart w:id="549"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548">
        <w:r>
          <w:rPr>
            <w:rStyle w:val="Hyperlink"/>
          </w:rPr>
          <w:t xml:space="preserve">https://www.nber.org/research/business-cycle-dating/business-cycle-dating-procedure-frequently-asked-questions</w:t>
        </w:r>
      </w:hyperlink>
      <w:r>
        <w:t xml:space="preserve">.</w:t>
      </w:r>
    </w:p>
    <w:bookmarkEnd w:id="549"/>
    <w:bookmarkStart w:id="551"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550">
        <w:r>
          <w:rPr>
            <w:rStyle w:val="Hyperlink"/>
          </w:rPr>
          <w:t xml:space="preserve">https://data-explorer.oecd.org/</w:t>
        </w:r>
      </w:hyperlink>
      <w:r>
        <w:t xml:space="preserve">.</w:t>
      </w:r>
    </w:p>
    <w:bookmarkEnd w:id="551"/>
    <w:bookmarkStart w:id="553"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552">
        <w:r>
          <w:rPr>
            <w:rStyle w:val="Hyperlink"/>
          </w:rPr>
          <w:t xml:space="preserve">https://www.oecd.org/en/publications/2026/06/oecd-economic-outlook-volume-2026-issue-1_8be0dba6.html</w:t>
        </w:r>
      </w:hyperlink>
      <w:r>
        <w:t xml:space="preserve">.</w:t>
      </w:r>
    </w:p>
    <w:bookmarkEnd w:id="553"/>
    <w:bookmarkStart w:id="554"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554"/>
    <w:bookmarkStart w:id="556"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555">
        <w:r>
          <w:rPr>
            <w:rStyle w:val="Hyperlink"/>
          </w:rPr>
          <w:t xml:space="preserve">https://www.ilo.org/resource/article/moving-towards-full-employment-interview-aurelio-parisotto</w:t>
        </w:r>
      </w:hyperlink>
      <w:r>
        <w:t xml:space="preserve">.</w:t>
      </w:r>
    </w:p>
    <w:bookmarkEnd w:id="556"/>
    <w:bookmarkStart w:id="558"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557">
        <w:r>
          <w:rPr>
            <w:rStyle w:val="Hyperlink"/>
          </w:rPr>
          <w:t xml:space="preserve">https://eur-lex.europa.eu/eli/dir/2013/36/oj</w:t>
        </w:r>
      </w:hyperlink>
      <w:r>
        <w:t xml:space="preserve">.</w:t>
      </w:r>
    </w:p>
    <w:bookmarkEnd w:id="558"/>
    <w:bookmarkStart w:id="560"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559">
        <w:r>
          <w:rPr>
            <w:rStyle w:val="Hyperlink"/>
          </w:rPr>
          <w:t xml:space="preserve">https://eur-lex.europa.eu/eli/reg/2013/575/oj</w:t>
        </w:r>
      </w:hyperlink>
      <w:r>
        <w:t xml:space="preserve">.</w:t>
      </w:r>
    </w:p>
    <w:bookmarkEnd w:id="560"/>
    <w:bookmarkStart w:id="562"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561">
        <w:r>
          <w:rPr>
            <w:rStyle w:val="Hyperlink"/>
          </w:rPr>
          <w:t xml:space="preserve">https://eur-lex.europa.eu/eli/reg/2013/549/oj</w:t>
        </w:r>
      </w:hyperlink>
      <w:r>
        <w:t xml:space="preserve">.</w:t>
      </w:r>
    </w:p>
    <w:bookmarkEnd w:id="562"/>
    <w:bookmarkStart w:id="564" w:name="ref_RegUE2014MUR"/>
    <w:p>
      <w:pPr>
        <w:pStyle w:val="Bibliography"/>
      </w:pPr>
      <w:r>
        <w:t xml:space="preserve">Parlamento Europeo y Consejo de la Unión Europea (2014).</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563">
        <w:r>
          <w:rPr>
            <w:rStyle w:val="Hyperlink"/>
          </w:rPr>
          <w:t xml:space="preserve">https://eur-lex.europa.eu/legal-content/ES/TXT/?uri=CELEX:32014R0806</w:t>
        </w:r>
      </w:hyperlink>
      <w:r>
        <w:t xml:space="preserve">.</w:t>
      </w:r>
    </w:p>
    <w:bookmarkEnd w:id="564"/>
    <w:bookmarkStart w:id="566"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565">
        <w:r>
          <w:rPr>
            <w:rStyle w:val="Hyperlink"/>
          </w:rPr>
          <w:t xml:space="preserve">https://eur-lex.europa.eu/eli/reg/2024/1263/oj</w:t>
        </w:r>
      </w:hyperlink>
      <w:r>
        <w:t xml:space="preserve">.</w:t>
      </w:r>
    </w:p>
    <w:bookmarkEnd w:id="566"/>
    <w:bookmarkStart w:id="568"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567">
        <w:r>
          <w:rPr>
            <w:rStyle w:val="Hyperlink"/>
          </w:rPr>
          <w:t xml:space="preserve">https://eur-lex.europa.eu/eli/reg/2024/1623/oj</w:t>
        </w:r>
      </w:hyperlink>
      <w:r>
        <w:t xml:space="preserve">.</w:t>
      </w:r>
    </w:p>
    <w:bookmarkEnd w:id="568"/>
    <w:bookmarkStart w:id="569"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569"/>
    <w:bookmarkStart w:id="571"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570">
        <w:r>
          <w:rPr>
            <w:rStyle w:val="Hyperlink"/>
          </w:rPr>
          <w:t xml:space="preserve">https://doi.org/10.2307/2550759</w:t>
        </w:r>
      </w:hyperlink>
      <w:r>
        <w:t xml:space="preserve">.</w:t>
      </w:r>
    </w:p>
    <w:bookmarkEnd w:id="571"/>
    <w:bookmarkStart w:id="573"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572">
        <w:r>
          <w:rPr>
            <w:rStyle w:val="Hyperlink"/>
          </w:rPr>
          <w:t xml:space="preserve">https://doi.org/10.1353/eca.2003.0018</w:t>
        </w:r>
      </w:hyperlink>
      <w:r>
        <w:t xml:space="preserve">.</w:t>
      </w:r>
    </w:p>
    <w:bookmarkEnd w:id="573"/>
    <w:bookmarkStart w:id="574"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574"/>
    <w:bookmarkStart w:id="576"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575">
        <w:r>
          <w:rPr>
            <w:rStyle w:val="Hyperlink"/>
          </w:rPr>
          <w:t xml:space="preserve">https://doi.org/10.21034/qr.531</w:t>
        </w:r>
      </w:hyperlink>
      <w:r>
        <w:t xml:space="preserve">.</w:t>
      </w:r>
    </w:p>
    <w:bookmarkEnd w:id="576"/>
    <w:bookmarkStart w:id="578"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577">
        <w:r>
          <w:rPr>
            <w:rStyle w:val="Hyperlink"/>
          </w:rPr>
          <w:t xml:space="preserve">https://laadministracionaldia.inap.es/noticia.asp?id=1500719</w:t>
        </w:r>
      </w:hyperlink>
      <w:r>
        <w:t xml:space="preserve">.</w:t>
      </w:r>
    </w:p>
    <w:bookmarkEnd w:id="578"/>
    <w:bookmarkStart w:id="580"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579">
        <w:r>
          <w:rPr>
            <w:rStyle w:val="Hyperlink"/>
          </w:rPr>
          <w:t xml:space="preserve">https://doi.org/10.1057/imfer.2012.6</w:t>
        </w:r>
      </w:hyperlink>
      <w:r>
        <w:t xml:space="preserve">.</w:t>
      </w:r>
    </w:p>
    <w:bookmarkEnd w:id="580"/>
    <w:bookmarkStart w:id="581"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581"/>
    <w:bookmarkStart w:id="583"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582">
        <w:r>
          <w:rPr>
            <w:rStyle w:val="Hyperlink"/>
          </w:rPr>
          <w:t xml:space="preserve">https://www.spglobal.com/marketintelligence/en/mi/products/pmi.html</w:t>
        </w:r>
      </w:hyperlink>
      <w:r>
        <w:t xml:space="preserve">.</w:t>
      </w:r>
    </w:p>
    <w:bookmarkEnd w:id="583"/>
    <w:bookmarkStart w:id="585"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584">
        <w:r>
          <w:rPr>
            <w:rStyle w:val="Hyperlink"/>
          </w:rPr>
          <w:t xml:space="preserve">https://doi.org/10.1016/S1574-0048(99)01004-6</w:t>
        </w:r>
      </w:hyperlink>
      <w:r>
        <w:t xml:space="preserve">.</w:t>
      </w:r>
    </w:p>
    <w:bookmarkEnd w:id="585"/>
    <w:bookmarkStart w:id="587"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586">
        <w:r>
          <w:rPr>
            <w:rStyle w:val="Hyperlink"/>
          </w:rPr>
          <w:t xml:space="preserve">https://doi.org/10.1016/0167-2231(93)90009-L</w:t>
        </w:r>
      </w:hyperlink>
      <w:r>
        <w:t xml:space="preserve">.</w:t>
      </w:r>
    </w:p>
    <w:bookmarkEnd w:id="587"/>
    <w:bookmarkStart w:id="589"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588">
        <w:r>
          <w:rPr>
            <w:rStyle w:val="Hyperlink"/>
          </w:rPr>
          <w:t xml:space="preserve">https://doi.org/10.1016/S0014-2921(00)00037-4</w:t>
        </w:r>
      </w:hyperlink>
      <w:r>
        <w:t xml:space="preserve">.</w:t>
      </w:r>
    </w:p>
    <w:bookmarkEnd w:id="589"/>
    <w:bookmarkStart w:id="591"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590">
        <w:r>
          <w:rPr>
            <w:rStyle w:val="Hyperlink"/>
          </w:rPr>
          <w:t xml:space="preserve">https://www.conference-board.org/topics/us-leading-indicators</w:t>
        </w:r>
      </w:hyperlink>
      <w:r>
        <w:t xml:space="preserve">.</w:t>
      </w:r>
    </w:p>
    <w:bookmarkEnd w:id="591"/>
    <w:bookmarkStart w:id="593"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592">
        <w:r>
          <w:rPr>
            <w:rStyle w:val="Hyperlink"/>
          </w:rPr>
          <w:t xml:space="preserve">https://www.economist.com/finance-and-economics/2008/12/30/diagnosing-depression</w:t>
        </w:r>
      </w:hyperlink>
      <w:r>
        <w:t xml:space="preserve">.</w:t>
      </w:r>
    </w:p>
    <w:bookmarkEnd w:id="593"/>
    <w:bookmarkStart w:id="595"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594">
        <w:r>
          <w:rPr>
            <w:rStyle w:val="Hyperlink"/>
          </w:rPr>
          <w:t xml:space="preserve">https://uniblog.unicajabanco.es/8-indicadores-bancarios-para-no-iniciados</w:t>
        </w:r>
      </w:hyperlink>
      <w:r>
        <w:t xml:space="preserve">.</w:t>
      </w:r>
    </w:p>
    <w:bookmarkEnd w:id="595"/>
    <w:bookmarkStart w:id="597"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596">
        <w:r>
          <w:rPr>
            <w:rStyle w:val="Hyperlink"/>
          </w:rPr>
          <w:t xml:space="preserve">https://eur-lex.europa.eu/legal-content/ES/TXT/?uri=CELEX:12012E/PRO/12</w:t>
        </w:r>
      </w:hyperlink>
      <w:r>
        <w:t xml:space="preserve">.</w:t>
      </w:r>
    </w:p>
    <w:bookmarkEnd w:id="597"/>
    <w:bookmarkStart w:id="599"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598">
        <w:r>
          <w:rPr>
            <w:rStyle w:val="Hyperlink"/>
          </w:rPr>
          <w:t xml:space="preserve">https://www.ucm.es/data/cont/docs/518-2015-04-29-COSTE%20LABORAL%20UNITARIO.pdf</w:t>
        </w:r>
      </w:hyperlink>
      <w:r>
        <w:t xml:space="preserve">.</w:t>
      </w:r>
    </w:p>
    <w:bookmarkEnd w:id="599"/>
    <w:bookmarkStart w:id="601"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600">
        <w:r>
          <w:rPr>
            <w:rStyle w:val="Hyperlink"/>
          </w:rPr>
          <w:t xml:space="preserve">https://fred.stlouisfed.org/series/GDPC1</w:t>
        </w:r>
      </w:hyperlink>
      <w:r>
        <w:t xml:space="preserve">.</w:t>
      </w:r>
    </w:p>
    <w:bookmarkEnd w:id="601"/>
    <w:bookmarkStart w:id="603"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602">
        <w:r>
          <w:rPr>
            <w:rStyle w:val="Hyperlink"/>
          </w:rPr>
          <w:t xml:space="preserve">https://www.eia.gov/dnav/pet/hist/LeafHandler.ashx?n=PET&amp;s=RBRTE&amp;f=M</w:t>
        </w:r>
      </w:hyperlink>
      <w:r>
        <w:t xml:space="preserve">.</w:t>
      </w:r>
    </w:p>
    <w:bookmarkEnd w:id="603"/>
    <w:bookmarkStart w:id="604" w:name="ref_VichGadella2007Guia"/>
    <w:p>
      <w:pPr>
        <w:pStyle w:val="Bibliography"/>
      </w:pPr>
      <w:r>
        <w:t xml:space="preserve">Vich Gadella, Ana Lucía (2007).</w:t>
      </w:r>
      <w:r>
        <w:t xml:space="preserve"> </w:t>
      </w:r>
      <w:r>
        <w:t xml:space="preserve">«Guía de dictamen económico»</w:t>
      </w:r>
      <w:r>
        <w:t xml:space="preserve">. ICEX-CECO.</w:t>
      </w:r>
    </w:p>
    <w:bookmarkEnd w:id="604"/>
    <w:bookmarkStart w:id="605"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605"/>
    <w:bookmarkEnd w:id="606"/>
    <w:bookmarkEnd w:id="60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6">
    <w:p>
      <w:pPr>
        <w:pStyle w:val="FootnoteText"/>
      </w:pPr>
      <w:r>
        <w:rPr>
          <w:rStyle w:val="FootnoteReference"/>
        </w:rPr>
        <w:footnoteRef/>
      </w:r>
      <w:r>
        <w:t xml:space="preserve"> </w:t>
      </w:r>
      <w:r>
        <w:t xml:space="preserve">Traducción propia de la nota de prensa del FMI.</w:t>
      </w:r>
    </w:p>
  </w:footnote>
  <w:footnote w:id="28">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37">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38">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40">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46">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47">
        <w:r>
          <w:rPr>
            <w:rStyle w:val="Referenciaatema"/>
          </w:rPr>
          <w:t xml:space="preserve">[ver tema 3.B.24]</w:t>
        </w:r>
      </w:hyperlink>
      <w:r>
        <w:t xml:space="preserve">.</w:t>
      </w:r>
    </w:p>
  </w:footnote>
  <w:footnote w:id="57">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58">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61">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63">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64">
        <w:r>
          <w:rPr>
            <w:rStyle w:val="Referenciaatema"/>
          </w:rPr>
          <w:t xml:space="preserve">[ver tema 4.A.11]</w:t>
        </w:r>
      </w:hyperlink>
      <w:r>
        <w:t xml:space="preserve">.</w:t>
      </w:r>
    </w:p>
  </w:footnote>
  <w:footnote w:id="65">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66">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67">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71">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87">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92">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93">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98">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38">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14">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18">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135">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14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152">
    <w:p>
      <w:pPr>
        <w:pStyle w:val="FootnoteText"/>
      </w:pPr>
      <w:r>
        <w:rPr>
          <w:rStyle w:val="FootnoteReference"/>
        </w:rPr>
        <w:footnoteRef/>
      </w:r>
      <w:r>
        <w:t xml:space="preserve"> </w:t>
      </w:r>
      <w:r>
        <w:t xml:space="preserve">En un brote de inflación hay que matizar: un banco central puede subir con fuerza el tipo nominal y, aun así, el tipo real caer si la inflación sube más (fue el caso de muchos bancos centrales en 2022). Una salvedad útil: «aunque los agentes deciden con el tipo real, la fuerte subida del tipo nominal al final de la serie indica un endurecimiento de la política monetaria».</w:t>
      </w:r>
    </w:p>
  </w:footnote>
  <w:footnote w:id="1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172">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38">
        <w:r>
          <w:rPr>
            <w:rStyle w:val="Referenciaatema"/>
          </w:rPr>
          <w:t xml:space="preserve">[ver tema 3.A.28]</w:t>
        </w:r>
      </w:hyperlink>
      <w:r>
        <w:t xml:space="preserve">.</w:t>
      </w:r>
    </w:p>
  </w:footnote>
  <w:footnote w:id="174">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208">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G</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01" Target="media/rId101.png" /><Relationship Type="http://schemas.openxmlformats.org/officeDocument/2006/relationships/image" Id="rId294" Target="media/rId294.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74" Target="media/rId274.png" /><Relationship Type="http://schemas.openxmlformats.org/officeDocument/2006/relationships/image" Id="rId51" Target="media/rId51.png" /><Relationship Type="http://schemas.openxmlformats.org/officeDocument/2006/relationships/image" Id="rId278" Target="media/rId278.png" /><Relationship Type="http://schemas.openxmlformats.org/officeDocument/2006/relationships/image" Id="rId29" Target="media/rId29.png" /><Relationship Type="http://schemas.openxmlformats.org/officeDocument/2006/relationships/image" Id="rId250" Target="media/rId250.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270" Target="media/rId270.png" /><Relationship Type="http://schemas.openxmlformats.org/officeDocument/2006/relationships/image" Id="rId282" Target="media/rId282.png" /><Relationship Type="http://schemas.openxmlformats.org/officeDocument/2006/relationships/image" Id="rId189" Target="media/rId189.png" /><Relationship Type="http://schemas.openxmlformats.org/officeDocument/2006/relationships/image" Id="rId154" Target="media/rId154.png" /><Relationship Type="http://schemas.openxmlformats.org/officeDocument/2006/relationships/hyperlink" Id="rId351" Target="https://atcee.es/la-oposicion-tcee/examenes-anteriores/" TargetMode="External" /><Relationship Type="http://schemas.openxmlformats.org/officeDocument/2006/relationships/hyperlink" Id="rId454" Target="https://commission.europa.eu/system/files/2021-06/2021_06_16_efb_assessment_of_euro_area_fiscal_stance_en.pdf" TargetMode="External" /><Relationship Type="http://schemas.openxmlformats.org/officeDocument/2006/relationships/hyperlink" Id="rId550"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01" Target="https://data.imf.org/en/Dashboards/FM%20Dashboard" TargetMode="External" /><Relationship Type="http://schemas.openxmlformats.org/officeDocument/2006/relationships/hyperlink" Id="rId391" Target="https://data.worldbank.org/indicator/NE.TRD.GNFS.ZS" TargetMode="External" /><Relationship Type="http://schemas.openxmlformats.org/officeDocument/2006/relationships/hyperlink" Id="rId586" Target="https://doi.org/10.1016/0167-2231(93)90009-L" TargetMode="External" /><Relationship Type="http://schemas.openxmlformats.org/officeDocument/2006/relationships/hyperlink" Id="rId534" Target="https://doi.org/10.1016/0304-3932(91)90007-B" TargetMode="External" /><Relationship Type="http://schemas.openxmlformats.org/officeDocument/2006/relationships/hyperlink" Id="rId588" Target="https://doi.org/10.1016/S0014-2921(00)00037-4" TargetMode="External" /><Relationship Type="http://schemas.openxmlformats.org/officeDocument/2006/relationships/hyperlink" Id="rId584" Target="https://doi.org/10.1016/S1574-0048(99)01004-6" TargetMode="External" /><Relationship Type="http://schemas.openxmlformats.org/officeDocument/2006/relationships/hyperlink" Id="rId418" Target="https://doi.org/10.1016/j.jinteco.2014.05.003" TargetMode="External" /><Relationship Type="http://schemas.openxmlformats.org/officeDocument/2006/relationships/hyperlink" Id="rId579" Target="https://doi.org/10.1057/imfer.2012.6" TargetMode="External" /><Relationship Type="http://schemas.openxmlformats.org/officeDocument/2006/relationships/hyperlink" Id="rId409" Target="https://doi.org/10.1080/15140326.1998.12040516" TargetMode="External" /><Relationship Type="http://schemas.openxmlformats.org/officeDocument/2006/relationships/hyperlink" Id="rId395" Target="https://doi.org/10.1086/260266" TargetMode="External" /><Relationship Type="http://schemas.openxmlformats.org/officeDocument/2006/relationships/hyperlink" Id="rId518" Target="https://doi.org/10.1086/260724" TargetMode="External" /><Relationship Type="http://schemas.openxmlformats.org/officeDocument/2006/relationships/hyperlink" Id="rId510" Target="https://doi.org/10.1086/654131" TargetMode="External" /><Relationship Type="http://schemas.openxmlformats.org/officeDocument/2006/relationships/hyperlink" Id="rId531" Target="https://doi.org/10.1086/ma.19.3585327" TargetMode="External" /><Relationship Type="http://schemas.openxmlformats.org/officeDocument/2006/relationships/hyperlink" Id="rId415" Target="https://doi.org/10.1093/jeea/jvx028" TargetMode="External" /><Relationship Type="http://schemas.openxmlformats.org/officeDocument/2006/relationships/hyperlink" Id="rId480" Target="https://doi.org/10.1093/qje/qjz036" TargetMode="External" /><Relationship Type="http://schemas.openxmlformats.org/officeDocument/2006/relationships/hyperlink" Id="rId514" Target="https://doi.org/10.1111/j.1468-0335.2009.00815.x" TargetMode="External" /><Relationship Type="http://schemas.openxmlformats.org/officeDocument/2006/relationships/hyperlink" Id="rId516"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1" Target="https://doi.org/10.1162/003355302753650274" TargetMode="External" /><Relationship Type="http://schemas.openxmlformats.org/officeDocument/2006/relationships/hyperlink" Id="rId413" Target="https://doi.org/10.1162/003465305775098189" TargetMode="External" /><Relationship Type="http://schemas.openxmlformats.org/officeDocument/2006/relationships/hyperlink" Id="rId448" Target="https://doi.org/10.1162/003465398557320" TargetMode="External" /><Relationship Type="http://schemas.openxmlformats.org/officeDocument/2006/relationships/hyperlink" Id="rId399" Target="https://doi.org/10.1257/aer.109.4.1197" TargetMode="External" /><Relationship Type="http://schemas.openxmlformats.org/officeDocument/2006/relationships/hyperlink" Id="rId51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40" Target="https://doi.org/10.1257/jep.35.1.3" TargetMode="External" /><Relationship Type="http://schemas.openxmlformats.org/officeDocument/2006/relationships/hyperlink" Id="rId403" Target="https://doi.org/10.1257/jep.5.1.73" TargetMode="External" /><Relationship Type="http://schemas.openxmlformats.org/officeDocument/2006/relationships/hyperlink" Id="rId572" Target="https://doi.org/10.1353/eca.2003.0018" TargetMode="External" /><Relationship Type="http://schemas.openxmlformats.org/officeDocument/2006/relationships/hyperlink" Id="rId575" Target="https://doi.org/10.21034/qr.531" TargetMode="External" /><Relationship Type="http://schemas.openxmlformats.org/officeDocument/2006/relationships/hyperlink" Id="rId407" Target="https://doi.org/10.2307/1344503" TargetMode="External" /><Relationship Type="http://schemas.openxmlformats.org/officeDocument/2006/relationships/hyperlink" Id="rId442" Target="https://doi.org/10.2307/2232670" TargetMode="External" /><Relationship Type="http://schemas.openxmlformats.org/officeDocument/2006/relationships/hyperlink" Id="rId538" Target="https://doi.org/10.2307/2534091" TargetMode="External" /><Relationship Type="http://schemas.openxmlformats.org/officeDocument/2006/relationships/hyperlink" Id="rId401" Target="https://doi.org/10.2307/2534495" TargetMode="External" /><Relationship Type="http://schemas.openxmlformats.org/officeDocument/2006/relationships/hyperlink" Id="rId570" Target="https://doi.org/10.2307/2550759" TargetMode="External" /><Relationship Type="http://schemas.openxmlformats.org/officeDocument/2006/relationships/hyperlink" Id="rId522" Target="https://doi.org/10.2307/2953682" TargetMode="External" /><Relationship Type="http://schemas.openxmlformats.org/officeDocument/2006/relationships/hyperlink" Id="rId422" Target="https://doi.org/10.2765/022983" TargetMode="External" /><Relationship Type="http://schemas.openxmlformats.org/officeDocument/2006/relationships/hyperlink" Id="rId520" Target="https://doi.org/10.2765/71437" TargetMode="External" /><Relationship Type="http://schemas.openxmlformats.org/officeDocument/2006/relationships/hyperlink" Id="rId495" Target="https://doi.org/10.5089/9798400230622.002.A001" TargetMode="External" /><Relationship Type="http://schemas.openxmlformats.org/officeDocument/2006/relationships/hyperlink" Id="rId446" Target="https://doi.org/10.7208/chicago/9780226194578.003.0002" TargetMode="External" /><Relationship Type="http://schemas.openxmlformats.org/officeDocument/2006/relationships/hyperlink" Id="rId476" Target="https://ec.europa.eu/eurostat/databrowser/view/jvs_q_r21/default/table" TargetMode="External" /><Relationship Type="http://schemas.openxmlformats.org/officeDocument/2006/relationships/hyperlink" Id="rId464" Target="https://ec.europa.eu/eurostat/databrowser/view/lfsa_argan/default/table" TargetMode="External" /><Relationship Type="http://schemas.openxmlformats.org/officeDocument/2006/relationships/hyperlink" Id="rId462" Target="https://ec.europa.eu/eurostat/databrowser/view/lfsq_argan/default/table" TargetMode="External" /><Relationship Type="http://schemas.openxmlformats.org/officeDocument/2006/relationships/hyperlink" Id="rId472" Target="https://ec.europa.eu/eurostat/databrowser/view/nama_10_a10/default/table" TargetMode="External" /><Relationship Type="http://schemas.openxmlformats.org/officeDocument/2006/relationships/hyperlink" Id="rId470" Target="https://ec.europa.eu/eurostat/databrowser/view/nama_10_gdp/default/table" TargetMode="External" /><Relationship Type="http://schemas.openxmlformats.org/officeDocument/2006/relationships/hyperlink" Id="rId466" Target="https://ec.europa.eu/eurostat/databrowser/view/namq_10_a10_e/default/table" TargetMode="External" /><Relationship Type="http://schemas.openxmlformats.org/officeDocument/2006/relationships/hyperlink" Id="rId468" Target="https://ec.europa.eu/eurostat/databrowser/view/namq_10_gdp/default/table" TargetMode="External" /><Relationship Type="http://schemas.openxmlformats.org/officeDocument/2006/relationships/hyperlink" Id="rId474" Target="https://ec.europa.eu/eurostat/databrowser/view/prc_hicp_minr/default/table" TargetMode="External" /><Relationship Type="http://schemas.openxmlformats.org/officeDocument/2006/relationships/hyperlink" Id="rId478" Target="https://ec.europa.eu/eurostat/databrowser/view/une_rt_q/default/table" TargetMode="External" /><Relationship Type="http://schemas.openxmlformats.org/officeDocument/2006/relationships/hyperlink" Id="rId458" Target="https://ec.europa.eu/eurostat/statistics-explained/index.php?title=Glossary:Housing_cost_overburden_rate" TargetMode="External" /><Relationship Type="http://schemas.openxmlformats.org/officeDocument/2006/relationships/hyperlink" Id="rId460" Target="https://ec.europa.eu/eurostat/statistics-explained/index.php?title=The_Macroeconomic_Imbalance_Procedure_(MIP)_introduced" TargetMode="External" /><Relationship Type="http://schemas.openxmlformats.org/officeDocument/2006/relationships/hyperlink" Id="rId456" Target="https://ec.europa.eu/eurostat/web/products-euro-indicators/-/2-22042013-ap" TargetMode="External" /><Relationship Type="http://schemas.openxmlformats.org/officeDocument/2006/relationships/hyperlink" Id="rId426" Target="https://economy-finance.ec.europa.eu/economic-forecast-and-surveys/business-and-consumer-surveys_en" TargetMode="External" /><Relationship Type="http://schemas.openxmlformats.org/officeDocument/2006/relationships/hyperlink" Id="rId428" Target="https://economy-finance.ec.europa.eu/economic-research-and-databases/economic-databases/ameco-database_en" TargetMode="External" /><Relationship Type="http://schemas.openxmlformats.org/officeDocument/2006/relationships/hyperlink" Id="rId557" Target="https://eur-lex.europa.eu/eli/dir/2013/36/oj" TargetMode="External" /><Relationship Type="http://schemas.openxmlformats.org/officeDocument/2006/relationships/hyperlink" Id="rId561" Target="https://eur-lex.europa.eu/eli/reg/2013/549/oj" TargetMode="External" /><Relationship Type="http://schemas.openxmlformats.org/officeDocument/2006/relationships/hyperlink" Id="rId559" Target="https://eur-lex.europa.eu/eli/reg/2013/575/oj" TargetMode="External" /><Relationship Type="http://schemas.openxmlformats.org/officeDocument/2006/relationships/hyperlink" Id="rId565" Target="https://eur-lex.europa.eu/eli/reg/2024/1263/oj" TargetMode="External" /><Relationship Type="http://schemas.openxmlformats.org/officeDocument/2006/relationships/hyperlink" Id="rId440" Target="https://eur-lex.europa.eu/eli/reg/2024/1264/oj" TargetMode="External" /><Relationship Type="http://schemas.openxmlformats.org/officeDocument/2006/relationships/hyperlink" Id="rId567" Target="https://eur-lex.europa.eu/eli/reg/2024/1623/oj" TargetMode="External" /><Relationship Type="http://schemas.openxmlformats.org/officeDocument/2006/relationships/hyperlink" Id="rId424" Target="https://eur-lex.europa.eu/legal-content/EN/ALL/?uri=CELEX:52025DC0956" TargetMode="External" /><Relationship Type="http://schemas.openxmlformats.org/officeDocument/2006/relationships/hyperlink" Id="rId596" Target="https://eur-lex.europa.eu/legal-content/ES/TXT/?uri=CELEX:12012E/PRO/12" TargetMode="External" /><Relationship Type="http://schemas.openxmlformats.org/officeDocument/2006/relationships/hyperlink" Id="rId438" Target="https://eur-lex.europa.eu/legal-content/ES/TXT/?uri=CELEX:32013R1024" TargetMode="External" /><Relationship Type="http://schemas.openxmlformats.org/officeDocument/2006/relationships/hyperlink" Id="rId563"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0" Target="https://eur-lex.europa.eu/legal-content/ES/TXT/?uri=CELEX:52015PC0586" TargetMode="External" /><Relationship Type="http://schemas.openxmlformats.org/officeDocument/2006/relationships/hyperlink" Id="rId600" Target="https://fred.stlouisfed.org/series/GDPC1" TargetMode="External" /><Relationship Type="http://schemas.openxmlformats.org/officeDocument/2006/relationships/hyperlink" Id="rId577" Target="https://laadministracionaldia.inap.es/noticia.asp?id=1500719" TargetMode="External" /><Relationship Type="http://schemas.openxmlformats.org/officeDocument/2006/relationships/hyperlink" Id="rId594"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3" Target="https://www.bankinter.com/blog/economia/leer-rating-agencias-calificacion-financiera" TargetMode="External" /><Relationship Type="http://schemas.openxmlformats.org/officeDocument/2006/relationships/hyperlink" Id="rId405" Target="https://www.bbvaresearch.com/publicaciones/espana-la-economia-espanola-en-el-primer-ano-de-la-guerra-de-ucrania/" TargetMode="External" /><Relationship Type="http://schemas.openxmlformats.org/officeDocument/2006/relationships/hyperlink" Id="rId385" Target="https://www.bde.es/f/webbe/GAP/Secciones/SalaPrensa/NotasInformativas/26/presbe2026-90.pdf" TargetMode="External" /><Relationship Type="http://schemas.openxmlformats.org/officeDocument/2006/relationships/hyperlink" Id="rId383" Target="https://www.bde.es/f/webbe/INF/MenuVertical/EstabilidadFinanciera/Colchon_capital/Resolucion_CCA_2025T4.pdf" TargetMode="External" /><Relationship Type="http://schemas.openxmlformats.org/officeDocument/2006/relationships/hyperlink" Id="rId387" Target="https://www.bde.es/wbe/es/publicaciones/informes-memorias-anuales/informe-anual/informe-anual-2025.html" TargetMode="External" /><Relationship Type="http://schemas.openxmlformats.org/officeDocument/2006/relationships/hyperlink" Id="rId381" Target="https://www.bde.es/webbe/es/estadisticas/compartido/docs/notaNGEU.pdf" TargetMode="External" /><Relationship Type="http://schemas.openxmlformats.org/officeDocument/2006/relationships/hyperlink" Id="rId436" Target="https://www.bis.org/bcbs/publ/d295.htm" TargetMode="External" /><Relationship Type="http://schemas.openxmlformats.org/officeDocument/2006/relationships/hyperlink" Id="rId397" Target="https://www.bis.org/bcbs/publ/d424.htm" TargetMode="External" /><Relationship Type="http://schemas.openxmlformats.org/officeDocument/2006/relationships/hyperlink" Id="rId389" Target="https://www.bis.org/publ/arpdf/ar2024e.htm" TargetMode="External" /><Relationship Type="http://schemas.openxmlformats.org/officeDocument/2006/relationships/hyperlink" Id="rId430" Target="https://www.bis.org/publ/bcbs187.htm" TargetMode="External" /><Relationship Type="http://schemas.openxmlformats.org/officeDocument/2006/relationships/hyperlink" Id="rId432" Target="https://www.bis.org/publ/bcbs189.htm" TargetMode="External" /><Relationship Type="http://schemas.openxmlformats.org/officeDocument/2006/relationships/hyperlink" Id="rId434" Target="https://www.bis.org/publ/bcbs238.htm" TargetMode="External" /><Relationship Type="http://schemas.openxmlformats.org/officeDocument/2006/relationships/hyperlink" Id="rId543" Target="https://www.boe.es/diario_boe/txt.php?id=BOE-A-2024-27439" TargetMode="External" /><Relationship Type="http://schemas.openxmlformats.org/officeDocument/2006/relationships/hyperlink" Id="rId545" Target="https://www.boe.es/diario_boe/txt.php?id=BOE-A-2025-26902" TargetMode="External" /><Relationship Type="http://schemas.openxmlformats.org/officeDocument/2006/relationships/hyperlink" Id="rId590"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0" Target="https://www.eba.europa.eu/risk-and-data-analysis/risk-analysis/risk-monitoring/risk-dashboard" TargetMode="External" /><Relationship Type="http://schemas.openxmlformats.org/officeDocument/2006/relationships/hyperlink" Id="rId452"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592" Target="https://www.economist.com/finance-and-economics/2008/12/30/diagnosing-depression" TargetMode="External" /><Relationship Type="http://schemas.openxmlformats.org/officeDocument/2006/relationships/hyperlink" Id="rId491" Target="https://www.edx.org/es/course/programacion-y-politicas-financieras-parte-1-cue-2" TargetMode="External" /><Relationship Type="http://schemas.openxmlformats.org/officeDocument/2006/relationships/hyperlink" Id="rId489" Target="https://www.edx.org/es/learn/finance/the-international-monetary-fund-financial-programming-and-policies-part-1-macroeconomic-accounts-analysis" TargetMode="External" /><Relationship Type="http://schemas.openxmlformats.org/officeDocument/2006/relationships/hyperlink" Id="rId602" Target="https://www.eia.gov/dnav/pet/hist/LeafHandler.ashx?n=PET&amp;s=RBRTE&amp;f=M" TargetMode="External" /><Relationship Type="http://schemas.openxmlformats.org/officeDocument/2006/relationships/hyperlink" Id="rId528" Target="https://www.esrb.europa.eu/pub/pdf/other/140303_esrb_handbook_mp.en.pdf" TargetMode="External" /><Relationship Type="http://schemas.openxmlformats.org/officeDocument/2006/relationships/hyperlink" Id="rId555" Target="https://www.ilo.org/resource/article/moving-towards-full-employment-interview-aurelio-parisotto" TargetMode="External" /><Relationship Type="http://schemas.openxmlformats.org/officeDocument/2006/relationships/hyperlink" Id="rId499" Target="https://www.imf.org/en/About/Factsheets/Sheets/2023/IMF-Conditionality" TargetMode="External" /><Relationship Type="http://schemas.openxmlformats.org/officeDocument/2006/relationships/hyperlink" Id="rId503" Target="https://www.imf.org/en/About/executive-board/Article-IV" TargetMode="External" /><Relationship Type="http://schemas.openxmlformats.org/officeDocument/2006/relationships/hyperlink" Id="rId497" Target="https://www.imf.org/en/news/articles/2025/03/20/pr25072-imf-and-statistical-community-release-new-global-standards-for-macroeconomic-stats" TargetMode="External" /><Relationship Type="http://schemas.openxmlformats.org/officeDocument/2006/relationships/hyperlink" Id="rId505" Target="https://www.imf.org/en/publications/cr/issues/2026/05/21/spain-2026-article-iv-consultation-press-release-staff-report-and-statement-by-the-576248" TargetMode="External" /><Relationship Type="http://schemas.openxmlformats.org/officeDocument/2006/relationships/hyperlink" Id="rId507" Target="https://www.imf.org/en/publications/weo/issues/2026/10/13/world-economic-outlook-october-2026" TargetMode="External" /><Relationship Type="http://schemas.openxmlformats.org/officeDocument/2006/relationships/hyperlink" Id="rId493" Target="https://www.imf.org/es/Publications/FM/Issues/2023/04/03/fiscal-monitor-april-2023" TargetMode="External" /><Relationship Type="http://schemas.openxmlformats.org/officeDocument/2006/relationships/hyperlink" Id="rId486" Target="https://www.imf.org/external/np/pp/eng/2011/021411b.pdf" TargetMode="External" /><Relationship Type="http://schemas.openxmlformats.org/officeDocument/2006/relationships/hyperlink" Id="rId484" Target="https://www.imf.org/external/pubs/ft/bop/2007/pdf/bpm6.pdf" TargetMode="External" /><Relationship Type="http://schemas.openxmlformats.org/officeDocument/2006/relationships/hyperlink" Id="rId524" Target="https://www.ine.es/dyngs/INEbase/es/operacion.htm?c=Estadistica_C&amp;cid=1254736176918&amp;menu=metodologia&amp;idp=1254735976595" TargetMode="External" /><Relationship Type="http://schemas.openxmlformats.org/officeDocument/2006/relationships/hyperlink" Id="rId526" Target="https://www.ine.es/metodologia/t25/metodologia_IPC_base_2025.pdf" TargetMode="External" /><Relationship Type="http://schemas.openxmlformats.org/officeDocument/2006/relationships/hyperlink" Id="rId482" Target="https://www.levyinstitute.org/pubs/wp_651.pdf" TargetMode="External" /><Relationship Type="http://schemas.openxmlformats.org/officeDocument/2006/relationships/hyperlink" Id="rId548" Target="https://www.nber.org/research/business-cycle-dating/business-cycle-dating-procedure-frequently-asked-questions" TargetMode="External" /><Relationship Type="http://schemas.openxmlformats.org/officeDocument/2006/relationships/hyperlink" Id="rId552" Target="https://www.oecd.org/en/publications/2026/06/oecd-economic-outlook-volume-2026-issue-1_8be0dba6.html" TargetMode="External" /><Relationship Type="http://schemas.openxmlformats.org/officeDocument/2006/relationships/hyperlink" Id="rId582" Target="https://www.spglobal.com/marketintelligence/en/mi/products/pmi.html" TargetMode="External" /><Relationship Type="http://schemas.openxmlformats.org/officeDocument/2006/relationships/hyperlink" Id="rId598" Target="https://www.ucm.es/data/cont/docs/518-2015-04-29-COSTE%20LABORAL%20UNITARIO.pdf" TargetMode="External" /><Relationship Type="http://schemas.openxmlformats.org/officeDocument/2006/relationships/hyperlink" Id="rId35" Target="https://www.victorgutierrezmarcos.es/oposicion/temario/cuarto-ejercicio/4A01.pdf" TargetMode="External" /><Relationship Type="http://schemas.openxmlformats.org/officeDocument/2006/relationships/hyperlink" Id="rId64" Target="https://www.victorgutierrezmarcos.es/oposicion/temario/cuarto-ejercicio/4A11.pdf" TargetMode="External" /><Relationship Type="http://schemas.openxmlformats.org/officeDocument/2006/relationships/hyperlink" Id="rId79" Target="https://www.victorgutierrezmarcos.es/oposicion/temario/cuarto-ejercicio/4A13.pdf" TargetMode="External" /><Relationship Type="http://schemas.openxmlformats.org/officeDocument/2006/relationships/hyperlink" Id="rId338" Target="https://www.victorgutierrezmarcos.es/oposicion/temario/cuarto-ejercicio/4A15.pdf" TargetMode="External" /><Relationship Type="http://schemas.openxmlformats.org/officeDocument/2006/relationships/hyperlink" Id="rId89" Target="https://www.victorgutierrezmarcos.es/oposicion/temario/cuarto-ejercicio/4A16.pdf" TargetMode="External" /><Relationship Type="http://schemas.openxmlformats.org/officeDocument/2006/relationships/hyperlink" Id="rId222" Target="https://www.victorgutierrezmarcos.es/oposicion/temario/cuarto-ejercicio/4A18.pdf" TargetMode="External" /><Relationship Type="http://schemas.openxmlformats.org/officeDocument/2006/relationships/hyperlink" Id="rId110" Target="https://www.victorgutierrezmarcos.es/oposicion/temario/cuarto-ejercicio/4A19.pdf" TargetMode="External" /><Relationship Type="http://schemas.openxmlformats.org/officeDocument/2006/relationships/hyperlink" Id="rId330" Target="https://www.victorgutierrezmarcos.es/oposicion/temario/cuarto-ejercicio/4A20.pdf" TargetMode="External" /><Relationship Type="http://schemas.openxmlformats.org/officeDocument/2006/relationships/hyperlink" Id="rId44" Target="https://www.victorgutierrezmarcos.es/oposicion/temario/cuarto-ejercicio/4A21.pdf" TargetMode="External" /><Relationship Type="http://schemas.openxmlformats.org/officeDocument/2006/relationships/hyperlink" Id="rId95" Target="https://www.victorgutierrezmarcos.es/oposicion/temario/cuarto-ejercicio/4A22.pdf" TargetMode="External" /><Relationship Type="http://schemas.openxmlformats.org/officeDocument/2006/relationships/hyperlink" Id="rId334" Target="https://www.victorgutierrezmarcos.es/oposicion/temario/cuarto-ejercicio/4A23.pdf" TargetMode="External" /><Relationship Type="http://schemas.openxmlformats.org/officeDocument/2006/relationships/hyperlink" Id="rId344" Target="https://www.victorgutierrezmarcos.es/oposicion/temario/cuarto-ejercicio/4A24.pdf" TargetMode="External" /><Relationship Type="http://schemas.openxmlformats.org/officeDocument/2006/relationships/hyperlink" Id="rId86" Target="https://www.victorgutierrezmarcos.es/oposicion/temario/cuarto-ejercicio/4A30.pdf" TargetMode="External" /><Relationship Type="http://schemas.openxmlformats.org/officeDocument/2006/relationships/hyperlink" Id="rId220" Target="https://www.victorgutierrezmarcos.es/oposicion/temario/cuarto-ejercicio/4B01.pdf" TargetMode="External" /><Relationship Type="http://schemas.openxmlformats.org/officeDocument/2006/relationships/hyperlink" Id="rId39" Target="https://www.victorgutierrezmarcos.es/oposicion/temario/cuarto-ejercicio/4B04.pdf" TargetMode="External" /><Relationship Type="http://schemas.openxmlformats.org/officeDocument/2006/relationships/hyperlink" Id="rId184" Target="https://www.victorgutierrezmarcos.es/oposicion/temario/cuarto-ejercicio/4B05.pdf" TargetMode="External" /><Relationship Type="http://schemas.openxmlformats.org/officeDocument/2006/relationships/hyperlink" Id="rId185" Target="https://www.victorgutierrezmarcos.es/oposicion/temario/cuarto-ejercicio/4B07.pdf" TargetMode="External" /><Relationship Type="http://schemas.openxmlformats.org/officeDocument/2006/relationships/hyperlink" Id="rId256" Target="https://www.victorgutierrezmarcos.es/oposicion/temario/cuarto-ejercicio/4B21.pdf" TargetMode="External" /><Relationship Type="http://schemas.openxmlformats.org/officeDocument/2006/relationships/hyperlink" Id="rId180" Target="https://www.victorgutierrezmarcos.es/oposicion/temario/cuarto-ejercicio/4B26.pdf" TargetMode="External" /><Relationship Type="http://schemas.openxmlformats.org/officeDocument/2006/relationships/hyperlink" Id="rId211" Target="https://www.victorgutierrezmarcos.es/oposicion/temario/quinto-ejercicio/parte_B.pdf" TargetMode="External" /><Relationship Type="http://schemas.openxmlformats.org/officeDocument/2006/relationships/hyperlink" Id="rId38" Target="https://www.victorgutierrezmarcos.es/oposicion/temario/tema-no-disponible.html?tema=3.A.28" TargetMode="External" /><Relationship Type="http://schemas.openxmlformats.org/officeDocument/2006/relationships/hyperlink" Id="rId325" Target="https://www.victorgutierrezmarcos.es/oposicion/temario/tema-no-disponible.html?tema=3.A.31" TargetMode="External" /><Relationship Type="http://schemas.openxmlformats.org/officeDocument/2006/relationships/hyperlink" Id="rId142" Target="https://www.victorgutierrezmarcos.es/oposicion/temario/tema-no-disponible.html?tema=3.A.32" TargetMode="External" /><Relationship Type="http://schemas.openxmlformats.org/officeDocument/2006/relationships/hyperlink" Id="rId188" Target="https://www.victorgutierrezmarcos.es/oposicion/temario/tema-no-disponible.html?tema=3.A.40" TargetMode="External" /><Relationship Type="http://schemas.openxmlformats.org/officeDocument/2006/relationships/hyperlink" Id="rId327" Target="https://www.victorgutierrezmarcos.es/oposicion/temario/tema-no-disponible.html?tema=3.B.18" TargetMode="External" /><Relationship Type="http://schemas.openxmlformats.org/officeDocument/2006/relationships/hyperlink" Id="rId329" Target="https://www.victorgutierrezmarcos.es/oposicion/temario/tema-no-disponible.html?tema=3.B.26" TargetMode="External" /><Relationship Type="http://schemas.openxmlformats.org/officeDocument/2006/relationships/hyperlink" Id="rId219" Target="https://www.victorgutierrezmarcos.es/oposicion/temario/tema-no-disponible.html?tema=3.B.29" TargetMode="External" /><Relationship Type="http://schemas.openxmlformats.org/officeDocument/2006/relationships/hyperlink" Id="rId241" Target="https://www.victorgutierrezmarcos.es/oposicion/temario/tema-no-disponible.html?tema=3.B.32" TargetMode="External" /><Relationship Type="http://schemas.openxmlformats.org/officeDocument/2006/relationships/hyperlink" Id="rId337" Target="https://www.victorgutierrezmarcos.es/oposicion/temario/tema-no-disponible.html?tema=3.B.43" TargetMode="External" /><Relationship Type="http://schemas.openxmlformats.org/officeDocument/2006/relationships/hyperlink" Id="rId159" Target="https://www.victorgutierrezmarcos.es/oposicion/temario/tema-no-disponible.html?tema=3.B.44" TargetMode="External" /><Relationship Type="http://schemas.openxmlformats.org/officeDocument/2006/relationships/hyperlink" Id="rId177" Target="https://www.victorgutierrezmarcos.es/oposicion/temario/tema-no-disponible.html?tema=3.B.45" TargetMode="External" /><Relationship Type="http://schemas.openxmlformats.org/officeDocument/2006/relationships/hyperlink" Id="rId243" Target="https://www.victorgutierrezmarcos.es/oposicion/temario/tema-no-disponible.html?tema=4.A.2" TargetMode="External" /><Relationship Type="http://schemas.openxmlformats.org/officeDocument/2006/relationships/hyperlink" Id="rId332" Target="https://www.victorgutierrezmarcos.es/oposicion/temario/tema-no-disponible.html?tema=4.A.25" TargetMode="External" /><Relationship Type="http://schemas.openxmlformats.org/officeDocument/2006/relationships/hyperlink" Id="rId50" Target="https://www.victorgutierrezmarcos.es/oposicion/temario/tema-no-disponible.html?tema=4.A.29" TargetMode="External" /><Relationship Type="http://schemas.openxmlformats.org/officeDocument/2006/relationships/hyperlink" Id="rId76" Target="https://www.victorgutierrezmarcos.es/oposicion/temario/tema-no-disponible.html?tema=4.A.4" TargetMode="External" /><Relationship Type="http://schemas.openxmlformats.org/officeDocument/2006/relationships/hyperlink" Id="rId77" Target="https://www.victorgutierrezmarcos.es/oposicion/temario/tema-no-disponible.html?tema=4.A.5" TargetMode="External" /><Relationship Type="http://schemas.openxmlformats.org/officeDocument/2006/relationships/hyperlink" Id="rId343" Target="https://www.victorgutierrezmarcos.es/oposicion/temario/tema-no-disponible.html?tema=4.A.7" TargetMode="External" /><Relationship Type="http://schemas.openxmlformats.org/officeDocument/2006/relationships/hyperlink" Id="rId78" Target="https://www.victorgutierrezmarcos.es/oposicion/temario/tema-no-disponible.html?tema=4.A.9" TargetMode="External" /><Relationship Type="http://schemas.openxmlformats.org/officeDocument/2006/relationships/hyperlink" Id="rId339" Target="https://www.victorgutierrezmarcos.es/oposicion/temario/tema-no-disponible.html?tema=4.B.23" TargetMode="External" /><Relationship Type="http://schemas.openxmlformats.org/officeDocument/2006/relationships/hyperlink" Id="rId115" Target="https://www.victorgutierrezmarcos.es/oposicion/temario/tercer-ejercicio/3A09.pdf" TargetMode="External" /><Relationship Type="http://schemas.openxmlformats.org/officeDocument/2006/relationships/hyperlink" Id="rId59" Target="https://www.victorgutierrezmarcos.es/oposicion/temario/tercer-ejercicio/3A10.pdf" TargetMode="External" /><Relationship Type="http://schemas.openxmlformats.org/officeDocument/2006/relationships/hyperlink" Id="rId326" Target="https://www.victorgutierrezmarcos.es/oposicion/temario/tercer-ejercicio/3A13.pdf" TargetMode="External" /><Relationship Type="http://schemas.openxmlformats.org/officeDocument/2006/relationships/hyperlink" Id="rId340" Target="https://www.victorgutierrezmarcos.es/oposicion/temario/tercer-ejercicio/3A15.pdf" TargetMode="External" /><Relationship Type="http://schemas.openxmlformats.org/officeDocument/2006/relationships/hyperlink" Id="rId244" Target="https://www.victorgutierrezmarcos.es/oposicion/temario/tercer-ejercicio/3A17.pdf" TargetMode="External" /><Relationship Type="http://schemas.openxmlformats.org/officeDocument/2006/relationships/hyperlink" Id="rId341" Target="https://www.victorgutierrezmarcos.es/oposicion/temario/tercer-ejercicio/3A20.pdf" TargetMode="External" /><Relationship Type="http://schemas.openxmlformats.org/officeDocument/2006/relationships/hyperlink" Id="rId342" Target="https://www.victorgutierrezmarcos.es/oposicion/temario/tercer-ejercicio/3A23.pdf" TargetMode="External" /><Relationship Type="http://schemas.openxmlformats.org/officeDocument/2006/relationships/hyperlink" Id="rId88" Target="https://www.victorgutierrezmarcos.es/oposicion/temario/tercer-ejercicio/3A25.pdf" TargetMode="External" /><Relationship Type="http://schemas.openxmlformats.org/officeDocument/2006/relationships/hyperlink" Id="rId100" Target="https://www.victorgutierrezmarcos.es/oposicion/temario/tercer-ejercicio/3A26.pdf" TargetMode="External" /><Relationship Type="http://schemas.openxmlformats.org/officeDocument/2006/relationships/hyperlink" Id="rId94"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6" Target="https://www.victorgutierrezmarcos.es/oposicion/temario/tercer-ejercicio/3A33.pdf" TargetMode="External" /><Relationship Type="http://schemas.openxmlformats.org/officeDocument/2006/relationships/hyperlink" Id="rId68" Target="https://www.victorgutierrezmarcos.es/oposicion/temario/tercer-ejercicio/3A34.pdf" TargetMode="External" /><Relationship Type="http://schemas.openxmlformats.org/officeDocument/2006/relationships/hyperlink" Id="rId335" Target="https://www.victorgutierrezmarcos.es/oposicion/temario/tercer-ejercicio/3A35.pdf" TargetMode="External" /><Relationship Type="http://schemas.openxmlformats.org/officeDocument/2006/relationships/hyperlink" Id="rId121" Target="https://www.victorgutierrezmarcos.es/oposicion/temario/tercer-ejercicio/3A36.pdf" TargetMode="External" /><Relationship Type="http://schemas.openxmlformats.org/officeDocument/2006/relationships/hyperlink" Id="rId153" Target="https://www.victorgutierrezmarcos.es/oposicion/temario/tercer-ejercicio/3A37.pdf" TargetMode="External" /><Relationship Type="http://schemas.openxmlformats.org/officeDocument/2006/relationships/hyperlink" Id="rId173" Target="https://www.victorgutierrezmarcos.es/oposicion/temario/tercer-ejercicio/3A38.pdf" TargetMode="External" /><Relationship Type="http://schemas.openxmlformats.org/officeDocument/2006/relationships/hyperlink" Id="rId60" Target="https://www.victorgutierrezmarcos.es/oposicion/temario/tercer-ejercicio/3A39.pdf" TargetMode="External" /><Relationship Type="http://schemas.openxmlformats.org/officeDocument/2006/relationships/hyperlink" Id="rId11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74" Target="https://www.victorgutierrezmarcos.es/oposicion/temario/tercer-ejercicio/3A43.pdf" TargetMode="External" /><Relationship Type="http://schemas.openxmlformats.org/officeDocument/2006/relationships/hyperlink" Id="rId194" Target="https://www.victorgutierrezmarcos.es/oposicion/temario/tercer-ejercicio/3A44.pdf" TargetMode="External" /><Relationship Type="http://schemas.openxmlformats.org/officeDocument/2006/relationships/hyperlink" Id="rId41" Target="https://www.victorgutierrezmarcos.es/oposicion/temario/tercer-ejercicio/3A45.pdf" TargetMode="External" /><Relationship Type="http://schemas.openxmlformats.org/officeDocument/2006/relationships/hyperlink" Id="rId165" Target="https://www.victorgutierrezmarcos.es/oposicion/temario/tercer-ejercicio/3B01.pdf" TargetMode="External" /><Relationship Type="http://schemas.openxmlformats.org/officeDocument/2006/relationships/hyperlink" Id="rId139" Target="https://www.victorgutierrezmarcos.es/oposicion/temario/tercer-ejercicio/3B05.pdf" TargetMode="External" /><Relationship Type="http://schemas.openxmlformats.org/officeDocument/2006/relationships/hyperlink" Id="rId131" Target="https://www.victorgutierrezmarcos.es/oposicion/temario/tercer-ejercicio/3B06.pdf" TargetMode="External" /><Relationship Type="http://schemas.openxmlformats.org/officeDocument/2006/relationships/hyperlink" Id="rId246" Target="https://www.victorgutierrezmarcos.es/oposicion/temario/tercer-ejercicio/3B07.pdf" TargetMode="External" /><Relationship Type="http://schemas.openxmlformats.org/officeDocument/2006/relationships/hyperlink" Id="rId138" Target="https://www.victorgutierrezmarcos.es/oposicion/temario/tercer-ejercicio/3B09.pdf" TargetMode="External" /><Relationship Type="http://schemas.openxmlformats.org/officeDocument/2006/relationships/hyperlink" Id="rId43" Target="https://www.victorgutierrezmarcos.es/oposicion/temario/tercer-ejercicio/3B11.pdf" TargetMode="External" /><Relationship Type="http://schemas.openxmlformats.org/officeDocument/2006/relationships/hyperlink" Id="rId126" Target="https://www.victorgutierrezmarcos.es/oposicion/temario/tercer-ejercicio/3B12.pdf" TargetMode="External" /><Relationship Type="http://schemas.openxmlformats.org/officeDocument/2006/relationships/hyperlink" Id="rId124" Target="https://www.victorgutierrezmarcos.es/oposicion/temario/tercer-ejercicio/3B13.pdf" TargetMode="External" /><Relationship Type="http://schemas.openxmlformats.org/officeDocument/2006/relationships/hyperlink" Id="rId331" Target="https://www.victorgutierrezmarcos.es/oposicion/temario/tercer-ejercicio/3B14.pdf" TargetMode="External" /><Relationship Type="http://schemas.openxmlformats.org/officeDocument/2006/relationships/hyperlink" Id="rId128" Target="https://www.victorgutierrezmarcos.es/oposicion/temario/tercer-ejercicio/3B15.pdf" TargetMode="External" /><Relationship Type="http://schemas.openxmlformats.org/officeDocument/2006/relationships/hyperlink" Id="rId333" Target="https://www.victorgutierrezmarcos.es/oposicion/temario/tercer-ejercicio/3B17.pdf" TargetMode="External" /><Relationship Type="http://schemas.openxmlformats.org/officeDocument/2006/relationships/hyperlink" Id="rId336" Target="https://www.victorgutierrezmarcos.es/oposicion/temario/tercer-ejercicio/3B19.pdf" TargetMode="External" /><Relationship Type="http://schemas.openxmlformats.org/officeDocument/2006/relationships/hyperlink" Id="rId145" Target="https://www.victorgutierrezmarcos.es/oposicion/temario/tercer-ejercicio/3B22.pdf" TargetMode="External" /><Relationship Type="http://schemas.openxmlformats.org/officeDocument/2006/relationships/hyperlink" Id="rId328" Target="https://www.victorgutierrezmarcos.es/oposicion/temario/tercer-ejercicio/3B23.pdf" TargetMode="External" /><Relationship Type="http://schemas.openxmlformats.org/officeDocument/2006/relationships/hyperlink" Id="rId47" Target="https://www.victorgutierrezmarcos.es/oposicion/temario/tercer-ejercicio/3B24.pdf" TargetMode="External" /><Relationship Type="http://schemas.openxmlformats.org/officeDocument/2006/relationships/hyperlink" Id="rId109" Target="https://www.victorgutierrezmarcos.es/oposicion/temario/tercer-ejercicio/3B27.pdf" TargetMode="External" /><Relationship Type="http://schemas.openxmlformats.org/officeDocument/2006/relationships/hyperlink" Id="rId240" Target="https://www.victorgutierrezmarcos.es/oposicion/temario/tercer-ejercicio/3B28.pdf" TargetMode="External" /><Relationship Type="http://schemas.openxmlformats.org/officeDocument/2006/relationships/hyperlink" Id="rId247" Target="https://www.victorgutierrezmarcos.es/oposicion/temario/tercer-ejercicio/3B33.pdf" TargetMode="External" /><Relationship Type="http://schemas.openxmlformats.org/officeDocument/2006/relationships/hyperlink" Id="rId248" Target="https://www.victorgutierrezmarcos.es/oposicion/temario/tercer-ejercicio/3B41.pdf" TargetMode="External" /><Relationship Type="http://schemas.openxmlformats.org/officeDocument/2006/relationships/hyperlink" Id="rId349"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51" Target="https://atcee.es/la-oposicion-tcee/examenes-anteriores/" TargetMode="External" /><Relationship Type="http://schemas.openxmlformats.org/officeDocument/2006/relationships/hyperlink" Id="rId454" Target="https://commission.europa.eu/system/files/2021-06/2021_06_16_efb_assessment_of_euro_area_fiscal_stance_en.pdf" TargetMode="External" /><Relationship Type="http://schemas.openxmlformats.org/officeDocument/2006/relationships/hyperlink" Id="rId550" Target="https://data-explorer.oecd.org/" TargetMode="External" /><Relationship Type="http://schemas.openxmlformats.org/officeDocument/2006/relationships/hyperlink" Id="rId371" Target="https://data.ecb.europa.eu/data/datasets/EXR" TargetMode="External" /><Relationship Type="http://schemas.openxmlformats.org/officeDocument/2006/relationships/hyperlink" Id="rId373" Target="https://data.ecb.europa.eu/data/datasets/ILM" TargetMode="External" /><Relationship Type="http://schemas.openxmlformats.org/officeDocument/2006/relationships/hyperlink" Id="rId501" Target="https://data.imf.org/en/Dashboards/FM%20Dashboard" TargetMode="External" /><Relationship Type="http://schemas.openxmlformats.org/officeDocument/2006/relationships/hyperlink" Id="rId391" Target="https://data.worldbank.org/indicator/NE.TRD.GNFS.ZS" TargetMode="External" /><Relationship Type="http://schemas.openxmlformats.org/officeDocument/2006/relationships/hyperlink" Id="rId586" Target="https://doi.org/10.1016/0167-2231(93)90009-L" TargetMode="External" /><Relationship Type="http://schemas.openxmlformats.org/officeDocument/2006/relationships/hyperlink" Id="rId534" Target="https://doi.org/10.1016/0304-3932(91)90007-B" TargetMode="External" /><Relationship Type="http://schemas.openxmlformats.org/officeDocument/2006/relationships/hyperlink" Id="rId588" Target="https://doi.org/10.1016/S0014-2921(00)00037-4" TargetMode="External" /><Relationship Type="http://schemas.openxmlformats.org/officeDocument/2006/relationships/hyperlink" Id="rId584" Target="https://doi.org/10.1016/S1574-0048(99)01004-6" TargetMode="External" /><Relationship Type="http://schemas.openxmlformats.org/officeDocument/2006/relationships/hyperlink" Id="rId418" Target="https://doi.org/10.1016/j.jinteco.2014.05.003" TargetMode="External" /><Relationship Type="http://schemas.openxmlformats.org/officeDocument/2006/relationships/hyperlink" Id="rId579" Target="https://doi.org/10.1057/imfer.2012.6" TargetMode="External" /><Relationship Type="http://schemas.openxmlformats.org/officeDocument/2006/relationships/hyperlink" Id="rId409" Target="https://doi.org/10.1080/15140326.1998.12040516" TargetMode="External" /><Relationship Type="http://schemas.openxmlformats.org/officeDocument/2006/relationships/hyperlink" Id="rId395" Target="https://doi.org/10.1086/260266" TargetMode="External" /><Relationship Type="http://schemas.openxmlformats.org/officeDocument/2006/relationships/hyperlink" Id="rId518" Target="https://doi.org/10.1086/260724" TargetMode="External" /><Relationship Type="http://schemas.openxmlformats.org/officeDocument/2006/relationships/hyperlink" Id="rId510" Target="https://doi.org/10.1086/654131" TargetMode="External" /><Relationship Type="http://schemas.openxmlformats.org/officeDocument/2006/relationships/hyperlink" Id="rId531" Target="https://doi.org/10.1086/ma.19.3585327" TargetMode="External" /><Relationship Type="http://schemas.openxmlformats.org/officeDocument/2006/relationships/hyperlink" Id="rId415" Target="https://doi.org/10.1093/jeea/jvx028" TargetMode="External" /><Relationship Type="http://schemas.openxmlformats.org/officeDocument/2006/relationships/hyperlink" Id="rId480" Target="https://doi.org/10.1093/qje/qjz036" TargetMode="External" /><Relationship Type="http://schemas.openxmlformats.org/officeDocument/2006/relationships/hyperlink" Id="rId514" Target="https://doi.org/10.1111/j.1468-0335.2009.00815.x" TargetMode="External" /><Relationship Type="http://schemas.openxmlformats.org/officeDocument/2006/relationships/hyperlink" Id="rId516" Target="https://doi.org/10.1111/jeea.12083" TargetMode="External" /><Relationship Type="http://schemas.openxmlformats.org/officeDocument/2006/relationships/hyperlink" Id="rId355" Target="https://doi.org/10.1111/jmcb.12420" TargetMode="External" /><Relationship Type="http://schemas.openxmlformats.org/officeDocument/2006/relationships/hyperlink" Id="rId411" Target="https://doi.org/10.1162/003355302753650274" TargetMode="External" /><Relationship Type="http://schemas.openxmlformats.org/officeDocument/2006/relationships/hyperlink" Id="rId413" Target="https://doi.org/10.1162/003465305775098189" TargetMode="External" /><Relationship Type="http://schemas.openxmlformats.org/officeDocument/2006/relationships/hyperlink" Id="rId448" Target="https://doi.org/10.1162/003465398557320" TargetMode="External" /><Relationship Type="http://schemas.openxmlformats.org/officeDocument/2006/relationships/hyperlink" Id="rId399" Target="https://doi.org/10.1257/aer.109.4.1197" TargetMode="External" /><Relationship Type="http://schemas.openxmlformats.org/officeDocument/2006/relationships/hyperlink" Id="rId512" Target="https://doi.org/10.1257/aer.20171201" TargetMode="External" /><Relationship Type="http://schemas.openxmlformats.org/officeDocument/2006/relationships/hyperlink" Id="rId347" Target="https://doi.org/10.1257/jep.33.4.187" TargetMode="External" /><Relationship Type="http://schemas.openxmlformats.org/officeDocument/2006/relationships/hyperlink" Id="rId540" Target="https://doi.org/10.1257/jep.35.1.3" TargetMode="External" /><Relationship Type="http://schemas.openxmlformats.org/officeDocument/2006/relationships/hyperlink" Id="rId403" Target="https://doi.org/10.1257/jep.5.1.73" TargetMode="External" /><Relationship Type="http://schemas.openxmlformats.org/officeDocument/2006/relationships/hyperlink" Id="rId572" Target="https://doi.org/10.1353/eca.2003.0018" TargetMode="External" /><Relationship Type="http://schemas.openxmlformats.org/officeDocument/2006/relationships/hyperlink" Id="rId575" Target="https://doi.org/10.21034/qr.531" TargetMode="External" /><Relationship Type="http://schemas.openxmlformats.org/officeDocument/2006/relationships/hyperlink" Id="rId407" Target="https://doi.org/10.2307/1344503" TargetMode="External" /><Relationship Type="http://schemas.openxmlformats.org/officeDocument/2006/relationships/hyperlink" Id="rId442" Target="https://doi.org/10.2307/2232670" TargetMode="External" /><Relationship Type="http://schemas.openxmlformats.org/officeDocument/2006/relationships/hyperlink" Id="rId538" Target="https://doi.org/10.2307/2534091" TargetMode="External" /><Relationship Type="http://schemas.openxmlformats.org/officeDocument/2006/relationships/hyperlink" Id="rId401" Target="https://doi.org/10.2307/2534495" TargetMode="External" /><Relationship Type="http://schemas.openxmlformats.org/officeDocument/2006/relationships/hyperlink" Id="rId570" Target="https://doi.org/10.2307/2550759" TargetMode="External" /><Relationship Type="http://schemas.openxmlformats.org/officeDocument/2006/relationships/hyperlink" Id="rId522" Target="https://doi.org/10.2307/2953682" TargetMode="External" /><Relationship Type="http://schemas.openxmlformats.org/officeDocument/2006/relationships/hyperlink" Id="rId422" Target="https://doi.org/10.2765/022983" TargetMode="External" /><Relationship Type="http://schemas.openxmlformats.org/officeDocument/2006/relationships/hyperlink" Id="rId520" Target="https://doi.org/10.2765/71437" TargetMode="External" /><Relationship Type="http://schemas.openxmlformats.org/officeDocument/2006/relationships/hyperlink" Id="rId495" Target="https://doi.org/10.5089/9798400230622.002.A001" TargetMode="External" /><Relationship Type="http://schemas.openxmlformats.org/officeDocument/2006/relationships/hyperlink" Id="rId446" Target="https://doi.org/10.7208/chicago/9780226194578.003.0002" TargetMode="External" /><Relationship Type="http://schemas.openxmlformats.org/officeDocument/2006/relationships/hyperlink" Id="rId476" Target="https://ec.europa.eu/eurostat/databrowser/view/jvs_q_r21/default/table" TargetMode="External" /><Relationship Type="http://schemas.openxmlformats.org/officeDocument/2006/relationships/hyperlink" Id="rId464" Target="https://ec.europa.eu/eurostat/databrowser/view/lfsa_argan/default/table" TargetMode="External" /><Relationship Type="http://schemas.openxmlformats.org/officeDocument/2006/relationships/hyperlink" Id="rId462" Target="https://ec.europa.eu/eurostat/databrowser/view/lfsq_argan/default/table" TargetMode="External" /><Relationship Type="http://schemas.openxmlformats.org/officeDocument/2006/relationships/hyperlink" Id="rId472" Target="https://ec.europa.eu/eurostat/databrowser/view/nama_10_a10/default/table" TargetMode="External" /><Relationship Type="http://schemas.openxmlformats.org/officeDocument/2006/relationships/hyperlink" Id="rId470" Target="https://ec.europa.eu/eurostat/databrowser/view/nama_10_gdp/default/table" TargetMode="External" /><Relationship Type="http://schemas.openxmlformats.org/officeDocument/2006/relationships/hyperlink" Id="rId466" Target="https://ec.europa.eu/eurostat/databrowser/view/namq_10_a10_e/default/table" TargetMode="External" /><Relationship Type="http://schemas.openxmlformats.org/officeDocument/2006/relationships/hyperlink" Id="rId468" Target="https://ec.europa.eu/eurostat/databrowser/view/namq_10_gdp/default/table" TargetMode="External" /><Relationship Type="http://schemas.openxmlformats.org/officeDocument/2006/relationships/hyperlink" Id="rId474" Target="https://ec.europa.eu/eurostat/databrowser/view/prc_hicp_minr/default/table" TargetMode="External" /><Relationship Type="http://schemas.openxmlformats.org/officeDocument/2006/relationships/hyperlink" Id="rId478" Target="https://ec.europa.eu/eurostat/databrowser/view/une_rt_q/default/table" TargetMode="External" /><Relationship Type="http://schemas.openxmlformats.org/officeDocument/2006/relationships/hyperlink" Id="rId458" Target="https://ec.europa.eu/eurostat/statistics-explained/index.php?title=Glossary:Housing_cost_overburden_rate" TargetMode="External" /><Relationship Type="http://schemas.openxmlformats.org/officeDocument/2006/relationships/hyperlink" Id="rId460" Target="https://ec.europa.eu/eurostat/statistics-explained/index.php?title=The_Macroeconomic_Imbalance_Procedure_(MIP)_introduced" TargetMode="External" /><Relationship Type="http://schemas.openxmlformats.org/officeDocument/2006/relationships/hyperlink" Id="rId456" Target="https://ec.europa.eu/eurostat/web/products-euro-indicators/-/2-22042013-ap" TargetMode="External" /><Relationship Type="http://schemas.openxmlformats.org/officeDocument/2006/relationships/hyperlink" Id="rId426" Target="https://economy-finance.ec.europa.eu/economic-forecast-and-surveys/business-and-consumer-surveys_en" TargetMode="External" /><Relationship Type="http://schemas.openxmlformats.org/officeDocument/2006/relationships/hyperlink" Id="rId428" Target="https://economy-finance.ec.europa.eu/economic-research-and-databases/economic-databases/ameco-database_en" TargetMode="External" /><Relationship Type="http://schemas.openxmlformats.org/officeDocument/2006/relationships/hyperlink" Id="rId557" Target="https://eur-lex.europa.eu/eli/dir/2013/36/oj" TargetMode="External" /><Relationship Type="http://schemas.openxmlformats.org/officeDocument/2006/relationships/hyperlink" Id="rId561" Target="https://eur-lex.europa.eu/eli/reg/2013/549/oj" TargetMode="External" /><Relationship Type="http://schemas.openxmlformats.org/officeDocument/2006/relationships/hyperlink" Id="rId559" Target="https://eur-lex.europa.eu/eli/reg/2013/575/oj" TargetMode="External" /><Relationship Type="http://schemas.openxmlformats.org/officeDocument/2006/relationships/hyperlink" Id="rId565" Target="https://eur-lex.europa.eu/eli/reg/2024/1263/oj" TargetMode="External" /><Relationship Type="http://schemas.openxmlformats.org/officeDocument/2006/relationships/hyperlink" Id="rId440" Target="https://eur-lex.europa.eu/eli/reg/2024/1264/oj" TargetMode="External" /><Relationship Type="http://schemas.openxmlformats.org/officeDocument/2006/relationships/hyperlink" Id="rId567" Target="https://eur-lex.europa.eu/eli/reg/2024/1623/oj" TargetMode="External" /><Relationship Type="http://schemas.openxmlformats.org/officeDocument/2006/relationships/hyperlink" Id="rId424" Target="https://eur-lex.europa.eu/legal-content/EN/ALL/?uri=CELEX:52025DC0956" TargetMode="External" /><Relationship Type="http://schemas.openxmlformats.org/officeDocument/2006/relationships/hyperlink" Id="rId596" Target="https://eur-lex.europa.eu/legal-content/ES/TXT/?uri=CELEX:12012E/PRO/12" TargetMode="External" /><Relationship Type="http://schemas.openxmlformats.org/officeDocument/2006/relationships/hyperlink" Id="rId438" Target="https://eur-lex.europa.eu/legal-content/ES/TXT/?uri=CELEX:32013R1024" TargetMode="External" /><Relationship Type="http://schemas.openxmlformats.org/officeDocument/2006/relationships/hyperlink" Id="rId563" Target="https://eur-lex.europa.eu/legal-content/ES/TXT/?uri=CELEX:32014R0806" TargetMode="External" /><Relationship Type="http://schemas.openxmlformats.org/officeDocument/2006/relationships/hyperlink" Id="rId359" Target="https://eur-lex.europa.eu/legal-content/ES/TXT/?uri=CELEX:32020HB0019" TargetMode="External" /><Relationship Type="http://schemas.openxmlformats.org/officeDocument/2006/relationships/hyperlink" Id="rId420" Target="https://eur-lex.europa.eu/legal-content/ES/TXT/?uri=CELEX:52015PC0586" TargetMode="External" /><Relationship Type="http://schemas.openxmlformats.org/officeDocument/2006/relationships/hyperlink" Id="rId600" Target="https://fred.stlouisfed.org/series/GDPC1" TargetMode="External" /><Relationship Type="http://schemas.openxmlformats.org/officeDocument/2006/relationships/hyperlink" Id="rId577" Target="https://laadministracionaldia.inap.es/noticia.asp?id=1500719" TargetMode="External" /><Relationship Type="http://schemas.openxmlformats.org/officeDocument/2006/relationships/hyperlink" Id="rId594" Target="https://uniblog.unicajabanco.es/8-indicadores-bancarios-para-no-iniciados" TargetMode="External" /><Relationship Type="http://schemas.openxmlformats.org/officeDocument/2006/relationships/hyperlink" Id="rId365" Target="https://www.bankingsupervision.europa.eu/activities/srep/2025/html/ssm.srep202511_aggregatedresults2025.en.html" TargetMode="External" /><Relationship Type="http://schemas.openxmlformats.org/officeDocument/2006/relationships/hyperlink" Id="rId375" Target="https://www.bankingsupervision.europa.eu/press/pr/date/2026/html/ssm.pr260915~7917ca1416.es.html" TargetMode="External" /><Relationship Type="http://schemas.openxmlformats.org/officeDocument/2006/relationships/hyperlink" Id="rId393" Target="https://www.bankinter.com/blog/economia/leer-rating-agencias-calificacion-financiera" TargetMode="External" /><Relationship Type="http://schemas.openxmlformats.org/officeDocument/2006/relationships/hyperlink" Id="rId405" Target="https://www.bbvaresearch.com/publicaciones/espana-la-economia-espanola-en-el-primer-ano-de-la-guerra-de-ucrania/" TargetMode="External" /><Relationship Type="http://schemas.openxmlformats.org/officeDocument/2006/relationships/hyperlink" Id="rId385" Target="https://www.bde.es/f/webbe/GAP/Secciones/SalaPrensa/NotasInformativas/26/presbe2026-90.pdf" TargetMode="External" /><Relationship Type="http://schemas.openxmlformats.org/officeDocument/2006/relationships/hyperlink" Id="rId383" Target="https://www.bde.es/f/webbe/INF/MenuVertical/EstabilidadFinanciera/Colchon_capital/Resolucion_CCA_2025T4.pdf" TargetMode="External" /><Relationship Type="http://schemas.openxmlformats.org/officeDocument/2006/relationships/hyperlink" Id="rId387" Target="https://www.bde.es/wbe/es/publicaciones/informes-memorias-anuales/informe-anual/informe-anual-2025.html" TargetMode="External" /><Relationship Type="http://schemas.openxmlformats.org/officeDocument/2006/relationships/hyperlink" Id="rId381" Target="https://www.bde.es/webbe/es/estadisticas/compartido/docs/notaNGEU.pdf" TargetMode="External" /><Relationship Type="http://schemas.openxmlformats.org/officeDocument/2006/relationships/hyperlink" Id="rId436" Target="https://www.bis.org/bcbs/publ/d295.htm" TargetMode="External" /><Relationship Type="http://schemas.openxmlformats.org/officeDocument/2006/relationships/hyperlink" Id="rId397" Target="https://www.bis.org/bcbs/publ/d424.htm" TargetMode="External" /><Relationship Type="http://schemas.openxmlformats.org/officeDocument/2006/relationships/hyperlink" Id="rId389" Target="https://www.bis.org/publ/arpdf/ar2024e.htm" TargetMode="External" /><Relationship Type="http://schemas.openxmlformats.org/officeDocument/2006/relationships/hyperlink" Id="rId430" Target="https://www.bis.org/publ/bcbs187.htm" TargetMode="External" /><Relationship Type="http://schemas.openxmlformats.org/officeDocument/2006/relationships/hyperlink" Id="rId432" Target="https://www.bis.org/publ/bcbs189.htm" TargetMode="External" /><Relationship Type="http://schemas.openxmlformats.org/officeDocument/2006/relationships/hyperlink" Id="rId434" Target="https://www.bis.org/publ/bcbs238.htm" TargetMode="External" /><Relationship Type="http://schemas.openxmlformats.org/officeDocument/2006/relationships/hyperlink" Id="rId543" Target="https://www.boe.es/diario_boe/txt.php?id=BOE-A-2024-27439" TargetMode="External" /><Relationship Type="http://schemas.openxmlformats.org/officeDocument/2006/relationships/hyperlink" Id="rId545" Target="https://www.boe.es/diario_boe/txt.php?id=BOE-A-2025-26902" TargetMode="External" /><Relationship Type="http://schemas.openxmlformats.org/officeDocument/2006/relationships/hyperlink" Id="rId590" Target="https://www.conference-board.org/topics/us-leading-indicators" TargetMode="External" /><Relationship Type="http://schemas.openxmlformats.org/officeDocument/2006/relationships/hyperlink" Id="rId353" Target="https://www.eba.europa.eu/regulation-and-policy/credit-risk/guidelines-legislative-and-non-legislative-moratoria-loan-repayments-applied-light-covid-19-crisis" TargetMode="External" /><Relationship Type="http://schemas.openxmlformats.org/officeDocument/2006/relationships/hyperlink" Id="rId450" Target="https://www.eba.europa.eu/risk-and-data-analysis/risk-analysis/risk-monitoring/risk-dashboard" TargetMode="External" /><Relationship Type="http://schemas.openxmlformats.org/officeDocument/2006/relationships/hyperlink" Id="rId452" Target="https://www.eba.europa.eu/sites/default/files/2026-09/26394108-1837-4b5b-bce2-fba1d3c574b1/EBA%20Dashboard%20-%20Q2%202026.pdf" TargetMode="External" /><Relationship Type="http://schemas.openxmlformats.org/officeDocument/2006/relationships/hyperlink" Id="rId367" Target="https://www.ecb.europa.eu/mopo/strategy/strategy-review/ecb.strategyreview202506_strategy_statement.es.html" TargetMode="External" /><Relationship Type="http://schemas.openxmlformats.org/officeDocument/2006/relationships/hyperlink" Id="rId377" Target="https://www.ecb.europa.eu/paym/coll/risk/ecaf/html/index.en.html" TargetMode="External" /><Relationship Type="http://schemas.openxmlformats.org/officeDocument/2006/relationships/hyperlink" Id="rId363" Target="https://www.ecb.europa.eu/press/pr/date/2024/html/ecb.pr240313~807e240020.en.html" TargetMode="External" /><Relationship Type="http://schemas.openxmlformats.org/officeDocument/2006/relationships/hyperlink" Id="rId369" Target="https://www.ecb.europa.eu/press/pr/date/2026/html/ecb.pr260101~c830245e42.es.html" TargetMode="External" /><Relationship Type="http://schemas.openxmlformats.org/officeDocument/2006/relationships/hyperlink" Id="rId361" Target="https://www.ecb.europa.eu/pub/annual/html/ecb.ar2022~8ae51d163b.es.html" TargetMode="External" /><Relationship Type="http://schemas.openxmlformats.org/officeDocument/2006/relationships/hyperlink" Id="rId357" Target="https://www.ecb.europa.eu/pub/financial-stability/fsr/html/ecb.fsr202011~b7be9ae1f1.en.html" TargetMode="External" /><Relationship Type="http://schemas.openxmlformats.org/officeDocument/2006/relationships/hyperlink" Id="rId379" Target="https://www.ecb.europa.eu/stats/policy_and_exchange_rates/key_ecb_interest_rates/html/index.en.html" TargetMode="External" /><Relationship Type="http://schemas.openxmlformats.org/officeDocument/2006/relationships/hyperlink" Id="rId592" Target="https://www.economist.com/finance-and-economics/2008/12/30/diagnosing-depression" TargetMode="External" /><Relationship Type="http://schemas.openxmlformats.org/officeDocument/2006/relationships/hyperlink" Id="rId491" Target="https://www.edx.org/es/course/programacion-y-politicas-financieras-parte-1-cue-2" TargetMode="External" /><Relationship Type="http://schemas.openxmlformats.org/officeDocument/2006/relationships/hyperlink" Id="rId489" Target="https://www.edx.org/es/learn/finance/the-international-monetary-fund-financial-programming-and-policies-part-1-macroeconomic-accounts-analysis" TargetMode="External" /><Relationship Type="http://schemas.openxmlformats.org/officeDocument/2006/relationships/hyperlink" Id="rId602" Target="https://www.eia.gov/dnav/pet/hist/LeafHandler.ashx?n=PET&amp;s=RBRTE&amp;f=M" TargetMode="External" /><Relationship Type="http://schemas.openxmlformats.org/officeDocument/2006/relationships/hyperlink" Id="rId528" Target="https://www.esrb.europa.eu/pub/pdf/other/140303_esrb_handbook_mp.en.pdf" TargetMode="External" /><Relationship Type="http://schemas.openxmlformats.org/officeDocument/2006/relationships/hyperlink" Id="rId555" Target="https://www.ilo.org/resource/article/moving-towards-full-employment-interview-aurelio-parisotto" TargetMode="External" /><Relationship Type="http://schemas.openxmlformats.org/officeDocument/2006/relationships/hyperlink" Id="rId499" Target="https://www.imf.org/en/About/Factsheets/Sheets/2023/IMF-Conditionality" TargetMode="External" /><Relationship Type="http://schemas.openxmlformats.org/officeDocument/2006/relationships/hyperlink" Id="rId503" Target="https://www.imf.org/en/About/executive-board/Article-IV" TargetMode="External" /><Relationship Type="http://schemas.openxmlformats.org/officeDocument/2006/relationships/hyperlink" Id="rId497" Target="https://www.imf.org/en/news/articles/2025/03/20/pr25072-imf-and-statistical-community-release-new-global-standards-for-macroeconomic-stats" TargetMode="External" /><Relationship Type="http://schemas.openxmlformats.org/officeDocument/2006/relationships/hyperlink" Id="rId505" Target="https://www.imf.org/en/publications/cr/issues/2026/05/21/spain-2026-article-iv-consultation-press-release-staff-report-and-statement-by-the-576248" TargetMode="External" /><Relationship Type="http://schemas.openxmlformats.org/officeDocument/2006/relationships/hyperlink" Id="rId507" Target="https://www.imf.org/en/publications/weo/issues/2026/10/13/world-economic-outlook-october-2026" TargetMode="External" /><Relationship Type="http://schemas.openxmlformats.org/officeDocument/2006/relationships/hyperlink" Id="rId493" Target="https://www.imf.org/es/Publications/FM/Issues/2023/04/03/fiscal-monitor-april-2023" TargetMode="External" /><Relationship Type="http://schemas.openxmlformats.org/officeDocument/2006/relationships/hyperlink" Id="rId486" Target="https://www.imf.org/external/np/pp/eng/2011/021411b.pdf" TargetMode="External" /><Relationship Type="http://schemas.openxmlformats.org/officeDocument/2006/relationships/hyperlink" Id="rId484" Target="https://www.imf.org/external/pubs/ft/bop/2007/pdf/bpm6.pdf" TargetMode="External" /><Relationship Type="http://schemas.openxmlformats.org/officeDocument/2006/relationships/hyperlink" Id="rId524" Target="https://www.ine.es/dyngs/INEbase/es/operacion.htm?c=Estadistica_C&amp;cid=1254736176918&amp;menu=metodologia&amp;idp=1254735976595" TargetMode="External" /><Relationship Type="http://schemas.openxmlformats.org/officeDocument/2006/relationships/hyperlink" Id="rId526" Target="https://www.ine.es/metodologia/t25/metodologia_IPC_base_2025.pdf" TargetMode="External" /><Relationship Type="http://schemas.openxmlformats.org/officeDocument/2006/relationships/hyperlink" Id="rId482" Target="https://www.levyinstitute.org/pubs/wp_651.pdf" TargetMode="External" /><Relationship Type="http://schemas.openxmlformats.org/officeDocument/2006/relationships/hyperlink" Id="rId548" Target="https://www.nber.org/research/business-cycle-dating/business-cycle-dating-procedure-frequently-asked-questions" TargetMode="External" /><Relationship Type="http://schemas.openxmlformats.org/officeDocument/2006/relationships/hyperlink" Id="rId552" Target="https://www.oecd.org/en/publications/2026/06/oecd-economic-outlook-volume-2026-issue-1_8be0dba6.html" TargetMode="External" /><Relationship Type="http://schemas.openxmlformats.org/officeDocument/2006/relationships/hyperlink" Id="rId582" Target="https://www.spglobal.com/marketintelligence/en/mi/products/pmi.html" TargetMode="External" /><Relationship Type="http://schemas.openxmlformats.org/officeDocument/2006/relationships/hyperlink" Id="rId598" Target="https://www.ucm.es/data/cont/docs/518-2015-04-29-COSTE%20LABORAL%20UNITARIO.pdf" TargetMode="External" /><Relationship Type="http://schemas.openxmlformats.org/officeDocument/2006/relationships/hyperlink" Id="rId35" Target="https://www.victorgutierrezmarcos.es/oposicion/temario/cuarto-ejercicio/4A01.pdf" TargetMode="External" /><Relationship Type="http://schemas.openxmlformats.org/officeDocument/2006/relationships/hyperlink" Id="rId64" Target="https://www.victorgutierrezmarcos.es/oposicion/temario/cuarto-ejercicio/4A11.pdf" TargetMode="External" /><Relationship Type="http://schemas.openxmlformats.org/officeDocument/2006/relationships/hyperlink" Id="rId79" Target="https://www.victorgutierrezmarcos.es/oposicion/temario/cuarto-ejercicio/4A13.pdf" TargetMode="External" /><Relationship Type="http://schemas.openxmlformats.org/officeDocument/2006/relationships/hyperlink" Id="rId338" Target="https://www.victorgutierrezmarcos.es/oposicion/temario/cuarto-ejercicio/4A15.pdf" TargetMode="External" /><Relationship Type="http://schemas.openxmlformats.org/officeDocument/2006/relationships/hyperlink" Id="rId89" Target="https://www.victorgutierrezmarcos.es/oposicion/temario/cuarto-ejercicio/4A16.pdf" TargetMode="External" /><Relationship Type="http://schemas.openxmlformats.org/officeDocument/2006/relationships/hyperlink" Id="rId222" Target="https://www.victorgutierrezmarcos.es/oposicion/temario/cuarto-ejercicio/4A18.pdf" TargetMode="External" /><Relationship Type="http://schemas.openxmlformats.org/officeDocument/2006/relationships/hyperlink" Id="rId110" Target="https://www.victorgutierrezmarcos.es/oposicion/temario/cuarto-ejercicio/4A19.pdf" TargetMode="External" /><Relationship Type="http://schemas.openxmlformats.org/officeDocument/2006/relationships/hyperlink" Id="rId330" Target="https://www.victorgutierrezmarcos.es/oposicion/temario/cuarto-ejercicio/4A20.pdf" TargetMode="External" /><Relationship Type="http://schemas.openxmlformats.org/officeDocument/2006/relationships/hyperlink" Id="rId44" Target="https://www.victorgutierrezmarcos.es/oposicion/temario/cuarto-ejercicio/4A21.pdf" TargetMode="External" /><Relationship Type="http://schemas.openxmlformats.org/officeDocument/2006/relationships/hyperlink" Id="rId95" Target="https://www.victorgutierrezmarcos.es/oposicion/temario/cuarto-ejercicio/4A22.pdf" TargetMode="External" /><Relationship Type="http://schemas.openxmlformats.org/officeDocument/2006/relationships/hyperlink" Id="rId334" Target="https://www.victorgutierrezmarcos.es/oposicion/temario/cuarto-ejercicio/4A23.pdf" TargetMode="External" /><Relationship Type="http://schemas.openxmlformats.org/officeDocument/2006/relationships/hyperlink" Id="rId344" Target="https://www.victorgutierrezmarcos.es/oposicion/temario/cuarto-ejercicio/4A24.pdf" TargetMode="External" /><Relationship Type="http://schemas.openxmlformats.org/officeDocument/2006/relationships/hyperlink" Id="rId86" Target="https://www.victorgutierrezmarcos.es/oposicion/temario/cuarto-ejercicio/4A30.pdf" TargetMode="External" /><Relationship Type="http://schemas.openxmlformats.org/officeDocument/2006/relationships/hyperlink" Id="rId220" Target="https://www.victorgutierrezmarcos.es/oposicion/temario/cuarto-ejercicio/4B01.pdf" TargetMode="External" /><Relationship Type="http://schemas.openxmlformats.org/officeDocument/2006/relationships/hyperlink" Id="rId39" Target="https://www.victorgutierrezmarcos.es/oposicion/temario/cuarto-ejercicio/4B04.pdf" TargetMode="External" /><Relationship Type="http://schemas.openxmlformats.org/officeDocument/2006/relationships/hyperlink" Id="rId184" Target="https://www.victorgutierrezmarcos.es/oposicion/temario/cuarto-ejercicio/4B05.pdf" TargetMode="External" /><Relationship Type="http://schemas.openxmlformats.org/officeDocument/2006/relationships/hyperlink" Id="rId185" Target="https://www.victorgutierrezmarcos.es/oposicion/temario/cuarto-ejercicio/4B07.pdf" TargetMode="External" /><Relationship Type="http://schemas.openxmlformats.org/officeDocument/2006/relationships/hyperlink" Id="rId256" Target="https://www.victorgutierrezmarcos.es/oposicion/temario/cuarto-ejercicio/4B21.pdf" TargetMode="External" /><Relationship Type="http://schemas.openxmlformats.org/officeDocument/2006/relationships/hyperlink" Id="rId180" Target="https://www.victorgutierrezmarcos.es/oposicion/temario/cuarto-ejercicio/4B26.pdf" TargetMode="External" /><Relationship Type="http://schemas.openxmlformats.org/officeDocument/2006/relationships/hyperlink" Id="rId211" Target="https://www.victorgutierrezmarcos.es/oposicion/temario/quinto-ejercicio/parte_B.pdf" TargetMode="External" /><Relationship Type="http://schemas.openxmlformats.org/officeDocument/2006/relationships/hyperlink" Id="rId38" Target="https://www.victorgutierrezmarcos.es/oposicion/temario/tema-no-disponible.html?tema=3.A.28" TargetMode="External" /><Relationship Type="http://schemas.openxmlformats.org/officeDocument/2006/relationships/hyperlink" Id="rId325" Target="https://www.victorgutierrezmarcos.es/oposicion/temario/tema-no-disponible.html?tema=3.A.31" TargetMode="External" /><Relationship Type="http://schemas.openxmlformats.org/officeDocument/2006/relationships/hyperlink" Id="rId142" Target="https://www.victorgutierrezmarcos.es/oposicion/temario/tema-no-disponible.html?tema=3.A.32" TargetMode="External" /><Relationship Type="http://schemas.openxmlformats.org/officeDocument/2006/relationships/hyperlink" Id="rId188" Target="https://www.victorgutierrezmarcos.es/oposicion/temario/tema-no-disponible.html?tema=3.A.40" TargetMode="External" /><Relationship Type="http://schemas.openxmlformats.org/officeDocument/2006/relationships/hyperlink" Id="rId327" Target="https://www.victorgutierrezmarcos.es/oposicion/temario/tema-no-disponible.html?tema=3.B.18" TargetMode="External" /><Relationship Type="http://schemas.openxmlformats.org/officeDocument/2006/relationships/hyperlink" Id="rId329" Target="https://www.victorgutierrezmarcos.es/oposicion/temario/tema-no-disponible.html?tema=3.B.26" TargetMode="External" /><Relationship Type="http://schemas.openxmlformats.org/officeDocument/2006/relationships/hyperlink" Id="rId219" Target="https://www.victorgutierrezmarcos.es/oposicion/temario/tema-no-disponible.html?tema=3.B.29" TargetMode="External" /><Relationship Type="http://schemas.openxmlformats.org/officeDocument/2006/relationships/hyperlink" Id="rId241" Target="https://www.victorgutierrezmarcos.es/oposicion/temario/tema-no-disponible.html?tema=3.B.32" TargetMode="External" /><Relationship Type="http://schemas.openxmlformats.org/officeDocument/2006/relationships/hyperlink" Id="rId337" Target="https://www.victorgutierrezmarcos.es/oposicion/temario/tema-no-disponible.html?tema=3.B.43" TargetMode="External" /><Relationship Type="http://schemas.openxmlformats.org/officeDocument/2006/relationships/hyperlink" Id="rId159" Target="https://www.victorgutierrezmarcos.es/oposicion/temario/tema-no-disponible.html?tema=3.B.44" TargetMode="External" /><Relationship Type="http://schemas.openxmlformats.org/officeDocument/2006/relationships/hyperlink" Id="rId177" Target="https://www.victorgutierrezmarcos.es/oposicion/temario/tema-no-disponible.html?tema=3.B.45" TargetMode="External" /><Relationship Type="http://schemas.openxmlformats.org/officeDocument/2006/relationships/hyperlink" Id="rId243" Target="https://www.victorgutierrezmarcos.es/oposicion/temario/tema-no-disponible.html?tema=4.A.2" TargetMode="External" /><Relationship Type="http://schemas.openxmlformats.org/officeDocument/2006/relationships/hyperlink" Id="rId332" Target="https://www.victorgutierrezmarcos.es/oposicion/temario/tema-no-disponible.html?tema=4.A.25" TargetMode="External" /><Relationship Type="http://schemas.openxmlformats.org/officeDocument/2006/relationships/hyperlink" Id="rId50" Target="https://www.victorgutierrezmarcos.es/oposicion/temario/tema-no-disponible.html?tema=4.A.29" TargetMode="External" /><Relationship Type="http://schemas.openxmlformats.org/officeDocument/2006/relationships/hyperlink" Id="rId76" Target="https://www.victorgutierrezmarcos.es/oposicion/temario/tema-no-disponible.html?tema=4.A.4" TargetMode="External" /><Relationship Type="http://schemas.openxmlformats.org/officeDocument/2006/relationships/hyperlink" Id="rId77" Target="https://www.victorgutierrezmarcos.es/oposicion/temario/tema-no-disponible.html?tema=4.A.5" TargetMode="External" /><Relationship Type="http://schemas.openxmlformats.org/officeDocument/2006/relationships/hyperlink" Id="rId343" Target="https://www.victorgutierrezmarcos.es/oposicion/temario/tema-no-disponible.html?tema=4.A.7" TargetMode="External" /><Relationship Type="http://schemas.openxmlformats.org/officeDocument/2006/relationships/hyperlink" Id="rId78" Target="https://www.victorgutierrezmarcos.es/oposicion/temario/tema-no-disponible.html?tema=4.A.9" TargetMode="External" /><Relationship Type="http://schemas.openxmlformats.org/officeDocument/2006/relationships/hyperlink" Id="rId339" Target="https://www.victorgutierrezmarcos.es/oposicion/temario/tema-no-disponible.html?tema=4.B.23" TargetMode="External" /><Relationship Type="http://schemas.openxmlformats.org/officeDocument/2006/relationships/hyperlink" Id="rId115" Target="https://www.victorgutierrezmarcos.es/oposicion/temario/tercer-ejercicio/3A09.pdf" TargetMode="External" /><Relationship Type="http://schemas.openxmlformats.org/officeDocument/2006/relationships/hyperlink" Id="rId59" Target="https://www.victorgutierrezmarcos.es/oposicion/temario/tercer-ejercicio/3A10.pdf" TargetMode="External" /><Relationship Type="http://schemas.openxmlformats.org/officeDocument/2006/relationships/hyperlink" Id="rId326" Target="https://www.victorgutierrezmarcos.es/oposicion/temario/tercer-ejercicio/3A13.pdf" TargetMode="External" /><Relationship Type="http://schemas.openxmlformats.org/officeDocument/2006/relationships/hyperlink" Id="rId340" Target="https://www.victorgutierrezmarcos.es/oposicion/temario/tercer-ejercicio/3A15.pdf" TargetMode="External" /><Relationship Type="http://schemas.openxmlformats.org/officeDocument/2006/relationships/hyperlink" Id="rId244" Target="https://www.victorgutierrezmarcos.es/oposicion/temario/tercer-ejercicio/3A17.pdf" TargetMode="External" /><Relationship Type="http://schemas.openxmlformats.org/officeDocument/2006/relationships/hyperlink" Id="rId341" Target="https://www.victorgutierrezmarcos.es/oposicion/temario/tercer-ejercicio/3A20.pdf" TargetMode="External" /><Relationship Type="http://schemas.openxmlformats.org/officeDocument/2006/relationships/hyperlink" Id="rId342" Target="https://www.victorgutierrezmarcos.es/oposicion/temario/tercer-ejercicio/3A23.pdf" TargetMode="External" /><Relationship Type="http://schemas.openxmlformats.org/officeDocument/2006/relationships/hyperlink" Id="rId88" Target="https://www.victorgutierrezmarcos.es/oposicion/temario/tercer-ejercicio/3A25.pdf" TargetMode="External" /><Relationship Type="http://schemas.openxmlformats.org/officeDocument/2006/relationships/hyperlink" Id="rId100" Target="https://www.victorgutierrezmarcos.es/oposicion/temario/tercer-ejercicio/3A26.pdf" TargetMode="External" /><Relationship Type="http://schemas.openxmlformats.org/officeDocument/2006/relationships/hyperlink" Id="rId94"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56" Target="https://www.victorgutierrezmarcos.es/oposicion/temario/tercer-ejercicio/3A33.pdf" TargetMode="External" /><Relationship Type="http://schemas.openxmlformats.org/officeDocument/2006/relationships/hyperlink" Id="rId68" Target="https://www.victorgutierrezmarcos.es/oposicion/temario/tercer-ejercicio/3A34.pdf" TargetMode="External" /><Relationship Type="http://schemas.openxmlformats.org/officeDocument/2006/relationships/hyperlink" Id="rId335" Target="https://www.victorgutierrezmarcos.es/oposicion/temario/tercer-ejercicio/3A35.pdf" TargetMode="External" /><Relationship Type="http://schemas.openxmlformats.org/officeDocument/2006/relationships/hyperlink" Id="rId121" Target="https://www.victorgutierrezmarcos.es/oposicion/temario/tercer-ejercicio/3A36.pdf" TargetMode="External" /><Relationship Type="http://schemas.openxmlformats.org/officeDocument/2006/relationships/hyperlink" Id="rId153" Target="https://www.victorgutierrezmarcos.es/oposicion/temario/tercer-ejercicio/3A37.pdf" TargetMode="External" /><Relationship Type="http://schemas.openxmlformats.org/officeDocument/2006/relationships/hyperlink" Id="rId173" Target="https://www.victorgutierrezmarcos.es/oposicion/temario/tercer-ejercicio/3A38.pdf" TargetMode="External" /><Relationship Type="http://schemas.openxmlformats.org/officeDocument/2006/relationships/hyperlink" Id="rId60" Target="https://www.victorgutierrezmarcos.es/oposicion/temario/tercer-ejercicio/3A39.pdf" TargetMode="External" /><Relationship Type="http://schemas.openxmlformats.org/officeDocument/2006/relationships/hyperlink" Id="rId119"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74" Target="https://www.victorgutierrezmarcos.es/oposicion/temario/tercer-ejercicio/3A43.pdf" TargetMode="External" /><Relationship Type="http://schemas.openxmlformats.org/officeDocument/2006/relationships/hyperlink" Id="rId194" Target="https://www.victorgutierrezmarcos.es/oposicion/temario/tercer-ejercicio/3A44.pdf" TargetMode="External" /><Relationship Type="http://schemas.openxmlformats.org/officeDocument/2006/relationships/hyperlink" Id="rId41" Target="https://www.victorgutierrezmarcos.es/oposicion/temario/tercer-ejercicio/3A45.pdf" TargetMode="External" /><Relationship Type="http://schemas.openxmlformats.org/officeDocument/2006/relationships/hyperlink" Id="rId165" Target="https://www.victorgutierrezmarcos.es/oposicion/temario/tercer-ejercicio/3B01.pdf" TargetMode="External" /><Relationship Type="http://schemas.openxmlformats.org/officeDocument/2006/relationships/hyperlink" Id="rId139" Target="https://www.victorgutierrezmarcos.es/oposicion/temario/tercer-ejercicio/3B05.pdf" TargetMode="External" /><Relationship Type="http://schemas.openxmlformats.org/officeDocument/2006/relationships/hyperlink" Id="rId131" Target="https://www.victorgutierrezmarcos.es/oposicion/temario/tercer-ejercicio/3B06.pdf" TargetMode="External" /><Relationship Type="http://schemas.openxmlformats.org/officeDocument/2006/relationships/hyperlink" Id="rId246" Target="https://www.victorgutierrezmarcos.es/oposicion/temario/tercer-ejercicio/3B07.pdf" TargetMode="External" /><Relationship Type="http://schemas.openxmlformats.org/officeDocument/2006/relationships/hyperlink" Id="rId138" Target="https://www.victorgutierrezmarcos.es/oposicion/temario/tercer-ejercicio/3B09.pdf" TargetMode="External" /><Relationship Type="http://schemas.openxmlformats.org/officeDocument/2006/relationships/hyperlink" Id="rId43" Target="https://www.victorgutierrezmarcos.es/oposicion/temario/tercer-ejercicio/3B11.pdf" TargetMode="External" /><Relationship Type="http://schemas.openxmlformats.org/officeDocument/2006/relationships/hyperlink" Id="rId126" Target="https://www.victorgutierrezmarcos.es/oposicion/temario/tercer-ejercicio/3B12.pdf" TargetMode="External" /><Relationship Type="http://schemas.openxmlformats.org/officeDocument/2006/relationships/hyperlink" Id="rId124" Target="https://www.victorgutierrezmarcos.es/oposicion/temario/tercer-ejercicio/3B13.pdf" TargetMode="External" /><Relationship Type="http://schemas.openxmlformats.org/officeDocument/2006/relationships/hyperlink" Id="rId331" Target="https://www.victorgutierrezmarcos.es/oposicion/temario/tercer-ejercicio/3B14.pdf" TargetMode="External" /><Relationship Type="http://schemas.openxmlformats.org/officeDocument/2006/relationships/hyperlink" Id="rId128" Target="https://www.victorgutierrezmarcos.es/oposicion/temario/tercer-ejercicio/3B15.pdf" TargetMode="External" /><Relationship Type="http://schemas.openxmlformats.org/officeDocument/2006/relationships/hyperlink" Id="rId333" Target="https://www.victorgutierrezmarcos.es/oposicion/temario/tercer-ejercicio/3B17.pdf" TargetMode="External" /><Relationship Type="http://schemas.openxmlformats.org/officeDocument/2006/relationships/hyperlink" Id="rId336" Target="https://www.victorgutierrezmarcos.es/oposicion/temario/tercer-ejercicio/3B19.pdf" TargetMode="External" /><Relationship Type="http://schemas.openxmlformats.org/officeDocument/2006/relationships/hyperlink" Id="rId145" Target="https://www.victorgutierrezmarcos.es/oposicion/temario/tercer-ejercicio/3B22.pdf" TargetMode="External" /><Relationship Type="http://schemas.openxmlformats.org/officeDocument/2006/relationships/hyperlink" Id="rId328" Target="https://www.victorgutierrezmarcos.es/oposicion/temario/tercer-ejercicio/3B23.pdf" TargetMode="External" /><Relationship Type="http://schemas.openxmlformats.org/officeDocument/2006/relationships/hyperlink" Id="rId47" Target="https://www.victorgutierrezmarcos.es/oposicion/temario/tercer-ejercicio/3B24.pdf" TargetMode="External" /><Relationship Type="http://schemas.openxmlformats.org/officeDocument/2006/relationships/hyperlink" Id="rId109" Target="https://www.victorgutierrezmarcos.es/oposicion/temario/tercer-ejercicio/3B27.pdf" TargetMode="External" /><Relationship Type="http://schemas.openxmlformats.org/officeDocument/2006/relationships/hyperlink" Id="rId240" Target="https://www.victorgutierrezmarcos.es/oposicion/temario/tercer-ejercicio/3B28.pdf" TargetMode="External" /><Relationship Type="http://schemas.openxmlformats.org/officeDocument/2006/relationships/hyperlink" Id="rId247" Target="https://www.victorgutierrezmarcos.es/oposicion/temario/tercer-ejercicio/3B33.pdf" TargetMode="External" /><Relationship Type="http://schemas.openxmlformats.org/officeDocument/2006/relationships/hyperlink" Id="rId248" Target="https://www.victorgutierrezmarcos.es/oposicion/temario/tercer-ejercicio/3B41.pdf" TargetMode="External" /><Relationship Type="http://schemas.openxmlformats.org/officeDocument/2006/relationships/hyperlink" Id="rId349"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2026-10-24T13:09:09Z</dcterms:created>
  <dcterms:modified xsi:type="dcterms:W3CDTF">2026-10-24T13:09:09Z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24/10/2026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24/10/2026</vt:lpwstr>
  </property>
  <property fmtid="{D5CDD505-2E9C-101B-9397-08002B2CF9AE}" pid="15" name="fecha-cita">
    <vt:lpwstr>2026/10/24</vt:lpwstr>
  </property>
  <property fmtid="{D5CDD505-2E9C-101B-9397-08002B2CF9AE}" pid="16" name="fecha-iso">
    <vt:lpwstr>2026-10-24</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50 págs. · Anexos: 37 · Bibliografía: 9</vt:lpwstr>
  </property>
  <property fmtid="{D5CDD505-2E9C-101B-9397-08002B2CF9AE}" pid="22" name="palabras-clave">
    <vt:lpwstr>dictamen de coyuntura, análisis de coyuntura, cuadro macroeconómico, perfil cíclico, brecha de producción, PIB potencial, contribuciones al crecimiento, renta nacional bruta, PMI, indicadores adelantados, consumo privado, inversión, productividad aparente del trabajo, enfermedad holandesa, fortalezas y debilidades, Macroeconomía</vt:lpwstr>
  </property>
  <property fmtid="{D5CDD505-2E9C-101B-9397-08002B2CF9AE}" pid="23" name="reference-section-title">
    <vt:lpwstr>Bibliografía</vt:lpwstr>
  </property>
  <property fmtid="{D5CDD505-2E9C-101B-9397-08002B2CF9AE}" pid="24" name="resumen">
    <vt:lpwstr>Cómo leer un cuadro macroeconómico y escribir un dictamen de coyuntura: reparto del tiempo, perfil cíclico, brecha de producción, contribuciones al PIB.</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