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00.png" ContentType="image/png"/>
  <Override PartName="/word/media/rId271.png" ContentType="image/png"/>
  <Override PartName="/word/media/rId203.png" ContentType="image/png"/>
  <Override PartName="/word/media/rId207.png" ContentType="image/png"/>
  <Override PartName="/word/media/rId251.png" ContentType="image/png"/>
  <Override PartName="/word/media/rId50.png" ContentType="image/png"/>
  <Override PartName="/word/media/rId255.png" ContentType="image/png"/>
  <Override PartName="/word/media/rId28.png" ContentType="image/png"/>
  <Override PartName="/word/media/rId286.png" ContentType="image/png"/>
  <Override PartName="/word/media/rId263.png" ContentType="image/png"/>
  <Override PartName="/word/media/rId267.png" ContentType="image/png"/>
  <Override PartName="/word/media/rId247.png" ContentType="image/png"/>
  <Override PartName="/word/media/rId259.png" ContentType="image/png"/>
  <Override PartName="/word/media/rId189.png" ContentType="image/png"/>
  <Override PartName="/word/media/rId153.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Guía para el dictamen de coyuntura económica</w:t>
      </w:r>
    </w:p>
    <w:p>
      <w:pPr>
        <w:pStyle w:val="Author"/>
      </w:pPr>
      <w:r>
        <w:t xml:space="preserve">Víctor Gutiérrez Marcos</w:t>
      </w:r>
    </w:p>
    <w:p>
      <w:pPr>
        <w:pStyle w:val="Date"/>
      </w:pPr>
      <w:r>
        <w:t xml:space="preserve">Última actualización: 24/10/2026</w:t>
      </w:r>
    </w:p>
    <w:p>
      <w:pPr>
        <w:pStyle w:val="Paginasdeltema"/>
      </w:pPr>
      <w:r>
        <w:t xml:space="preserve">Guía: 50 págs. · Anexos: 37 · Bibliografía: 9 (PDF)</w:t>
      </w:r>
    </w:p>
    <w:bookmarkStart w:id="22" w:name="introducci__n"/>
    <w:p>
      <w:pPr>
        <w:pStyle w:val="Heading1"/>
      </w:pPr>
      <w:r>
        <w:t xml:space="preserve">Introducción</w:t>
      </w:r>
    </w:p>
    <w:p>
      <w:pPr>
        <w:keepNext/>
        <w:numPr>
          <w:ilvl w:val="0"/>
          <w:numId w:val="1001"/>
        </w:numPr>
      </w:pPr>
      <w:r>
        <w:rPr>
          <w:b/>
          <w:bCs/>
          <w:i/>
          <w:iCs/>
        </w:rPr>
        <w:t xml:space="preserve">Para qué sirve</w:t>
      </w:r>
      <w:r>
        <w:t xml:space="preserve">:</w:t>
      </w:r>
    </w:p>
    <w:p>
      <w:pPr>
        <w:numPr>
          <w:ilvl w:val="1"/>
          <w:numId w:val="1002"/>
        </w:numPr>
      </w:pPr>
      <w:r>
        <w:t xml:space="preserve">La segunda parte del primer ejercicio es un</w:t>
      </w:r>
      <w:r>
        <w:t xml:space="preserve"> </w:t>
      </w:r>
      <w:r>
        <w:rPr>
          <w:b/>
          <w:bCs/>
        </w:rPr>
        <w:t xml:space="preserve">dictamen de coyuntura</w:t>
      </w:r>
      <w:r>
        <w:t xml:space="preserve">: con un cuadro macroeconómico y unos gráficos de un país, casi siempre anónimo, hay que contestar por escrito a varias preguntas en un tiempo limitado (hoy, 1 hora y 45 minutos)</w:t>
      </w:r>
      <w:r>
        <w:t xml:space="preserve"> </w:t>
      </w:r>
      <w:r>
        <w:t xml:space="preserve">(</w:t>
      </w:r>
      <w:hyperlink w:anchor="ref_BOE2025ConvocatoriaTCEE">
        <w:r>
          <w:rPr>
            <w:rStyle w:val="Hyperlink"/>
            <w:smallCaps/>
          </w:rPr>
          <w:t xml:space="preserve">Ministerio de Economía, Comercio y Empresa</w:t>
        </w:r>
        <w:r>
          <w:rPr>
            <w:rStyle w:val="Hyperlink"/>
          </w:rPr>
          <w:t xml:space="preserve">, 2025</w:t>
        </w:r>
      </w:hyperlink>
      <w:r>
        <w:t xml:space="preserve">)</w:t>
      </w:r>
      <w:r>
        <w:t xml:space="preserve">.</w:t>
      </w:r>
    </w:p>
    <w:p>
      <w:pPr>
        <w:numPr>
          <w:ilvl w:val="1"/>
          <w:numId w:val="1002"/>
        </w:numPr>
      </w:pPr>
      <w:r>
        <w:t xml:space="preserve">El</w:t>
      </w:r>
      <w:r>
        <w:t xml:space="preserve"> </w:t>
      </w:r>
      <w:r>
        <w:rPr>
          <w:b/>
          <w:bCs/>
        </w:rPr>
        <w:t xml:space="preserve">análisis de coyuntura</w:t>
      </w:r>
      <w:r>
        <w:t xml:space="preserve"> </w:t>
      </w:r>
      <w:r>
        <w:t xml:space="preserve">estudia la situación actual de una economía, los factores que la han llevado hasta ahí y su evolución probable a corto plazo. No basta con describir qué sube y qué baja: hay que</w:t>
      </w:r>
      <w:r>
        <w:t xml:space="preserve"> </w:t>
      </w:r>
      <w:r>
        <w:rPr>
          <w:i/>
          <w:iCs/>
        </w:rPr>
        <w:t xml:space="preserve">interpretar</w:t>
      </w:r>
      <w:r>
        <w:t xml:space="preserve"> </w:t>
      </w:r>
      <w:r>
        <w:t xml:space="preserve">la evolución de los agregados, proponer relaciones causales con prudencia y decir qué importa en ese país.</w:t>
      </w:r>
    </w:p>
    <w:p>
      <w:pPr>
        <w:keepNext/>
        <w:numPr>
          <w:ilvl w:val="1"/>
          <w:numId w:val="1002"/>
        </w:numPr>
      </w:pPr>
      <w:r>
        <w:t xml:space="preserve">Un análisis completo de la situación económica de un país tiene 3 partes:</w:t>
      </w:r>
    </w:p>
    <w:p>
      <w:pPr>
        <w:numPr>
          <w:ilvl w:val="2"/>
          <w:numId w:val="1003"/>
        </w:numPr>
      </w:pPr>
      <w:r>
        <w:t xml:space="preserve">una idea de conjunto del estado actual de la economía, con sus principales fortalezas y debilidades;</w:t>
      </w:r>
    </w:p>
    <w:p>
      <w:pPr>
        <w:numPr>
          <w:ilvl w:val="2"/>
          <w:numId w:val="1003"/>
        </w:numPr>
      </w:pPr>
      <w:r>
        <w:t xml:space="preserve">los factores que la han llevado a esa situación. Para identificarlos hay que dominar las relaciones teóricas entre las macromagnitudes y armonizar la información parcial que dan los distintos sectores y agregados. Esas relaciones no siempre son evidentes ni aparecen en todas las economías, y los agregados cambian a la vez, de modo que unas relaciones se solapan con otras. La tarea es descubrir cuáles funcionan en la economía concreta que se analiza y qué papel tienen en el conjunto: qué agregados y qué condiciones son clave para el crecimiento de</w:t>
      </w:r>
      <w:r>
        <w:t xml:space="preserve"> </w:t>
      </w:r>
      <w:r>
        <w:rPr>
          <w:i/>
          <w:iCs/>
        </w:rPr>
        <w:t xml:space="preserve">ese</w:t>
      </w:r>
      <w:r>
        <w:t xml:space="preserve"> </w:t>
      </w:r>
      <w:r>
        <w:t xml:space="preserve">país;</w:t>
      </w:r>
    </w:p>
    <w:p>
      <w:pPr>
        <w:numPr>
          <w:ilvl w:val="2"/>
          <w:numId w:val="1003"/>
        </w:numPr>
      </w:pPr>
      <w:r>
        <w:t xml:space="preserve">un esbozo de la evolución futura y de las políticas que corregirían los principales desequilibrios.</w:t>
      </w:r>
    </w:p>
    <w:p>
      <w:pPr>
        <w:numPr>
          <w:ilvl w:val="1"/>
          <w:numId w:val="1002"/>
        </w:numPr>
      </w:pPr>
      <w:r>
        <w:t xml:space="preserve">La guía recorre, en ese orden, los agregados y sus determinantes, las políticas que inciden en la coyuntura y las que garantizan la actividad a largo plazo.</w:t>
      </w:r>
    </w:p>
    <w:p>
      <w:pPr>
        <w:numPr>
          <w:ilvl w:val="1"/>
          <w:numId w:val="1002"/>
        </w:numPr>
      </w:pPr>
      <w:r>
        <w:t xml:space="preserve">«Lo bueno, si breve, dos veces bueno», escribió Baltasar</w:t>
      </w:r>
      <w:r>
        <w:t xml:space="preserve"> </w:t>
      </w:r>
      <w:r>
        <w:rPr>
          <w:smallCaps/>
        </w:rPr>
        <w:t xml:space="preserve">Gracián</w:t>
      </w:r>
      <w:r>
        <w:t xml:space="preserve">. El dictamen no se valora al peso: el tribunal pide capacidad de análisis y de síntesis, y en el tiempo del examen solo cabe lo importante.</w:t>
      </w:r>
    </w:p>
    <w:p>
      <w:pPr>
        <w:keepNext/>
        <w:numPr>
          <w:ilvl w:val="0"/>
          <w:numId w:val="1001"/>
        </w:numPr>
      </w:pPr>
      <w:r>
        <w:rPr>
          <w:b/>
          <w:bCs/>
          <w:i/>
          <w:iCs/>
        </w:rPr>
        <w:t xml:space="preserve">Cómo usarla</w:t>
      </w:r>
      <w:r>
        <w:t xml:space="preserve">:</w:t>
      </w:r>
    </w:p>
    <w:p>
      <w:pPr>
        <w:numPr>
          <w:ilvl w:val="1"/>
          <w:numId w:val="1004"/>
        </w:numPr>
      </w:pPr>
      <w:r>
        <w:t xml:space="preserve">Se centra en la teoría económica y en cómo interpretar los datos de un país. Cada bloque empieza con un recuadro</w:t>
      </w:r>
      <w:r>
        <w:t xml:space="preserve"> </w:t>
      </w:r>
      <w:r>
        <w:rPr>
          <w:i/>
          <w:iCs/>
        </w:rPr>
        <w:t xml:space="preserve">Qué hay que contestar</w:t>
      </w:r>
      <w:r>
        <w:t xml:space="preserve">, y cada indicador sigue el mismo esquema:</w:t>
      </w:r>
      <w:r>
        <w:t xml:space="preserve"> </w:t>
      </w:r>
      <w:r>
        <w:rPr>
          <w:i/>
          <w:iCs/>
        </w:rPr>
        <w:t xml:space="preserve">qué mide</w:t>
      </w:r>
      <w:r>
        <w:t xml:space="preserve">,</w:t>
      </w:r>
      <w:r>
        <w:t xml:space="preserve"> </w:t>
      </w:r>
      <w:r>
        <w:rPr>
          <w:i/>
          <w:iCs/>
        </w:rPr>
        <w:t xml:space="preserve">cómo se calcula</w:t>
      </w:r>
      <w:r>
        <w:t xml:space="preserve">,</w:t>
      </w:r>
      <w:r>
        <w:t xml:space="preserve"> </w:t>
      </w:r>
      <w:r>
        <w:rPr>
          <w:i/>
          <w:iCs/>
        </w:rPr>
        <w:t xml:space="preserve">umbral o referencia</w:t>
      </w:r>
      <w:r>
        <w:t xml:space="preserve">,</w:t>
      </w:r>
      <w:r>
        <w:t xml:space="preserve"> </w:t>
      </w:r>
      <w:r>
        <w:rPr>
          <w:i/>
          <w:iCs/>
        </w:rPr>
        <w:t xml:space="preserve">cómo se lee y con qué se cruza</w:t>
      </w:r>
      <w:r>
        <w:t xml:space="preserve"> </w:t>
      </w:r>
      <w:r>
        <w:t xml:space="preserve">y el tema del temario donde se estudia a fondo.</w:t>
      </w:r>
    </w:p>
    <w:p>
      <w:pPr>
        <w:numPr>
          <w:ilvl w:val="1"/>
          <w:numId w:val="1004"/>
        </w:numPr>
      </w:pPr>
      <w:r>
        <w:t xml:space="preserve">La guía no desarrolla modelos: dice qué mirar, cómo leerlo y dónde está la teoría en el temario (</w:t>
      </w:r>
      <w:hyperlink r:id="rId20">
        <w:r>
          <w:rPr>
            <w:rStyle w:val="Referenciaatema"/>
          </w:rPr>
          <w:t xml:space="preserve">[ver tema 3.A.30]</w:t>
        </w:r>
      </w:hyperlink>
      <w:r>
        <w:t xml:space="preserve"> </w:t>
      </w:r>
      <w:r>
        <w:t xml:space="preserve">para la contabilidad nacional,</w:t>
      </w:r>
      <w:r>
        <w:t xml:space="preserve"> </w:t>
      </w:r>
      <w:hyperlink r:id="rId21">
        <w:r>
          <w:rPr>
            <w:rStyle w:val="Referenciaatema"/>
          </w:rPr>
          <w:t xml:space="preserve">[ver tema 3.A.42]</w:t>
        </w:r>
      </w:hyperlink>
      <w:r>
        <w:t xml:space="preserve"> </w:t>
      </w:r>
      <w:r>
        <w:t xml:space="preserve">para el ciclo, etc.).</w:t>
      </w:r>
    </w:p>
    <w:p>
      <w:pPr>
        <w:numPr>
          <w:ilvl w:val="1"/>
          <w:numId w:val="1004"/>
        </w:numPr>
      </w:pPr>
      <w:r>
        <w:t xml:space="preserve">Lo que se refiere al examen (qué se ha preguntado otros años y cómo) va en los recuadros</w:t>
      </w:r>
      <w:r>
        <w:t xml:space="preserve"> </w:t>
      </w:r>
      <w:r>
        <w:rPr>
          <w:i/>
          <w:iCs/>
        </w:rPr>
        <w:t xml:space="preserve">Nota al opositor</w:t>
      </w:r>
      <w:r>
        <w:t xml:space="preserve">; los cuadros grises</w:t>
      </w:r>
      <w:r>
        <w:t xml:space="preserve"> </w:t>
      </w:r>
      <w:r>
        <w:rPr>
          <w:i/>
          <w:iCs/>
        </w:rPr>
        <w:t xml:space="preserve">Ejemplo de redacción</w:t>
      </w:r>
      <w:r>
        <w:t xml:space="preserve"> </w:t>
      </w:r>
      <w:r>
        <w:t xml:space="preserve">muestran cómo se escribe un indicador en el dictamen, con años y cifras genéricos (20xx).</w:t>
      </w:r>
    </w:p>
    <w:p>
      <w:pPr>
        <w:numPr>
          <w:ilvl w:val="1"/>
          <w:numId w:val="1004"/>
        </w:numPr>
      </w:pPr>
      <w:r>
        <w:t xml:space="preserve">Las cifras de referencia (umbrales) son de 2 tipos y la guía los distingue siempre: los</w:t>
      </w:r>
      <w:r>
        <w:t xml:space="preserve"> </w:t>
      </w:r>
      <w:r>
        <w:rPr>
          <w:i/>
          <w:iCs/>
        </w:rPr>
        <w:t xml:space="preserve">oficiales</w:t>
      </w:r>
      <w:r>
        <w:t xml:space="preserve"> </w:t>
      </w:r>
      <w:r>
        <w:t xml:space="preserve">(reglas fiscales, Basilea III, cuadro de indicadores de la Comisión), con su fuente, y los</w:t>
      </w:r>
      <w:r>
        <w:t xml:space="preserve"> </w:t>
      </w:r>
      <w:r>
        <w:rPr>
          <w:i/>
          <w:iCs/>
        </w:rPr>
        <w:t xml:space="preserve">orientativos</w:t>
      </w:r>
      <w:r>
        <w:t xml:space="preserve"> </w:t>
      </w:r>
      <w:r>
        <w:t xml:space="preserve">(reglas prácticas sin norma detrás), que sirven para ordenar el análisis y nunca para afirmar nada con rotundidad.</w:t>
      </w:r>
    </w:p>
    <w:p>
      <w:pPr>
        <w:numPr>
          <w:ilvl w:val="1"/>
          <w:numId w:val="1004"/>
        </w:numPr>
      </w:pPr>
      <w:r>
        <w:t xml:space="preserve">Los anexos recogen lo que se consulta y no se memoriza entero, en este orden: primero la economía (hechos estilizados del ciclo y lectura de series, indicadores y umbrales, cálculos tipo, gráficos de lectura, casos frecuentes, la programación financiera del FMI y un caso de España) y después el examen: el método (qué es el ejercicio, qué valora el tribunal, cómo leer el cuadernillo y redactar, errores típicos y la matriz de fortalezas y debilidades, anexo </w:t>
      </w:r>
      <w:hyperlink w:anchor="anexo_metodo">
        <w:r>
          <w:rPr>
            <w:rStyle w:val="Hyperlink"/>
          </w:rPr>
          <w:t xml:space="preserve">H</w:t>
        </w:r>
      </w:hyperlink>
      <w:r>
        <w:t xml:space="preserve">), lo que se ha preguntado, los temas de cada bloque y, al final, expresiones útiles para redactar.</w:t>
      </w:r>
    </w:p>
    <w:p>
      <w:pPr>
        <w:numPr>
          <w:ilvl w:val="1"/>
          <w:numId w:val="1004"/>
        </w:numPr>
      </w:pPr>
      <w:r>
        <w:t xml:space="preserve">Se aprende con dictámenes resueltos: primero el método y el perfil cíclico, después un dictamen oficial completo con el reloj delante, y luego los demás bloques.</w:t>
      </w:r>
    </w:p>
    <w:p>
      <w:pPr>
        <w:keepNext/>
        <w:numPr>
          <w:ilvl w:val="0"/>
          <w:numId w:val="1001"/>
        </w:numPr>
      </w:pPr>
      <w:r>
        <w:rPr>
          <w:b/>
          <w:bCs/>
          <w:i/>
          <w:iCs/>
        </w:rPr>
        <w:t xml:space="preserve">El tiempo, en pocas reglas</w:t>
      </w:r>
      <w:r>
        <w:t xml:space="preserve"> </w:t>
      </w:r>
      <w:r>
        <w:t xml:space="preserve">(orientativas; el reparto detallado está en el anexo </w:t>
      </w:r>
      <w:hyperlink w:anchor="anexo_tiempo">
        <w:r>
          <w:rPr>
            <w:rStyle w:val="Hyperlink"/>
          </w:rPr>
          <w:t xml:space="preserve">H.3</w:t>
        </w:r>
      </w:hyperlink>
      <w:r>
        <w:t xml:space="preserve">):</w:t>
      </w:r>
    </w:p>
    <w:p>
      <w:pPr>
        <w:numPr>
          <w:ilvl w:val="1"/>
          <w:numId w:val="1005"/>
        </w:numPr>
      </w:pPr>
      <w:r>
        <w:t xml:space="preserve">Nadie sabe cuántas preguntas habrá ni cuánto pesará cada una hasta que abre el cuadernillo, y el formato ha cambiado varias veces. Por eso no conviene llevar un horario cerrado, sino unas pocas reglas.</w:t>
      </w:r>
    </w:p>
    <w:p>
      <w:pPr>
        <w:numPr>
          <w:ilvl w:val="1"/>
          <w:numId w:val="1005"/>
        </w:numPr>
      </w:pPr>
      <w:r>
        <w:t xml:space="preserve">Al principio, unos 10-12 minutos de lectura (en torno al 10 % del tiempo), sin escribir en las hojas de respuesta; al final, unos minutos de repaso (en torno al 5 %).</w:t>
      </w:r>
    </w:p>
    <w:p>
      <w:pPr>
        <w:numPr>
          <w:ilvl w:val="1"/>
          <w:numId w:val="1005"/>
        </w:numPr>
      </w:pPr>
      <w:r>
        <w:t xml:space="preserve">El resto se reparte entre las preguntas, pero no a partes iguales: más tiempo a las que tocan los</w:t>
      </w:r>
      <w:r>
        <w:t xml:space="preserve"> </w:t>
      </w:r>
      <w:r>
        <w:rPr>
          <w:i/>
          <w:iCs/>
        </w:rPr>
        <w:t xml:space="preserve">retos reales</w:t>
      </w:r>
      <w:r>
        <w:t xml:space="preserve"> </w:t>
      </w:r>
      <w:r>
        <w:t xml:space="preserve">de esa economía (sus desequilibrios grandes, lo que el cuadro y los gráficos subrayan) y que piden un análisis más detallado, y menos a las que se contestan con una definición o un dato. El perfil cíclico, que ordena todo lo demás, suele llevar algo más que el resto.</w:t>
      </w:r>
    </w:p>
    <w:p>
      <w:pPr>
        <w:numPr>
          <w:ilvl w:val="1"/>
          <w:numId w:val="1005"/>
        </w:numPr>
      </w:pPr>
      <w:r>
        <w:t xml:space="preserve">Ninguna pregunta en blanco: si se acaba el tiempo de una, se cierra con una frase de conclusión y se pasa a la siguiente. Cada pregunta se relee nada más redactarla.</w:t>
      </w:r>
    </w:p>
    <w:p>
      <w:pPr>
        <w:pStyle w:val="Esquema"/>
      </w:pPr>
      <w:r>
        <w:rPr>
          <w:b/>
          <w:bCs/>
        </w:rPr>
        <w:t xml:space="preserve">Esquema del tema. </w:t>
      </w:r>
      <w:r>
        <w:rPr>
          <w:b/>
          <w:bCs/>
        </w:rPr>
        <w:t xml:space="preserve">Guía para el dictamen de coyuntura económica</w:t>
      </w:r>
      <w:r>
        <w:br/>
      </w:r>
      <w:r>
        <w:t xml:space="preserve">Introducción: qué es la guía, cómo se usa y el tiempo en pocas reglas</w:t>
      </w:r>
      <w:r>
        <w:br/>
      </w:r>
      <w:hyperlink w:anchor="sec_perfil">
        <w:r>
          <w:rPr>
            <w:rStyle w:val="Hyperlink"/>
          </w:rPr>
          <w:t xml:space="preserve">I</w:t>
        </w:r>
      </w:hyperlink>
      <w:r>
        <w:t xml:space="preserve">. Perfil cíclico de la economía</w:t>
      </w:r>
      <w:r>
        <w:br/>
      </w:r>
      <w:hyperlink w:anchor="sec_pib">
        <w:r>
          <w:rPr>
            <w:rStyle w:val="Hyperlink"/>
          </w:rPr>
          <w:t xml:space="preserve">I.1</w:t>
        </w:r>
      </w:hyperlink>
      <w:r>
        <w:t xml:space="preserve">. Conceptos generales: el PIB y sus 3 enfoques; PIB, RNB y renta disponible</w:t>
      </w:r>
      <w:r>
        <w:br/>
      </w:r>
      <w:hyperlink w:anchor="sec_etapas">
        <w:r>
          <w:rPr>
            <w:rStyle w:val="Hyperlink"/>
          </w:rPr>
          <w:t xml:space="preserve">I.2</w:t>
        </w:r>
      </w:hyperlink>
      <w:r>
        <w:t xml:space="preserve">. Diagnóstico y etapas del ciclo: la frase ejecutiva; las fases</w:t>
      </w:r>
      <w:r>
        <w:br/>
      </w:r>
      <w:hyperlink w:anchor="sec_medidores">
        <w:r>
          <w:rPr>
            <w:rStyle w:val="Hyperlink"/>
          </w:rPr>
          <w:t xml:space="preserve">I.3</w:t>
        </w:r>
      </w:hyperlink>
      <w:r>
        <w:t xml:space="preserve">. Medidores: crecimiento del PIB real; brecha de producción y PIB potencial; PIB frente a RNB; indicadores adelantados y de alta frecuencia</w:t>
      </w:r>
      <w:r>
        <w:br/>
      </w:r>
      <w:hyperlink w:anchor="sec_demanda">
        <w:r>
          <w:rPr>
            <w:rStyle w:val="Hyperlink"/>
          </w:rPr>
          <w:t xml:space="preserve">I.4</w:t>
        </w:r>
      </w:hyperlink>
      <w:r>
        <w:t xml:space="preserve">. Demanda: el motor (contribuciones); consumo privado; inversión; consumo e inversión públicos; demanda externa</w:t>
      </w:r>
      <w:r>
        <w:br/>
      </w:r>
      <w:hyperlink w:anchor="sec_oferta">
        <w:r>
          <w:rPr>
            <w:rStyle w:val="Hyperlink"/>
          </w:rPr>
          <w:t xml:space="preserve">I.5</w:t>
        </w:r>
      </w:hyperlink>
      <w:r>
        <w:t xml:space="preserve">. Oferta: productividad o acumulación de factores; sectores; un sector dominante</w:t>
      </w:r>
      <w:r>
        <w:br/>
      </w:r>
      <w:hyperlink w:anchor="sec_anticipar">
        <w:r>
          <w:rPr>
            <w:rStyle w:val="Hyperlink"/>
          </w:rPr>
          <w:t xml:space="preserve">I.6</w:t>
        </w:r>
      </w:hyperlink>
      <w:r>
        <w:t xml:space="preserve">. Anticipar el diagnóstico: economía avanzada o emergente; desequilibrios y fortalezas</w:t>
      </w:r>
      <w:r>
        <w:br/>
      </w:r>
      <w:hyperlink w:anchor="sec_factores">
        <w:r>
          <w:rPr>
            <w:rStyle w:val="Hyperlink"/>
          </w:rPr>
          <w:t xml:space="preserve">II</w:t>
        </w:r>
      </w:hyperlink>
      <w:r>
        <w:t xml:space="preserve">. Mercados de factores</w:t>
      </w:r>
      <w:r>
        <w:br/>
      </w:r>
      <w:hyperlink w:anchor="sec_trabajo">
        <w:r>
          <w:rPr>
            <w:rStyle w:val="Hyperlink"/>
          </w:rPr>
          <w:t xml:space="preserve">II.1</w:t>
        </w:r>
      </w:hyperlink>
      <w:r>
        <w:t xml:space="preserve">. Mercado de trabajo: cantidades; productividad; salarios, CLU y margen; demanda y oferta de trabajo; tipos de paro, NAIRU e histéresis; curva de</w:t>
      </w:r>
      <w:r>
        <w:t xml:space="preserve"> </w:t>
      </w:r>
      <w:r>
        <w:rPr>
          <w:smallCaps/>
        </w:rPr>
        <w:t xml:space="preserve">Beveridge</w:t>
      </w:r>
      <w:r>
        <w:t xml:space="preserve">; demografía, migración y salario mínimo</w:t>
      </w:r>
      <w:r>
        <w:br/>
      </w:r>
      <w:hyperlink w:anchor="sec_capitales">
        <w:r>
          <w:rPr>
            <w:rStyle w:val="Hyperlink"/>
          </w:rPr>
          <w:t xml:space="preserve">II.2</w:t>
        </w:r>
      </w:hyperlink>
      <w:r>
        <w:t xml:space="preserve">. Mercado de capitales: capital físico; crédito y financiación</w:t>
      </w:r>
      <w:r>
        <w:br/>
      </w:r>
      <w:hyperlink w:anchor="sec_competitividad">
        <w:r>
          <w:rPr>
            <w:rStyle w:val="Hyperlink"/>
          </w:rPr>
          <w:t xml:space="preserve">III</w:t>
        </w:r>
      </w:hyperlink>
      <w:r>
        <w:t xml:space="preserve">. Competitividad</w:t>
      </w:r>
      <w:r>
        <w:br/>
      </w:r>
      <w:hyperlink w:anchor="sec_precios">
        <w:r>
          <w:rPr>
            <w:rStyle w:val="Hyperlink"/>
          </w:rPr>
          <w:t xml:space="preserve">III.1</w:t>
        </w:r>
      </w:hyperlink>
      <w:r>
        <w:t xml:space="preserve">. Competitividad precio: índices de precios (IPC, deflactor,</w:t>
      </w:r>
      <w:r>
        <w:t xml:space="preserve"> </w:t>
      </w:r>
      <w:r>
        <w:rPr>
          <w:smallCaps/>
        </w:rPr>
        <w:t xml:space="preserve">Laspeyres</w:t>
      </w:r>
      <w:r>
        <w:t xml:space="preserve"> </w:t>
      </w:r>
      <w:r>
        <w:t xml:space="preserve">y</w:t>
      </w:r>
      <w:r>
        <w:t xml:space="preserve"> </w:t>
      </w:r>
      <w:r>
        <w:rPr>
          <w:smallCaps/>
        </w:rPr>
        <w:t xml:space="preserve">Paasche</w:t>
      </w:r>
      <w:r>
        <w:t xml:space="preserve">); inflación subyacente; origen de la inflación; política que requiere</w:t>
      </w:r>
      <w:r>
        <w:br/>
      </w:r>
      <w:hyperlink w:anchor="sec_tipo_cambio">
        <w:r>
          <w:rPr>
            <w:rStyle w:val="Hyperlink"/>
          </w:rPr>
          <w:t xml:space="preserve">III.2</w:t>
        </w:r>
      </w:hyperlink>
      <w:r>
        <w:t xml:space="preserve">. Tipo de cambio: traspaso;</w:t>
      </w:r>
      <w:r>
        <w:t xml:space="preserve"> </w:t>
      </w:r>
      <w:r>
        <w:rPr>
          <w:smallCaps/>
        </w:rPr>
        <w:t xml:space="preserve">Marshall</w:t>
      </w:r>
      <w:r>
        <w:t xml:space="preserve">-</w:t>
      </w:r>
      <w:r>
        <w:rPr>
          <w:smallCaps/>
        </w:rPr>
        <w:t xml:space="preserve">Lerner</w:t>
      </w:r>
      <w:r>
        <w:t xml:space="preserve"> </w:t>
      </w:r>
      <w:r>
        <w:t xml:space="preserve">y curva J; régimen cambiario</w:t>
      </w:r>
      <w:r>
        <w:br/>
      </w:r>
      <w:hyperlink w:anchor="sec_no_precio">
        <w:r>
          <w:rPr>
            <w:rStyle w:val="Hyperlink"/>
          </w:rPr>
          <w:t xml:space="preserve">III.3</w:t>
        </w:r>
      </w:hyperlink>
      <w:r>
        <w:t xml:space="preserve">. Competitividad no precio y política comercial</w:t>
      </w:r>
      <w:r>
        <w:br/>
      </w:r>
      <w:hyperlink w:anchor="sec_exterior">
        <w:r>
          <w:rPr>
            <w:rStyle w:val="Hyperlink"/>
          </w:rPr>
          <w:t xml:space="preserve">IV</w:t>
        </w:r>
      </w:hyperlink>
      <w:r>
        <w:t xml:space="preserve">. Sector exterior</w:t>
      </w:r>
      <w:r>
        <w:br/>
      </w:r>
      <w:hyperlink w:anchor="sec_cuenta_corriente">
        <w:r>
          <w:rPr>
            <w:rStyle w:val="Hyperlink"/>
          </w:rPr>
          <w:t xml:space="preserve">IV.1</w:t>
        </w:r>
      </w:hyperlink>
      <w:r>
        <w:t xml:space="preserve">. ¿Capacidad o necesidad de financiación? La balanza de pagos; ahorro, inversión y saldos sectoriales</w:t>
      </w:r>
      <w:r>
        <w:br/>
      </w:r>
      <w:hyperlink w:anchor="sec_financiacion">
        <w:r>
          <w:rPr>
            <w:rStyle w:val="Hyperlink"/>
          </w:rPr>
          <w:t xml:space="preserve">IV.2</w:t>
        </w:r>
      </w:hyperlink>
      <w:r>
        <w:t xml:space="preserve">. ¿Cómo se financia? La cuenta financiera y las reservas</w:t>
      </w:r>
      <w:r>
        <w:br/>
      </w:r>
      <w:hyperlink w:anchor="sec_piin">
        <w:r>
          <w:rPr>
            <w:rStyle w:val="Hyperlink"/>
          </w:rPr>
          <w:t xml:space="preserve">IV.3</w:t>
        </w:r>
      </w:hyperlink>
      <w:r>
        <w:t xml:space="preserve">. Posición de inversión internacional y deuda externa</w:t>
      </w:r>
      <w:r>
        <w:br/>
      </w:r>
      <w:hyperlink w:anchor="sec_sostenibilidad_exterior">
        <w:r>
          <w:rPr>
            <w:rStyle w:val="Hyperlink"/>
          </w:rPr>
          <w:t xml:space="preserve">IV.4</w:t>
        </w:r>
      </w:hyperlink>
      <w:r>
        <w:t xml:space="preserve">. ¿Es sostenible?</w:t>
      </w:r>
      <w:r>
        <w:br/>
      </w:r>
      <w:hyperlink w:anchor="sec_politicas">
        <w:r>
          <w:rPr>
            <w:rStyle w:val="Hyperlink"/>
          </w:rPr>
          <w:t xml:space="preserve">V</w:t>
        </w:r>
      </w:hyperlink>
      <w:r>
        <w:t xml:space="preserve">. Políticas</w:t>
      </w:r>
      <w:r>
        <w:br/>
      </w:r>
      <w:hyperlink w:anchor="sec_monetaria">
        <w:r>
          <w:rPr>
            <w:rStyle w:val="Hyperlink"/>
          </w:rPr>
          <w:t xml:space="preserve">V.1</w:t>
        </w:r>
      </w:hyperlink>
      <w:r>
        <w:t xml:space="preserve">. Política monetaria: diseño, tono, canales, eficacia, balance</w:t>
      </w:r>
      <w:r>
        <w:br/>
      </w:r>
      <w:hyperlink w:anchor="sec_estabilidad">
        <w:r>
          <w:rPr>
            <w:rStyle w:val="Hyperlink"/>
          </w:rPr>
          <w:t xml:space="preserve">V.2</w:t>
        </w:r>
      </w:hyperlink>
      <w:r>
        <w:t xml:space="preserve">. Estabilidad financiera y política macroprudencial: indicadores bancarios, riesgos, regulación micro y macroprudencial, supervisión y unión bancaria</w:t>
      </w:r>
      <w:r>
        <w:br/>
      </w:r>
      <w:hyperlink w:anchor="sec_fiscal">
        <w:r>
          <w:rPr>
            <w:rStyle w:val="Hyperlink"/>
          </w:rPr>
          <w:t xml:space="preserve">V.3</w:t>
        </w:r>
      </w:hyperlink>
      <w:r>
        <w:t xml:space="preserve">. Política fiscal y deuda pública: saldos y tono; reglas; sostenibilidad; inflación y cuentas públicas; otros análisis (estabilizadores, deuda a corto y regional, calificación, vida media)</w:t>
      </w:r>
      <w:r>
        <w:br/>
      </w:r>
      <w:hyperlink w:anchor="sec_policy_mix">
        <w:r>
          <w:rPr>
            <w:rStyle w:val="Hyperlink"/>
          </w:rPr>
          <w:t xml:space="preserve">V.4</w:t>
        </w:r>
      </w:hyperlink>
      <w:r>
        <w:t xml:space="preserve">. Combinación de políticas (</w:t>
      </w:r>
      <w:r>
        <w:rPr>
          <w:i/>
          <w:iCs/>
        </w:rPr>
        <w:t xml:space="preserve">policy mix</w:t>
      </w:r>
      <w:r>
        <w:t xml:space="preserve">)</w:t>
      </w:r>
      <w:r>
        <w:br/>
      </w:r>
      <w:hyperlink w:anchor="sec_politicas_oferta">
        <w:r>
          <w:rPr>
            <w:rStyle w:val="Hyperlink"/>
          </w:rPr>
          <w:t xml:space="preserve">V.5</w:t>
        </w:r>
      </w:hyperlink>
      <w:r>
        <w:t xml:space="preserve">. Políticas de oferta: progreso técnico, capital, mercado de trabajo, competencia</w:t>
      </w:r>
      <w:r>
        <w:br/>
      </w:r>
      <w:hyperlink w:anchor="sec_recomendaciones">
        <w:r>
          <w:rPr>
            <w:rStyle w:val="Hyperlink"/>
          </w:rPr>
          <w:t xml:space="preserve">VI</w:t>
        </w:r>
      </w:hyperlink>
      <w:r>
        <w:t xml:space="preserve">. Recomendaciones de política económica: cómo se plantea; recomendaciones por desequilibrio.</w:t>
      </w:r>
    </w:p>
    <w:bookmarkEnd w:id="22"/>
    <w:bookmarkStart w:id="84" w:name="sec_perfil"/>
    <w:p>
      <w:pPr>
        <w:pStyle w:val="Heading1"/>
      </w:pPr>
      <w:r>
        <w:t xml:space="preserve">I.</w:t>
      </w:r>
      <w:r>
        <w:t xml:space="preserve"> </w:t>
      </w:r>
      <w:r>
        <w:t xml:space="preserve">Perfil cíclico de la economía</w:t>
      </w:r>
    </w:p>
    <w:p>
      <w:pPr>
        <w:keepNext/>
        <w:numPr>
          <w:ilvl w:val="0"/>
          <w:numId w:val="1006"/>
        </w:numPr>
      </w:pPr>
      <w:r>
        <w:t xml:space="preserve">La conclusión por adelantado: la pregunta del perfil cíclico se contesta en 3 pasos, siempre los mismos:</w:t>
      </w:r>
    </w:p>
    <w:p>
      <w:pPr>
        <w:numPr>
          <w:ilvl w:val="1"/>
          <w:numId w:val="1007"/>
        </w:numPr>
      </w:pPr>
      <w:r>
        <w:t xml:space="preserve">dividir la serie en fases con el crecimiento del PIB real y la brecha de producción;</w:t>
      </w:r>
    </w:p>
    <w:p>
      <w:pPr>
        <w:numPr>
          <w:ilvl w:val="1"/>
          <w:numId w:val="1007"/>
        </w:numPr>
      </w:pPr>
      <w:r>
        <w:t xml:space="preserve">explicar qué tira del crecimiento, por el lado de la demanda (interna o externa) y, si hay datos, por el de la oferta (empleo o productividad);</w:t>
      </w:r>
    </w:p>
    <w:p>
      <w:pPr>
        <w:numPr>
          <w:ilvl w:val="1"/>
          <w:numId w:val="1007"/>
        </w:numPr>
      </w:pPr>
      <w:r>
        <w:t xml:space="preserve">anticipar el diagnóstico, con los desequilibrios y las fortalezas.</w:t>
      </w:r>
    </w:p>
    <w:p>
      <w:pPr>
        <w:pStyle w:val="Ideaclave"/>
        <w:keepLines/>
      </w:pPr>
      <w:r>
        <w:rPr>
          <w:b/>
          <w:bCs/>
        </w:rPr>
        <w:t xml:space="preserve">Qué hay que contestar</w:t>
      </w:r>
      <w:r>
        <w:t xml:space="preserve">: ¿en qué fase está la economía y desde cuándo? ¿Qué tira del crecimiento: la demanda interna o la externa; el empleo o la productividad? ¿Crece por encima o por debajo de su potencial?</w:t>
      </w:r>
    </w:p>
    <w:p>
      <w:pPr>
        <w:pStyle w:val="Notaalopositor"/>
        <w:keepLines/>
      </w:pPr>
      <w:r>
        <w:rPr>
          <w:b/>
          <w:bCs/>
        </w:rPr>
        <w:t xml:space="preserve">Nota al opositor. </w:t>
      </w:r>
      <w:r>
        <w:t xml:space="preserve">Es la pregunta más larga y casi siempre aparece (en 13 de los 14 dictámenes de 2011 a 2026; no en 2025), casi siempre la primera</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Conviene llevarla muy preparada para que no consuma más tiempo del necesario. Unos preparadores recomiendan hacerla la primera, porque ordena todo lo demás; otros, dejarla para el final (antes de la de recomendaciones, si la hay), cuando ya se conoce bien la economía. En cualquier caso, sin pasarse del tiempo previsto: en la coyuntura nunca sobra tiempo.</w:t>
      </w:r>
    </w:p>
    <w:bookmarkStart w:id="24" w:name="sec_pib"/>
    <w:p>
      <w:pPr>
        <w:pStyle w:val="Heading2"/>
      </w:pPr>
      <w:r>
        <w:t xml:space="preserve">I.1.</w:t>
      </w:r>
      <w:r>
        <w:t xml:space="preserve"> </w:t>
      </w:r>
      <w:r>
        <w:t xml:space="preserve">Conceptos generales: el PIB</w:t>
      </w:r>
    </w:p>
    <w:p>
      <w:pPr>
        <w:numPr>
          <w:ilvl w:val="0"/>
          <w:numId w:val="1008"/>
        </w:numPr>
      </w:pPr>
      <w:r>
        <w:rPr>
          <w:i/>
          <w:iCs/>
        </w:rPr>
        <w:t xml:space="preserve">Qué es</w:t>
      </w:r>
      <w:r>
        <w:t xml:space="preserve">: el</w:t>
      </w:r>
      <w:r>
        <w:t xml:space="preserve"> </w:t>
      </w:r>
      <w:r>
        <w:rPr>
          <w:b/>
          <w:bCs/>
        </w:rPr>
        <w:t xml:space="preserve">producto interior bruto</w:t>
      </w:r>
      <w:r>
        <w:t xml:space="preserve"> </w:t>
      </w:r>
      <w:r>
        <w:t xml:space="preserve">(PIB) es el resultado final de la actividad productiva de las unidades residentes en un territorio: el valor de mercado de todos los bienes y servicios nuevos y finales producidos en ese territorio en un periodo</w:t>
      </w:r>
      <w:r>
        <w:t xml:space="preserve"> </w:t>
      </w:r>
      <w:r>
        <w:t xml:space="preserve">(</w:t>
      </w:r>
      <w:hyperlink w:anchor="ref_SEC2010">
        <w:r>
          <w:rPr>
            <w:rStyle w:val="Hyperlink"/>
            <w:smallCaps/>
          </w:rPr>
          <w:t xml:space="preserve">Parlamento Europeo y Consejo de la Unión Europea</w:t>
        </w:r>
        <w:r>
          <w:rPr>
            <w:rStyle w:val="Hyperlink"/>
          </w:rPr>
          <w:t xml:space="preserve">, 2013c</w:t>
        </w:r>
      </w:hyperlink>
      <w:r>
        <w:t xml:space="preserve">)</w:t>
      </w:r>
      <w:r>
        <w:t xml:space="preserve"> </w:t>
      </w:r>
      <w:hyperlink r:id="rId20">
        <w:r>
          <w:rPr>
            <w:rStyle w:val="Referenciaatema"/>
          </w:rPr>
          <w:t xml:space="preserve">[ver tema 3.A.30]</w:t>
        </w:r>
      </w:hyperlink>
      <w:r>
        <w:t xml:space="preserve">.</w:t>
      </w:r>
    </w:p>
    <w:p>
      <w:pPr>
        <w:keepNext/>
        <w:numPr>
          <w:ilvl w:val="0"/>
          <w:numId w:val="1008"/>
        </w:numPr>
      </w:pPr>
      <w:r>
        <w:rPr>
          <w:i/>
          <w:iCs/>
        </w:rPr>
        <w:t xml:space="preserve">Los 3 enfoques</w:t>
      </w:r>
      <w:r>
        <w:t xml:space="preserve">, que también son las 3 formas de descomponer el PIB en el análisis:</w:t>
      </w:r>
    </w:p>
    <w:p>
      <w:pPr>
        <w:numPr>
          <w:ilvl w:val="1"/>
          <w:numId w:val="1009"/>
        </w:numPr>
      </w:pPr>
      <w:r>
        <w:rPr>
          <w:i/>
          <w:iCs/>
        </w:rPr>
        <w:t xml:space="preserve">gasto</w:t>
      </w:r>
      <w:r>
        <w:t xml:space="preserve"> </w:t>
      </w:r>
      <w:r>
        <w:t xml:space="preserve">(demanda): la suma de los empleos finales de los residentes, consumo final y formación bruta de capital, más las exportaciones y menos las importaciones,</w:t>
      </w:r>
    </w:p>
    <w:p>
      <w:pPr>
        <w:pStyle w:val="BodyText"/>
        <w:keepNext/>
      </w:pPr>
      <m:oMathPara>
        <m:oMathParaPr>
          <m:jc m:val="center"/>
        </m:oMathParaPr>
        <m:oMath>
          <m:r>
            <m:rPr>
              <m:sty m:val="p"/>
            </m:rPr>
            <m:t>P</m:t>
          </m:r>
          <m:r>
            <m:rPr>
              <m:sty m:val="p"/>
            </m:rPr>
            <m:t>I</m:t>
          </m:r>
          <m:r>
            <m:rPr>
              <m:sty m:val="p"/>
            </m:rPr>
            <m:t>B</m:t>
          </m:r>
          <m:r>
            <m:rPr>
              <m:sty m:val="p"/>
            </m:rPr>
            <m:t>=</m:t>
          </m:r>
          <m:r>
            <m:t>C</m:t>
          </m:r>
          <m:r>
            <m:rPr>
              <m:sty m:val="p"/>
            </m:rPr>
            <m:t>+</m:t>
          </m:r>
          <m:r>
            <m:t>I</m:t>
          </m:r>
          <m:r>
            <m:rPr>
              <m:sty m:val="p"/>
            </m:rPr>
            <m:t>+</m:t>
          </m:r>
          <m:r>
            <m:t>G</m:t>
          </m:r>
          <m:r>
            <m:rPr>
              <m:sty m:val="p"/>
            </m:rPr>
            <m:t>+</m:t>
          </m:r>
          <m:d>
            <m:dPr>
              <m:begChr m:val="("/>
              <m:sepChr m:val=""/>
              <m:endChr m:val=")"/>
              <m:grow/>
            </m:dPr>
            <m:e>
              <m:r>
                <m:t>X</m:t>
              </m:r>
              <m:r>
                <m:rPr>
                  <m:sty m:val="p"/>
                </m:rPr>
                <m:t>−</m:t>
              </m:r>
              <m:r>
                <m:t>M</m:t>
              </m:r>
            </m:e>
          </m:d>
          <m:r>
            <m:rPr>
              <m:sty m:val="p"/>
            </m:rPr>
            <m:t>,</m:t>
          </m:r>
        </m:oMath>
      </m:oMathPara>
    </w:p>
    <w:p>
      <w:pPr>
        <w:numPr>
          <w:ilvl w:val="1"/>
          <w:numId w:val="1000"/>
        </w:numPr>
      </w:pPr>
      <w:r>
        <w:t xml:space="preserve">con</w:t>
      </w:r>
      <w:r>
        <w:t xml:space="preserve"> </w:t>
      </w:r>
      <m:oMath>
        <m:r>
          <m:t>G</m:t>
        </m:r>
      </m:oMath>
      <w:r>
        <w:t xml:space="preserve"> </w:t>
      </w:r>
      <w:r>
        <w:t xml:space="preserve">el consumo final de las administraciones públicas (la inversión pública va en</w:t>
      </w:r>
      <w:r>
        <w:t xml:space="preserve"> </w:t>
      </w:r>
      <m:oMath>
        <m:r>
          <m:t>I</m:t>
        </m:r>
      </m:oMath>
      <w:r>
        <w:t xml:space="preserve">);</w:t>
      </w:r>
    </w:p>
    <w:p>
      <w:pPr>
        <w:numPr>
          <w:ilvl w:val="1"/>
          <w:numId w:val="1009"/>
        </w:numPr>
      </w:pPr>
      <w:r>
        <w:rPr>
          <w:i/>
          <w:iCs/>
        </w:rPr>
        <w:t xml:space="preserve">producción</w:t>
      </w:r>
      <w:r>
        <w:t xml:space="preserve"> </w:t>
      </w:r>
      <w:r>
        <w:t xml:space="preserve">(oferta): la suma de los valores añadidos brutos de los sectores o ramas de actividad, más los impuestos netos de subvenciones sobre los productos (que no se asignan a ninguna rama),</w:t>
      </w:r>
      <w:r>
        <w:rPr>
          <w:rStyle w:val="FootnoteReference"/>
        </w:rPr>
        <w:footnoteReference w:id="23"/>
      </w:r>
    </w:p>
    <w:p>
      <w:pPr>
        <w:pStyle w:val="BodyText"/>
        <w:keepNext/>
      </w:pPr>
      <m:oMathPara>
        <m:oMathParaPr>
          <m:jc m:val="center"/>
        </m:oMathParaPr>
        <m:oMath>
          <m:r>
            <m:rPr>
              <m:sty m:val="p"/>
            </m:rPr>
            <m:t>P</m:t>
          </m:r>
          <m:r>
            <m:rPr>
              <m:sty m:val="p"/>
            </m:rPr>
            <m:t>I</m:t>
          </m:r>
          <m:r>
            <m:rPr>
              <m:sty m:val="p"/>
            </m:rPr>
            <m:t>B</m:t>
          </m:r>
          <m:r>
            <m:rPr>
              <m:sty m:val="p"/>
            </m:rPr>
            <m:t>=</m:t>
          </m:r>
          <m:r>
            <m:rPr>
              <m:sty m:val="p"/>
            </m:rPr>
            <m:t>∑</m:t>
          </m:r>
          <m:limLow>
            <m:e>
              <m:limLow>
                <m:e>
                  <m:r>
                    <m:rPr>
                      <m:sty m:val="p"/>
                    </m:rPr>
                    <m:t>V</m:t>
                  </m:r>
                  <m:r>
                    <m:rPr>
                      <m:sty m:val="p"/>
                    </m:rPr>
                    <m:t>A</m:t>
                  </m:r>
                  <m:r>
                    <m:rPr>
                      <m:sty m:val="p"/>
                    </m:rPr>
                    <m:t>B</m:t>
                  </m:r>
                </m:e>
                <m:lim>
                  <m:r>
                    <m:rPr>
                      <m:sty m:val="p"/>
                    </m:rPr>
                    <m:t>⏟</m:t>
                  </m:r>
                </m:lim>
              </m:limLow>
            </m:e>
            <m:lim>
              <m:r>
                <m:rPr>
                  <m:nor/>
                  <m:sty m:val="p"/>
                </m:rPr>
                <m:t>producción</m:t>
              </m:r>
              <m:r>
                <m:rPr>
                  <m:sty m:val="p"/>
                </m:rPr>
                <m:t>−</m:t>
              </m:r>
              <m:r>
                <m:rPr>
                  <m:nor/>
                  <m:sty m:val="p"/>
                </m:rPr>
                <m:t>consumos intermedios</m:t>
              </m:r>
            </m:lim>
          </m:limLow>
          <m:r>
            <m:rPr>
              <m:sty m:val="p"/>
            </m:rPr>
            <m:t>+</m:t>
          </m:r>
          <m:sSub>
            <m:e>
              <m:d>
                <m:dPr>
                  <m:begChr m:val="("/>
                  <m:sepChr m:val=""/>
                  <m:endChr m:val=")"/>
                  <m:grow/>
                </m:dPr>
                <m:e>
                  <m:r>
                    <m:rPr>
                      <m:nor/>
                      <m:sty m:val="p"/>
                    </m:rPr>
                    <m:t>impuestos</m:t>
                  </m:r>
                  <m:r>
                    <m:rPr>
                      <m:sty m:val="p"/>
                    </m:rPr>
                    <m:t>−</m:t>
                  </m:r>
                  <m:r>
                    <m:rPr>
                      <m:nor/>
                      <m:sty m:val="p"/>
                    </m:rPr>
                    <m:t>subvenciones</m:t>
                  </m:r>
                </m:e>
              </m:d>
            </m:e>
            <m:sub>
              <m:r>
                <m:rPr>
                  <m:nor/>
                  <m:sty m:val="p"/>
                </m:rPr>
                <m:t>productos</m:t>
              </m:r>
            </m:sub>
          </m:sSub>
          <m:r>
            <m:rPr>
              <m:sty m:val="p"/>
            </m:rPr>
            <m:t>;</m:t>
          </m:r>
        </m:oMath>
      </m:oMathPara>
    </w:p>
    <w:p>
      <w:pPr>
        <w:numPr>
          <w:ilvl w:val="1"/>
          <w:numId w:val="1009"/>
        </w:numPr>
      </w:pPr>
      <w:r>
        <w:rPr>
          <w:i/>
          <w:iCs/>
        </w:rPr>
        <w:t xml:space="preserve">renta</w:t>
      </w:r>
      <w:r>
        <w:t xml:space="preserve">: la remuneración de los asalariados, más los impuestos netos de subvenciones sobre la producción y las importaciones, más el excedente bruto de explotación y la renta mixta bruta,</w:t>
      </w:r>
    </w:p>
    <w:p>
      <w:pPr>
        <w:pStyle w:val="BodyText"/>
        <w:keepNext/>
      </w:pPr>
      <m:oMathPara>
        <m:oMathParaPr>
          <m:jc m:val="center"/>
        </m:oMathParaPr>
        <m:oMath>
          <m:r>
            <m:rPr>
              <m:sty m:val="p"/>
            </m:rPr>
            <m:t>P</m:t>
          </m:r>
          <m:r>
            <m:rPr>
              <m:sty m:val="p"/>
            </m:rPr>
            <m:t>I</m:t>
          </m:r>
          <m:r>
            <m:rPr>
              <m:sty m:val="p"/>
            </m:rPr>
            <m:t>B</m:t>
          </m:r>
          <m:r>
            <m:rPr>
              <m:sty m:val="p"/>
            </m:rPr>
            <m:t>=</m:t>
          </m:r>
          <m:limLow>
            <m:e>
              <m:limLow>
                <m:e>
                  <m:r>
                    <m:t>W</m:t>
                  </m:r>
                </m:e>
                <m:lim>
                  <m:r>
                    <m:rPr>
                      <m:sty m:val="p"/>
                    </m:rPr>
                    <m:t>⏟</m:t>
                  </m:r>
                </m:lim>
              </m:limLow>
            </m:e>
            <m:lim>
              <m:r>
                <m:rPr>
                  <m:nor/>
                  <m:sty m:val="p"/>
                </m:rPr>
                <m:t>remuneración de los asalariados</m:t>
              </m:r>
            </m:lim>
          </m:limLow>
          <m:r>
            <m:rPr>
              <m:sty m:val="p"/>
            </m:rPr>
            <m:t>+</m:t>
          </m:r>
          <m:limLow>
            <m:e>
              <m:limLow>
                <m:e>
                  <m:sSub>
                    <m:e>
                      <m:d>
                        <m:dPr>
                          <m:begChr m:val="("/>
                          <m:sepChr m:val=""/>
                          <m:endChr m:val=")"/>
                          <m:grow/>
                        </m:dPr>
                        <m:e>
                          <m:r>
                            <m:t>T</m:t>
                          </m:r>
                          <m:r>
                            <m:rPr>
                              <m:sty m:val="p"/>
                            </m:rPr>
                            <m:t>−</m:t>
                          </m:r>
                          <m:r>
                            <m:t>S</m:t>
                          </m:r>
                          <m:r>
                            <m:t>u</m:t>
                          </m:r>
                          <m:r>
                            <m:t>b</m:t>
                          </m:r>
                        </m:e>
                      </m:d>
                    </m:e>
                    <m:sub>
                      <m:r>
                        <m:rPr>
                          <m:nor/>
                          <m:sty m:val="p"/>
                        </m:rPr>
                        <m:t>prod. e import.</m:t>
                      </m:r>
                    </m:sub>
                  </m:sSub>
                </m:e>
                <m:lim>
                  <m:r>
                    <m:rPr>
                      <m:sty m:val="p"/>
                    </m:rPr>
                    <m:t>⏟</m:t>
                  </m:r>
                </m:lim>
              </m:limLow>
            </m:e>
            <m:lim>
              <m:r>
                <m:rPr>
                  <m:nor/>
                  <m:sty m:val="p"/>
                </m:rPr>
                <m:t>impuestos netos</m:t>
              </m:r>
            </m:lim>
          </m:limLow>
          <m:r>
            <m:rPr>
              <m:sty m:val="p"/>
            </m:rPr>
            <m:t>+</m:t>
          </m:r>
          <m:limLow>
            <m:e>
              <m:limLow>
                <m:e>
                  <m:r>
                    <m:rPr>
                      <m:sty m:val="p"/>
                    </m:rPr>
                    <m:t>E</m:t>
                  </m:r>
                  <m:r>
                    <m:rPr>
                      <m:sty m:val="p"/>
                    </m:rPr>
                    <m:t>B</m:t>
                  </m:r>
                  <m:r>
                    <m:rPr>
                      <m:sty m:val="p"/>
                    </m:rPr>
                    <m:t>E</m:t>
                  </m:r>
                  <m:r>
                    <m:rPr>
                      <m:sty m:val="p"/>
                    </m:rPr>
                    <m:t>+</m:t>
                  </m:r>
                  <m:r>
                    <m:rPr>
                      <m:sty m:val="p"/>
                    </m:rPr>
                    <m:t>R</m:t>
                  </m:r>
                  <m:r>
                    <m:rPr>
                      <m:sty m:val="p"/>
                    </m:rPr>
                    <m:t>M</m:t>
                  </m:r>
                  <m:r>
                    <m:rPr>
                      <m:sty m:val="p"/>
                    </m:rPr>
                    <m:t>B</m:t>
                  </m:r>
                </m:e>
                <m:lim>
                  <m:r>
                    <m:rPr>
                      <m:sty m:val="p"/>
                    </m:rPr>
                    <m:t>⏟</m:t>
                  </m:r>
                </m:lim>
              </m:limLow>
            </m:e>
            <m:lim>
              <m:r>
                <m:rPr>
                  <m:nor/>
                  <m:sty m:val="p"/>
                </m:rPr>
                <m:t>beneficios y renta mixta</m:t>
              </m:r>
            </m:lim>
          </m:limLow>
          <m:r>
            <m:rPr>
              <m:sty m:val="p"/>
            </m:rPr>
            <m:t>.</m:t>
          </m:r>
        </m:oMath>
      </m:oMathPara>
    </w:p>
    <w:p>
      <w:pPr>
        <w:numPr>
          <w:ilvl w:val="0"/>
          <w:numId w:val="1008"/>
        </w:numPr>
      </w:pPr>
      <w:r>
        <w:rPr>
          <w:i/>
          <w:iCs/>
        </w:rPr>
        <w:t xml:space="preserve">De la producción a la renta de los residentes</w:t>
      </w:r>
      <w:r>
        <w:t xml:space="preserve">: la renta nacional bruta suma las rentas primarias netas recibidas del resto del mundo, y la renta nacional disponible bruta, además, las rentas secundarias (transferencias corrientes) netas:</w:t>
      </w:r>
    </w:p>
    <w:p>
      <w:pPr>
        <w:pStyle w:val="BodyText"/>
        <w:keepNext/>
      </w:pPr>
      <m:oMathPara>
        <m:oMathParaPr>
          <m:jc m:val="center"/>
        </m:oMathParaPr>
        <m:oMath>
          <m:r>
            <m:rPr>
              <m:sty m:val="p"/>
            </m:rPr>
            <m:t>R</m:t>
          </m:r>
          <m:r>
            <m:rPr>
              <m:sty m:val="p"/>
            </m:rPr>
            <m:t>N</m:t>
          </m:r>
          <m:r>
            <m:rPr>
              <m:sty m:val="p"/>
            </m:rPr>
            <m:t>B</m:t>
          </m:r>
          <m:r>
            <m:rPr>
              <m:sty m:val="p"/>
            </m:rPr>
            <m:t>=</m:t>
          </m:r>
          <m:r>
            <m:rPr>
              <m:sty m:val="p"/>
            </m:rPr>
            <m:t>P</m:t>
          </m:r>
          <m:r>
            <m:rPr>
              <m:sty m:val="p"/>
            </m:rPr>
            <m:t>I</m:t>
          </m:r>
          <m:r>
            <m:rPr>
              <m:sty m:val="p"/>
            </m:rPr>
            <m:t>B</m:t>
          </m:r>
          <m:r>
            <m:rPr>
              <m:sty m:val="p"/>
            </m:rPr>
            <m:t>+</m:t>
          </m:r>
          <m:r>
            <m:rPr>
              <m:sty m:val="p"/>
            </m:rPr>
            <m:t>R</m:t>
          </m:r>
          <m:r>
            <m:rPr>
              <m:sty m:val="p"/>
            </m:rPr>
            <m:t>P</m:t>
          </m:r>
          <m:r>
            <m:rPr>
              <m:sty m:val="p"/>
            </m:rPr>
            <m:t>,</m:t>
          </m:r>
          <m:r>
            <m:t>  </m:t>
          </m:r>
          <m:r>
            <m:rPr>
              <m:sty m:val="p"/>
            </m:rPr>
            <m:t>R</m:t>
          </m:r>
          <m:r>
            <m:rPr>
              <m:sty m:val="p"/>
            </m:rPr>
            <m:t>N</m:t>
          </m:r>
          <m:r>
            <m:rPr>
              <m:sty m:val="p"/>
            </m:rPr>
            <m:t>D</m:t>
          </m:r>
          <m:r>
            <m:rPr>
              <m:sty m:val="p"/>
            </m:rPr>
            <m:t>B</m:t>
          </m:r>
          <m:r>
            <m:rPr>
              <m:sty m:val="p"/>
            </m:rPr>
            <m:t>=</m:t>
          </m:r>
          <m:r>
            <m:rPr>
              <m:sty m:val="p"/>
            </m:rPr>
            <m:t>R</m:t>
          </m:r>
          <m:r>
            <m:rPr>
              <m:sty m:val="p"/>
            </m:rPr>
            <m:t>N</m:t>
          </m:r>
          <m:r>
            <m:rPr>
              <m:sty m:val="p"/>
            </m:rPr>
            <m:t>B</m:t>
          </m:r>
          <m:r>
            <m:rPr>
              <m:sty m:val="p"/>
            </m:rPr>
            <m:t>+</m:t>
          </m:r>
          <m:r>
            <m:rPr>
              <m:sty m:val="p"/>
            </m:rPr>
            <m:t>R</m:t>
          </m:r>
          <m:r>
            <m:rPr>
              <m:sty m:val="p"/>
            </m:rPr>
            <m:t>S</m:t>
          </m:r>
          <m:r>
            <m:rPr>
              <m:sty m:val="p"/>
            </m:rPr>
            <m:t>.</m:t>
          </m:r>
        </m:oMath>
      </m:oMathPara>
    </w:p>
    <w:p>
      <w:pPr>
        <w:numPr>
          <w:ilvl w:val="0"/>
          <w:numId w:val="1000"/>
        </w:numPr>
      </w:pPr>
      <w:r>
        <w:t xml:space="preserve">Cómo se leen sus diferencias está en el apartado </w:t>
      </w:r>
      <w:hyperlink w:anchor="sec_medidores">
        <w:r>
          <w:rPr>
            <w:rStyle w:val="Hyperlink"/>
          </w:rPr>
          <w:t xml:space="preserve">I.3</w:t>
        </w:r>
      </w:hyperlink>
      <w:r>
        <w:t xml:space="preserve">.</w:t>
      </w:r>
    </w:p>
    <w:p>
      <w:pPr>
        <w:numPr>
          <w:ilvl w:val="0"/>
          <w:numId w:val="1008"/>
        </w:numPr>
      </w:pPr>
      <w:r>
        <w:rPr>
          <w:i/>
          <w:iCs/>
        </w:rPr>
        <w:t xml:space="preserve">Problemas de medida</w:t>
      </w:r>
      <w:r>
        <w:t xml:space="preserve">: los mercados informales e ilegales se estiman a falta de datos; los servicios de las administraciones se miden por su coste, y es difícil saber el valor que añaden (un profesor, un médico); las cuentas no recogen las externalidades; algunas actividades suman al PIB aunque solo reparan el efecto de otras indeseables (prisiones, limpieza de la contaminación); y las mejoras de calidad de los productos son difíciles de medir</w:t>
      </w:r>
      <w:r>
        <w:t xml:space="preserve"> </w:t>
      </w:r>
      <w:hyperlink r:id="rId20">
        <w:r>
          <w:rPr>
            <w:rStyle w:val="Referenciaatema"/>
          </w:rPr>
          <w:t xml:space="preserve">[ver tema 3.A.30]</w:t>
        </w:r>
      </w:hyperlink>
      <w:r>
        <w:t xml:space="preserve">.</w:t>
      </w:r>
    </w:p>
    <w:bookmarkEnd w:id="24"/>
    <w:bookmarkStart w:id="33" w:name="sec_etapas"/>
    <w:p>
      <w:pPr>
        <w:pStyle w:val="Heading2"/>
      </w:pPr>
      <w:r>
        <w:t xml:space="preserve">I.2.</w:t>
      </w:r>
      <w:r>
        <w:t xml:space="preserve"> </w:t>
      </w:r>
      <w:r>
        <w:t xml:space="preserve">Diagnóstico y etapas del ciclo</w:t>
      </w:r>
    </w:p>
    <w:bookmarkStart w:id="26" w:name="la_frase_ejecutiva"/>
    <w:p>
      <w:pPr>
        <w:pStyle w:val="Heading4"/>
      </w:pPr>
      <w:r>
        <w:t xml:space="preserve">La frase ejecutiva</w:t>
      </w:r>
    </w:p>
    <w:p>
      <w:pPr>
        <w:numPr>
          <w:ilvl w:val="0"/>
          <w:numId w:val="1010"/>
        </w:numPr>
      </w:pPr>
      <w:r>
        <w:t xml:space="preserve">El FMI, en los informes de las consultas del artículo IV, y el Banco de España, en su informe anual, empiezan con una frase que resume el estado de la economía</w:t>
      </w:r>
      <w:r>
        <w:t xml:space="preserve"> </w:t>
      </w:r>
      <w:r>
        <w:t xml:space="preserve">(</w:t>
      </w:r>
      <w:hyperlink w:anchor="ref_FMI2026ArticuloIV">
        <w:r>
          <w:rPr>
            <w:rStyle w:val="Hyperlink"/>
            <w:smallCaps/>
          </w:rPr>
          <w:t xml:space="preserve">Fondo Monetario Internacional</w:t>
        </w:r>
        <w:r>
          <w:rPr>
            <w:rStyle w:val="Hyperlink"/>
          </w:rPr>
          <w:t xml:space="preserve">, 2026c</w:t>
        </w:r>
      </w:hyperlink>
      <w:r>
        <w:t xml:space="preserve">;</w:t>
      </w:r>
      <w:r>
        <w:t xml:space="preserve"> </w:t>
      </w:r>
      <w:hyperlink w:anchor="ref_BdE2026InformeAnual">
        <w:r>
          <w:rPr>
            <w:rStyle w:val="Hyperlink"/>
            <w:smallCaps/>
          </w:rPr>
          <w:t xml:space="preserve">Banco de España</w:t>
        </w:r>
        <w:r>
          <w:rPr>
            <w:rStyle w:val="Hyperlink"/>
          </w:rPr>
          <w:t xml:space="preserve">, 2026b</w:t>
        </w:r>
      </w:hyperlink>
      <w:r>
        <w:t xml:space="preserve">)</w:t>
      </w:r>
      <w:r>
        <w:t xml:space="preserve">. Es una buena manera de empezar el dictamen.</w:t>
      </w:r>
    </w:p>
    <w:p>
      <w:pPr>
        <w:numPr>
          <w:ilvl w:val="0"/>
          <w:numId w:val="1010"/>
        </w:numPr>
      </w:pPr>
      <w:r>
        <w:t xml:space="preserve">Se limita a la situación actual (si hay previsiones, se mencionan sin más) y se escribe al final del examen, en un hueco que se deja antes de la primera respuesta, cuando ya se conoce bien la economía.</w:t>
      </w:r>
    </w:p>
    <w:p>
      <w:pPr>
        <w:numPr>
          <w:ilvl w:val="0"/>
          <w:numId w:val="1010"/>
        </w:numPr>
      </w:pPr>
      <w:r>
        <w:t xml:space="preserve">Ejemplo: el FMI abría así su evaluación de España en 2026: la economía española «siguió creciendo más que la zona del euro pese al impacto adverso de la guerra en Oriente Medio»</w:t>
      </w:r>
      <w:r>
        <w:t xml:space="preserve"> </w:t>
      </w:r>
      <w:r>
        <w:t xml:space="preserve">(</w:t>
      </w:r>
      <w:hyperlink w:anchor="ref_FMI2026ArticuloIV">
        <w:r>
          <w:rPr>
            <w:rStyle w:val="Hyperlink"/>
            <w:smallCaps/>
          </w:rPr>
          <w:t xml:space="preserve">Fondo Monetario Internacional</w:t>
        </w:r>
        <w:r>
          <w:rPr>
            <w:rStyle w:val="Hyperlink"/>
          </w:rPr>
          <w:t xml:space="preserve">, 2026c</w:t>
        </w:r>
      </w:hyperlink>
      <w:r>
        <w:t xml:space="preserve">)</w:t>
      </w:r>
      <w:r>
        <w:t xml:space="preserve">.</w:t>
      </w:r>
      <w:r>
        <w:rPr>
          <w:rStyle w:val="FootnoteReference"/>
        </w:rPr>
        <w:footnoteReference w:id="25"/>
      </w:r>
    </w:p>
    <w:p>
      <w:pPr>
        <w:numPr>
          <w:ilvl w:val="0"/>
          <w:numId w:val="1010"/>
        </w:numPr>
      </w:pPr>
      <w:r>
        <w:t xml:space="preserve">Una frase de diagnóstico completa encadena 3 ideas: dónde está la economía y qué la ha sostenido, qué la está frenando y qué riesgos tiene (un ejemplo del FMI sobre España, en el anexo </w:t>
      </w:r>
      <w:hyperlink w:anchor="anexo_parrafos">
        <w:r>
          <w:rPr>
            <w:rStyle w:val="Hyperlink"/>
          </w:rPr>
          <w:t xml:space="preserve">K.1</w:t>
        </w:r>
      </w:hyperlink>
      <w:r>
        <w:t xml:space="preserve">).</w:t>
      </w:r>
    </w:p>
    <w:bookmarkEnd w:id="26"/>
    <w:bookmarkStart w:id="32" w:name="las_fases_del_ciclo"/>
    <w:p>
      <w:pPr>
        <w:pStyle w:val="Heading4"/>
      </w:pPr>
      <w:r>
        <w:t xml:space="preserve">Las fases del ciclo</w:t>
      </w:r>
    </w:p>
    <w:p>
      <w:pPr>
        <w:numPr>
          <w:ilvl w:val="0"/>
          <w:numId w:val="1011"/>
        </w:numPr>
      </w:pPr>
      <w:r>
        <w:t xml:space="preserve">El</w:t>
      </w:r>
      <w:r>
        <w:t xml:space="preserve"> </w:t>
      </w:r>
      <w:r>
        <w:rPr>
          <w:b/>
          <w:bCs/>
        </w:rPr>
        <w:t xml:space="preserve">ciclo económico</w:t>
      </w:r>
      <w:r>
        <w:t xml:space="preserve"> </w:t>
      </w:r>
      <w:r>
        <w:t xml:space="preserve">es la oscilación de la actividad alrededor de su tendencia: de un pico a un valle, la contracción; de un valle a un pico, la expansión</w:t>
      </w:r>
      <w:r>
        <w:t xml:space="preserve"> </w:t>
      </w:r>
      <w:hyperlink r:id="rId21">
        <w:r>
          <w:rPr>
            <w:rStyle w:val="Referenciaatema"/>
          </w:rPr>
          <w:t xml:space="preserve">[ver tema 3.A.42]</w:t>
        </w:r>
      </w:hyperlink>
      <w:r>
        <w:t xml:space="preserve">.</w:t>
      </w:r>
    </w:p>
    <w:p>
      <w:pPr>
        <w:keepNext/>
        <w:numPr>
          <w:ilvl w:val="0"/>
          <w:numId w:val="1011"/>
        </w:numPr>
      </w:pPr>
      <w:r>
        <w:t xml:space="preserve">En el dictamen se usan 4 fases, que se reconocen por el crecimiento del PIB real (</w:t>
      </w:r>
      <m:oMath>
        <m:sSub>
          <m:e>
            <m:r>
              <m:t>γ</m:t>
            </m:r>
          </m:e>
          <m:sub>
            <m:r>
              <m:t>Y</m:t>
            </m:r>
          </m:sub>
        </m:sSub>
      </m:oMath>
      <w:r>
        <w:t xml:space="preserve">) frente al potencial (</w:t>
      </w:r>
      <m:oMath>
        <m:sSub>
          <m:e>
            <m:r>
              <m:t>γ</m:t>
            </m:r>
          </m:e>
          <m:sub>
            <m:sSup>
              <m:e>
                <m:r>
                  <m:t>Y</m:t>
                </m:r>
              </m:e>
              <m:sup>
                <m:r>
                  <m:t>p</m:t>
                </m:r>
              </m:sup>
            </m:sSup>
          </m:sub>
        </m:sSub>
      </m:oMath>
      <w:r>
        <w:t xml:space="preserve">) y por el signo de la brecha de producción (</w:t>
      </w:r>
      <m:oMath>
        <m:r>
          <m:rPr>
            <m:sty m:val="p"/>
          </m:rPr>
          <m:t>O</m:t>
        </m:r>
        <m:r>
          <m:rPr>
            <m:sty m:val="p"/>
          </m:rPr>
          <m:t>G</m:t>
        </m:r>
      </m:oMath>
      <w:r>
        <w:t xml:space="preserve">, apartado </w:t>
      </w:r>
      <w:hyperlink w:anchor="sec_medidores">
        <w:r>
          <w:rPr>
            <w:rStyle w:val="Hyperlink"/>
          </w:rPr>
          <w:t xml:space="preserve">I.3</w:t>
        </w:r>
      </w:hyperlink>
      <w:r>
        <w:t xml:space="preserve">):</w:t>
      </w:r>
    </w:p>
    <w:p>
      <w:pPr>
        <w:numPr>
          <w:ilvl w:val="1"/>
          <w:numId w:val="1012"/>
        </w:numPr>
      </w:pPr>
      <w:r>
        <w:rPr>
          <w:b/>
          <w:bCs/>
        </w:rPr>
        <w:t xml:space="preserve">recuperación</w:t>
      </w:r>
      <w:r>
        <w:t xml:space="preserve">: el PIB crece y más que el potencial, pero la brecha aún es negativa (se está cerrando);</w:t>
      </w:r>
    </w:p>
    <w:p>
      <w:pPr>
        <w:numPr>
          <w:ilvl w:val="1"/>
          <w:numId w:val="1012"/>
        </w:numPr>
      </w:pPr>
      <w:r>
        <w:rPr>
          <w:b/>
          <w:bCs/>
        </w:rPr>
        <w:t xml:space="preserve">expansión</w:t>
      </w:r>
      <w:r>
        <w:t xml:space="preserve">: la brecha es positiva y se sigue abriendo;</w:t>
      </w:r>
    </w:p>
    <w:p>
      <w:pPr>
        <w:numPr>
          <w:ilvl w:val="1"/>
          <w:numId w:val="1012"/>
        </w:numPr>
      </w:pPr>
      <w:r>
        <w:rPr>
          <w:b/>
          <w:bCs/>
        </w:rPr>
        <w:t xml:space="preserve">desaceleración</w:t>
      </w:r>
      <w:r>
        <w:t xml:space="preserve">: el PIB aún crece, pero menos que el potencial, y la brecha se reduce;</w:t>
      </w:r>
    </w:p>
    <w:p>
      <w:pPr>
        <w:numPr>
          <w:ilvl w:val="1"/>
          <w:numId w:val="1012"/>
        </w:numPr>
      </w:pPr>
      <w:r>
        <w:rPr>
          <w:b/>
          <w:bCs/>
        </w:rPr>
        <w:t xml:space="preserve">recesión</w:t>
      </w:r>
      <w:r>
        <w:t xml:space="preserve">: el PIB cae y la brecha se vuelve negativa (gráfico </w:t>
      </w:r>
      <w:hyperlink w:anchor="fig_fases_ciclo">
        <w:r>
          <w:rPr>
            <w:rStyle w:val="Hyperlink"/>
          </w:rPr>
          <w:t xml:space="preserve">1</w:t>
        </w:r>
      </w:hyperlink>
      <w:r>
        <w:t xml:space="preserve">).</w:t>
      </w:r>
    </w:p>
    <w:p>
      <w:pPr>
        <w:numPr>
          <w:ilvl w:val="0"/>
          <w:numId w:val="1011"/>
        </w:numPr>
      </w:pPr>
      <w:r>
        <w:t xml:space="preserve">La forma de la recesión se describe con una letra: en</w:t>
      </w:r>
      <w:r>
        <w:t xml:space="preserve"> </w:t>
      </w:r>
      <w:r>
        <w:rPr>
          <w:i/>
          <w:iCs/>
        </w:rPr>
        <w:t xml:space="preserve">V</w:t>
      </w:r>
      <w:r>
        <w:t xml:space="preserve"> </w:t>
      </w:r>
      <w:r>
        <w:t xml:space="preserve">(caída y recuperación rápidas, como la de la pandemia), en</w:t>
      </w:r>
      <w:r>
        <w:t xml:space="preserve"> </w:t>
      </w:r>
      <w:r>
        <w:rPr>
          <w:i/>
          <w:iCs/>
        </w:rPr>
        <w:t xml:space="preserve">U</w:t>
      </w:r>
      <w:r>
        <w:t xml:space="preserve"> </w:t>
      </w:r>
      <w:r>
        <w:t xml:space="preserve">(estancamiento en el fondo), en</w:t>
      </w:r>
      <w:r>
        <w:t xml:space="preserve"> </w:t>
      </w:r>
      <w:r>
        <w:rPr>
          <w:i/>
          <w:iCs/>
        </w:rPr>
        <w:t xml:space="preserve">W</w:t>
      </w:r>
      <w:r>
        <w:t xml:space="preserve"> </w:t>
      </w:r>
      <w:r>
        <w:t xml:space="preserve">(recaída tras una primera recuperación) o en</w:t>
      </w:r>
      <w:r>
        <w:t xml:space="preserve"> </w:t>
      </w:r>
      <w:r>
        <w:rPr>
          <w:i/>
          <w:iCs/>
        </w:rPr>
        <w:t xml:space="preserve">L</w:t>
      </w:r>
      <w:r>
        <w:t xml:space="preserve"> </w:t>
      </w:r>
      <w:r>
        <w:t xml:space="preserve">(sin recuperación del nivel anterior).</w:t>
      </w:r>
    </w:p>
    <w:p>
      <w:pPr>
        <w:numPr>
          <w:ilvl w:val="0"/>
          <w:numId w:val="1011"/>
        </w:numPr>
      </w:pPr>
      <w:r>
        <w:t xml:space="preserve">Recesión es, como regla práctica, una caída del PIB real durante 2 trimestres seguidos; depresión, una caída de más del 10 % o una recesión de más de 3 años.</w:t>
      </w:r>
      <w:r>
        <w:rPr>
          <w:rStyle w:val="FootnoteReference"/>
        </w:rPr>
        <w:footnoteReference w:id="27"/>
      </w:r>
    </w:p>
    <w:bookmarkStart w:id="31" w:name="fig_fases_ciclo"/>
    <w:p>
      <w:pPr>
        <w:pStyle w:val="ImageCaption"/>
      </w:pPr>
      <w:r>
        <w:t xml:space="preserve">Gráfico 1.–</w:t>
      </w:r>
      <w:r>
        <w:t xml:space="preserve"> </w:t>
      </w:r>
      <w:r>
        <w:t xml:space="preserve">Las 4 fases del ciclo según la brecha de producción</w:t>
      </w:r>
    </w:p>
    <w:p>
      <w:pPr>
        <w:pStyle w:val="CaptionedFigure"/>
      </w:pPr>
      <w:r>
        <w:drawing>
          <wp:inline>
            <wp:extent cx="3462020" cy="1186847"/>
            <wp:effectExtent b="0" l="0" r="0" t="0"/>
            <wp:docPr descr="Gráfico 1.– Las 4 fases del ciclo según la brecha de producción" title="" id="29" name="Picture"/>
            <a:graphic>
              <a:graphicData uri="http://schemas.openxmlformats.org/drawingml/2006/picture">
                <pic:pic>
                  <pic:nvPicPr>
                    <pic:cNvPr descr="C:\Users\vgutierrez\Documents\src\victorgutierrezmarcos.github.io-revision\oposicion\temario\fuentes\1D01\graficos/fases-ciclo-brecha.png" id="30" name="Picture"/>
                    <pic:cNvPicPr>
                      <a:picLocks noChangeArrowheads="1" noChangeAspect="1"/>
                    </pic:cNvPicPr>
                  </pic:nvPicPr>
                  <pic:blipFill>
                    <a:blip r:embed="rId28"/>
                    <a:stretch>
                      <a:fillRect/>
                    </a:stretch>
                  </pic:blipFill>
                  <pic:spPr bwMode="auto">
                    <a:xfrm>
                      <a:off x="0" y="0"/>
                      <a:ext cx="3462020" cy="1186847"/>
                    </a:xfrm>
                    <a:prstGeom prst="rect">
                      <a:avLst/>
                    </a:prstGeom>
                    <a:noFill/>
                    <a:ln w="9525">
                      <a:noFill/>
                      <a:headEnd/>
                      <a:tailEnd/>
                    </a:ln>
                  </pic:spPr>
                </pic:pic>
              </a:graphicData>
            </a:graphic>
          </wp:inline>
        </w:drawing>
      </w:r>
    </w:p>
    <w:bookmarkEnd w:id="31"/>
    <w:p>
      <w:pPr>
        <w:pStyle w:val="Piedeimagen"/>
      </w:pPr>
      <w:r>
        <w:t xml:space="preserve">Fuente: Elaboración propia. Qué hay que ver: arriba, el PIB crece más que su potencial y la brecha avanza hacia la derecha (recuperación y expansión); abajo, crece menos o cae y la brecha retrocede (desaceleración y recesión). El paso por cero separa cada pareja de fases.</w:t>
      </w:r>
    </w:p>
    <w:p>
      <w:pPr>
        <w:numPr>
          <w:ilvl w:val="0"/>
          <w:numId w:val="1013"/>
        </w:numPr>
      </w:pPr>
      <w:r>
        <w:rPr>
          <w:i/>
          <w:iCs/>
        </w:rPr>
        <w:t xml:space="preserve">Cómo se escribe</w:t>
      </w:r>
      <w:r>
        <w:t xml:space="preserve">: si el cuadro recoge más de un ciclo (por ejemplo, la crisis financiera y la de la COVID-19), se dice al principio, y cada etapa se divide en fases con el crecimiento del PIB y la brecha.</w:t>
      </w:r>
    </w:p>
    <w:p>
      <w:pPr>
        <w:numPr>
          <w:ilvl w:val="0"/>
          <w:numId w:val="1013"/>
        </w:numPr>
      </w:pPr>
      <w:r>
        <w:rPr>
          <w:i/>
          <w:iCs/>
        </w:rPr>
        <w:t xml:space="preserve">Visión de conjunto</w:t>
      </w:r>
      <w:r>
        <w:t xml:space="preserve">: lo atípico se señala como excepción («crecimiento sostenido entre 20xx y 20xx, salvo una ligera desaceleración en 20xx»), sin contar la serie año a año.</w:t>
      </w:r>
    </w:p>
    <w:p>
      <w:pPr>
        <w:pStyle w:val="Cajadeanotaciones"/>
        <w:keepNext/>
        <w:keepLines/>
      </w:pPr>
      <w:r>
        <w:rPr>
          <w:b/>
          <w:bCs/>
        </w:rPr>
        <w:t xml:space="preserve">Ejemplo de redacción: las fases del ciclo.</w:t>
      </w:r>
      <w:r>
        <w:t xml:space="preserve"> </w:t>
      </w:r>
      <w:r>
        <w:t xml:space="preserve">«Nos encontramos ante un cuadro macroeconómico que podría recoger</w:t>
      </w:r>
      <w:r>
        <w:t xml:space="preserve"> </w:t>
      </w:r>
      <w:r>
        <w:rPr>
          <w:i/>
          <w:iCs/>
        </w:rPr>
        <w:t xml:space="preserve">más de un ciclo económico</w:t>
      </w:r>
      <w:r>
        <w:t xml:space="preserve">, en la medida en que refleja el considerable impacto tanto de la crisis financiera anterior como de la crisis sanitaria.»</w:t>
      </w:r>
    </w:p>
    <w:p>
      <w:pPr>
        <w:pStyle w:val="Cajadeanotaciones"/>
        <w:keepLines/>
      </w:pPr>
      <w:r>
        <w:t xml:space="preserve">«La economía estaba operando a pleno rendimiento en 20xx. El choque de la crisis sanitaria ha frenado su crecimiento. Podemos distinguir 2 etapas: en primer lugar, una etapa previa a la pandemia, que puede dividirse en fases con la tasa de variación del PIB real, complementada con la brecha de producción: una primera fase de expansión, entre 20xx y 20xx, en la que la economía crece de forma sostenida con una brecha positiva, por lo que produce por encima de su potencial; y una segunda fase de desaceleración, entre 20xx y 20xx, en la que sigue creciendo, pero de forma más moderada, y la brecha se cierra. En segundo lugar, la etapa de la pandemia, iniciada en 20xx, que supone una ruptura del ciclo.»</w:t>
      </w:r>
    </w:p>
    <w:bookmarkEnd w:id="32"/>
    <w:bookmarkEnd w:id="33"/>
    <w:bookmarkStart w:id="48" w:name="sec_medidores"/>
    <w:p>
      <w:pPr>
        <w:pStyle w:val="Heading2"/>
      </w:pPr>
      <w:r>
        <w:t xml:space="preserve">I.3.</w:t>
      </w:r>
      <w:r>
        <w:t xml:space="preserve"> </w:t>
      </w:r>
      <w:r>
        <w:t xml:space="preserve">Medidores</w:t>
      </w:r>
    </w:p>
    <w:p>
      <w:pPr>
        <w:numPr>
          <w:ilvl w:val="0"/>
          <w:numId w:val="1014"/>
        </w:numPr>
      </w:pPr>
      <w:r>
        <w:t xml:space="preserve">La idea: para dividir la serie se usa el crecimiento del PIB real, que el cuadro da siempre, y se completa con la brecha de producción, que no siempre está. Se elige el que dé fases más claras.</w:t>
      </w:r>
    </w:p>
    <w:p>
      <w:pPr>
        <w:numPr>
          <w:ilvl w:val="0"/>
          <w:numId w:val="1014"/>
        </w:numPr>
      </w:pPr>
      <w:r>
        <w:t xml:space="preserve">No siempre coinciden: un país puede crecer al 2 % con la brecha abriéndose hacia abajo si su potencial crece al 3 %. Si discrepan, se dice y se explica.</w:t>
      </w:r>
    </w:p>
    <w:bookmarkStart w:id="35" w:name="crecimiento_del_pib_real"/>
    <w:p>
      <w:pPr>
        <w:pStyle w:val="Heading4"/>
      </w:pPr>
      <w:r>
        <w:t xml:space="preserve">Crecimiento del PIB real</w:t>
      </w:r>
    </w:p>
    <w:p>
      <w:pPr>
        <w:numPr>
          <w:ilvl w:val="0"/>
          <w:numId w:val="1015"/>
        </w:numPr>
      </w:pPr>
      <w:r>
        <w:rPr>
          <w:i/>
          <w:iCs/>
        </w:rPr>
        <w:t xml:space="preserve">Qué mide</w:t>
      </w:r>
      <w:r>
        <w:t xml:space="preserve">: el ritmo de avance de la producción, sin el efecto de los precios.</w:t>
      </w:r>
    </w:p>
    <w:p>
      <w:pPr>
        <w:numPr>
          <w:ilvl w:val="0"/>
          <w:numId w:val="1015"/>
        </w:numPr>
      </w:pPr>
      <w:r>
        <w:rPr>
          <w:i/>
          <w:iCs/>
        </w:rPr>
        <w:t xml:space="preserve">Cómo se calcula</w:t>
      </w:r>
      <w:r>
        <w:t xml:space="preserve">:</w:t>
      </w:r>
      <w:r>
        <w:t xml:space="preserve"> </w:t>
      </w:r>
      <m:oMath>
        <m:sSub>
          <m:e>
            <m:r>
              <m:t>γ</m:t>
            </m:r>
          </m:e>
          <m:sub>
            <m:r>
              <m:t>Y</m:t>
            </m:r>
            <m:r>
              <m:rPr>
                <m:sty m:val="p"/>
              </m:rPr>
              <m:t>,</m:t>
            </m:r>
            <m:r>
              <m:t>t</m:t>
            </m:r>
          </m:sub>
        </m:sSub>
        <m:r>
          <m:rPr>
            <m:sty m:val="p"/>
          </m:rPr>
          <m:t>=</m:t>
        </m:r>
        <m:f>
          <m:fPr>
            <m:type m:val="bar"/>
          </m:fPr>
          <m:num>
            <m:sSub>
              <m:e>
                <m:r>
                  <m:t>Y</m:t>
                </m:r>
              </m:e>
              <m:sub>
                <m:r>
                  <m:t>t</m:t>
                </m:r>
              </m:sub>
            </m:sSub>
            <m:r>
              <m:rPr>
                <m:sty m:val="p"/>
              </m:rPr>
              <m:t>−</m:t>
            </m:r>
            <m:sSub>
              <m:e>
                <m:r>
                  <m:t>Y</m:t>
                </m:r>
              </m:e>
              <m:sub>
                <m:r>
                  <m:t>t</m:t>
                </m:r>
                <m:r>
                  <m:rPr>
                    <m:sty m:val="p"/>
                  </m:rPr>
                  <m:t>−</m:t>
                </m:r>
                <m:r>
                  <m:t>1</m:t>
                </m:r>
              </m:sub>
            </m:sSub>
          </m:num>
          <m:den>
            <m:sSub>
              <m:e>
                <m:r>
                  <m:t>Y</m:t>
                </m:r>
              </m:e>
              <m:sub>
                <m:r>
                  <m:t>t</m:t>
                </m:r>
                <m:r>
                  <m:rPr>
                    <m:sty m:val="p"/>
                  </m:rPr>
                  <m:t>−</m:t>
                </m:r>
                <m:r>
                  <m:t>1</m:t>
                </m:r>
              </m:sub>
            </m:sSub>
          </m:den>
        </m:f>
        <m:r>
          <m:rPr>
            <m:sty m:val="p"/>
          </m:rPr>
          <m:t>×</m:t>
        </m:r>
        <m:r>
          <m:t>100</m:t>
        </m:r>
      </m:oMath>
      <w:r>
        <w:t xml:space="preserve">, con</w:t>
      </w:r>
      <w:r>
        <w:t xml:space="preserve"> </w:t>
      </w:r>
      <m:oMath>
        <m:r>
          <m:t>Y</m:t>
        </m:r>
      </m:oMath>
      <w:r>
        <w:t xml:space="preserve"> </w:t>
      </w:r>
      <w:r>
        <w:t xml:space="preserve">el PIB en volumen.</w:t>
      </w:r>
    </w:p>
    <w:p>
      <w:pPr>
        <w:numPr>
          <w:ilvl w:val="0"/>
          <w:numId w:val="1015"/>
        </w:numPr>
      </w:pPr>
      <w:r>
        <w:rPr>
          <w:i/>
          <w:iCs/>
        </w:rPr>
        <w:t xml:space="preserve">Umbral o referencia</w:t>
      </w:r>
      <w:r>
        <w:t xml:space="preserve"> </w:t>
      </w:r>
      <w:r>
        <w:t xml:space="preserve">(orientativo, sin norma detrás): en una economía avanzada, negativo es contracción; entre el 0 y el 1 %, estancamiento; entre el 1 y el 2 %, crecimiento moderado, cerca del potencial de la mayoría de las avanzadas; entre el 2 y el 3 %, crecimiento por encima del potencial; desde el 3 %, crecimiento sólido. Las economías avanzadas crecieron un 2,0 % en 2025 y las emergentes y en desarrollo, un 4,5 %</w:t>
      </w:r>
      <w:r>
        <w:t xml:space="preserve"> </w:t>
      </w:r>
      <w:r>
        <w:t xml:space="preserve">(</w:t>
      </w:r>
      <w:hyperlink w:anchor="ref_FMI2026WEO">
        <w:r>
          <w:rPr>
            <w:rStyle w:val="Hyperlink"/>
            <w:smallCaps/>
          </w:rPr>
          <w:t xml:space="preserve">Fondo Monetario Internacional</w:t>
        </w:r>
        <w:r>
          <w:rPr>
            <w:rStyle w:val="Hyperlink"/>
          </w:rPr>
          <w:t xml:space="preserve">, 2026d</w:t>
        </w:r>
      </w:hyperlink>
      <w:r>
        <w:t xml:space="preserve">)</w:t>
      </w:r>
      <w:r>
        <w:t xml:space="preserve">: en un emergente, un 3 % puede ser débil.</w:t>
      </w:r>
    </w:p>
    <w:p>
      <w:pPr>
        <w:keepNext/>
        <w:numPr>
          <w:ilvl w:val="0"/>
          <w:numId w:val="1015"/>
        </w:numPr>
      </w:pPr>
      <w:r>
        <w:rPr>
          <w:i/>
          <w:iCs/>
        </w:rPr>
        <w:t xml:space="preserve">Cómo se lee</w:t>
      </w:r>
      <w:r>
        <w:t xml:space="preserve">:</w:t>
      </w:r>
    </w:p>
    <w:p>
      <w:pPr>
        <w:numPr>
          <w:ilvl w:val="1"/>
          <w:numId w:val="1016"/>
        </w:numPr>
      </w:pPr>
      <w:r>
        <w:t xml:space="preserve">el</w:t>
      </w:r>
      <w:r>
        <w:t xml:space="preserve"> </w:t>
      </w:r>
      <w:r>
        <w:rPr>
          <w:i/>
          <w:iCs/>
        </w:rPr>
        <w:t xml:space="preserve">signo</w:t>
      </w:r>
      <w:r>
        <w:t xml:space="preserve"> </w:t>
      </w:r>
      <w:r>
        <w:t xml:space="preserve">y el</w:t>
      </w:r>
      <w:r>
        <w:t xml:space="preserve"> </w:t>
      </w:r>
      <w:r>
        <w:rPr>
          <w:i/>
          <w:iCs/>
        </w:rPr>
        <w:t xml:space="preserve">nivel</w:t>
      </w:r>
      <w:r>
        <w:t xml:space="preserve"> </w:t>
      </w:r>
      <w:r>
        <w:t xml:space="preserve">dicen si crece y cuánto;</w:t>
      </w:r>
    </w:p>
    <w:p>
      <w:pPr>
        <w:numPr>
          <w:ilvl w:val="1"/>
          <w:numId w:val="1016"/>
        </w:numPr>
      </w:pPr>
      <w:r>
        <w:t xml:space="preserve">la</w:t>
      </w:r>
      <w:r>
        <w:t xml:space="preserve"> </w:t>
      </w:r>
      <w:r>
        <w:rPr>
          <w:i/>
          <w:iCs/>
        </w:rPr>
        <w:t xml:space="preserve">variación</w:t>
      </w:r>
      <w:r>
        <w:t xml:space="preserve"> </w:t>
      </w:r>
      <w:r>
        <w:t xml:space="preserve">(la «segunda derivada») dice si se acelera o se desacelera;</w:t>
      </w:r>
    </w:p>
    <w:p>
      <w:pPr>
        <w:numPr>
          <w:ilvl w:val="1"/>
          <w:numId w:val="1016"/>
        </w:numPr>
      </w:pPr>
      <w:r>
        <w:t xml:space="preserve">en los países en desarrollo las tasas son más altas y más volátiles, porque tienen menos estabilizadores automáticos.</w:t>
      </w:r>
    </w:p>
    <w:p>
      <w:pPr>
        <w:numPr>
          <w:ilvl w:val="0"/>
          <w:numId w:val="1015"/>
        </w:numPr>
      </w:pPr>
      <w:r>
        <w:rPr>
          <w:i/>
          <w:iCs/>
        </w:rPr>
        <w:t xml:space="preserve">Con qué se cruza</w:t>
      </w:r>
      <w:r>
        <w:t xml:space="preserve">: con la brecha, el empleo y la inflación.</w:t>
      </w:r>
    </w:p>
    <w:p>
      <w:pPr>
        <w:numPr>
          <w:ilvl w:val="0"/>
          <w:numId w:val="1015"/>
        </w:numPr>
      </w:pPr>
      <w:r>
        <w:rPr>
          <w:i/>
          <w:iCs/>
        </w:rPr>
        <w:t xml:space="preserve">Tema</w:t>
      </w:r>
      <w:r>
        <w:t xml:space="preserve">:</w:t>
      </w:r>
      <w:r>
        <w:t xml:space="preserve"> </w:t>
      </w:r>
      <w:hyperlink r:id="rId20">
        <w:r>
          <w:rPr>
            <w:rStyle w:val="Referenciaatema"/>
          </w:rPr>
          <w:t xml:space="preserve">[ver tema 3.A.30]</w:t>
        </w:r>
      </w:hyperlink>
      <w:r>
        <w:t xml:space="preserve"> </w:t>
      </w:r>
      <w:hyperlink r:id="rId34">
        <w:r>
          <w:rPr>
            <w:rStyle w:val="Referenciaatema"/>
          </w:rPr>
          <w:t xml:space="preserve">[ver tema 4.A.1]</w:t>
        </w:r>
      </w:hyperlink>
      <w:r>
        <w:t xml:space="preserve">.</w:t>
      </w:r>
    </w:p>
    <w:bookmarkEnd w:id="35"/>
    <w:bookmarkStart w:id="41" w:name="brecha_de_producci__n_y_pib_potencial"/>
    <w:p>
      <w:pPr>
        <w:pStyle w:val="Heading4"/>
      </w:pPr>
      <w:r>
        <w:t xml:space="preserve">Brecha de producción y PIB potencial</w:t>
      </w:r>
    </w:p>
    <w:p>
      <w:pPr>
        <w:numPr>
          <w:ilvl w:val="0"/>
          <w:numId w:val="1017"/>
        </w:numPr>
      </w:pPr>
      <w:r>
        <w:rPr>
          <w:i/>
          <w:iCs/>
        </w:rPr>
        <w:t xml:space="preserve">Qué mide</w:t>
      </w:r>
      <w:r>
        <w:t xml:space="preserve">: la</w:t>
      </w:r>
      <w:r>
        <w:t xml:space="preserve"> </w:t>
      </w:r>
      <w:r>
        <w:rPr>
          <w:b/>
          <w:bCs/>
        </w:rPr>
        <w:t xml:space="preserve">brecha de producción</w:t>
      </w:r>
      <w:r>
        <w:t xml:space="preserve"> </w:t>
      </w:r>
      <w:r>
        <w:t xml:space="preserve">(</w:t>
      </w:r>
      <w:r>
        <w:rPr>
          <w:i/>
          <w:iCs/>
        </w:rPr>
        <w:t xml:space="preserve">output gap</w:t>
      </w:r>
      <w:r>
        <w:t xml:space="preserve">) compara el PIB observado con el</w:t>
      </w:r>
      <w:r>
        <w:t xml:space="preserve"> </w:t>
      </w:r>
      <w:r>
        <w:rPr>
          <w:b/>
          <w:bCs/>
        </w:rPr>
        <w:t xml:space="preserve">PIB potencial</w:t>
      </w:r>
      <w:r>
        <w:t xml:space="preserve">, el que se puede producir con los factores empleados con su intensidad normal y sin tensiones inflacionistas.</w:t>
      </w:r>
      <w:r>
        <w:rPr>
          <w:rStyle w:val="FootnoteReference"/>
        </w:rPr>
        <w:footnoteReference w:id="36"/>
      </w:r>
    </w:p>
    <w:p>
      <w:pPr>
        <w:numPr>
          <w:ilvl w:val="0"/>
          <w:numId w:val="1017"/>
        </w:numPr>
      </w:pPr>
      <w:r>
        <w:rPr>
          <w:i/>
          <w:iCs/>
        </w:rPr>
        <w:t xml:space="preserve">Cómo se calcula</w:t>
      </w:r>
      <w:r>
        <w:t xml:space="preserve">: en porcentaje del potencial,</w:t>
      </w:r>
    </w:p>
    <w:p>
      <w:pPr>
        <w:pStyle w:val="BodyText"/>
        <w:keepNext/>
      </w:pPr>
      <m:oMathPara>
        <m:oMathParaPr>
          <m:jc m:val="center"/>
        </m:oMathParaPr>
        <m:oMath>
          <m:sSub>
            <m:e>
              <m:r>
                <m:rPr>
                  <m:sty m:val="p"/>
                </m:rPr>
                <m:t>O</m:t>
              </m:r>
              <m:r>
                <m:rPr>
                  <m:sty m:val="p"/>
                </m:rPr>
                <m:t>G</m:t>
              </m:r>
            </m:e>
            <m:sub>
              <m:r>
                <m:t>t</m:t>
              </m:r>
            </m:sub>
          </m:sSub>
          <m:r>
            <m:rPr>
              <m:sty m:val="p"/>
            </m:rPr>
            <m:t>≡</m:t>
          </m:r>
          <m:f>
            <m:fPr>
              <m:type m:val="bar"/>
            </m:fPr>
            <m:num>
              <m:sSub>
                <m:e>
                  <m:r>
                    <m:t>Y</m:t>
                  </m:r>
                </m:e>
                <m:sub>
                  <m:r>
                    <m:t>t</m:t>
                  </m:r>
                </m:sub>
              </m:sSub>
              <m:r>
                <m:rPr>
                  <m:sty m:val="p"/>
                </m:rPr>
                <m:t>−</m:t>
              </m:r>
              <m:sSubSup>
                <m:e>
                  <m:r>
                    <m:t>Y</m:t>
                  </m:r>
                </m:e>
                <m:sub>
                  <m:r>
                    <m:t>t</m:t>
                  </m:r>
                </m:sub>
                <m:sup>
                  <m:r>
                    <m:t>p</m:t>
                  </m:r>
                </m:sup>
              </m:sSubSup>
            </m:num>
            <m:den>
              <m:sSubSup>
                <m:e>
                  <m:r>
                    <m:t>Y</m:t>
                  </m:r>
                </m:e>
                <m:sub>
                  <m:r>
                    <m:t>t</m:t>
                  </m:r>
                </m:sub>
                <m:sup>
                  <m:r>
                    <m:t>p</m:t>
                  </m:r>
                </m:sup>
              </m:sSubSup>
            </m:den>
          </m:f>
          <m:r>
            <m:rPr>
              <m:sty m:val="p"/>
            </m:rPr>
            <m:t>×</m:t>
          </m:r>
          <m:r>
            <m:t>100</m:t>
          </m:r>
          <m:r>
            <m:rPr>
              <m:sty m:val="p"/>
            </m:rPr>
            <m:t>.</m:t>
          </m:r>
        </m:oMath>
      </m:oMathPara>
    </w:p>
    <w:p>
      <w:pPr>
        <w:numPr>
          <w:ilvl w:val="0"/>
          <w:numId w:val="1000"/>
        </w:numPr>
      </w:pPr>
      <w:r>
        <w:t xml:space="preserve">El potencial no se observa: se estima con una</w:t>
      </w:r>
      <w:r>
        <w:t xml:space="preserve"> </w:t>
      </w:r>
      <w:r>
        <w:rPr>
          <w:i/>
          <w:iCs/>
        </w:rPr>
        <w:t xml:space="preserve">función de producción</w:t>
      </w:r>
      <w:r>
        <w:t xml:space="preserve"> </w:t>
      </w:r>
      <w:r>
        <w:t xml:space="preserve">(potencial del trabajo con la NAWRU, del capital y de la productividad total de los factores), como hacen la Comisión Europea, la OCDE y el FMI</w:t>
      </w:r>
      <w:r>
        <w:t xml:space="preserve"> </w:t>
      </w:r>
      <w:r>
        <w:t xml:space="preserve">(</w:t>
      </w:r>
      <w:hyperlink w:anchor="ref_Havik2014Potencial">
        <w:r>
          <w:rPr>
            <w:rStyle w:val="Hyperlink"/>
            <w:smallCaps/>
          </w:rPr>
          <w:t xml:space="preserve">Havik</w:t>
        </w:r>
        <w:r>
          <w:rPr>
            <w:rStyle w:val="Hyperlink"/>
          </w:rPr>
          <w:t xml:space="preserve"> </w:t>
        </w:r>
        <w:r>
          <w:rPr>
            <w:rStyle w:val="Hyperlink"/>
          </w:rPr>
          <w:t xml:space="preserve">et al., 2014</w:t>
        </w:r>
      </w:hyperlink>
      <w:r>
        <w:t xml:space="preserve">)</w:t>
      </w:r>
      <w:r>
        <w:t xml:space="preserve"> </w:t>
      </w:r>
      <w:hyperlink r:id="rId38">
        <w:r>
          <w:rPr>
            <w:rStyle w:val="Referenciaatema"/>
          </w:rPr>
          <w:t xml:space="preserve">[ver tema 4.B.4]</w:t>
        </w:r>
      </w:hyperlink>
      <w:r>
        <w:t xml:space="preserve">, o con un</w:t>
      </w:r>
      <w:r>
        <w:t xml:space="preserve"> </w:t>
      </w:r>
      <w:r>
        <w:rPr>
          <w:i/>
          <w:iCs/>
        </w:rPr>
        <w:t xml:space="preserve">filtro estadístico</w:t>
      </w:r>
      <w:r>
        <w:t xml:space="preserve">, como el de</w:t>
      </w:r>
      <w:r>
        <w:t xml:space="preserve"> </w:t>
      </w:r>
      <w:r>
        <w:rPr>
          <w:smallCaps/>
        </w:rPr>
        <w:t xml:space="preserve">Hodrick</w:t>
      </w:r>
      <w:r>
        <w:t xml:space="preserve"> </w:t>
      </w:r>
      <w:r>
        <w:t xml:space="preserve">y</w:t>
      </w:r>
      <w:r>
        <w:t xml:space="preserve"> </w:t>
      </w:r>
      <w:r>
        <w:rPr>
          <w:smallCaps/>
        </w:rPr>
        <w:t xml:space="preserve">Prescott</w:t>
      </w:r>
      <w:r>
        <w:t xml:space="preserve">, que extrae la tendencia de la serie</w:t>
      </w:r>
      <w:r>
        <w:t xml:space="preserve"> </w:t>
      </w:r>
      <w:r>
        <w:t xml:space="preserve">(</w:t>
      </w:r>
      <w:hyperlink w:anchor="ref_HodrickPrescott1997">
        <w:r>
          <w:rPr>
            <w:rStyle w:val="Hyperlink"/>
            <w:smallCaps/>
          </w:rPr>
          <w:t xml:space="preserve">Hodrick</w:t>
        </w:r>
        <w:r>
          <w:rPr>
            <w:rStyle w:val="Hyperlink"/>
          </w:rPr>
          <w:t xml:space="preserve"> </w:t>
        </w:r>
        <w:r>
          <w:rPr>
            <w:rStyle w:val="Hyperlink"/>
          </w:rPr>
          <w:t xml:space="preserve">y</w:t>
        </w:r>
        <w:r>
          <w:rPr>
            <w:rStyle w:val="Hyperlink"/>
          </w:rPr>
          <w:t xml:space="preserve"> </w:t>
        </w:r>
        <w:r>
          <w:rPr>
            <w:rStyle w:val="Hyperlink"/>
            <w:smallCaps/>
          </w:rPr>
          <w:t xml:space="preserve">Prescott</w:t>
        </w:r>
        <w:r>
          <w:rPr>
            <w:rStyle w:val="Hyperlink"/>
          </w:rPr>
          <w:t xml:space="preserve">, 1997</w:t>
        </w:r>
      </w:hyperlink>
      <w:r>
        <w:t xml:space="preserve">)</w:t>
      </w:r>
      <w:r>
        <w:t xml:space="preserve"> </w:t>
      </w:r>
      <w:hyperlink r:id="rId21">
        <w:r>
          <w:rPr>
            <w:rStyle w:val="Referenciaatema"/>
          </w:rPr>
          <w:t xml:space="preserve">[ver tema 3.A.42]</w:t>
        </w:r>
      </w:hyperlink>
      <w:r>
        <w:t xml:space="preserve">. El filtro pide menos datos, pero su último tramo se revisa mucho.</w:t>
      </w:r>
    </w:p>
    <w:p>
      <w:pPr>
        <w:numPr>
          <w:ilvl w:val="0"/>
          <w:numId w:val="1017"/>
        </w:numPr>
      </w:pPr>
      <w:r>
        <w:rPr>
          <w:i/>
          <w:iCs/>
        </w:rPr>
        <w:t xml:space="preserve">Umbral o referencia</w:t>
      </w:r>
      <w:r>
        <w:t xml:space="preserve">: 0, la producción en su potencial.</w:t>
      </w:r>
    </w:p>
    <w:p>
      <w:pPr>
        <w:keepNext/>
        <w:numPr>
          <w:ilvl w:val="0"/>
          <w:numId w:val="1017"/>
        </w:numPr>
      </w:pPr>
      <w:r>
        <w:rPr>
          <w:i/>
          <w:iCs/>
        </w:rPr>
        <w:t xml:space="preserve">Cómo se lee</w:t>
      </w:r>
      <w:r>
        <w:t xml:space="preserve">:</w:t>
      </w:r>
    </w:p>
    <w:p>
      <w:pPr>
        <w:numPr>
          <w:ilvl w:val="1"/>
          <w:numId w:val="1018"/>
        </w:numPr>
      </w:pPr>
      <w:r>
        <w:rPr>
          <w:i/>
          <w:iCs/>
        </w:rPr>
        <w:t xml:space="preserve">Negativa</w:t>
      </w:r>
      <w:r>
        <w:t xml:space="preserve">: producción por debajo del potencial, recursos infrautilizados (paro, capacidad ociosa) y presiones a la baja sobre la inflación.</w:t>
      </w:r>
    </w:p>
    <w:p>
      <w:pPr>
        <w:numPr>
          <w:ilvl w:val="1"/>
          <w:numId w:val="1018"/>
        </w:numPr>
      </w:pPr>
      <w:r>
        <w:rPr>
          <w:i/>
          <w:iCs/>
        </w:rPr>
        <w:t xml:space="preserve">Positiva</w:t>
      </w:r>
      <w:r>
        <w:t xml:space="preserve">: la demanda empuja por encima del potencial; aparecen cuellos de botella y riesgo de sobrecalentamiento e inflación.</w:t>
      </w:r>
    </w:p>
    <w:p>
      <w:pPr>
        <w:numPr>
          <w:ilvl w:val="1"/>
          <w:numId w:val="1018"/>
        </w:numPr>
      </w:pPr>
      <w:r>
        <w:rPr>
          <w:i/>
          <w:iCs/>
        </w:rPr>
        <w:t xml:space="preserve">Cercana a 0</w:t>
      </w:r>
      <w:r>
        <w:t xml:space="preserve">: paro y uso del capital en sus niveles normales e inflación estable. Es lo deseable.</w:t>
      </w:r>
    </w:p>
    <w:p>
      <w:pPr>
        <w:numPr>
          <w:ilvl w:val="1"/>
          <w:numId w:val="1018"/>
        </w:numPr>
      </w:pPr>
      <w:r>
        <w:t xml:space="preserve">Su</w:t>
      </w:r>
      <w:r>
        <w:t xml:space="preserve"> </w:t>
      </w:r>
      <w:r>
        <w:rPr>
          <w:i/>
          <w:iCs/>
        </w:rPr>
        <w:t xml:space="preserve">variación</w:t>
      </w:r>
      <w:r>
        <w:t xml:space="preserve">, medida en puntos, dice si el PIB crece más o menos que el potencial:</w:t>
      </w:r>
      <w:r>
        <w:t xml:space="preserve"> </w:t>
      </w:r>
      <m:oMath>
        <m:r>
          <m:t>Δ</m:t>
        </m:r>
        <m:sSub>
          <m:e>
            <m:r>
              <m:rPr>
                <m:sty m:val="p"/>
              </m:rPr>
              <m:t>O</m:t>
            </m:r>
            <m:r>
              <m:rPr>
                <m:sty m:val="p"/>
              </m:rPr>
              <m:t>G</m:t>
            </m:r>
          </m:e>
          <m:sub>
            <m:r>
              <m:t>t</m:t>
            </m:r>
          </m:sub>
        </m:sSub>
        <m:r>
          <m:rPr>
            <m:sty m:val="p"/>
          </m:rPr>
          <m:t>≈</m:t>
        </m:r>
        <m:sSub>
          <m:e>
            <m:r>
              <m:t>γ</m:t>
            </m:r>
          </m:e>
          <m:sub>
            <m:r>
              <m:t>Y</m:t>
            </m:r>
            <m:r>
              <m:rPr>
                <m:sty m:val="p"/>
              </m:rPr>
              <m:t>,</m:t>
            </m:r>
            <m:r>
              <m:t>t</m:t>
            </m:r>
          </m:sub>
        </m:sSub>
        <m:r>
          <m:rPr>
            <m:sty m:val="p"/>
          </m:rPr>
          <m:t>−</m:t>
        </m:r>
        <m:sSub>
          <m:e>
            <m:r>
              <m:t>γ</m:t>
            </m:r>
          </m:e>
          <m:sub>
            <m:sSup>
              <m:e>
                <m:r>
                  <m:t>Y</m:t>
                </m:r>
              </m:e>
              <m:sup>
                <m:r>
                  <m:t>p</m:t>
                </m:r>
              </m:sup>
            </m:sSup>
            <m:r>
              <m:rPr>
                <m:sty m:val="p"/>
              </m:rPr>
              <m:t>,</m:t>
            </m:r>
            <m:r>
              <m:t>t</m:t>
            </m:r>
          </m:sub>
        </m:sSub>
      </m:oMath>
      <w:r>
        <w:t xml:space="preserve">. «La brecha se cierra» o «se abre» (anexo </w:t>
      </w:r>
      <w:hyperlink w:anchor="anexo_expresiones">
        <w:r>
          <w:rPr>
            <w:rStyle w:val="Hyperlink"/>
          </w:rPr>
          <w:t xml:space="preserve">K</w:t>
        </w:r>
      </w:hyperlink>
      <w:r>
        <w:t xml:space="preserve">).</w:t>
      </w:r>
    </w:p>
    <w:p>
      <w:pPr>
        <w:numPr>
          <w:ilvl w:val="0"/>
          <w:numId w:val="1017"/>
        </w:numPr>
      </w:pPr>
      <w:r>
        <w:rPr>
          <w:i/>
          <w:iCs/>
        </w:rPr>
        <w:t xml:space="preserve">Con qué se cruza</w:t>
      </w:r>
      <w:r>
        <w:t xml:space="preserve">: si el cuadro da la brecha y el crecimiento, se deduce el crecimiento del potencial,</w:t>
      </w:r>
      <w:r>
        <w:rPr>
          <w:rStyle w:val="FootnoteReference"/>
        </w:rPr>
        <w:footnoteReference w:id="39"/>
      </w:r>
    </w:p>
    <w:p>
      <w:pPr>
        <w:pStyle w:val="BodyText"/>
        <w:keepNext/>
      </w:pPr>
      <m:oMathPara>
        <m:oMathParaPr>
          <m:jc m:val="center"/>
        </m:oMathParaPr>
        <m:oMath>
          <m:sSub>
            <m:e>
              <m:r>
                <m:t>γ</m:t>
              </m:r>
            </m:e>
            <m:sub>
              <m:sSup>
                <m:e>
                  <m:r>
                    <m:t>Y</m:t>
                  </m:r>
                </m:e>
                <m:sup>
                  <m:r>
                    <m:t>p</m:t>
                  </m:r>
                </m:sup>
              </m:sSup>
              <m:r>
                <m:rPr>
                  <m:sty m:val="p"/>
                </m:rPr>
                <m:t>,</m:t>
              </m:r>
              <m:r>
                <m:t>t</m:t>
              </m:r>
            </m:sub>
          </m:sSub>
          <m:r>
            <m:rPr>
              <m:sty m:val="p"/>
            </m:rPr>
            <m:t>≈</m:t>
          </m:r>
          <m:sSub>
            <m:e>
              <m:r>
                <m:t>γ</m:t>
              </m:r>
            </m:e>
            <m:sub>
              <m:r>
                <m:t>Y</m:t>
              </m:r>
              <m:r>
                <m:rPr>
                  <m:sty m:val="p"/>
                </m:rPr>
                <m:t>,</m:t>
              </m:r>
              <m:r>
                <m:t>t</m:t>
              </m:r>
            </m:sub>
          </m:sSub>
          <m:r>
            <m:rPr>
              <m:sty m:val="p"/>
            </m:rPr>
            <m:t>−</m:t>
          </m:r>
          <m:d>
            <m:dPr>
              <m:begChr m:val="("/>
              <m:sepChr m:val=""/>
              <m:endChr m:val=")"/>
              <m:grow/>
            </m:dPr>
            <m:e>
              <m:sSub>
                <m:e>
                  <m:r>
                    <m:rPr>
                      <m:sty m:val="p"/>
                    </m:rPr>
                    <m:t>O</m:t>
                  </m:r>
                  <m:r>
                    <m:rPr>
                      <m:sty m:val="p"/>
                    </m:rPr>
                    <m:t>G</m:t>
                  </m:r>
                </m:e>
                <m:sub>
                  <m:r>
                    <m:t>t</m:t>
                  </m:r>
                </m:sub>
              </m:sSub>
              <m:r>
                <m:rPr>
                  <m:sty m:val="p"/>
                </m:rPr>
                <m:t>−</m:t>
              </m:r>
              <m:sSub>
                <m:e>
                  <m:r>
                    <m:rPr>
                      <m:sty m:val="p"/>
                    </m:rPr>
                    <m:t>O</m:t>
                  </m:r>
                  <m:r>
                    <m:rPr>
                      <m:sty m:val="p"/>
                    </m:rPr>
                    <m:t>G</m:t>
                  </m:r>
                </m:e>
                <m:sub>
                  <m:r>
                    <m:t>t</m:t>
                  </m:r>
                  <m:r>
                    <m:rPr>
                      <m:sty m:val="p"/>
                    </m:rPr>
                    <m:t>−</m:t>
                  </m:r>
                  <m:r>
                    <m:t>1</m:t>
                  </m:r>
                </m:sub>
              </m:sSub>
            </m:e>
          </m:d>
          <m:r>
            <m:rPr>
              <m:sty m:val="p"/>
            </m:rPr>
            <m:t>,</m:t>
          </m:r>
        </m:oMath>
      </m:oMathPara>
    </w:p>
    <w:p>
      <w:pPr>
        <w:numPr>
          <w:ilvl w:val="0"/>
          <w:numId w:val="1000"/>
        </w:numPr>
      </w:pPr>
      <w:r>
        <w:t xml:space="preserve">Si la economía crece con fuerza y la brecha no se cierra, el potencial crece mucho: no es un cuadro «débil». Al revés, cerrar la brecha creciendo poco no es buena señal: el potencial crece poco.</w:t>
      </w:r>
    </w:p>
    <w:p>
      <w:pPr>
        <w:numPr>
          <w:ilvl w:val="0"/>
          <w:numId w:val="1017"/>
        </w:numPr>
      </w:pPr>
      <w:r>
        <w:rPr>
          <w:i/>
          <w:iCs/>
        </w:rPr>
        <w:t xml:space="preserve">Cuidado</w:t>
      </w:r>
      <w:r>
        <w:t xml:space="preserve">: la brecha y el potencial se estiman con el crecimiento pasado y se revisan mucho; sirven poco en economías con cambios estructurales rápidos, y no conviene dividir el ciclo solo con ellos.</w:t>
      </w:r>
    </w:p>
    <w:p>
      <w:pPr>
        <w:numPr>
          <w:ilvl w:val="0"/>
          <w:numId w:val="1017"/>
        </w:numPr>
      </w:pPr>
      <w:r>
        <w:rPr>
          <w:i/>
          <w:iCs/>
        </w:rPr>
        <w:t xml:space="preserve">Tema</w:t>
      </w:r>
      <w:r>
        <w:t xml:space="preserve">:</w:t>
      </w:r>
      <w:r>
        <w:t xml:space="preserve"> </w:t>
      </w:r>
      <w:hyperlink r:id="rId21">
        <w:r>
          <w:rPr>
            <w:rStyle w:val="Referenciaatema"/>
          </w:rPr>
          <w:t xml:space="preserve">[ver tema 3.A.42]</w:t>
        </w:r>
      </w:hyperlink>
      <w:r>
        <w:t xml:space="preserve"> </w:t>
      </w:r>
      <w:hyperlink r:id="rId40">
        <w:r>
          <w:rPr>
            <w:rStyle w:val="Referenciaatema"/>
          </w:rPr>
          <w:t xml:space="preserve">[ver tema 3.A.45]</w:t>
        </w:r>
      </w:hyperlink>
      <w:r>
        <w:t xml:space="preserve"> </w:t>
      </w:r>
      <w:hyperlink r:id="rId37">
        <w:r>
          <w:rPr>
            <w:rStyle w:val="Referenciaatema"/>
          </w:rPr>
          <w:t xml:space="preserve">[ver tema 3.A.28]</w:t>
        </w:r>
      </w:hyperlink>
      <w:r>
        <w:t xml:space="preserve"> </w:t>
      </w:r>
      <w:hyperlink r:id="rId38">
        <w:r>
          <w:rPr>
            <w:rStyle w:val="Referenciaatema"/>
          </w:rPr>
          <w:t xml:space="preserve">[ver tema 4.B.4]</w:t>
        </w:r>
      </w:hyperlink>
      <w:r>
        <w:t xml:space="preserve">.</w:t>
      </w:r>
    </w:p>
    <w:p>
      <w:pPr>
        <w:pStyle w:val="Cajadeanotaciones"/>
        <w:keepLines/>
      </w:pPr>
      <w:r>
        <w:rPr>
          <w:b/>
          <w:bCs/>
        </w:rPr>
        <w:t xml:space="preserve">Ejemplo de redacción: la brecha como indicador complementario.</w:t>
      </w:r>
      <w:r>
        <w:t xml:space="preserve"> </w:t>
      </w:r>
      <w:r>
        <w:t xml:space="preserve">«La brecha de producción es un indicador complementario idóneo en esta economía. Aunque apenas varía entre 20xx y 20xx, el crecimiento del PIB aumenta en x,x puntos porcentuales entre esos años: el crecimiento potencial ha aumentado, por tanto, sensiblemente. Es un</w:t>
      </w:r>
      <w:r>
        <w:t xml:space="preserve"> </w:t>
      </w:r>
      <w:r>
        <w:rPr>
          <w:i/>
          <w:iCs/>
        </w:rPr>
        <w:t xml:space="preserve">punto de inflexión</w:t>
      </w:r>
      <w:r>
        <w:t xml:space="preserve"> </w:t>
      </w:r>
      <w:r>
        <w:t xml:space="preserve">muy relevante de la serie, como se verá a lo largo del análisis.»</w:t>
      </w:r>
    </w:p>
    <w:bookmarkEnd w:id="41"/>
    <w:bookmarkStart w:id="44" w:name="pib_frente_a_renta_nacional_bruta"/>
    <w:p>
      <w:pPr>
        <w:pStyle w:val="Heading4"/>
      </w:pPr>
      <w:r>
        <w:t xml:space="preserve">PIB frente a renta nacional bruta</w:t>
      </w:r>
    </w:p>
    <w:p>
      <w:pPr>
        <w:numPr>
          <w:ilvl w:val="0"/>
          <w:numId w:val="1019"/>
        </w:numPr>
      </w:pPr>
      <w:r>
        <w:rPr>
          <w:i/>
          <w:iCs/>
        </w:rPr>
        <w:t xml:space="preserve">Qué mide</w:t>
      </w:r>
      <w:r>
        <w:t xml:space="preserve">: el PIB es lo que se produce</w:t>
      </w:r>
      <w:r>
        <w:t xml:space="preserve"> </w:t>
      </w:r>
      <w:r>
        <w:rPr>
          <w:i/>
          <w:iCs/>
        </w:rPr>
        <w:t xml:space="preserve">dentro</w:t>
      </w:r>
      <w:r>
        <w:t xml:space="preserve"> </w:t>
      </w:r>
      <w:r>
        <w:t xml:space="preserve">del país; la</w:t>
      </w:r>
      <w:r>
        <w:t xml:space="preserve"> </w:t>
      </w:r>
      <w:r>
        <w:rPr>
          <w:b/>
          <w:bCs/>
        </w:rPr>
        <w:t xml:space="preserve">renta nacional bruta</w:t>
      </w:r>
      <w:r>
        <w:t xml:space="preserve"> </w:t>
      </w:r>
      <w:r>
        <w:t xml:space="preserve">(RNB), lo que ganan sus</w:t>
      </w:r>
      <w:r>
        <w:t xml:space="preserve"> </w:t>
      </w:r>
      <w:r>
        <w:rPr>
          <w:i/>
          <w:iCs/>
        </w:rPr>
        <w:t xml:space="preserve">residentes</w:t>
      </w:r>
      <w:r>
        <w:t xml:space="preserve">, dentro o fuera.</w:t>
      </w:r>
    </w:p>
    <w:p>
      <w:pPr>
        <w:numPr>
          <w:ilvl w:val="0"/>
          <w:numId w:val="1019"/>
        </w:numPr>
      </w:pPr>
      <w:r>
        <w:rPr>
          <w:i/>
          <w:iCs/>
        </w:rPr>
        <w:t xml:space="preserve">Cómo se calcula</w:t>
      </w:r>
      <w:r>
        <w:t xml:space="preserve">: la RNB es el PIB más las rentas primarias recibidas del exterior menos las pagadas al exterior. Las rentas primarias son las del trabajo (trabajadores transfronterizos), las de la inversión (beneficios, dividendos e intereses de la inversión directa, la de cartera y los préstamos) y algunos impuestos y subvenciones con la UE. Si se suman las transferencias corrientes netas (remesas, cooperación), se obtiene la renta nacional disponible</w:t>
      </w:r>
      <w:r>
        <w:t xml:space="preserve"> </w:t>
      </w:r>
      <w:r>
        <w:t xml:space="preserve">(</w:t>
      </w:r>
      <w:hyperlink w:anchor="ref_SEC2010">
        <w:r>
          <w:rPr>
            <w:rStyle w:val="Hyperlink"/>
            <w:smallCaps/>
          </w:rPr>
          <w:t xml:space="preserve">Parlamento Europeo y Consejo de la Unión Europea</w:t>
        </w:r>
        <w:r>
          <w:rPr>
            <w:rStyle w:val="Hyperlink"/>
          </w:rPr>
          <w:t xml:space="preserve">, 2013c</w:t>
        </w:r>
      </w:hyperlink>
      <w:r>
        <w:t xml:space="preserve">)</w:t>
      </w:r>
      <w:r>
        <w:t xml:space="preserve">.</w:t>
      </w:r>
    </w:p>
    <w:p>
      <w:pPr>
        <w:numPr>
          <w:ilvl w:val="0"/>
          <w:numId w:val="1019"/>
        </w:numPr>
      </w:pPr>
      <w:r>
        <w:rPr>
          <w:i/>
          <w:iCs/>
        </w:rPr>
        <w:t xml:space="preserve">Umbral o referencia</w:t>
      </w:r>
      <w:r>
        <w:t xml:space="preserve">: no hay; importa el signo y si la diferencia es grande y persistente.</w:t>
      </w:r>
    </w:p>
    <w:p>
      <w:pPr>
        <w:keepNext/>
        <w:numPr>
          <w:ilvl w:val="0"/>
          <w:numId w:val="1019"/>
        </w:numPr>
      </w:pPr>
      <w:r>
        <w:rPr>
          <w:i/>
          <w:iCs/>
        </w:rPr>
        <w:t xml:space="preserve">Cómo se lee</w:t>
      </w:r>
      <w:r>
        <w:t xml:space="preserve">:</w:t>
      </w:r>
    </w:p>
    <w:p>
      <w:pPr>
        <w:numPr>
          <w:ilvl w:val="1"/>
          <w:numId w:val="1020"/>
        </w:numPr>
      </w:pPr>
      <m:oMath>
        <m:r>
          <m:rPr>
            <m:sty m:val="p"/>
          </m:rPr>
          <m:t>R</m:t>
        </m:r>
        <m:r>
          <m:rPr>
            <m:sty m:val="p"/>
          </m:rPr>
          <m:t>N</m:t>
        </m:r>
        <m:r>
          <m:rPr>
            <m:sty m:val="p"/>
          </m:rPr>
          <m:t>B</m:t>
        </m:r>
        <m:r>
          <m:rPr>
            <m:sty m:val="p"/>
          </m:rPr>
          <m:t>&lt;</m:t>
        </m:r>
        <m:r>
          <m:rPr>
            <m:sty m:val="p"/>
          </m:rPr>
          <m:t>P</m:t>
        </m:r>
        <m:r>
          <m:rPr>
            <m:sty m:val="p"/>
          </m:rPr>
          <m:t>I</m:t>
        </m:r>
        <m:r>
          <m:rPr>
            <m:sty m:val="p"/>
          </m:rPr>
          <m:t>B</m:t>
        </m:r>
      </m:oMath>
      <w:r>
        <w:t xml:space="preserve">: el país paga al exterior más rentas de las que recibe. Es típico de un deudor neto (intereses de la deuda externa) o de un país con mucha inversión extranjera directa, cuyas multinacionales repatrían beneficios.</w:t>
      </w:r>
    </w:p>
    <w:p>
      <w:pPr>
        <w:numPr>
          <w:ilvl w:val="1"/>
          <w:numId w:val="1020"/>
        </w:numPr>
      </w:pPr>
      <m:oMath>
        <m:r>
          <m:rPr>
            <m:sty m:val="p"/>
          </m:rPr>
          <m:t>R</m:t>
        </m:r>
        <m:r>
          <m:rPr>
            <m:sty m:val="p"/>
          </m:rPr>
          <m:t>N</m:t>
        </m:r>
        <m:r>
          <m:rPr>
            <m:sty m:val="p"/>
          </m:rPr>
          <m:t>B</m:t>
        </m:r>
        <m:r>
          <m:rPr>
            <m:sty m:val="p"/>
          </m:rPr>
          <m:t>&gt;</m:t>
        </m:r>
        <m:r>
          <m:rPr>
            <m:sty m:val="p"/>
          </m:rPr>
          <m:t>P</m:t>
        </m:r>
        <m:r>
          <m:rPr>
            <m:sty m:val="p"/>
          </m:rPr>
          <m:t>I</m:t>
        </m:r>
        <m:r>
          <m:rPr>
            <m:sty m:val="p"/>
          </m:rPr>
          <m:t>B</m:t>
        </m:r>
      </m:oMath>
      <w:r>
        <w:t xml:space="preserve">: acreedor neto (rentas de sus inversiones fuera) o país con muchos trabajadores en el extranjero.</w:t>
      </w:r>
    </w:p>
    <w:p>
      <w:pPr>
        <w:numPr>
          <w:ilvl w:val="1"/>
          <w:numId w:val="1020"/>
        </w:numPr>
      </w:pPr>
      <w:r>
        <w:t xml:space="preserve">Un salto puntual suele deberse a multinacionales que trasladan activos (patentes) o beneficios: el PIB sube sin que suba la renta de los residentes, como en Irlanda en 2015</w:t>
      </w:r>
      <w:r>
        <w:t xml:space="preserve"> </w:t>
      </w:r>
      <w:r>
        <w:t xml:space="preserve">(</w:t>
      </w:r>
      <w:hyperlink w:anchor="ref_Eurostat2026nama10gdp">
        <w:r>
          <w:rPr>
            <w:rStyle w:val="Hyperlink"/>
            <w:smallCaps/>
          </w:rPr>
          <w:t xml:space="preserve">Eurostat</w:t>
        </w:r>
        <w:r>
          <w:rPr>
            <w:rStyle w:val="Hyperlink"/>
          </w:rPr>
          <w:t xml:space="preserve">, 2026e</w:t>
        </w:r>
      </w:hyperlink>
      <w:r>
        <w:t xml:space="preserve">)</w:t>
      </w:r>
      <w:r>
        <w:t xml:space="preserve">.</w:t>
      </w:r>
    </w:p>
    <w:p>
      <w:pPr>
        <w:numPr>
          <w:ilvl w:val="0"/>
          <w:numId w:val="1019"/>
        </w:numPr>
      </w:pPr>
      <w:r>
        <w:rPr>
          <w:i/>
          <w:iCs/>
        </w:rPr>
        <w:t xml:space="preserve">Con qué se cruza</w:t>
      </w:r>
      <w:r>
        <w:t xml:space="preserve">: con la cuenta de rentas primarias de la balanza de pagos, la posición de inversión internacional neta y la inversión directa (capítulo </w:t>
      </w:r>
      <w:hyperlink w:anchor="sec_exterior">
        <w:r>
          <w:rPr>
            <w:rStyle w:val="Hyperlink"/>
          </w:rPr>
          <w:t xml:space="preserve">IV</w:t>
        </w:r>
      </w:hyperlink>
      <w:r>
        <w:t xml:space="preserve">).</w:t>
      </w:r>
    </w:p>
    <w:p>
      <w:pPr>
        <w:numPr>
          <w:ilvl w:val="0"/>
          <w:numId w:val="1019"/>
        </w:numPr>
      </w:pPr>
      <w:r>
        <w:rPr>
          <w:i/>
          <w:iCs/>
        </w:rPr>
        <w:t xml:space="preserve">Tema</w:t>
      </w:r>
      <w:r>
        <w:t xml:space="preserve">:</w:t>
      </w:r>
      <w:r>
        <w:t xml:space="preserve"> </w:t>
      </w:r>
      <w:hyperlink r:id="rId20">
        <w:r>
          <w:rPr>
            <w:rStyle w:val="Referenciaatema"/>
          </w:rPr>
          <w:t xml:space="preserve">[ver tema 3.A.30]</w:t>
        </w:r>
      </w:hyperlink>
      <w:r>
        <w:t xml:space="preserve"> </w:t>
      </w:r>
      <w:hyperlink r:id="rId42">
        <w:r>
          <w:rPr>
            <w:rStyle w:val="Referenciaatema"/>
          </w:rPr>
          <w:t xml:space="preserve">[ver tema 3.B.11]</w:t>
        </w:r>
      </w:hyperlink>
      <w:r>
        <w:t xml:space="preserve"> </w:t>
      </w:r>
      <w:hyperlink r:id="rId43">
        <w:r>
          <w:rPr>
            <w:rStyle w:val="Referenciaatema"/>
          </w:rPr>
          <w:t xml:space="preserve">[ver tema 4.A.21]</w:t>
        </w:r>
      </w:hyperlink>
      <w:r>
        <w:t xml:space="preserve">.</w:t>
      </w:r>
    </w:p>
    <w:bookmarkEnd w:id="44"/>
    <w:bookmarkStart w:id="47" w:name="indicadores_adelantados_y_de_alta__09005"/>
    <w:p>
      <w:pPr>
        <w:pStyle w:val="Heading4"/>
      </w:pPr>
      <w:r>
        <w:t xml:space="preserve">Indicadores adelantados y de alta frecuencia</w:t>
      </w:r>
    </w:p>
    <w:p>
      <w:pPr>
        <w:numPr>
          <w:ilvl w:val="0"/>
          <w:numId w:val="1021"/>
        </w:numPr>
      </w:pPr>
      <w:r>
        <w:rPr>
          <w:i/>
          <w:iCs/>
        </w:rPr>
        <w:t xml:space="preserve">Qué miden</w:t>
      </w:r>
      <w:r>
        <w:t xml:space="preserve">: el cuadro macroeconómico es anual o trimestral y llega con retraso; estos indicadores son mensuales (o diarios) y algunos se anticipan al PIB. Dicen cómo está la economía</w:t>
      </w:r>
      <w:r>
        <w:t xml:space="preserve"> </w:t>
      </w:r>
      <w:r>
        <w:rPr>
          <w:i/>
          <w:iCs/>
        </w:rPr>
        <w:t xml:space="preserve">ahora</w:t>
      </w:r>
      <w:r>
        <w:t xml:space="preserve"> </w:t>
      </w:r>
      <w:r>
        <w:t xml:space="preserve">y hacia dónde va.</w:t>
      </w:r>
    </w:p>
    <w:p>
      <w:pPr>
        <w:keepNext/>
        <w:numPr>
          <w:ilvl w:val="0"/>
          <w:numId w:val="1021"/>
        </w:numPr>
      </w:pPr>
      <w:r>
        <w:rPr>
          <w:i/>
          <w:iCs/>
        </w:rPr>
        <w:t xml:space="preserve">Los más habituales</w:t>
      </w:r>
      <w:r>
        <w:t xml:space="preserve">:</w:t>
      </w:r>
    </w:p>
    <w:p>
      <w:pPr>
        <w:numPr>
          <w:ilvl w:val="1"/>
          <w:numId w:val="1022"/>
        </w:numPr>
      </w:pPr>
      <w:r>
        <w:rPr>
          <w:b/>
          <w:bCs/>
        </w:rPr>
        <w:t xml:space="preserve">Índice de gestores de compras</w:t>
      </w:r>
      <w:r>
        <w:t xml:space="preserve"> </w:t>
      </w:r>
      <w:r>
        <w:t xml:space="preserve">(PMI) de manufacturas y de servicios: un índice de difusión (cuántas empresas dicen que la producción, los pedidos o el empleo suben, bajan o siguen igual que el mes anterior). Por encima de 50, la actividad</w:t>
      </w:r>
      <w:r>
        <w:t xml:space="preserve"> </w:t>
      </w:r>
      <w:r>
        <w:rPr>
          <w:i/>
          <w:iCs/>
        </w:rPr>
        <w:t xml:space="preserve">crece</w:t>
      </w:r>
      <w:r>
        <w:t xml:space="preserve"> </w:t>
      </w:r>
      <w:r>
        <w:t xml:space="preserve">respecto al mes anterior (no que esté alta); por debajo, se contrae</w:t>
      </w:r>
      <w:r>
        <w:t xml:space="preserve"> </w:t>
      </w:r>
      <w:r>
        <w:t xml:space="preserve">(</w:t>
      </w:r>
      <w:hyperlink w:anchor="ref_SPGlobalPMI">
        <w:r>
          <w:rPr>
            <w:rStyle w:val="Hyperlink"/>
            <w:smallCaps/>
          </w:rPr>
          <w:t xml:space="preserve">S&amp;P Global</w:t>
        </w:r>
        <w:r>
          <w:rPr>
            <w:rStyle w:val="Hyperlink"/>
          </w:rPr>
          <w:t xml:space="preserve">, 2025</w:t>
        </w:r>
      </w:hyperlink>
      <w:r>
        <w:t xml:space="preserve">)</w:t>
      </w:r>
      <w:r>
        <w:t xml:space="preserve">.</w:t>
      </w:r>
    </w:p>
    <w:p>
      <w:pPr>
        <w:numPr>
          <w:ilvl w:val="1"/>
          <w:numId w:val="1022"/>
        </w:numPr>
      </w:pPr>
      <w:r>
        <w:rPr>
          <w:b/>
          <w:bCs/>
        </w:rPr>
        <w:t xml:space="preserve">Indicador de sentimiento económico</w:t>
      </w:r>
      <w:r>
        <w:t xml:space="preserve"> </w:t>
      </w:r>
      <w:r>
        <w:t xml:space="preserve">de la Comisión Europea (ESI) y los de confianza de consumidores y empresarios: su media de largo plazo es 100</w:t>
      </w:r>
      <w:r>
        <w:t xml:space="preserve"> </w:t>
      </w:r>
      <w:r>
        <w:t xml:space="preserve">(</w:t>
      </w:r>
      <w:hyperlink w:anchor="ref_CE2025Encuestas">
        <w:r>
          <w:rPr>
            <w:rStyle w:val="Hyperlink"/>
            <w:smallCaps/>
          </w:rPr>
          <w:t xml:space="preserve">Comisión Europea</w:t>
        </w:r>
        <w:r>
          <w:rPr>
            <w:rStyle w:val="Hyperlink"/>
          </w:rPr>
          <w:t xml:space="preserve">, 2025b</w:t>
        </w:r>
      </w:hyperlink>
      <w:r>
        <w:t xml:space="preserve">)</w:t>
      </w:r>
      <w:r>
        <w:t xml:space="preserve">.</w:t>
      </w:r>
    </w:p>
    <w:p>
      <w:pPr>
        <w:numPr>
          <w:ilvl w:val="1"/>
          <w:numId w:val="1022"/>
        </w:numPr>
      </w:pPr>
      <w:r>
        <w:rPr>
          <w:i/>
          <w:iCs/>
        </w:rPr>
        <w:t xml:space="preserve">Pendiente de la curva de tipos</w:t>
      </w:r>
      <w:r>
        <w:t xml:space="preserve"> </w:t>
      </w:r>
      <w:r>
        <w:t xml:space="preserve">(tipo a 10 años menos tipo a corto): si se invierte, suele anticipar una recesión</w:t>
      </w:r>
      <w:r>
        <w:t xml:space="preserve"> </w:t>
      </w:r>
      <w:r>
        <w:t xml:space="preserve">(</w:t>
      </w:r>
      <w:hyperlink w:anchor="ref_EstrellaMishkin1998">
        <w:r>
          <w:rPr>
            <w:rStyle w:val="Hyperlink"/>
            <w:smallCaps/>
          </w:rPr>
          <w:t xml:space="preserve">Estrella</w:t>
        </w:r>
        <w:r>
          <w:rPr>
            <w:rStyle w:val="Hyperlink"/>
          </w:rPr>
          <w:t xml:space="preserve"> </w:t>
        </w:r>
        <w:r>
          <w:rPr>
            <w:rStyle w:val="Hyperlink"/>
          </w:rPr>
          <w:t xml:space="preserve">y</w:t>
        </w:r>
        <w:r>
          <w:rPr>
            <w:rStyle w:val="Hyperlink"/>
          </w:rPr>
          <w:t xml:space="preserve"> </w:t>
        </w:r>
        <w:r>
          <w:rPr>
            <w:rStyle w:val="Hyperlink"/>
            <w:smallCaps/>
          </w:rPr>
          <w:t xml:space="preserve">Mishkin</w:t>
        </w:r>
        <w:r>
          <w:rPr>
            <w:rStyle w:val="Hyperlink"/>
          </w:rPr>
          <w:t xml:space="preserve">, 1998</w:t>
        </w:r>
      </w:hyperlink>
      <w:r>
        <w:t xml:space="preserve">)</w:t>
      </w:r>
      <w:r>
        <w:t xml:space="preserve">.</w:t>
      </w:r>
      <w:r>
        <w:rPr>
          <w:rStyle w:val="FootnoteReference"/>
        </w:rPr>
        <w:footnoteReference w:id="45"/>
      </w:r>
    </w:p>
    <w:p>
      <w:pPr>
        <w:numPr>
          <w:ilvl w:val="1"/>
          <w:numId w:val="1022"/>
        </w:numPr>
      </w:pPr>
      <w:r>
        <w:t xml:space="preserve">Otros adelantados: bolsa, crédito nuevo, pedidos industriales, permisos de construcción.</w:t>
      </w:r>
    </w:p>
    <w:p>
      <w:pPr>
        <w:numPr>
          <w:ilvl w:val="1"/>
          <w:numId w:val="1022"/>
        </w:numPr>
      </w:pPr>
      <w:r>
        <w:rPr>
          <w:i/>
          <w:iCs/>
        </w:rPr>
        <w:t xml:space="preserve">Coincidentes</w:t>
      </w:r>
      <w:r>
        <w:t xml:space="preserve">: producción industrial, afiliación, ventas minoristas, consumo de electricidad.</w:t>
      </w:r>
    </w:p>
    <w:p>
      <w:pPr>
        <w:numPr>
          <w:ilvl w:val="1"/>
          <w:numId w:val="1022"/>
        </w:numPr>
      </w:pPr>
      <w:r>
        <w:rPr>
          <w:i/>
          <w:iCs/>
        </w:rPr>
        <w:t xml:space="preserve">Retrasados</w:t>
      </w:r>
      <w:r>
        <w:t xml:space="preserve">: tasa de paro, inflación subyacente, tipos de interés de los préstamos</w:t>
      </w:r>
      <w:r>
        <w:t xml:space="preserve"> </w:t>
      </w:r>
      <w:r>
        <w:t xml:space="preserve">(</w:t>
      </w:r>
      <w:hyperlink w:anchor="ref_ConferenceBoard2026LEI">
        <w:r>
          <w:rPr>
            <w:rStyle w:val="Hyperlink"/>
            <w:smallCaps/>
          </w:rPr>
          <w:t xml:space="preserve">The Conference Board</w:t>
        </w:r>
        <w:r>
          <w:rPr>
            <w:rStyle w:val="Hyperlink"/>
          </w:rPr>
          <w:t xml:space="preserve">, 2026</w:t>
        </w:r>
      </w:hyperlink>
      <w:r>
        <w:t xml:space="preserve">)</w:t>
      </w:r>
      <w:r>
        <w:t xml:space="preserve">.</w:t>
      </w:r>
    </w:p>
    <w:p>
      <w:pPr>
        <w:numPr>
          <w:ilvl w:val="0"/>
          <w:numId w:val="1021"/>
        </w:numPr>
      </w:pPr>
      <w:r>
        <w:rPr>
          <w:i/>
          <w:iCs/>
        </w:rPr>
        <w:t xml:space="preserve">Umbral o referencia</w:t>
      </w:r>
      <w:r>
        <w:t xml:space="preserve">: 50 en el PMI; 100 en el ESI; pendiente negativa en la curva de tipos.</w:t>
      </w:r>
    </w:p>
    <w:p>
      <w:pPr>
        <w:numPr>
          <w:ilvl w:val="0"/>
          <w:numId w:val="1021"/>
        </w:numPr>
      </w:pPr>
      <w:r>
        <w:rPr>
          <w:i/>
          <w:iCs/>
        </w:rPr>
        <w:t xml:space="preserve">Cómo se lee</w:t>
      </w:r>
      <w:r>
        <w:t xml:space="preserve">: importa la dirección y que varios coincidan. Un PMI que baja de 55 a 51 sigue indicando crecimiento, pero más lento. Si los indicadores mensuales caen mientras el PIB anual aún crece, la economía se está desacelerando.</w:t>
      </w:r>
    </w:p>
    <w:p>
      <w:pPr>
        <w:numPr>
          <w:ilvl w:val="0"/>
          <w:numId w:val="1021"/>
        </w:numPr>
      </w:pPr>
      <w:r>
        <w:rPr>
          <w:i/>
          <w:iCs/>
        </w:rPr>
        <w:t xml:space="preserve">Con qué se cruza</w:t>
      </w:r>
      <w:r>
        <w:t xml:space="preserve">: con el perfil cíclico («los indicadores de alta frecuencia apuntan a una desaceleración a finales de año») y con las previsiones del cuadro. La clasificación de las variables por su adelanto o retraso, con los desfases típicos (los adelantados giran primero; los coincidentes, entre 6 y 12 meses después; los retrasados, entre 12 y 24 meses después de los adelantados), está en el gráfico </w:t>
      </w:r>
      <w:hyperlink w:anchor="fig_comovimientos">
        <w:r>
          <w:rPr>
            <w:rStyle w:val="Hyperlink"/>
          </w:rPr>
          <w:t xml:space="preserve">7</w:t>
        </w:r>
      </w:hyperlink>
      <w:r>
        <w:t xml:space="preserve">, en el anexo </w:t>
      </w:r>
      <w:hyperlink w:anchor="anexo_series">
        <w:r>
          <w:rPr>
            <w:rStyle w:val="Hyperlink"/>
          </w:rPr>
          <w:t xml:space="preserve">A</w:t>
        </w:r>
      </w:hyperlink>
      <w:r>
        <w:t xml:space="preserve">.</w:t>
      </w:r>
    </w:p>
    <w:p>
      <w:pPr>
        <w:numPr>
          <w:ilvl w:val="0"/>
          <w:numId w:val="1021"/>
        </w:numPr>
      </w:pPr>
      <w:r>
        <w:rPr>
          <w:i/>
          <w:iCs/>
        </w:rPr>
        <w:t xml:space="preserve">Tema</w:t>
      </w:r>
      <w:r>
        <w:t xml:space="preserve">:</w:t>
      </w:r>
      <w:r>
        <w:t xml:space="preserve"> </w:t>
      </w:r>
      <w:hyperlink r:id="rId21">
        <w:r>
          <w:rPr>
            <w:rStyle w:val="Referenciaatema"/>
          </w:rPr>
          <w:t xml:space="preserve">[ver tema 3.A.42]</w:t>
        </w:r>
      </w:hyperlink>
      <w:r>
        <w:t xml:space="preserve"> </w:t>
      </w:r>
      <w:hyperlink r:id="rId34">
        <w:r>
          <w:rPr>
            <w:rStyle w:val="Referenciaatema"/>
          </w:rPr>
          <w:t xml:space="preserve">[ver tema 4.A.1]</w:t>
        </w:r>
      </w:hyperlink>
      <w:r>
        <w:t xml:space="preserve">.</w:t>
      </w:r>
    </w:p>
    <w:p>
      <w:pPr>
        <w:pStyle w:val="Notaalopositor"/>
        <w:keepLines/>
      </w:pPr>
      <w:r>
        <w:rPr>
          <w:b/>
          <w:bCs/>
        </w:rPr>
        <w:t xml:space="preserve">Nota al opositor. </w:t>
      </w:r>
      <w:r>
        <w:t xml:space="preserve">De los medidores, el tribunal ha pedido deducir el crecimiento del potencial o la brecha (2018 y 2021), explicar la diferencia entre el PIB y la RNB (2023 y 2026) y leer indicadores de alta frecuencia o de clima económico (2016, 2019 y 2024)</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bookmarkEnd w:id="47"/>
    <w:bookmarkEnd w:id="48"/>
    <w:bookmarkStart w:id="72" w:name="sec_demanda"/>
    <w:p>
      <w:pPr>
        <w:pStyle w:val="Heading2"/>
      </w:pPr>
      <w:r>
        <w:t xml:space="preserve">I.4.</w:t>
      </w:r>
      <w:r>
        <w:t xml:space="preserve"> </w:t>
      </w:r>
      <w:r>
        <w:t xml:space="preserve">Demanda</w:t>
      </w:r>
    </w:p>
    <w:p>
      <w:pPr>
        <w:numPr>
          <w:ilvl w:val="0"/>
          <w:numId w:val="1023"/>
        </w:numPr>
      </w:pPr>
      <w:r>
        <w:t xml:space="preserve">La idea: el lado de la demanda explica la evolución del PIB por el enfoque del gasto: quién compra lo que se produce. Es lo primero que se mira, porque el cuadro siempre trae sus componentes.</w:t>
      </w:r>
    </w:p>
    <w:p>
      <w:pPr>
        <w:numPr>
          <w:ilvl w:val="0"/>
          <w:numId w:val="1023"/>
        </w:numPr>
      </w:pPr>
      <w:r>
        <w:t xml:space="preserve">Con</w:t>
      </w:r>
      <w:r>
        <w:t xml:space="preserve"> </w:t>
      </w:r>
      <m:oMath>
        <m:r>
          <m:t>C</m:t>
        </m:r>
      </m:oMath>
      <w:r>
        <w:t xml:space="preserve"> </w:t>
      </w:r>
      <w:r>
        <w:t xml:space="preserve">el consumo privado,</w:t>
      </w:r>
      <w:r>
        <w:t xml:space="preserve"> </w:t>
      </w:r>
      <m:oMath>
        <m:r>
          <m:t>I</m:t>
        </m:r>
      </m:oMath>
      <w:r>
        <w:t xml:space="preserve"> </w:t>
      </w:r>
      <w:r>
        <w:t xml:space="preserve">la inversión (formación bruta de capital),</w:t>
      </w:r>
      <w:r>
        <w:t xml:space="preserve"> </w:t>
      </w:r>
      <m:oMath>
        <m:r>
          <m:t>G</m:t>
        </m:r>
      </m:oMath>
      <w:r>
        <w:t xml:space="preserve"> </w:t>
      </w:r>
      <w:r>
        <w:t xml:space="preserve">el consumo de las administraciones públicas,</w:t>
      </w:r>
      <w:r>
        <w:t xml:space="preserve"> </w:t>
      </w:r>
      <m:oMath>
        <m:r>
          <m:t>X</m:t>
        </m:r>
      </m:oMath>
      <w:r>
        <w:t xml:space="preserve"> </w:t>
      </w:r>
      <w:r>
        <w:t xml:space="preserve">las exportaciones y</w:t>
      </w:r>
      <w:r>
        <w:t xml:space="preserve"> </w:t>
      </w:r>
      <m:oMath>
        <m:r>
          <m:t>M</m:t>
        </m:r>
      </m:oMath>
      <w:r>
        <w:t xml:space="preserve"> </w:t>
      </w:r>
      <w:r>
        <w:t xml:space="preserve">las importaciones</w:t>
      </w:r>
      <w:r>
        <w:t xml:space="preserve"> </w:t>
      </w:r>
      <w:hyperlink r:id="rId20">
        <w:r>
          <w:rPr>
            <w:rStyle w:val="Referenciaatema"/>
          </w:rPr>
          <w:t xml:space="preserve">[ver tema 3.A.30]</w:t>
        </w:r>
      </w:hyperlink>
      <w:r>
        <w:t xml:space="preserve">,</w:t>
      </w:r>
    </w:p>
    <w:p>
      <w:pPr>
        <w:pStyle w:val="BodyText"/>
        <w:keepNext/>
      </w:pPr>
      <m:oMathPara>
        <m:oMathParaPr>
          <m:jc m:val="center"/>
        </m:oMathParaPr>
        <m:oMath>
          <m:sSub>
            <m:e>
              <m:r>
                <m:t>Y</m:t>
              </m:r>
            </m:e>
            <m:sub>
              <m:r>
                <m:t>t</m:t>
              </m:r>
            </m:sub>
          </m:sSub>
          <m:r>
            <m:rPr>
              <m:sty m:val="p"/>
            </m:rPr>
            <m:t>=</m:t>
          </m:r>
          <m:limLow>
            <m:e>
              <m:limLow>
                <m:e>
                  <m:sSub>
                    <m:e>
                      <m:r>
                        <m:t>C</m:t>
                      </m:r>
                    </m:e>
                    <m:sub>
                      <m:r>
                        <m:t>t</m:t>
                      </m:r>
                    </m:sub>
                  </m:sSub>
                  <m:r>
                    <m:rPr>
                      <m:sty m:val="p"/>
                    </m:rPr>
                    <m:t>+</m:t>
                  </m:r>
                  <m:sSub>
                    <m:e>
                      <m:r>
                        <m:t>I</m:t>
                      </m:r>
                    </m:e>
                    <m:sub>
                      <m:r>
                        <m:t>t</m:t>
                      </m:r>
                    </m:sub>
                  </m:sSub>
                  <m:r>
                    <m:rPr>
                      <m:sty m:val="p"/>
                    </m:rPr>
                    <m:t>+</m:t>
                  </m:r>
                  <m:sSub>
                    <m:e>
                      <m:r>
                        <m:t>G</m:t>
                      </m:r>
                    </m:e>
                    <m:sub>
                      <m:r>
                        <m:t>t</m:t>
                      </m:r>
                    </m:sub>
                  </m:sSub>
                </m:e>
                <m:lim>
                  <m:r>
                    <m:rPr>
                      <m:sty m:val="p"/>
                    </m:rPr>
                    <m:t>⏟</m:t>
                  </m:r>
                </m:lim>
              </m:limLow>
            </m:e>
            <m:lim>
              <m:r>
                <m:rPr>
                  <m:nor/>
                  <m:sty m:val="p"/>
                </m:rPr>
                <m:t>demanda interna</m:t>
              </m:r>
            </m:lim>
          </m:limLow>
          <m:r>
            <m:rPr>
              <m:sty m:val="p"/>
            </m:rPr>
            <m:t>+</m:t>
          </m:r>
          <m:limLow>
            <m:e>
              <m:limLow>
                <m:e>
                  <m:sSub>
                    <m:e>
                      <m:r>
                        <m:t>X</m:t>
                      </m:r>
                    </m:e>
                    <m:sub>
                      <m:r>
                        <m:t>t</m:t>
                      </m:r>
                    </m:sub>
                  </m:sSub>
                  <m:r>
                    <m:rPr>
                      <m:sty m:val="p"/>
                    </m:rPr>
                    <m:t>−</m:t>
                  </m:r>
                  <m:sSub>
                    <m:e>
                      <m:r>
                        <m:t>M</m:t>
                      </m:r>
                    </m:e>
                    <m:sub>
                      <m:r>
                        <m:t>t</m:t>
                      </m:r>
                    </m:sub>
                  </m:sSub>
                </m:e>
                <m:lim>
                  <m:r>
                    <m:rPr>
                      <m:sty m:val="p"/>
                    </m:rPr>
                    <m:t>⏟</m:t>
                  </m:r>
                </m:lim>
              </m:limLow>
            </m:e>
            <m:lim>
              <m:r>
                <m:rPr>
                  <m:nor/>
                  <m:sty m:val="p"/>
                </m:rPr>
                <m:t>demanda externa neta</m:t>
              </m:r>
            </m:lim>
          </m:limLow>
          <m:r>
            <m:rPr>
              <m:sty m:val="p"/>
            </m:rPr>
            <m:t>.</m:t>
          </m:r>
        </m:oMath>
      </m:oMathPara>
    </w:p>
    <w:p>
      <w:pPr>
        <w:numPr>
          <w:ilvl w:val="0"/>
          <w:numId w:val="1000"/>
        </w:numPr>
      </w:pPr>
      <w:r>
        <w:t xml:space="preserve">En la contabilidad nacional,</w:t>
      </w:r>
      <w:r>
        <w:t xml:space="preserve"> </w:t>
      </w:r>
      <m:oMath>
        <m:r>
          <m:t>G</m:t>
        </m:r>
      </m:oMath>
      <w:r>
        <w:t xml:space="preserve"> </w:t>
      </w:r>
      <w:r>
        <w:t xml:space="preserve">es solo el consumo público; la inversión pública está dentro de</w:t>
      </w:r>
      <w:r>
        <w:t xml:space="preserve"> </w:t>
      </w:r>
      <m:oMath>
        <m:r>
          <m:t>I</m:t>
        </m:r>
      </m:oMath>
      <w:r>
        <w:t xml:space="preserve">.</w:t>
      </w:r>
    </w:p>
    <w:p>
      <w:pPr>
        <w:pStyle w:val="Ideaclave"/>
        <w:keepLines/>
      </w:pPr>
      <w:r>
        <w:rPr>
          <w:b/>
          <w:bCs/>
        </w:rPr>
        <w:t xml:space="preserve">Qué hay que contestar</w:t>
      </w:r>
      <w:r>
        <w:t xml:space="preserve">: ¿cuál es el motor del crecimiento, la demanda interna o la externa? ¿Qué componentes explican cada fase y por qué?</w:t>
      </w:r>
    </w:p>
    <w:bookmarkStart w:id="54" w:name="contribuciones_al_crecimiento_el_motor"/>
    <w:p>
      <w:pPr>
        <w:pStyle w:val="Heading4"/>
      </w:pPr>
      <w:r>
        <w:t xml:space="preserve">Contribuciones al crecimiento: el motor</w:t>
      </w:r>
    </w:p>
    <w:p>
      <w:pPr>
        <w:numPr>
          <w:ilvl w:val="0"/>
          <w:numId w:val="1024"/>
        </w:numPr>
      </w:pPr>
      <w:r>
        <w:rPr>
          <w:i/>
          <w:iCs/>
        </w:rPr>
        <w:t xml:space="preserve">Qué mide</w:t>
      </w:r>
      <w:r>
        <w:t xml:space="preserve">: cuántos puntos del crecimiento del PIB aporta cada componente.</w:t>
      </w:r>
    </w:p>
    <w:p>
      <w:pPr>
        <w:numPr>
          <w:ilvl w:val="0"/>
          <w:numId w:val="1024"/>
        </w:numPr>
      </w:pPr>
      <w:r>
        <w:rPr>
          <w:i/>
          <w:iCs/>
        </w:rPr>
        <w:t xml:space="preserve">Cómo se calcula</w:t>
      </w:r>
      <w:r>
        <w:t xml:space="preserve">: restando a la identidad de la demanda la del año anterior y dividiendo por</w:t>
      </w:r>
      <w:r>
        <w:t xml:space="preserve"> </w:t>
      </w:r>
      <m:oMath>
        <m:sSub>
          <m:e>
            <m:r>
              <m:t>Y</m:t>
            </m:r>
          </m:e>
          <m:sub>
            <m:r>
              <m:t>t</m:t>
            </m:r>
            <m:r>
              <m:rPr>
                <m:sty m:val="p"/>
              </m:rPr>
              <m:t>−</m:t>
            </m:r>
            <m:r>
              <m:t>1</m:t>
            </m:r>
          </m:sub>
        </m:sSub>
      </m:oMath>
      <w:r>
        <w:t xml:space="preserve">,</w:t>
      </w:r>
    </w:p>
    <w:p>
      <w:pPr>
        <w:pStyle w:val="BodyText"/>
        <w:keepNext/>
      </w:pPr>
      <m:oMathPara>
        <m:oMathParaPr>
          <m:jc m:val="center"/>
        </m:oMathParaPr>
        <m:oMath>
          <m:sSub>
            <m:e>
              <m:r>
                <m:t>γ</m:t>
              </m:r>
            </m:e>
            <m:sub>
              <m:r>
                <m:t>Y</m:t>
              </m:r>
              <m:r>
                <m:rPr>
                  <m:sty m:val="p"/>
                </m:rPr>
                <m:t>,</m:t>
              </m:r>
              <m:r>
                <m:t>t</m:t>
              </m:r>
            </m:sub>
          </m:sSub>
          <m:r>
            <m:rPr>
              <m:sty m:val="p"/>
            </m:rPr>
            <m:t>=</m:t>
          </m:r>
          <m:limLow>
            <m:e>
              <m:limLow>
                <m:e>
                  <m:f>
                    <m:fPr>
                      <m:type m:val="bar"/>
                    </m:fPr>
                    <m:num>
                      <m:sSub>
                        <m:e>
                          <m:r>
                            <m:t>C</m:t>
                          </m:r>
                        </m:e>
                        <m:sub>
                          <m:r>
                            <m:t>t</m:t>
                          </m:r>
                          <m:r>
                            <m:rPr>
                              <m:sty m:val="p"/>
                            </m:rPr>
                            <m:t>−</m:t>
                          </m:r>
                          <m:r>
                            <m:t>1</m:t>
                          </m:r>
                        </m:sub>
                      </m:sSub>
                    </m:num>
                    <m:den>
                      <m:sSub>
                        <m:e>
                          <m:r>
                            <m:t>Y</m:t>
                          </m:r>
                        </m:e>
                        <m:sub>
                          <m:r>
                            <m:t>t</m:t>
                          </m:r>
                          <m:r>
                            <m:rPr>
                              <m:sty m:val="p"/>
                            </m:rPr>
                            <m:t>−</m:t>
                          </m:r>
                          <m:r>
                            <m:t>1</m:t>
                          </m:r>
                        </m:sub>
                      </m:sSub>
                    </m:den>
                  </m:f>
                  <m:sSub>
                    <m:e>
                      <m:r>
                        <m:t>γ</m:t>
                      </m:r>
                    </m:e>
                    <m:sub>
                      <m:r>
                        <m:t>C</m:t>
                      </m:r>
                      <m:r>
                        <m:rPr>
                          <m:sty m:val="p"/>
                        </m:rPr>
                        <m:t>,</m:t>
                      </m:r>
                      <m:r>
                        <m:t>t</m:t>
                      </m:r>
                    </m:sub>
                  </m:sSub>
                  <m:r>
                    <m:rPr>
                      <m:sty m:val="p"/>
                    </m:rPr>
                    <m:t>+</m:t>
                  </m:r>
                  <m:f>
                    <m:fPr>
                      <m:type m:val="bar"/>
                    </m:fPr>
                    <m:num>
                      <m:sSub>
                        <m:e>
                          <m:r>
                            <m:t>I</m:t>
                          </m:r>
                        </m:e>
                        <m:sub>
                          <m:r>
                            <m:t>t</m:t>
                          </m:r>
                          <m:r>
                            <m:rPr>
                              <m:sty m:val="p"/>
                            </m:rPr>
                            <m:t>−</m:t>
                          </m:r>
                          <m:r>
                            <m:t>1</m:t>
                          </m:r>
                        </m:sub>
                      </m:sSub>
                    </m:num>
                    <m:den>
                      <m:sSub>
                        <m:e>
                          <m:r>
                            <m:t>Y</m:t>
                          </m:r>
                        </m:e>
                        <m:sub>
                          <m:r>
                            <m:t>t</m:t>
                          </m:r>
                          <m:r>
                            <m:rPr>
                              <m:sty m:val="p"/>
                            </m:rPr>
                            <m:t>−</m:t>
                          </m:r>
                          <m:r>
                            <m:t>1</m:t>
                          </m:r>
                        </m:sub>
                      </m:sSub>
                    </m:den>
                  </m:f>
                  <m:sSub>
                    <m:e>
                      <m:r>
                        <m:t>γ</m:t>
                      </m:r>
                    </m:e>
                    <m:sub>
                      <m:r>
                        <m:t>I</m:t>
                      </m:r>
                      <m:r>
                        <m:rPr>
                          <m:sty m:val="p"/>
                        </m:rPr>
                        <m:t>,</m:t>
                      </m:r>
                      <m:r>
                        <m:t>t</m:t>
                      </m:r>
                    </m:sub>
                  </m:sSub>
                  <m:r>
                    <m:rPr>
                      <m:sty m:val="p"/>
                    </m:rPr>
                    <m:t>+</m:t>
                  </m:r>
                  <m:f>
                    <m:fPr>
                      <m:type m:val="bar"/>
                    </m:fPr>
                    <m:num>
                      <m:sSub>
                        <m:e>
                          <m:r>
                            <m:t>G</m:t>
                          </m:r>
                        </m:e>
                        <m:sub>
                          <m:r>
                            <m:t>t</m:t>
                          </m:r>
                          <m:r>
                            <m:rPr>
                              <m:sty m:val="p"/>
                            </m:rPr>
                            <m:t>−</m:t>
                          </m:r>
                          <m:r>
                            <m:t>1</m:t>
                          </m:r>
                        </m:sub>
                      </m:sSub>
                    </m:num>
                    <m:den>
                      <m:sSub>
                        <m:e>
                          <m:r>
                            <m:t>Y</m:t>
                          </m:r>
                        </m:e>
                        <m:sub>
                          <m:r>
                            <m:t>t</m:t>
                          </m:r>
                          <m:r>
                            <m:rPr>
                              <m:sty m:val="p"/>
                            </m:rPr>
                            <m:t>−</m:t>
                          </m:r>
                          <m:r>
                            <m:t>1</m:t>
                          </m:r>
                        </m:sub>
                      </m:sSub>
                    </m:den>
                  </m:f>
                  <m:sSub>
                    <m:e>
                      <m:r>
                        <m:t>γ</m:t>
                      </m:r>
                    </m:e>
                    <m:sub>
                      <m:r>
                        <m:t>G</m:t>
                      </m:r>
                      <m:r>
                        <m:rPr>
                          <m:sty m:val="p"/>
                        </m:rPr>
                        <m:t>,</m:t>
                      </m:r>
                      <m:r>
                        <m:t>t</m:t>
                      </m:r>
                    </m:sub>
                  </m:sSub>
                </m:e>
                <m:lim>
                  <m:r>
                    <m:rPr>
                      <m:sty m:val="p"/>
                    </m:rPr>
                    <m:t>⏟</m:t>
                  </m:r>
                </m:lim>
              </m:limLow>
            </m:e>
            <m:lim>
              <m:r>
                <m:rPr>
                  <m:nor/>
                  <m:sty m:val="p"/>
                </m:rPr>
                <m:t>contribución de la demanda interna</m:t>
              </m:r>
            </m:lim>
          </m:limLow>
          <m:r>
            <m:rPr>
              <m:sty m:val="p"/>
            </m:rPr>
            <m:t>+</m:t>
          </m:r>
          <m:limLow>
            <m:e>
              <m:limLow>
                <m:e>
                  <m:f>
                    <m:fPr>
                      <m:type m:val="bar"/>
                    </m:fPr>
                    <m:num>
                      <m:sSub>
                        <m:e>
                          <m:r>
                            <m:t>X</m:t>
                          </m:r>
                        </m:e>
                        <m:sub>
                          <m:r>
                            <m:t>t</m:t>
                          </m:r>
                          <m:r>
                            <m:rPr>
                              <m:sty m:val="p"/>
                            </m:rPr>
                            <m:t>−</m:t>
                          </m:r>
                          <m:r>
                            <m:t>1</m:t>
                          </m:r>
                        </m:sub>
                      </m:sSub>
                    </m:num>
                    <m:den>
                      <m:sSub>
                        <m:e>
                          <m:r>
                            <m:t>Y</m:t>
                          </m:r>
                        </m:e>
                        <m:sub>
                          <m:r>
                            <m:t>t</m:t>
                          </m:r>
                          <m:r>
                            <m:rPr>
                              <m:sty m:val="p"/>
                            </m:rPr>
                            <m:t>−</m:t>
                          </m:r>
                          <m:r>
                            <m:t>1</m:t>
                          </m:r>
                        </m:sub>
                      </m:sSub>
                    </m:den>
                  </m:f>
                  <m:sSub>
                    <m:e>
                      <m:r>
                        <m:t>γ</m:t>
                      </m:r>
                    </m:e>
                    <m:sub>
                      <m:r>
                        <m:t>X</m:t>
                      </m:r>
                      <m:r>
                        <m:rPr>
                          <m:sty m:val="p"/>
                        </m:rPr>
                        <m:t>,</m:t>
                      </m:r>
                      <m:r>
                        <m:t>t</m:t>
                      </m:r>
                    </m:sub>
                  </m:sSub>
                  <m:r>
                    <m:rPr>
                      <m:sty m:val="p"/>
                    </m:rPr>
                    <m:t>−</m:t>
                  </m:r>
                  <m:f>
                    <m:fPr>
                      <m:type m:val="bar"/>
                    </m:fPr>
                    <m:num>
                      <m:sSub>
                        <m:e>
                          <m:r>
                            <m:t>M</m:t>
                          </m:r>
                        </m:e>
                        <m:sub>
                          <m:r>
                            <m:t>t</m:t>
                          </m:r>
                          <m:r>
                            <m:rPr>
                              <m:sty m:val="p"/>
                            </m:rPr>
                            <m:t>−</m:t>
                          </m:r>
                          <m:r>
                            <m:t>1</m:t>
                          </m:r>
                        </m:sub>
                      </m:sSub>
                    </m:num>
                    <m:den>
                      <m:sSub>
                        <m:e>
                          <m:r>
                            <m:t>Y</m:t>
                          </m:r>
                        </m:e>
                        <m:sub>
                          <m:r>
                            <m:t>t</m:t>
                          </m:r>
                          <m:r>
                            <m:rPr>
                              <m:sty m:val="p"/>
                            </m:rPr>
                            <m:t>−</m:t>
                          </m:r>
                          <m:r>
                            <m:t>1</m:t>
                          </m:r>
                        </m:sub>
                      </m:sSub>
                    </m:den>
                  </m:f>
                  <m:sSub>
                    <m:e>
                      <m:r>
                        <m:t>γ</m:t>
                      </m:r>
                    </m:e>
                    <m:sub>
                      <m:r>
                        <m:t>M</m:t>
                      </m:r>
                      <m:r>
                        <m:rPr>
                          <m:sty m:val="p"/>
                        </m:rPr>
                        <m:t>,</m:t>
                      </m:r>
                      <m:r>
                        <m:t>t</m:t>
                      </m:r>
                    </m:sub>
                  </m:sSub>
                </m:e>
                <m:lim>
                  <m:r>
                    <m:rPr>
                      <m:sty m:val="p"/>
                    </m:rPr>
                    <m:t>⏟</m:t>
                  </m:r>
                </m:lim>
              </m:limLow>
            </m:e>
            <m:lim>
              <m:r>
                <m:rPr>
                  <m:nor/>
                  <m:sty m:val="p"/>
                </m:rPr>
                <m:t>contribución de la demanda externa</m:t>
              </m:r>
            </m:lim>
          </m:limLow>
          <m:r>
            <m:rPr>
              <m:sty m:val="p"/>
            </m:rPr>
            <m:t>.</m:t>
          </m:r>
        </m:oMath>
      </m:oMathPara>
    </w:p>
    <w:p>
      <w:pPr>
        <w:numPr>
          <w:ilvl w:val="0"/>
          <w:numId w:val="1000"/>
        </w:numPr>
      </w:pPr>
      <w:r>
        <w:t xml:space="preserve">En palabras: el crecimiento del PIB es la suma de las contribuciones de los componentes de la demanda, y cada contribución es el peso del componente en el año anterior por su crecimiento: depende de los 2. Las importaciones restan. La derivación paso a paso está en el anexo </w:t>
      </w:r>
      <w:hyperlink w:anchor="anexo_calc_ciclo">
        <w:r>
          <w:rPr>
            <w:rStyle w:val="Hyperlink"/>
          </w:rPr>
          <w:t xml:space="preserve">C.2</w:t>
        </w:r>
      </w:hyperlink>
      <w:r>
        <w:t xml:space="preserve">.</w:t>
      </w:r>
    </w:p>
    <w:p>
      <w:pPr>
        <w:numPr>
          <w:ilvl w:val="0"/>
          <w:numId w:val="1024"/>
        </w:numPr>
      </w:pPr>
      <w:r>
        <w:rPr>
          <w:i/>
          <w:iCs/>
        </w:rPr>
        <w:t xml:space="preserve">Unidades</w:t>
      </w:r>
      <w:r>
        <w:t xml:space="preserve">: las contribuciones se miden en</w:t>
      </w:r>
      <w:r>
        <w:t xml:space="preserve"> </w:t>
      </w:r>
      <w:r>
        <w:rPr>
          <w:i/>
          <w:iCs/>
        </w:rPr>
        <w:t xml:space="preserve">puntos porcentuales</w:t>
      </w:r>
      <w:r>
        <w:t xml:space="preserve">. Si el PIB crece un 3 % y la demanda interna contribuye con 2 pp, no se puede decir que la demanda interna haya crecido un 2 %: de los 3 puntos de crecimiento, 2 se deben a la demanda interna y 1 a la externa.</w:t>
      </w:r>
    </w:p>
    <w:p>
      <w:pPr>
        <w:numPr>
          <w:ilvl w:val="0"/>
          <w:numId w:val="1024"/>
        </w:numPr>
      </w:pPr>
      <w:r>
        <w:rPr>
          <w:i/>
          <w:iCs/>
        </w:rPr>
        <w:t xml:space="preserve">Cuidado</w:t>
      </w:r>
      <w:r>
        <w:t xml:space="preserve">: con volúmenes encadenados la suma no es exacta, y las existencias también contribuyen (si el cuadro no las da, se suponen nulas). Si el cuadernillo da las contribuciones, se usan esas</w:t>
      </w:r>
      <w:r>
        <w:t xml:space="preserve"> </w:t>
      </w:r>
      <w:r>
        <w:t xml:space="preserve">(</w:t>
      </w:r>
      <w:hyperlink w:anchor="ref_Eurostat2026nama10gdp">
        <w:r>
          <w:rPr>
            <w:rStyle w:val="Hyperlink"/>
            <w:smallCaps/>
          </w:rPr>
          <w:t xml:space="preserve">Eurostat</w:t>
        </w:r>
        <w:r>
          <w:rPr>
            <w:rStyle w:val="Hyperlink"/>
          </w:rPr>
          <w:t xml:space="preserve">, 2026e</w:t>
        </w:r>
      </w:hyperlink>
      <w:r>
        <w:t xml:space="preserve">)</w:t>
      </w:r>
      <w:r>
        <w:t xml:space="preserve">.</w:t>
      </w:r>
    </w:p>
    <w:p>
      <w:pPr>
        <w:keepNext/>
        <w:numPr>
          <w:ilvl w:val="0"/>
          <w:numId w:val="1024"/>
        </w:numPr>
      </w:pPr>
      <w:r>
        <w:rPr>
          <w:i/>
          <w:iCs/>
        </w:rPr>
        <w:t xml:space="preserve">Cómo se lee</w:t>
      </w:r>
      <w:r>
        <w:t xml:space="preserve">:</w:t>
      </w:r>
    </w:p>
    <w:p>
      <w:pPr>
        <w:numPr>
          <w:ilvl w:val="1"/>
          <w:numId w:val="1025"/>
        </w:numPr>
      </w:pPr>
      <w:r>
        <w:t xml:space="preserve">contribuciones positivas y parecidas de las 2:</w:t>
      </w:r>
      <w:r>
        <w:t xml:space="preserve"> </w:t>
      </w:r>
      <w:r>
        <w:rPr>
          <w:i/>
          <w:iCs/>
        </w:rPr>
        <w:t xml:space="preserve">crecimiento equilibrado</w:t>
      </w:r>
      <w:r>
        <w:t xml:space="preserve">;</w:t>
      </w:r>
    </w:p>
    <w:p>
      <w:pPr>
        <w:numPr>
          <w:ilvl w:val="1"/>
          <w:numId w:val="1025"/>
        </w:numPr>
      </w:pPr>
      <w:r>
        <w:t xml:space="preserve">en las crisis de economías con fuerte demanda interna, la interna pasa a restar (es</w:t>
      </w:r>
      <w:r>
        <w:t xml:space="preserve"> </w:t>
      </w:r>
      <w:r>
        <w:rPr>
          <w:i/>
          <w:iCs/>
        </w:rPr>
        <w:t xml:space="preserve">procíclica</w:t>
      </w:r>
      <w:r>
        <w:t xml:space="preserve">: caen el consumo y la inversión) y la externa a sumar (tiene un componente</w:t>
      </w:r>
      <w:r>
        <w:t xml:space="preserve"> </w:t>
      </w:r>
      <w:r>
        <w:rPr>
          <w:i/>
          <w:iCs/>
        </w:rPr>
        <w:t xml:space="preserve">contracíclico</w:t>
      </w:r>
      <w:r>
        <w:t xml:space="preserve">), porque las importaciones caen con la renta, el resto del mundo puede haber sufrido menos y las empresas buscan fuera la demanda que les falta dentro;</w:t>
      </w:r>
    </w:p>
    <w:p>
      <w:pPr>
        <w:numPr>
          <w:ilvl w:val="1"/>
          <w:numId w:val="1025"/>
        </w:numPr>
      </w:pPr>
      <w:r>
        <w:t xml:space="preserve">si el sector exterior «toma el relevo» como motor en una crisis, hay que ver si suben las exportaciones o solo caen las importaciones: lo primero es una fortaleza; lo segundo, el reflejo de la caída de la renta;</w:t>
      </w:r>
    </w:p>
    <w:p>
      <w:pPr>
        <w:numPr>
          <w:ilvl w:val="1"/>
          <w:numId w:val="1025"/>
        </w:numPr>
      </w:pPr>
      <w:r>
        <w:t xml:space="preserve">ante un cambio de patrón, ¿es coyuntural (un auge del precio del petróleo en un exportador) o estructural?</w:t>
      </w:r>
    </w:p>
    <w:p>
      <w:pPr>
        <w:numPr>
          <w:ilvl w:val="0"/>
          <w:numId w:val="1024"/>
        </w:numPr>
      </w:pPr>
      <w:r>
        <w:rPr>
          <w:i/>
          <w:iCs/>
        </w:rPr>
        <w:t xml:space="preserve">Tema</w:t>
      </w:r>
      <w:r>
        <w:t xml:space="preserve">:</w:t>
      </w:r>
      <w:r>
        <w:t xml:space="preserve"> </w:t>
      </w:r>
      <w:hyperlink r:id="rId20">
        <w:r>
          <w:rPr>
            <w:rStyle w:val="Referenciaatema"/>
          </w:rPr>
          <w:t xml:space="preserve">[ver tema 3.A.30]</w:t>
        </w:r>
      </w:hyperlink>
      <w:r>
        <w:t xml:space="preserve"> </w:t>
      </w:r>
      <w:hyperlink r:id="rId49">
        <w:r>
          <w:rPr>
            <w:rStyle w:val="Referenciaatema"/>
          </w:rPr>
          <w:t xml:space="preserve">[ver tema 4.A.29]</w:t>
        </w:r>
      </w:hyperlink>
      <w:r>
        <w:t xml:space="preserve">.</w:t>
      </w:r>
    </w:p>
    <w:p>
      <w:pPr>
        <w:pStyle w:val="Cajadeanotaciones"/>
        <w:keepNext/>
        <w:keepLines/>
      </w:pPr>
      <w:r>
        <w:rPr>
          <w:b/>
          <w:bCs/>
        </w:rPr>
        <w:t xml:space="preserve">Ejemplo de redacción: el motor del crecimiento.</w:t>
      </w:r>
      <w:r>
        <w:t xml:space="preserve"> </w:t>
      </w:r>
      <w:r>
        <w:t xml:space="preserve">«Para comprender mejor este patrón de crecimiento, estudiemos los componentes de la demanda. En una primera aproximación, podemos distinguir entre la demanda interna, que integra el consumo y la inversión privados y públicos, y la demanda externa, las exportaciones netas. En la fase alcista, el crecimiento está guiado por la demanda interna, lo que corroboran indicadores como una inflación alta y un descenso continuo del paro. La contribución de la demanda externa es débil e incluso negativa, lo que sugiere un cierto componente contracíclico.»</w:t>
      </w:r>
    </w:p>
    <w:p>
      <w:pPr>
        <w:pStyle w:val="Cajadeanotaciones"/>
        <w:keepNext/>
        <w:keepLines/>
      </w:pPr>
      <w:r>
        <w:t xml:space="preserve">«Observamos una coincidencia temporal entre la aportación de la demanda externa y la fase recesiva: la demanda externa es el motor de la economía en la recesión, frente a una demanda nacional cuya aportación es significativamente negativa.»</w:t>
      </w:r>
    </w:p>
    <w:p>
      <w:pPr>
        <w:pStyle w:val="Cajadeanotaciones"/>
        <w:keepLines/>
      </w:pPr>
      <w:r>
        <w:t xml:space="preserve">«Durante los x primeros años la contribución de la demanda interna es positiva, pero a partir de 20xx se vuelve negativa y la demanda externa pasa a ser el motor del crecimiento.» Otras fórmulas, en el anexo </w:t>
      </w:r>
      <w:hyperlink w:anchor="anexo_expresiones">
        <w:r>
          <w:rPr>
            <w:rStyle w:val="Hyperlink"/>
          </w:rPr>
          <w:t xml:space="preserve">K</w:t>
        </w:r>
      </w:hyperlink>
      <w:r>
        <w:t xml:space="preserve">.</w:t>
      </w:r>
    </w:p>
    <w:bookmarkStart w:id="53" w:name="fig_contribuciones_pib_zona_euro"/>
    <w:p>
      <w:pPr>
        <w:pStyle w:val="ImageCaption"/>
      </w:pPr>
      <w:r>
        <w:t xml:space="preserve">Gráfico 2.–</w:t>
      </w:r>
      <w:r>
        <w:t xml:space="preserve"> </w:t>
      </w:r>
      <w:r>
        <w:t xml:space="preserve">Contribuciones al crecimiento del PIB real de la zona del euro</w:t>
      </w:r>
    </w:p>
    <w:p>
      <w:pPr>
        <w:pStyle w:val="CaptionedFigure"/>
      </w:pPr>
      <w:r>
        <w:drawing>
          <wp:inline>
            <wp:extent cx="4058920" cy="2259279"/>
            <wp:effectExtent b="0" l="0" r="0" t="0"/>
            <wp:docPr descr="Gráfico 2.– Contribuciones al crecimiento del PIB real de la zona del euro" title="" id="51" name="Picture"/>
            <a:graphic>
              <a:graphicData uri="http://schemas.openxmlformats.org/drawingml/2006/picture">
                <pic:pic>
                  <pic:nvPicPr>
                    <pic:cNvPr descr="C:\Users\vgutierrez\Documents\src\victorgutierrezmarcos.github.io-revision\oposicion\temario\fuentes\1D01\graficos/contribuciones-pib-zona-euro.png" id="52" name="Picture"/>
                    <pic:cNvPicPr>
                      <a:picLocks noChangeArrowheads="1" noChangeAspect="1"/>
                    </pic:cNvPicPr>
                  </pic:nvPicPr>
                  <pic:blipFill>
                    <a:blip r:embed="rId50"/>
                    <a:stretch>
                      <a:fillRect/>
                    </a:stretch>
                  </pic:blipFill>
                  <pic:spPr bwMode="auto">
                    <a:xfrm>
                      <a:off x="0" y="0"/>
                      <a:ext cx="4058920" cy="2259279"/>
                    </a:xfrm>
                    <a:prstGeom prst="rect">
                      <a:avLst/>
                    </a:prstGeom>
                    <a:noFill/>
                    <a:ln w="9525">
                      <a:noFill/>
                      <a:headEnd/>
                      <a:tailEnd/>
                    </a:ln>
                  </pic:spPr>
                </pic:pic>
              </a:graphicData>
            </a:graphic>
          </wp:inline>
        </w:drawing>
      </w:r>
    </w:p>
    <w:bookmarkEnd w:id="53"/>
    <w:p>
      <w:pPr>
        <w:pStyle w:val="Piedeimagen"/>
      </w:pPr>
      <w:r>
        <w:t xml:space="preserve">Fuente:</w:t>
      </w:r>
      <w:r>
        <w:t xml:space="preserve"> </w:t>
      </w:r>
      <w:r>
        <w:rPr>
          <w:smallCaps/>
        </w:rPr>
        <w:t xml:space="preserve">Eurostat</w:t>
      </w:r>
      <w:r>
        <w:t xml:space="preserve"> </w:t>
      </w:r>
      <w:r>
        <w:t xml:space="preserve">(</w:t>
      </w:r>
      <w:hyperlink w:anchor="ref_Eurostat2026nama10gdp">
        <w:r>
          <w:rPr>
            <w:rStyle w:val="Hyperlink"/>
          </w:rPr>
          <w:t xml:space="preserve">2026e</w:t>
        </w:r>
      </w:hyperlink>
      <w:r>
        <w:t xml:space="preserve">)</w:t>
      </w:r>
      <w:r>
        <w:t xml:space="preserve">; zona del euro de 21 países, 2012-2025. Qué hay que ver: la demanda interna explica casi todo el crecimiento salvo en las crisis; en 2020 se hunde el consumo privado y en 2023 restan las existencias; la demanda externa neta suma en 2012-2013 y en 2021 y resta en 2025 (</w:t>
      </w:r>
      <m:oMath>
        <m:r>
          <m:rPr>
            <m:sty m:val="p"/>
          </m:rPr>
          <m:t>−</m:t>
        </m:r>
        <m:r>
          <m:t>0</m:t>
        </m:r>
        <m:r>
          <m:rPr>
            <m:sty m:val="p"/>
          </m:rPr>
          <m:t>,</m:t>
        </m:r>
        <m:r>
          <m:t>7</m:t>
        </m:r>
      </m:oMath>
      <w:r>
        <w:t xml:space="preserve"> pp).</w:t>
      </w:r>
    </w:p>
    <w:bookmarkEnd w:id="54"/>
    <w:bookmarkStart w:id="61" w:name="consumo_privado"/>
    <w:p>
      <w:pPr>
        <w:pStyle w:val="Heading4"/>
      </w:pPr>
      <w:r>
        <w:t xml:space="preserve">Consumo privado</w:t>
      </w:r>
    </w:p>
    <w:p>
      <w:pPr>
        <w:numPr>
          <w:ilvl w:val="0"/>
          <w:numId w:val="1026"/>
        </w:numPr>
      </w:pPr>
      <w:r>
        <w:rPr>
          <w:i/>
          <w:iCs/>
        </w:rPr>
        <w:t xml:space="preserve">Qué incluye</w:t>
      </w:r>
      <w:r>
        <w:t xml:space="preserve">: el gasto de los hogares (y de las instituciones sin fines de lucro a su servicio) en bienes y servicios: alimentación, ropa, alquiler, bienes duraderos. No incluye la compra de vivienda, que es inversión. Lo que más le afecta es cuánto pueden permitirse consumir los hogares y cuánto prefieren consumir ahora en lugar de más adelante.</w:t>
      </w:r>
    </w:p>
    <w:p>
      <w:pPr>
        <w:keepNext/>
        <w:numPr>
          <w:ilvl w:val="0"/>
          <w:numId w:val="1026"/>
        </w:numPr>
      </w:pPr>
      <w:r>
        <w:rPr>
          <w:i/>
          <w:iCs/>
        </w:rPr>
        <w:t xml:space="preserve">Hechos estilizados</w:t>
      </w:r>
      <w:r>
        <w:t xml:space="preserve"> </w:t>
      </w:r>
      <w:r>
        <w:t xml:space="preserve">(comprobar si se cumplen en el cuadro):</w:t>
      </w:r>
    </w:p>
    <w:p>
      <w:pPr>
        <w:numPr>
          <w:ilvl w:val="1"/>
          <w:numId w:val="1027"/>
        </w:numPr>
      </w:pPr>
      <w:r>
        <w:rPr>
          <w:i/>
          <w:iCs/>
        </w:rPr>
        <w:t xml:space="preserve">Peso</w:t>
      </w:r>
      <w:r>
        <w:t xml:space="preserve">: el componente más cuantioso, algo más de la mitad del PIB en la UE (53 % en 2025) y en torno a 2 tercios en EE. UU.</w:t>
      </w:r>
      <w:r>
        <w:t xml:space="preserve"> </w:t>
      </w:r>
      <w:r>
        <w:t xml:space="preserve">(</w:t>
      </w:r>
      <w:hyperlink w:anchor="ref_Eurostat2026nama10gdp">
        <w:r>
          <w:rPr>
            <w:rStyle w:val="Hyperlink"/>
            <w:smallCaps/>
          </w:rPr>
          <w:t xml:space="preserve">Eurostat</w:t>
        </w:r>
        <w:r>
          <w:rPr>
            <w:rStyle w:val="Hyperlink"/>
          </w:rPr>
          <w:t xml:space="preserve">, 2026e</w:t>
        </w:r>
      </w:hyperlink>
      <w:r>
        <w:t xml:space="preserve">;</w:t>
      </w:r>
      <w:r>
        <w:t xml:space="preserve"> </w:t>
      </w:r>
      <w:hyperlink w:anchor="ref_BM2026WDI">
        <w:r>
          <w:rPr>
            <w:rStyle w:val="Hyperlink"/>
            <w:smallCaps/>
          </w:rPr>
          <w:t xml:space="preserve">Banco Mundial</w:t>
        </w:r>
        <w:r>
          <w:rPr>
            <w:rStyle w:val="Hyperlink"/>
          </w:rPr>
          <w:t xml:space="preserve">, 2026</w:t>
        </w:r>
      </w:hyperlink>
      <w:r>
        <w:t xml:space="preserve">)</w:t>
      </w:r>
      <w:r>
        <w:t xml:space="preserve">.</w:t>
      </w:r>
    </w:p>
    <w:p>
      <w:pPr>
        <w:numPr>
          <w:ilvl w:val="1"/>
          <w:numId w:val="1027"/>
        </w:numPr>
      </w:pPr>
      <w:r>
        <w:rPr>
          <w:i/>
          <w:iCs/>
        </w:rPr>
        <w:t xml:space="preserve">Volatilidad</w:t>
      </w:r>
      <w:r>
        <w:t xml:space="preserve">: el menos volátil de los componentes privados, por su peso y porque los hogares prefieren suavizar el consumo según su renta permanente</w:t>
      </w:r>
      <w:r>
        <w:t xml:space="preserve"> </w:t>
      </w:r>
      <w:hyperlink r:id="rId55">
        <w:r>
          <w:rPr>
            <w:rStyle w:val="Referenciaatema"/>
          </w:rPr>
          <w:t xml:space="preserve">[ver tema 3.A.33]</w:t>
        </w:r>
      </w:hyperlink>
      <w:r>
        <w:t xml:space="preserve">. Si en el cuadro es más volátil que el PIB, puede haber sobrecalentamiento e inflación de demanda.</w:t>
      </w:r>
    </w:p>
    <w:p>
      <w:pPr>
        <w:numPr>
          <w:ilvl w:val="1"/>
          <w:numId w:val="1027"/>
        </w:numPr>
      </w:pPr>
      <w:r>
        <w:rPr>
          <w:i/>
          <w:iCs/>
        </w:rPr>
        <w:t xml:space="preserve">Comovimiento</w:t>
      </w:r>
      <w:r>
        <w:t xml:space="preserve">: procíclico y contemporáneo con el PIB; los bienes duraderos, más volátiles</w:t>
      </w:r>
      <w:r>
        <w:t xml:space="preserve"> </w:t>
      </w:r>
      <w:r>
        <w:t xml:space="preserve">(</w:t>
      </w:r>
      <w:hyperlink w:anchor="ref_StockWatson1999Ciclo">
        <w:r>
          <w:rPr>
            <w:rStyle w:val="Hyperlink"/>
            <w:smallCaps/>
          </w:rPr>
          <w:t xml:space="preserve">Stock</w:t>
        </w:r>
        <w:r>
          <w:rPr>
            <w:rStyle w:val="Hyperlink"/>
          </w:rPr>
          <w:t xml:space="preserve"> </w:t>
        </w:r>
        <w:r>
          <w:rPr>
            <w:rStyle w:val="Hyperlink"/>
          </w:rPr>
          <w:t xml:space="preserve">y</w:t>
        </w:r>
        <w:r>
          <w:rPr>
            <w:rStyle w:val="Hyperlink"/>
          </w:rPr>
          <w:t xml:space="preserve"> </w:t>
        </w:r>
        <w:r>
          <w:rPr>
            <w:rStyle w:val="Hyperlink"/>
            <w:smallCaps/>
          </w:rPr>
          <w:t xml:space="preserve">Watson</w:t>
        </w:r>
        <w:r>
          <w:rPr>
            <w:rStyle w:val="Hyperlink"/>
          </w:rPr>
          <w:t xml:space="preserve">, 1999</w:t>
        </w:r>
      </w:hyperlink>
      <w:r>
        <w:t xml:space="preserve">)</w:t>
      </w:r>
      <w:r>
        <w:t xml:space="preserve">.</w:t>
      </w:r>
    </w:p>
    <w:p>
      <w:pPr>
        <w:numPr>
          <w:ilvl w:val="0"/>
          <w:numId w:val="1026"/>
        </w:numPr>
      </w:pPr>
      <w:r>
        <w:rPr>
          <w:i/>
          <w:iCs/>
        </w:rPr>
        <w:t xml:space="preserve">Determinantes</w:t>
      </w:r>
      <w:r>
        <w:t xml:space="preserve">: la teoría relaciona el consumo con la renta disponible, los tipos de interés, la inflación esperada (que cambia el precio del consumo de hoy frente al de mañana) y, a veces, con la distribución de la renta o con si es permanente o transitoria</w:t>
      </w:r>
      <w:r>
        <w:t xml:space="preserve"> </w:t>
      </w:r>
      <w:hyperlink r:id="rId55">
        <w:r>
          <w:rPr>
            <w:rStyle w:val="Referenciaatema"/>
          </w:rPr>
          <w:t xml:space="preserve">[ver tema 3.A.33]</w:t>
        </w:r>
      </w:hyperlink>
      <w:r>
        <w:t xml:space="preserve">. La evidencia empírica identifica estas relaciones, que conviene tener a la vista con su signo:</w:t>
      </w:r>
    </w:p>
    <w:p>
      <w:pPr>
        <w:pStyle w:val="Funcionclave"/>
        <w:keepLines/>
      </w:pPr>
      <m:oMathPara>
        <m:oMathParaPr>
          <m:jc m:val="center"/>
        </m:oMathParaPr>
        <m:oMath>
          <m:r>
            <m:t>C</m:t>
          </m:r>
          <m:r>
            <m:rPr>
              <m:sty m:val="p"/>
            </m:rPr>
            <m:t>=</m:t>
          </m:r>
          <m:r>
            <m:t>f</m:t>
          </m:r>
          <m:d>
            <m:dPr>
              <m:begChr m:val="("/>
              <m:sepChr m:val=""/>
              <m:endChr m:val=")"/>
              <m:grow/>
            </m:dPr>
            <m:e>
              <m:limUpp>
                <m:e>
                  <m:sSubSup>
                    <m:e>
                      <m:r>
                        <m:t>Y</m:t>
                      </m:r>
                    </m:e>
                    <m:sub>
                      <m:r>
                        <m:rPr>
                          <m:nor/>
                          <m:sty m:val="p"/>
                        </m:rPr>
                        <m:t>real</m:t>
                      </m:r>
                    </m:sub>
                    <m:sup>
                      <m:r>
                        <m:t>d</m:t>
                      </m:r>
                    </m:sup>
                  </m:sSubSup>
                </m:e>
                <m:lim>
                  <m:r>
                    <m:rPr>
                      <m:sty m:val="p"/>
                    </m:rPr>
                    <m:t>+</m:t>
                  </m:r>
                </m:lim>
              </m:limUpp>
              <m:r>
                <m:rPr>
                  <m:sty m:val="p"/>
                </m:rPr>
                <m:t>,</m:t>
              </m:r>
              <m:r>
                <m:t> </m:t>
              </m:r>
              <m:limUpp>
                <m:e>
                  <m:r>
                    <m:rPr>
                      <m:nor/>
                      <m:sty m:val="p"/>
                    </m:rPr>
                    <m:t>riqueza</m:t>
                  </m:r>
                </m:e>
                <m:lim>
                  <m:r>
                    <m:rPr>
                      <m:sty m:val="p"/>
                    </m:rPr>
                    <m:t>+</m:t>
                  </m:r>
                </m:lim>
              </m:limUpp>
              <m:r>
                <m:rPr>
                  <m:sty m:val="p"/>
                </m:rPr>
                <m:t>,</m:t>
              </m:r>
              <m:r>
                <m:t> </m:t>
              </m:r>
              <m:limUpp>
                <m:e>
                  <m:sSup>
                    <m:e>
                      <m:r>
                        <m:t>r</m:t>
                      </m:r>
                    </m:e>
                    <m:sup>
                      <m:r>
                        <m:t>c</m:t>
                      </m:r>
                      <m:r>
                        <m:t>p</m:t>
                      </m:r>
                    </m:sup>
                  </m:sSup>
                </m:e>
                <m:lim>
                  <m:r>
                    <m:rPr>
                      <m:sty m:val="p"/>
                    </m:rPr>
                    <m:t>−</m:t>
                  </m:r>
                </m:lim>
              </m:limUpp>
              <m:r>
                <m:rPr>
                  <m:sty m:val="p"/>
                </m:rPr>
                <m:t>,</m:t>
              </m:r>
              <m:r>
                <m:t> </m:t>
              </m:r>
              <m:limUpp>
                <m:e>
                  <m:r>
                    <m:t>π</m:t>
                  </m:r>
                </m:e>
                <m:lim>
                  <m:r>
                    <m:rPr>
                      <m:sty m:val="p"/>
                    </m:rPr>
                    <m:t>−</m:t>
                  </m:r>
                </m:lim>
              </m:limUpp>
              <m:r>
                <m:rPr>
                  <m:sty m:val="p"/>
                </m:rPr>
                <m:t>,</m:t>
              </m:r>
              <m:r>
                <m:t> </m:t>
              </m:r>
              <m:limUpp>
                <m:e>
                  <m:sSup>
                    <m:e>
                      <m:r>
                        <m:t>π</m:t>
                      </m:r>
                    </m:e>
                    <m:sup>
                      <m:r>
                        <m:t>e</m:t>
                      </m:r>
                    </m:sup>
                  </m:sSup>
                </m:e>
                <m:lim>
                  <m:r>
                    <m:rPr>
                      <m:sty m:val="p"/>
                    </m:rPr>
                    <m:t>?</m:t>
                  </m:r>
                </m:lim>
              </m:limUpp>
              <m:r>
                <m:rPr>
                  <m:sty m:val="p"/>
                </m:rPr>
                <m:t>,</m:t>
              </m:r>
              <m:r>
                <m:t> </m:t>
              </m:r>
              <m:limUpp>
                <m:e>
                  <m:r>
                    <m:rPr>
                      <m:nor/>
                      <m:sty m:val="p"/>
                    </m:rPr>
                    <m:t>crédito</m:t>
                  </m:r>
                </m:e>
                <m:lim>
                  <m:r>
                    <m:rPr>
                      <m:sty m:val="p"/>
                    </m:rPr>
                    <m:t>+</m:t>
                  </m:r>
                </m:lim>
              </m:limUpp>
              <m:r>
                <m:rPr>
                  <m:sty m:val="p"/>
                </m:rPr>
                <m:t>,</m:t>
              </m:r>
              <m:r>
                <m:t> </m:t>
              </m:r>
              <m:limUpp>
                <m:e>
                  <m:r>
                    <m:rPr>
                      <m:nor/>
                      <m:sty m:val="p"/>
                    </m:rPr>
                    <m:t>deuda</m:t>
                  </m:r>
                </m:e>
                <m:lim>
                  <m:r>
                    <m:rPr>
                      <m:sty m:val="p"/>
                    </m:rPr>
                    <m:t>−</m:t>
                  </m:r>
                </m:lim>
              </m:limUpp>
              <m:r>
                <m:rPr>
                  <m:sty m:val="p"/>
                </m:rPr>
                <m:t>,</m:t>
              </m:r>
              <m:r>
                <m:t> </m:t>
              </m:r>
              <m:limUpp>
                <m:e>
                  <m:r>
                    <m:t>N</m:t>
                  </m:r>
                </m:e>
                <m:lim>
                  <m:r>
                    <m:rPr>
                      <m:sty m:val="p"/>
                    </m:rPr>
                    <m:t>+</m:t>
                  </m:r>
                </m:lim>
              </m:limUpp>
              <m:r>
                <m:rPr>
                  <m:sty m:val="p"/>
                </m:rPr>
                <m:t>,</m:t>
              </m:r>
              <m:r>
                <m:t> </m:t>
              </m:r>
              <m:limUpp>
                <m:e>
                  <m:r>
                    <m:rPr>
                      <m:nor/>
                      <m:sty m:val="p"/>
                    </m:rPr>
                    <m:t>edades</m:t>
                  </m:r>
                </m:e>
                <m:lim>
                  <m:r>
                    <m:rPr>
                      <m:sty m:val="p"/>
                    </m:rPr>
                    <m:t>?</m:t>
                  </m:r>
                </m:lim>
              </m:limUpp>
              <m:r>
                <m:rPr>
                  <m:sty m:val="p"/>
                </m:rPr>
                <m:t>,</m:t>
              </m:r>
              <m:r>
                <m:t> </m:t>
              </m:r>
              <m:limUpp>
                <m:e>
                  <m:r>
                    <m:rPr>
                      <m:nor/>
                      <m:sty m:val="p"/>
                    </m:rPr>
                    <m:t>incert.</m:t>
                  </m:r>
                </m:e>
                <m:lim>
                  <m:r>
                    <m:rPr>
                      <m:sty m:val="p"/>
                    </m:rPr>
                    <m:t>−</m:t>
                  </m:r>
                </m:lim>
              </m:limUpp>
              <m:r>
                <m:rPr>
                  <m:sty m:val="p"/>
                </m:rPr>
                <m:t>,</m:t>
              </m:r>
              <m:r>
                <m:t> </m:t>
              </m:r>
              <m:limUpp>
                <m:e>
                  <m:r>
                    <m:rPr>
                      <m:nor/>
                      <m:sty m:val="p"/>
                    </m:rPr>
                    <m:t>expect.</m:t>
                  </m:r>
                </m:e>
                <m:lim>
                  <m:r>
                    <m:rPr>
                      <m:sty m:val="p"/>
                    </m:rPr>
                    <m:t>+</m:t>
                  </m:r>
                </m:lim>
              </m:limUpp>
            </m:e>
          </m:d>
        </m:oMath>
      </m:oMathPara>
    </w:p>
    <w:p>
      <w:pPr>
        <w:numPr>
          <w:ilvl w:val="0"/>
          <w:numId w:val="1000"/>
        </w:numPr>
      </w:pPr>
      <w:r>
        <w:t xml:space="preserve">y la renta disponible real, a su vez, depende de</w:t>
      </w:r>
    </w:p>
    <w:p>
      <w:pPr>
        <w:pStyle w:val="Funcionclave"/>
        <w:keepLines/>
      </w:pPr>
      <m:oMathPara>
        <m:oMathParaPr>
          <m:jc m:val="center"/>
        </m:oMathParaPr>
        <m:oMath>
          <m:sSubSup>
            <m:e>
              <m:r>
                <m:t>Y</m:t>
              </m:r>
            </m:e>
            <m:sub>
              <m:r>
                <m:rPr>
                  <m:nor/>
                  <m:sty m:val="p"/>
                </m:rPr>
                <m:t>real</m:t>
              </m:r>
            </m:sub>
            <m:sup>
              <m:r>
                <m:t>d</m:t>
              </m:r>
            </m:sup>
          </m:sSubSup>
          <m:r>
            <m:rPr>
              <m:sty m:val="p"/>
            </m:rPr>
            <m:t>=</m:t>
          </m:r>
          <m:r>
            <m:t>f</m:t>
          </m:r>
          <m:d>
            <m:dPr>
              <m:begChr m:val="("/>
              <m:sepChr m:val=""/>
              <m:endChr m:val=")"/>
              <m:grow/>
            </m:dPr>
            <m:e>
              <m:limLow>
                <m:e>
                  <m:limLow>
                    <m:e>
                      <m:limUpp>
                        <m:e>
                          <m:r>
                            <m:t>L</m:t>
                          </m:r>
                        </m:e>
                        <m:lim>
                          <m:r>
                            <m:rPr>
                              <m:sty m:val="p"/>
                            </m:rPr>
                            <m:t>+</m:t>
                          </m:r>
                        </m:lim>
                      </m:limUpp>
                      <m:r>
                        <m:rPr>
                          <m:sty m:val="p"/>
                        </m:rPr>
                        <m:t>,</m:t>
                      </m:r>
                      <m:r>
                        <m:t> </m:t>
                      </m:r>
                      <m:limUpp>
                        <m:e>
                          <m:r>
                            <m:t>w</m:t>
                          </m:r>
                        </m:e>
                        <m:lim>
                          <m:r>
                            <m:rPr>
                              <m:sty m:val="p"/>
                            </m:rPr>
                            <m:t>+</m:t>
                          </m:r>
                        </m:lim>
                      </m:limUpp>
                    </m:e>
                    <m:lim>
                      <m:r>
                        <m:rPr>
                          <m:sty m:val="p"/>
                        </m:rPr>
                        <m:t>⏟</m:t>
                      </m:r>
                    </m:lim>
                  </m:limLow>
                </m:e>
                <m:lim>
                  <m:r>
                    <m:rPr>
                      <m:nor/>
                      <m:sty m:val="p"/>
                    </m:rPr>
                    <m:t>rentas del trabajo</m:t>
                  </m:r>
                </m:lim>
              </m:limLow>
              <m:r>
                <m:rPr>
                  <m:sty m:val="p"/>
                </m:rPr>
                <m:t>,</m:t>
              </m:r>
              <m:r>
                <m:t> </m:t>
              </m:r>
              <m:limLow>
                <m:e>
                  <m:limLow>
                    <m:e>
                      <m:limUpp>
                        <m:e>
                          <m:r>
                            <m:t>r</m:t>
                          </m:r>
                        </m:e>
                        <m:lim>
                          <m:r>
                            <m:rPr>
                              <m:sty m:val="p"/>
                            </m:rPr>
                            <m:t>+</m:t>
                          </m:r>
                        </m:lim>
                      </m:limUpp>
                    </m:e>
                    <m:lim>
                      <m:r>
                        <m:rPr>
                          <m:sty m:val="p"/>
                        </m:rPr>
                        <m:t>⏟</m:t>
                      </m:r>
                    </m:lim>
                  </m:limLow>
                </m:e>
                <m:lim>
                  <m:r>
                    <m:rPr>
                      <m:nor/>
                      <m:sty m:val="p"/>
                    </m:rPr>
                    <m:t>rentas del capital</m:t>
                  </m:r>
                </m:lim>
              </m:limLow>
              <m:r>
                <m:rPr>
                  <m:sty m:val="p"/>
                </m:rPr>
                <m:t>,</m:t>
              </m:r>
              <m:r>
                <m:t> </m:t>
              </m:r>
              <m:limLow>
                <m:e>
                  <m:limLow>
                    <m:e>
                      <m:limUpp>
                        <m:e>
                          <m:r>
                            <m:t>T</m:t>
                          </m:r>
                        </m:e>
                        <m:lim>
                          <m:r>
                            <m:rPr>
                              <m:sty m:val="p"/>
                            </m:rPr>
                            <m:t>−</m:t>
                          </m:r>
                        </m:lim>
                      </m:limUpp>
                    </m:e>
                    <m:lim>
                      <m:r>
                        <m:rPr>
                          <m:sty m:val="p"/>
                        </m:rPr>
                        <m:t>⏟</m:t>
                      </m:r>
                    </m:lim>
                  </m:limLow>
                </m:e>
                <m:lim>
                  <m:r>
                    <m:rPr>
                      <m:nor/>
                      <m:sty m:val="p"/>
                    </m:rPr>
                    <m:t>impuestos</m:t>
                  </m:r>
                </m:lim>
              </m:limLow>
              <m:r>
                <m:rPr>
                  <m:sty m:val="p"/>
                </m:rPr>
                <m:t>,</m:t>
              </m:r>
              <m:r>
                <m:t> </m:t>
              </m:r>
              <m:limLow>
                <m:e>
                  <m:limLow>
                    <m:e>
                      <m:limUpp>
                        <m:e>
                          <m:r>
                            <m:rPr>
                              <m:sty m:val="i"/>
                            </m:rPr>
                            <m:t>T</m:t>
                          </m:r>
                          <m:r>
                            <m:rPr>
                              <m:sty m:val="i"/>
                            </m:rPr>
                            <m:t>R</m:t>
                          </m:r>
                        </m:e>
                        <m:lim>
                          <m:r>
                            <m:rPr>
                              <m:sty m:val="p"/>
                            </m:rPr>
                            <m:t>+</m:t>
                          </m:r>
                        </m:lim>
                      </m:limUpp>
                    </m:e>
                    <m:lim>
                      <m:r>
                        <m:rPr>
                          <m:sty m:val="p"/>
                        </m:rPr>
                        <m:t>⏟</m:t>
                      </m:r>
                    </m:lim>
                  </m:limLow>
                </m:e>
                <m:lim>
                  <m:r>
                    <m:rPr>
                      <m:nor/>
                      <m:sty m:val="p"/>
                    </m:rPr>
                    <m:t>transferencias</m:t>
                  </m:r>
                </m:lim>
              </m:limLow>
            </m:e>
          </m:d>
          <m:r>
            <m:rPr>
              <m:sty m:val="p"/>
            </m:rPr>
            <m:t>,</m:t>
          </m:r>
          <m:r>
            <m:t>  </m:t>
          </m:r>
          <m:r>
            <m:t>w</m:t>
          </m:r>
          <m:r>
            <m:rPr>
              <m:sty m:val="p"/>
            </m:rPr>
            <m:t>=</m:t>
          </m:r>
          <m:r>
            <m:t>W</m:t>
          </m:r>
          <m:r>
            <m:rPr>
              <m:sty m:val="p"/>
            </m:rPr>
            <m:t>/</m:t>
          </m:r>
          <m:r>
            <m:rPr>
              <m:sty m:val="p"/>
            </m:rPr>
            <m:t>I</m:t>
          </m:r>
          <m:r>
            <m:rPr>
              <m:sty m:val="p"/>
            </m:rPr>
            <m:t>P</m:t>
          </m:r>
          <m:r>
            <m:rPr>
              <m:sty m:val="p"/>
            </m:rPr>
            <m:t>C</m:t>
          </m:r>
        </m:oMath>
      </m:oMathPara>
    </w:p>
    <w:p>
      <w:pPr>
        <w:numPr>
          <w:ilvl w:val="1"/>
          <w:numId w:val="1028"/>
        </w:numPr>
      </w:pPr>
      <w:r>
        <w:rPr>
          <w:i/>
          <w:iCs/>
        </w:rPr>
        <w:t xml:space="preserve">Renta disponible real</w:t>
      </w:r>
      <w:r>
        <w:t xml:space="preserve"> </w:t>
      </w:r>
      <w:r>
        <w:t xml:space="preserve">(</w:t>
      </w:r>
      <m:oMath>
        <m:r>
          <m:rPr>
            <m:sty m:val="p"/>
          </m:rPr>
          <m:t>+</m:t>
        </m:r>
      </m:oMath>
      <w:r>
        <w:t xml:space="preserve">), sin duda el principal. Depende del empleo (</w:t>
      </w:r>
      <m:oMath>
        <m:r>
          <m:t>L</m:t>
        </m:r>
      </m:oMath>
      <w:r>
        <w:t xml:space="preserve">) y del salario real (</w:t>
      </w:r>
      <m:oMath>
        <m:r>
          <m:t>w</m:t>
        </m:r>
      </m:oMath>
      <w:r>
        <w:t xml:space="preserve">, que cae con la inflación actual y la esperada: los salarios nominales se corrigen con el IPC), de las rentas del capital, de los impuestos (sobre la renta y el patrimonio) y de las transferencias.</w:t>
      </w:r>
      <w:r>
        <w:rPr>
          <w:rStyle w:val="FootnoteReference"/>
        </w:rPr>
        <w:footnoteReference w:id="56"/>
      </w:r>
    </w:p>
    <w:p>
      <w:pPr>
        <w:numPr>
          <w:ilvl w:val="1"/>
          <w:numId w:val="1028"/>
        </w:numPr>
      </w:pPr>
      <w:r>
        <w:rPr>
          <w:i/>
          <w:iCs/>
        </w:rPr>
        <w:t xml:space="preserve">Riqueza</w:t>
      </w:r>
      <w:r>
        <w:t xml:space="preserve"> </w:t>
      </w:r>
      <w:r>
        <w:t xml:space="preserve">(</w:t>
      </w:r>
      <m:oMath>
        <m:r>
          <m:rPr>
            <m:sty m:val="p"/>
          </m:rPr>
          <m:t>+</m:t>
        </m:r>
      </m:oMath>
      <w:r>
        <w:t xml:space="preserve">): precio de la vivienda en propiedad y de los activos financieros (efecto riqueza; discutible en los hogares de renta baja, que tienen pocos activos).</w:t>
      </w:r>
    </w:p>
    <w:p>
      <w:pPr>
        <w:numPr>
          <w:ilvl w:val="1"/>
          <w:numId w:val="1028"/>
        </w:numPr>
      </w:pPr>
      <w:r>
        <w:rPr>
          <w:i/>
          <w:iCs/>
        </w:rPr>
        <w:t xml:space="preserve">Tipo de interés real a corto plazo</w:t>
      </w:r>
      <w:r>
        <w:t xml:space="preserve"> </w:t>
      </w:r>
      <w:r>
        <w:t xml:space="preserve">(</w:t>
      </w:r>
      <m:oMath>
        <m:r>
          <m:rPr>
            <m:sty m:val="p"/>
          </m:rPr>
          <m:t>−</m:t>
        </m:r>
      </m:oMath>
      <w:r>
        <w:t xml:space="preserve">): es el coste de endeudarse y lo que rinde el ahorro (los nominales se corrigen con el IPC).</w:t>
      </w:r>
    </w:p>
    <w:p>
      <w:pPr>
        <w:numPr>
          <w:ilvl w:val="1"/>
          <w:numId w:val="1028"/>
        </w:numPr>
      </w:pPr>
      <w:r>
        <w:rPr>
          <w:i/>
          <w:iCs/>
        </w:rPr>
        <w:t xml:space="preserve">Inflación</w:t>
      </w:r>
      <w:r>
        <w:t xml:space="preserve"> </w:t>
      </w:r>
      <w:r>
        <w:t xml:space="preserve">(</w:t>
      </w:r>
      <m:oMath>
        <m:r>
          <m:rPr>
            <m:sty m:val="p"/>
          </m:rPr>
          <m:t>−</m:t>
        </m:r>
      </m:oMath>
      <w:r>
        <w:t xml:space="preserve"> </w:t>
      </w:r>
      <w:r>
        <w:t xml:space="preserve">la actual; ambiguo la esperada): la actual reduce la renta real; la esperada también, pero adelanta compras.</w:t>
      </w:r>
      <w:r>
        <w:rPr>
          <w:rStyle w:val="FootnoteReference"/>
        </w:rPr>
        <w:footnoteReference w:id="57"/>
      </w:r>
    </w:p>
    <w:p>
      <w:pPr>
        <w:numPr>
          <w:ilvl w:val="1"/>
          <w:numId w:val="1028"/>
        </w:numPr>
      </w:pPr>
      <w:r>
        <w:rPr>
          <w:i/>
          <w:iCs/>
        </w:rPr>
        <w:t xml:space="preserve">Crédito</w:t>
      </w:r>
      <w:r>
        <w:t xml:space="preserve"> </w:t>
      </w:r>
      <w:r>
        <w:t xml:space="preserve">(</w:t>
      </w:r>
      <m:oMath>
        <m:r>
          <m:rPr>
            <m:sty m:val="p"/>
          </m:rPr>
          <m:t>+</m:t>
        </m:r>
      </m:oMath>
      <w:r>
        <w:t xml:space="preserve">), que depende también de la regulación financiera y de los límites prudenciales, y</w:t>
      </w:r>
      <w:r>
        <w:t xml:space="preserve"> </w:t>
      </w:r>
      <w:r>
        <w:rPr>
          <w:i/>
          <w:iCs/>
        </w:rPr>
        <w:t xml:space="preserve">endeudamiento de los hogares</w:t>
      </w:r>
      <w:r>
        <w:t xml:space="preserve"> </w:t>
      </w:r>
      <w:r>
        <w:t xml:space="preserve">(</w:t>
      </w:r>
      <m:oMath>
        <m:r>
          <m:rPr>
            <m:sty m:val="p"/>
          </m:rPr>
          <m:t>−</m:t>
        </m:r>
      </m:oMath>
      <w:r>
        <w:t xml:space="preserve">).</w:t>
      </w:r>
    </w:p>
    <w:p>
      <w:pPr>
        <w:numPr>
          <w:ilvl w:val="1"/>
          <w:numId w:val="1028"/>
        </w:numPr>
      </w:pPr>
      <w:r>
        <w:rPr>
          <w:i/>
          <w:iCs/>
        </w:rPr>
        <w:t xml:space="preserve">Incertidumbre, volatilidad y paro esperado</w:t>
      </w:r>
      <w:r>
        <w:t xml:space="preserve"> </w:t>
      </w:r>
      <w:r>
        <w:t xml:space="preserve">(</w:t>
      </w:r>
      <m:oMath>
        <m:r>
          <m:rPr>
            <m:sty m:val="p"/>
          </m:rPr>
          <m:t>−</m:t>
        </m:r>
      </m:oMath>
      <w:r>
        <w:t xml:space="preserve">): por la aversión al riesgo, ahorro precautorio</w:t>
      </w:r>
      <w:r>
        <w:t xml:space="preserve"> </w:t>
      </w:r>
      <w:hyperlink r:id="rId58">
        <w:r>
          <w:rPr>
            <w:rStyle w:val="Referenciaatema"/>
          </w:rPr>
          <w:t xml:space="preserve">[ver tema 3.A.10]</w:t>
        </w:r>
      </w:hyperlink>
      <w:r>
        <w:t xml:space="preserve">.</w:t>
      </w:r>
    </w:p>
    <w:p>
      <w:pPr>
        <w:numPr>
          <w:ilvl w:val="1"/>
          <w:numId w:val="1028"/>
        </w:numPr>
      </w:pPr>
      <w:r>
        <w:rPr>
          <w:i/>
          <w:iCs/>
        </w:rPr>
        <w:t xml:space="preserve">Demografía</w:t>
      </w:r>
      <w:r>
        <w:t xml:space="preserve">: crece con la población (</w:t>
      </w:r>
      <m:oMath>
        <m:r>
          <m:t>N</m:t>
        </m:r>
      </m:oMath>
      <w:r>
        <w:t xml:space="preserve">); con la estructura de edades el efecto es ambiguo. Según la hipótesis del ciclo vital, ahorran sobre todo las personas en edad de trabajar</w:t>
      </w:r>
      <w:r>
        <w:t xml:space="preserve"> </w:t>
      </w:r>
      <w:r>
        <w:t xml:space="preserve">(</w:t>
      </w:r>
      <w:hyperlink w:anchor="ref_ModiglianiBrumberg1954">
        <w:r>
          <w:rPr>
            <w:rStyle w:val="Hyperlink"/>
            <w:smallCaps/>
          </w:rPr>
          <w:t xml:space="preserve">Modigliani</w:t>
        </w:r>
        <w:r>
          <w:rPr>
            <w:rStyle w:val="Hyperlink"/>
          </w:rPr>
          <w:t xml:space="preserve"> </w:t>
        </w:r>
        <w:r>
          <w:rPr>
            <w:rStyle w:val="Hyperlink"/>
          </w:rPr>
          <w:t xml:space="preserve">y</w:t>
        </w:r>
        <w:r>
          <w:rPr>
            <w:rStyle w:val="Hyperlink"/>
          </w:rPr>
          <w:t xml:space="preserve"> </w:t>
        </w:r>
        <w:r>
          <w:rPr>
            <w:rStyle w:val="Hyperlink"/>
            <w:smallCaps/>
          </w:rPr>
          <w:t xml:space="preserve">Brumberg</w:t>
        </w:r>
        <w:r>
          <w:rPr>
            <w:rStyle w:val="Hyperlink"/>
          </w:rPr>
          <w:t xml:space="preserve">, 1954</w:t>
        </w:r>
      </w:hyperlink>
      <w:r>
        <w:t xml:space="preserve">)</w:t>
      </w:r>
      <w:r>
        <w:t xml:space="preserve">: más población dependiente (joven o mayor) supone más consumo en proporción a la renta</w:t>
      </w:r>
      <w:r>
        <w:t xml:space="preserve"> </w:t>
      </w:r>
      <w:r>
        <w:t xml:space="preserve">(</w:t>
      </w:r>
      <w:hyperlink w:anchor="ref_Leff1969Dependencia">
        <w:r>
          <w:rPr>
            <w:rStyle w:val="Hyperlink"/>
            <w:smallCaps/>
          </w:rPr>
          <w:t xml:space="preserve">Leff</w:t>
        </w:r>
        <w:r>
          <w:rPr>
            <w:rStyle w:val="Hyperlink"/>
          </w:rPr>
          <w:t xml:space="preserve">, 1969</w:t>
        </w:r>
      </w:hyperlink>
      <w:r>
        <w:t xml:space="preserve">)</w:t>
      </w:r>
      <w:r>
        <w:t xml:space="preserve">.</w:t>
      </w:r>
    </w:p>
    <w:p>
      <w:pPr>
        <w:numPr>
          <w:ilvl w:val="1"/>
          <w:numId w:val="1028"/>
        </w:numPr>
      </w:pPr>
      <w:r>
        <w:rPr>
          <w:i/>
          <w:iCs/>
        </w:rPr>
        <w:t xml:space="preserve">Expectativas</w:t>
      </w:r>
      <w:r>
        <w:t xml:space="preserve"> </w:t>
      </w:r>
      <w:r>
        <w:t xml:space="preserve">(</w:t>
      </w:r>
      <m:oMath>
        <m:r>
          <m:rPr>
            <m:sty m:val="p"/>
          </m:rPr>
          <m:t>+</m:t>
        </m:r>
      </m:oMath>
      <w:r>
        <w:t xml:space="preserve">): de crecimiento (pendiente de la curva de tipos), de paro (</w:t>
      </w:r>
      <m:oMath>
        <m:r>
          <m:rPr>
            <m:sty m:val="p"/>
          </m:rPr>
          <m:t>−</m:t>
        </m:r>
      </m:oMath>
      <w:r>
        <w:t xml:space="preserve">), confianza de los consumidores y de los gestores de compras (PMI), crecimiento de la economía mundial. Una tasa de ahorro alta frena el consumo, y el índice de miseria de</w:t>
      </w:r>
      <w:r>
        <w:t xml:space="preserve"> </w:t>
      </w:r>
      <w:r>
        <w:rPr>
          <w:smallCaps/>
        </w:rPr>
        <w:t xml:space="preserve">Okun</w:t>
      </w:r>
      <w:r>
        <w:t xml:space="preserve"> </w:t>
      </w:r>
      <w:r>
        <w:t xml:space="preserve">(inflación más paro) resume 2 frenos.</w:t>
      </w:r>
    </w:p>
    <w:p>
      <w:pPr>
        <w:numPr>
          <w:ilvl w:val="1"/>
          <w:numId w:val="1028"/>
        </w:numPr>
      </w:pPr>
      <w:r>
        <w:rPr>
          <w:i/>
          <w:iCs/>
        </w:rPr>
        <w:t xml:space="preserve">Políticas futuras</w:t>
      </w:r>
      <w:r>
        <w:t xml:space="preserve">: si los hogares esperan más impuestos para pagar la deuda que se emite hoy, ahorran más y el estímulo fiscal pierde fuerza (</w:t>
      </w:r>
      <w:r>
        <w:rPr>
          <w:b/>
          <w:bCs/>
        </w:rPr>
        <w:t xml:space="preserve">equivalencia ricardiana</w:t>
      </w:r>
      <w:r>
        <w:t xml:space="preserve">,</w:t>
      </w:r>
      <w:r>
        <w:t xml:space="preserve"> </w:t>
      </w:r>
      <w:r>
        <w:rPr>
          <w:smallCaps/>
        </w:rPr>
        <w:t xml:space="preserve">Barro</w:t>
      </w:r>
      <w:r>
        <w:t xml:space="preserve"> </w:t>
      </w:r>
      <w:r>
        <w:t xml:space="preserve">(</w:t>
      </w:r>
      <w:hyperlink w:anchor="ref_Barro1974">
        <w:r>
          <w:rPr>
            <w:rStyle w:val="Hyperlink"/>
          </w:rPr>
          <w:t xml:space="preserve">1974</w:t>
        </w:r>
      </w:hyperlink>
      <w:r>
        <w:t xml:space="preserve">)</w:t>
      </w:r>
      <w:r>
        <w:t xml:space="preserve">,</w:t>
      </w:r>
      <w:r>
        <w:t xml:space="preserve"> </w:t>
      </w:r>
      <w:hyperlink r:id="rId59">
        <w:r>
          <w:rPr>
            <w:rStyle w:val="Referenciaatema"/>
          </w:rPr>
          <w:t xml:space="preserve">[ver tema 3.A.39]</w:t>
        </w:r>
      </w:hyperlink>
      <w:r>
        <w:t xml:space="preserve">); una bajada de tipos anunciada adelanta consumo.</w:t>
      </w:r>
    </w:p>
    <w:p>
      <w:pPr>
        <w:numPr>
          <w:ilvl w:val="0"/>
          <w:numId w:val="1026"/>
        </w:numPr>
      </w:pPr>
      <w:r>
        <w:rPr>
          <w:i/>
          <w:iCs/>
        </w:rPr>
        <w:t xml:space="preserve">Otro enfoque</w:t>
      </w:r>
      <w:r>
        <w:t xml:space="preserve">: si los hogares siguen la hipótesis de la renta permanente</w:t>
      </w:r>
      <w:r>
        <w:t xml:space="preserve"> </w:t>
      </w:r>
      <w:r>
        <w:t xml:space="preserve">(</w:t>
      </w:r>
      <w:hyperlink w:anchor="ref_Friedman1957">
        <w:r>
          <w:rPr>
            <w:rStyle w:val="Hyperlink"/>
            <w:smallCaps/>
          </w:rPr>
          <w:t xml:space="preserve">Friedman</w:t>
        </w:r>
        <w:r>
          <w:rPr>
            <w:rStyle w:val="Hyperlink"/>
          </w:rPr>
          <w:t xml:space="preserve">, 1957</w:t>
        </w:r>
      </w:hyperlink>
      <w:r>
        <w:t xml:space="preserve">)</w:t>
      </w:r>
      <w:r>
        <w:t xml:space="preserve"> </w:t>
      </w:r>
      <w:r>
        <w:t xml:space="preserve">y tienen expectativas racionales, solo cambian su consumo cuando les llegan noticias que revisan esa renta. El consumo sigue entonces un</w:t>
      </w:r>
      <w:r>
        <w:t xml:space="preserve"> </w:t>
      </w:r>
      <w:r>
        <w:rPr>
          <w:i/>
          <w:iCs/>
        </w:rPr>
        <w:t xml:space="preserve">paseo aleatorio</w:t>
      </w:r>
      <w:r>
        <w:t xml:space="preserve">, y el mejor pronóstico del consumo futuro es el presente</w:t>
      </w:r>
      <w:r>
        <w:t xml:space="preserve"> </w:t>
      </w:r>
      <w:r>
        <w:t xml:space="preserve">(</w:t>
      </w:r>
      <w:hyperlink w:anchor="ref_Hall1978">
        <w:r>
          <w:rPr>
            <w:rStyle w:val="Hyperlink"/>
            <w:smallCaps/>
          </w:rPr>
          <w:t xml:space="preserve">Hall</w:t>
        </w:r>
        <w:r>
          <w:rPr>
            <w:rStyle w:val="Hyperlink"/>
          </w:rPr>
          <w:t xml:space="preserve">, 1978</w:t>
        </w:r>
      </w:hyperlink>
      <w:r>
        <w:t xml:space="preserve">)</w:t>
      </w:r>
      <w:r>
        <w:t xml:space="preserve">.</w:t>
      </w:r>
      <w:r>
        <w:rPr>
          <w:rStyle w:val="FootnoteReference"/>
        </w:rPr>
        <w:footnoteReference w:id="60"/>
      </w:r>
    </w:p>
    <w:p>
      <w:pPr>
        <w:numPr>
          <w:ilvl w:val="0"/>
          <w:numId w:val="1026"/>
        </w:numPr>
      </w:pPr>
      <w:r>
        <w:rPr>
          <w:i/>
          <w:iCs/>
        </w:rPr>
        <w:t xml:space="preserve">Un ejemplo de lectura</w:t>
      </w:r>
      <w:r>
        <w:t xml:space="preserve">: el consumo, la renta disponible y el ahorro de los hogares de la zona del euro desde 2012, con el ahorro forzoso de 2020, están en el gráfico </w:t>
      </w:r>
      <w:hyperlink w:anchor="fig_consumo_renta_ahorro">
        <w:r>
          <w:rPr>
            <w:rStyle w:val="Hyperlink"/>
          </w:rPr>
          <w:t xml:space="preserve">9</w:t>
        </w:r>
      </w:hyperlink>
      <w:r>
        <w:t xml:space="preserve">, en los anexos</w:t>
      </w:r>
      <w:r>
        <w:t xml:space="preserve"> </w:t>
      </w:r>
      <w:r>
        <w:t xml:space="preserve">(</w:t>
      </w:r>
      <w:hyperlink w:anchor="ref_Eurostat2026nama10gdp">
        <w:r>
          <w:rPr>
            <w:rStyle w:val="Hyperlink"/>
            <w:smallCaps/>
          </w:rPr>
          <w:t xml:space="preserve">Eurostat</w:t>
        </w:r>
        <w:r>
          <w:rPr>
            <w:rStyle w:val="Hyperlink"/>
          </w:rPr>
          <w:t xml:space="preserve">, 2026e</w:t>
        </w:r>
      </w:hyperlink>
      <w:r>
        <w:t xml:space="preserve">)</w:t>
      </w:r>
      <w:r>
        <w:t xml:space="preserve">.</w:t>
      </w:r>
    </w:p>
    <w:p>
      <w:pPr>
        <w:numPr>
          <w:ilvl w:val="0"/>
          <w:numId w:val="1026"/>
        </w:numPr>
      </w:pPr>
      <w:r>
        <w:rPr>
          <w:i/>
          <w:iCs/>
        </w:rPr>
        <w:t xml:space="preserve">Cómo se escribe</w:t>
      </w:r>
      <w:r>
        <w:t xml:space="preserve">: se vinculan los determinantes con los años: «entre los determinantes habituales del consumo, la renta disponible y el empleo evolucionan de modo que podrían explicar su caída en 20xx y su recuperación posterior».</w:t>
      </w:r>
    </w:p>
    <w:p>
      <w:pPr>
        <w:pStyle w:val="Cajadeanotaciones"/>
        <w:keepNext/>
        <w:keepLines/>
      </w:pPr>
      <w:r>
        <w:rPr>
          <w:b/>
          <w:bCs/>
        </w:rPr>
        <w:t xml:space="preserve">Ejemplo de redacción: el consumo privado.</w:t>
      </w:r>
      <w:r>
        <w:t xml:space="preserve"> </w:t>
      </w:r>
      <w:r>
        <w:t xml:space="preserve">«El consumo privado es habitualmente el componente más cuantioso (más de la mitad del PIB en las economías avanzadas) y el menos volátil de los componentes privados de la demanda. Suele ser estable por su peso y por su fundamento microeconómico: depende de la renta permanente, y los hogares prefieren suavizarlo. Además, suele ser moderadamente procíclico y coincidente con el PIB.»</w:t>
      </w:r>
    </w:p>
    <w:p>
      <w:pPr>
        <w:pStyle w:val="Cajadeanotaciones"/>
        <w:keepLines/>
      </w:pPr>
      <w:r>
        <w:t xml:space="preserve">«El consumo privado de esta economía se muestra bastante estable, procíclico y coincidente con el PIB, como predice la teoría. Crece con fuerza durante la primera mitad de la serie y se modera después, al ralentizarse el PIB.»</w:t>
      </w:r>
    </w:p>
    <w:bookmarkEnd w:id="61"/>
    <w:bookmarkStart w:id="68" w:name="inversi__n"/>
    <w:p>
      <w:pPr>
        <w:pStyle w:val="Heading4"/>
      </w:pPr>
      <w:r>
        <w:t xml:space="preserve">Inversión</w:t>
      </w:r>
    </w:p>
    <w:p>
      <w:pPr>
        <w:keepNext/>
        <w:numPr>
          <w:ilvl w:val="0"/>
          <w:numId w:val="1029"/>
        </w:numPr>
      </w:pPr>
      <w:r>
        <w:rPr>
          <w:i/>
          <w:iCs/>
        </w:rPr>
        <w:t xml:space="preserve">Qué incluye</w:t>
      </w:r>
      <w:r>
        <w:t xml:space="preserve">: 3 partidas</w:t>
      </w:r>
      <w:r>
        <w:t xml:space="preserve"> </w:t>
      </w:r>
      <w:r>
        <w:t xml:space="preserve">(</w:t>
      </w:r>
      <w:hyperlink w:anchor="ref_SEC2010">
        <w:r>
          <w:rPr>
            <w:rStyle w:val="Hyperlink"/>
            <w:smallCaps/>
          </w:rPr>
          <w:t xml:space="preserve">Parlamento Europeo y Consejo de la Unión Europea</w:t>
        </w:r>
        <w:r>
          <w:rPr>
            <w:rStyle w:val="Hyperlink"/>
          </w:rPr>
          <w:t xml:space="preserve">, 2013c</w:t>
        </w:r>
      </w:hyperlink>
      <w:r>
        <w:t xml:space="preserve">)</w:t>
      </w:r>
      <w:r>
        <w:t xml:space="preserve">:</w:t>
      </w:r>
    </w:p>
    <w:p>
      <w:pPr>
        <w:numPr>
          <w:ilvl w:val="1"/>
          <w:numId w:val="1030"/>
        </w:numPr>
      </w:pPr>
      <w:r>
        <w:t xml:space="preserve">la</w:t>
      </w:r>
      <w:r>
        <w:t xml:space="preserve"> </w:t>
      </w:r>
      <w:r>
        <w:rPr>
          <w:b/>
          <w:bCs/>
        </w:rPr>
        <w:t xml:space="preserve">formación bruta de capital fijo</w:t>
      </w:r>
      <w:r>
        <w:t xml:space="preserve"> </w:t>
      </w:r>
      <w:r>
        <w:t xml:space="preserve">(FBCF): adquisiciones menos cesiones de activos fijos por los productores residentes, más ciertos aumentos del valor de activos no producidos (como las mejoras de terrenos). Los activos fijos son activos producidos que se usan para producir durante más de un año.</w:t>
      </w:r>
      <w:r>
        <w:rPr>
          <w:rStyle w:val="FootnoteReference"/>
        </w:rPr>
        <w:footnoteReference w:id="62"/>
      </w:r>
      <w:r>
        <w:t xml:space="preserve"> </w:t>
      </w:r>
      <w:r>
        <w:t xml:space="preserve">La FBCF es la suma del</w:t>
      </w:r>
      <w:r>
        <w:t xml:space="preserve"> </w:t>
      </w:r>
      <w:r>
        <w:rPr>
          <w:i/>
          <w:iCs/>
        </w:rPr>
        <w:t xml:space="preserve">consumo de capital fijo</w:t>
      </w:r>
      <w:r>
        <w:t xml:space="preserve"> </w:t>
      </w:r>
      <w:r>
        <w:t xml:space="preserve">(la pérdida de valor de los activos por el desgaste normal y la obsolescencia) y la</w:t>
      </w:r>
      <w:r>
        <w:t xml:space="preserve"> </w:t>
      </w:r>
      <w:r>
        <w:rPr>
          <w:i/>
          <w:iCs/>
        </w:rPr>
        <w:t xml:space="preserve">formación neta de capital fijo</w:t>
      </w:r>
      <w:r>
        <w:t xml:space="preserve">.</w:t>
      </w:r>
      <w:r>
        <w:rPr>
          <w:rStyle w:val="FootnoteReference"/>
        </w:rPr>
        <w:footnoteReference w:id="64"/>
      </w:r>
    </w:p>
    <w:p>
      <w:pPr>
        <w:numPr>
          <w:ilvl w:val="1"/>
          <w:numId w:val="1030"/>
        </w:numPr>
      </w:pPr>
      <w:r>
        <w:t xml:space="preserve">la</w:t>
      </w:r>
      <w:r>
        <w:t xml:space="preserve"> </w:t>
      </w:r>
      <w:r>
        <w:rPr>
          <w:b/>
          <w:bCs/>
        </w:rPr>
        <w:t xml:space="preserve">variación de existencias</w:t>
      </w:r>
      <w:r>
        <w:t xml:space="preserve">: el valor de las entradas en existencias menos el de las salidas y el de las pérdidas corrientes de los bienes almacenados. Dependen de las expectativas y de los cambios transitorios de las ventas, y regulan la diferencia entre producción y ventas;</w:t>
      </w:r>
    </w:p>
    <w:p>
      <w:pPr>
        <w:numPr>
          <w:ilvl w:val="1"/>
          <w:numId w:val="1030"/>
        </w:numPr>
      </w:pPr>
      <w:r>
        <w:t xml:space="preserve">las adquisiciones menos cesiones de</w:t>
      </w:r>
      <w:r>
        <w:t xml:space="preserve"> </w:t>
      </w:r>
      <w:r>
        <w:rPr>
          <w:i/>
          <w:iCs/>
        </w:rPr>
        <w:t xml:space="preserve">objetos valiosos</w:t>
      </w:r>
      <w:r>
        <w:t xml:space="preserve">: bienes no financieros que no se usan para producir ni consumir, que no se deterioran con el tiempo y que se adquieren y mantienen sobre todo como depósito de valor (joyas, obras de arte).</w:t>
      </w:r>
    </w:p>
    <w:p>
      <w:pPr>
        <w:numPr>
          <w:ilvl w:val="0"/>
          <w:numId w:val="1029"/>
        </w:numPr>
      </w:pPr>
      <w:r>
        <w:rPr>
          <w:i/>
          <w:iCs/>
        </w:rPr>
        <w:t xml:space="preserve">Por qué importa</w:t>
      </w:r>
      <w:r>
        <w:t xml:space="preserve">: es demanda a corto plazo y oferta a largo, porque acumula capital y eleva el potencial</w:t>
      </w:r>
      <w:r>
        <w:t xml:space="preserve"> </w:t>
      </w:r>
      <w:hyperlink r:id="rId40">
        <w:r>
          <w:rPr>
            <w:rStyle w:val="Referenciaatema"/>
          </w:rPr>
          <w:t xml:space="preserve">[ver tema 3.A.45]</w:t>
        </w:r>
      </w:hyperlink>
      <w:r>
        <w:t xml:space="preserve">.</w:t>
      </w:r>
    </w:p>
    <w:p>
      <w:pPr>
        <w:keepNext/>
        <w:numPr>
          <w:ilvl w:val="0"/>
          <w:numId w:val="1029"/>
        </w:numPr>
      </w:pPr>
      <w:r>
        <w:rPr>
          <w:i/>
          <w:iCs/>
        </w:rPr>
        <w:t xml:space="preserve">Hechos estilizados</w:t>
      </w:r>
      <w:r>
        <w:t xml:space="preserve"> </w:t>
      </w:r>
      <w:r>
        <w:t xml:space="preserve">(comprobar si se cumplen):</w:t>
      </w:r>
    </w:p>
    <w:p>
      <w:pPr>
        <w:numPr>
          <w:ilvl w:val="1"/>
          <w:numId w:val="1031"/>
        </w:numPr>
      </w:pPr>
      <w:r>
        <w:rPr>
          <w:i/>
          <w:iCs/>
        </w:rPr>
        <w:t xml:space="preserve">Peso</w:t>
      </w:r>
      <w:r>
        <w:t xml:space="preserve">: en torno a una quinta parte del PIB; la FBCF fue el 21,5 % del PIB en la UE en 2025</w:t>
      </w:r>
      <w:r>
        <w:t xml:space="preserve"> </w:t>
      </w:r>
      <w:r>
        <w:t xml:space="preserve">(</w:t>
      </w:r>
      <w:hyperlink w:anchor="ref_Eurostat2026nama10gdp">
        <w:r>
          <w:rPr>
            <w:rStyle w:val="Hyperlink"/>
            <w:smallCaps/>
          </w:rPr>
          <w:t xml:space="preserve">Eurostat</w:t>
        </w:r>
        <w:r>
          <w:rPr>
            <w:rStyle w:val="Hyperlink"/>
          </w:rPr>
          <w:t xml:space="preserve">, 2026e</w:t>
        </w:r>
      </w:hyperlink>
      <w:r>
        <w:t xml:space="preserve">)</w:t>
      </w:r>
      <w:r>
        <w:t xml:space="preserve">.</w:t>
      </w:r>
    </w:p>
    <w:p>
      <w:pPr>
        <w:numPr>
          <w:ilvl w:val="1"/>
          <w:numId w:val="1031"/>
        </w:numPr>
      </w:pPr>
      <w:r>
        <w:rPr>
          <w:i/>
          <w:iCs/>
        </w:rPr>
        <w:t xml:space="preserve">Volatilidad</w:t>
      </w:r>
      <w:r>
        <w:t xml:space="preserve">: el componente más volátil, varias veces más que el PIB, por su dependencia de las expectativas (los</w:t>
      </w:r>
      <w:r>
        <w:t xml:space="preserve"> </w:t>
      </w:r>
      <w:r>
        <w:rPr>
          <w:i/>
          <w:iCs/>
        </w:rPr>
        <w:t xml:space="preserve">animal spirits</w:t>
      </w:r>
      <w:r>
        <w:t xml:space="preserve"> </w:t>
      </w:r>
      <w:r>
        <w:t xml:space="preserve">de</w:t>
      </w:r>
      <w:r>
        <w:t xml:space="preserve"> </w:t>
      </w:r>
      <w:r>
        <w:rPr>
          <w:smallCaps/>
        </w:rPr>
        <w:t xml:space="preserve">Keynes</w:t>
      </w:r>
      <w:r>
        <w:t xml:space="preserve"> </w:t>
      </w:r>
      <w:r>
        <w:t xml:space="preserve">(</w:t>
      </w:r>
      <w:hyperlink w:anchor="ref_Keynes1936">
        <w:r>
          <w:rPr>
            <w:rStyle w:val="Hyperlink"/>
          </w:rPr>
          <w:t xml:space="preserve">1936</w:t>
        </w:r>
      </w:hyperlink>
      <w:r>
        <w:t xml:space="preserve">)</w:t>
      </w:r>
      <w:r>
        <w:t xml:space="preserve">).</w:t>
      </w:r>
    </w:p>
    <w:p>
      <w:pPr>
        <w:numPr>
          <w:ilvl w:val="1"/>
          <w:numId w:val="1031"/>
        </w:numPr>
      </w:pPr>
      <w:r>
        <w:rPr>
          <w:i/>
          <w:iCs/>
        </w:rPr>
        <w:t xml:space="preserve">Comovimiento</w:t>
      </w:r>
      <w:r>
        <w:t xml:space="preserve">: procíclica; la inversión en equipo, contemporánea o algo retrasada, y la residencial, adelantada</w:t>
      </w:r>
      <w:r>
        <w:t xml:space="preserve"> </w:t>
      </w:r>
      <w:r>
        <w:t xml:space="preserve">(</w:t>
      </w:r>
      <w:hyperlink w:anchor="ref_StockWatson1999Ciclo">
        <w:r>
          <w:rPr>
            <w:rStyle w:val="Hyperlink"/>
            <w:smallCaps/>
          </w:rPr>
          <w:t xml:space="preserve">Stock</w:t>
        </w:r>
        <w:r>
          <w:rPr>
            <w:rStyle w:val="Hyperlink"/>
          </w:rPr>
          <w:t xml:space="preserve"> </w:t>
        </w:r>
        <w:r>
          <w:rPr>
            <w:rStyle w:val="Hyperlink"/>
          </w:rPr>
          <w:t xml:space="preserve">y</w:t>
        </w:r>
        <w:r>
          <w:rPr>
            <w:rStyle w:val="Hyperlink"/>
          </w:rPr>
          <w:t xml:space="preserve"> </w:t>
        </w:r>
        <w:r>
          <w:rPr>
            <w:rStyle w:val="Hyperlink"/>
            <w:smallCaps/>
          </w:rPr>
          <w:t xml:space="preserve">Watson</w:t>
        </w:r>
        <w:r>
          <w:rPr>
            <w:rStyle w:val="Hyperlink"/>
          </w:rPr>
          <w:t xml:space="preserve">, 1999</w:t>
        </w:r>
      </w:hyperlink>
      <w:r>
        <w:t xml:space="preserve">)</w:t>
      </w:r>
      <w:r>
        <w:t xml:space="preserve">.</w:t>
      </w:r>
    </w:p>
    <w:p>
      <w:pPr>
        <w:numPr>
          <w:ilvl w:val="1"/>
          <w:numId w:val="1031"/>
        </w:numPr>
      </w:pPr>
      <w:r>
        <w:rPr>
          <w:i/>
          <w:iCs/>
        </w:rPr>
        <w:t xml:space="preserve">Existencias</w:t>
      </w:r>
      <w:r>
        <w:t xml:space="preserve">: pesan poco, pero son muy volátiles y</w:t>
      </w:r>
      <w:r>
        <w:t xml:space="preserve"> </w:t>
      </w:r>
      <w:r>
        <w:rPr>
          <w:i/>
          <w:iCs/>
        </w:rPr>
        <w:t xml:space="preserve">procíclicas</w:t>
      </w:r>
      <w:r>
        <w:t xml:space="preserve">: en las recesiones las empresas dejan de reponerlas y eso explica buena parte de la caída del PIB</w:t>
      </w:r>
      <w:r>
        <w:t xml:space="preserve"> </w:t>
      </w:r>
      <w:r>
        <w:t xml:space="preserve">(</w:t>
      </w:r>
      <w:hyperlink w:anchor="ref_BlinderMaccini1991Existencias">
        <w:r>
          <w:rPr>
            <w:rStyle w:val="Hyperlink"/>
            <w:smallCaps/>
          </w:rPr>
          <w:t xml:space="preserve">Blinder</w:t>
        </w:r>
        <w:r>
          <w:rPr>
            <w:rStyle w:val="Hyperlink"/>
          </w:rPr>
          <w:t xml:space="preserve"> </w:t>
        </w:r>
        <w:r>
          <w:rPr>
            <w:rStyle w:val="Hyperlink"/>
          </w:rPr>
          <w:t xml:space="preserve">y</w:t>
        </w:r>
        <w:r>
          <w:rPr>
            <w:rStyle w:val="Hyperlink"/>
          </w:rPr>
          <w:t xml:space="preserve"> </w:t>
        </w:r>
        <w:r>
          <w:rPr>
            <w:rStyle w:val="Hyperlink"/>
            <w:smallCaps/>
          </w:rPr>
          <w:t xml:space="preserve">Maccini</w:t>
        </w:r>
        <w:r>
          <w:rPr>
            <w:rStyle w:val="Hyperlink"/>
          </w:rPr>
          <w:t xml:space="preserve">, 1991</w:t>
        </w:r>
      </w:hyperlink>
      <w:r>
        <w:t xml:space="preserve">)</w:t>
      </w:r>
      <w:r>
        <w:t xml:space="preserve">. A muy corto plazo amortiguan la demanda inesperada (si la demanda sube por sorpresa, primero caen las existencias), pero en el ciclo amplifican; una acumulación excesiva puede anunciar la fase bajista.</w:t>
      </w:r>
    </w:p>
    <w:p>
      <w:pPr>
        <w:numPr>
          <w:ilvl w:val="0"/>
          <w:numId w:val="1029"/>
        </w:numPr>
      </w:pPr>
      <w:r>
        <w:rPr>
          <w:i/>
          <w:iCs/>
        </w:rPr>
        <w:t xml:space="preserve">Determinantes</w:t>
      </w:r>
      <w:r>
        <w:t xml:space="preserve">, con su signo:</w:t>
      </w:r>
    </w:p>
    <w:p>
      <w:pPr>
        <w:pStyle w:val="Funcionclave"/>
        <w:keepLines/>
      </w:pPr>
      <m:oMathPara>
        <m:oMathParaPr>
          <m:jc m:val="center"/>
        </m:oMathParaPr>
        <m:oMath>
          <m:r>
            <m:t>I</m:t>
          </m:r>
          <m:r>
            <m:rPr>
              <m:sty m:val="p"/>
            </m:rPr>
            <m:t>=</m:t>
          </m:r>
          <m:r>
            <m:t>f</m:t>
          </m:r>
          <m:d>
            <m:dPr>
              <m:begChr m:val="("/>
              <m:sepChr m:val=""/>
              <m:endChr m:val=")"/>
              <m:grow/>
            </m:dPr>
            <m:e>
              <m:limUpp>
                <m:e>
                  <m:sSup>
                    <m:e>
                      <m:r>
                        <m:t>r</m:t>
                      </m:r>
                    </m:e>
                    <m:sup>
                      <m:r>
                        <m:t>l</m:t>
                      </m:r>
                      <m:r>
                        <m:t>p</m:t>
                      </m:r>
                    </m:sup>
                  </m:sSup>
                </m:e>
                <m:lim>
                  <m:r>
                    <m:rPr>
                      <m:sty m:val="p"/>
                    </m:rPr>
                    <m:t>−</m:t>
                  </m:r>
                </m:lim>
              </m:limUpp>
              <m:r>
                <m:rPr>
                  <m:sty m:val="p"/>
                </m:rPr>
                <m:t>,</m:t>
              </m:r>
              <m:r>
                <m:t> </m:t>
              </m:r>
              <m:limUpp>
                <m:e>
                  <m:sSubSup>
                    <m:e>
                      <m:r>
                        <m:t>γ</m:t>
                      </m:r>
                    </m:e>
                    <m:sub>
                      <m:r>
                        <m:t>Y</m:t>
                      </m:r>
                    </m:sub>
                    <m:sup>
                      <m:r>
                        <m:t>e</m:t>
                      </m:r>
                    </m:sup>
                  </m:sSubSup>
                </m:e>
                <m:lim>
                  <m:r>
                    <m:rPr>
                      <m:sty m:val="p"/>
                    </m:rPr>
                    <m:t>+</m:t>
                  </m:r>
                </m:lim>
              </m:limUpp>
              <m:r>
                <m:rPr>
                  <m:sty m:val="p"/>
                </m:rPr>
                <m:t>,</m:t>
              </m:r>
              <m:r>
                <m:t> </m:t>
              </m:r>
              <m:limUpp>
                <m:e>
                  <m:r>
                    <m:rPr>
                      <m:sty m:val="p"/>
                    </m:rPr>
                    <m:t>O</m:t>
                  </m:r>
                  <m:r>
                    <m:rPr>
                      <m:sty m:val="p"/>
                    </m:rPr>
                    <m:t>G</m:t>
                  </m:r>
                </m:e>
                <m:lim>
                  <m:r>
                    <m:rPr>
                      <m:sty m:val="p"/>
                    </m:rPr>
                    <m:t>+</m:t>
                  </m:r>
                </m:lim>
              </m:limUpp>
              <m:r>
                <m:rPr>
                  <m:sty m:val="p"/>
                </m:rPr>
                <m:t>,</m:t>
              </m:r>
              <m:r>
                <m:t> </m:t>
              </m:r>
              <m:limUpp>
                <m:e>
                  <m:r>
                    <m:t>D</m:t>
                  </m:r>
                </m:e>
                <m:lim>
                  <m:r>
                    <m:rPr>
                      <m:sty m:val="p"/>
                    </m:rPr>
                    <m:t>+</m:t>
                  </m:r>
                </m:lim>
              </m:limUpp>
              <m:r>
                <m:rPr>
                  <m:sty m:val="p"/>
                </m:rPr>
                <m:t>,</m:t>
              </m:r>
              <m:r>
                <m:t> </m:t>
              </m:r>
              <m:limUpp>
                <m:e>
                  <m:r>
                    <m:rPr>
                      <m:sty m:val="p"/>
                    </m:rPr>
                    <m:t>E</m:t>
                  </m:r>
                  <m:r>
                    <m:rPr>
                      <m:sty m:val="p"/>
                    </m:rPr>
                    <m:t>B</m:t>
                  </m:r>
                  <m:r>
                    <m:rPr>
                      <m:sty m:val="p"/>
                    </m:rPr>
                    <m:t>E</m:t>
                  </m:r>
                </m:e>
                <m:lim>
                  <m:r>
                    <m:rPr>
                      <m:sty m:val="p"/>
                    </m:rPr>
                    <m:t>+</m:t>
                  </m:r>
                </m:lim>
              </m:limUpp>
              <m:r>
                <m:rPr>
                  <m:sty m:val="p"/>
                </m:rPr>
                <m:t>,</m:t>
              </m:r>
              <m:r>
                <m:t> </m:t>
              </m:r>
              <m:limUpp>
                <m:e>
                  <m:r>
                    <m:t>π</m:t>
                  </m:r>
                </m:e>
                <m:lim>
                  <m:r>
                    <m:rPr>
                      <m:sty m:val="p"/>
                    </m:rPr>
                    <m:t>−</m:t>
                  </m:r>
                </m:lim>
              </m:limUpp>
              <m:r>
                <m:rPr>
                  <m:sty m:val="p"/>
                </m:rPr>
                <m:t>,</m:t>
              </m:r>
              <m:r>
                <m:t> </m:t>
              </m:r>
              <m:limUpp>
                <m:e>
                  <m:sSup>
                    <m:e>
                      <m:r>
                        <m:t>π</m:t>
                      </m:r>
                    </m:e>
                    <m:sup>
                      <m:r>
                        <m:t>e</m:t>
                      </m:r>
                    </m:sup>
                  </m:sSup>
                </m:e>
                <m:lim>
                  <m:r>
                    <m:rPr>
                      <m:sty m:val="p"/>
                    </m:rPr>
                    <m:t>+</m:t>
                  </m:r>
                </m:lim>
              </m:limUpp>
              <m:r>
                <m:rPr>
                  <m:sty m:val="p"/>
                </m:rPr>
                <m:t>,</m:t>
              </m:r>
              <m:r>
                <m:t> </m:t>
              </m:r>
              <m:limUpp>
                <m:e>
                  <m:r>
                    <m:rPr>
                      <m:nor/>
                      <m:sty m:val="p"/>
                    </m:rPr>
                    <m:t>crédito</m:t>
                  </m:r>
                </m:e>
                <m:lim>
                  <m:r>
                    <m:rPr>
                      <m:sty m:val="p"/>
                    </m:rPr>
                    <m:t>+</m:t>
                  </m:r>
                </m:lim>
              </m:limUpp>
              <m:r>
                <m:rPr>
                  <m:sty m:val="p"/>
                </m:rPr>
                <m:t>,</m:t>
              </m:r>
              <m:r>
                <m:t> </m:t>
              </m:r>
              <m:limUpp>
                <m:e>
                  <m:r>
                    <m:rPr>
                      <m:nor/>
                      <m:sty m:val="p"/>
                    </m:rPr>
                    <m:t>incertidumbre</m:t>
                  </m:r>
                </m:e>
                <m:lim>
                  <m:r>
                    <m:rPr>
                      <m:sty m:val="p"/>
                    </m:rPr>
                    <m:t>−</m:t>
                  </m:r>
                </m:lim>
              </m:limUpp>
              <m:r>
                <m:rPr>
                  <m:sty m:val="p"/>
                </m:rPr>
                <m:t>,</m:t>
              </m:r>
              <m:r>
                <m:t> </m:t>
              </m:r>
              <m:limUpp>
                <m:e>
                  <m:r>
                    <m:rPr>
                      <m:nor/>
                      <m:sty m:val="p"/>
                    </m:rPr>
                    <m:t>expectativas</m:t>
                  </m:r>
                </m:e>
                <m:lim>
                  <m:r>
                    <m:rPr>
                      <m:sty m:val="p"/>
                    </m:rPr>
                    <m:t>+</m:t>
                  </m:r>
                </m:lim>
              </m:limUpp>
            </m:e>
          </m:d>
        </m:oMath>
      </m:oMathPara>
    </w:p>
    <w:p>
      <w:pPr>
        <w:numPr>
          <w:ilvl w:val="1"/>
          <w:numId w:val="1032"/>
        </w:numPr>
      </w:pPr>
      <w:r>
        <w:rPr>
          <w:i/>
          <w:iCs/>
        </w:rPr>
        <w:t xml:space="preserve">Positivos</w:t>
      </w:r>
      <w:r>
        <w:t xml:space="preserve">: crecimiento esperado del PIB y de la demanda interna y externa (</w:t>
      </w:r>
      <m:oMath>
        <m:r>
          <m:t>D</m:t>
        </m:r>
      </m:oMath>
      <w:r>
        <w:t xml:space="preserve">: la evolución de la demanda guía las decisiones de producir e invertir);</w:t>
      </w:r>
      <w:r>
        <w:t xml:space="preserve"> </w:t>
      </w:r>
      <w:r>
        <w:rPr>
          <w:i/>
          <w:iCs/>
        </w:rPr>
        <w:t xml:space="preserve">brecha de producción y grado de utilización de la capacidad</w:t>
      </w:r>
      <w:r>
        <w:t xml:space="preserve">, porque con la brecha positiva las empresas necesitan ampliar capacidad (acelerador); rentabilidad empresarial (</w:t>
      </w:r>
      <w:r>
        <w:rPr>
          <w:i/>
          <w:iCs/>
        </w:rPr>
        <w:t xml:space="preserve">excedente bruto de explotación</w:t>
      </w:r>
      <w:r>
        <w:t xml:space="preserve">, EBE), que sube con los precios de venta o con menores costes unitarios; si el cuadro no da el EBE, se aproxima con el margen,</w:t>
      </w:r>
      <w:r>
        <w:t xml:space="preserve"> </w:t>
      </w:r>
      <m:oMath>
        <m:sSub>
          <m:e>
            <m:r>
              <m:t>γ</m:t>
            </m:r>
          </m:e>
          <m:sub>
            <m:r>
              <m:t>1</m:t>
            </m:r>
            <m:r>
              <m:rPr>
                <m:sty m:val="p"/>
              </m:rPr>
              <m:t>+</m:t>
            </m:r>
            <m:r>
              <m:t>μ</m:t>
            </m:r>
          </m:sub>
        </m:sSub>
        <m:r>
          <m:rPr>
            <m:sty m:val="p"/>
          </m:rPr>
          <m:t>≈</m:t>
        </m:r>
        <m:sSub>
          <m:e>
            <m:r>
              <m:t>γ</m:t>
            </m:r>
          </m:e>
          <m:sub>
            <m:r>
              <m:t>P</m:t>
            </m:r>
          </m:sub>
        </m:sSub>
        <m:r>
          <m:rPr>
            <m:sty m:val="p"/>
          </m:rPr>
          <m:t>−</m:t>
        </m:r>
        <m:sSub>
          <m:e>
            <m:r>
              <m:t>γ</m:t>
            </m:r>
          </m:e>
          <m:sub>
            <m:r>
              <m:rPr>
                <m:sty m:val="p"/>
              </m:rPr>
              <m:t>C</m:t>
            </m:r>
            <m:r>
              <m:rPr>
                <m:sty m:val="p"/>
              </m:rPr>
              <m:t>L</m:t>
            </m:r>
            <m:r>
              <m:rPr>
                <m:sty m:val="p"/>
              </m:rPr>
              <m:t>U</m:t>
            </m:r>
          </m:sub>
        </m:sSub>
      </m:oMath>
      <w:r>
        <w:t xml:space="preserve">, con el deflactor del PIB, que es el precio relevante para las empresas (apartado </w:t>
      </w:r>
      <w:hyperlink w:anchor="sec_trabajo">
        <w:r>
          <w:rPr>
            <w:rStyle w:val="Hyperlink"/>
          </w:rPr>
          <w:t xml:space="preserve">II.1</w:t>
        </w:r>
      </w:hyperlink>
      <w:r>
        <w:t xml:space="preserve">); incentivos fiscales; crédito; inflación esperada (abarata el tipo real); expectativas (</w:t>
      </w:r>
      <w:r>
        <w:rPr>
          <w:i/>
          <w:iCs/>
        </w:rPr>
        <w:t xml:space="preserve">animal spirits</w:t>
      </w:r>
      <w:r>
        <w:t xml:space="preserve">: confianza empresarial, estabilidad del cuadro macroeconómico, bolsa, curva de tipos).</w:t>
      </w:r>
    </w:p>
    <w:p>
      <w:pPr>
        <w:numPr>
          <w:ilvl w:val="1"/>
          <w:numId w:val="1032"/>
        </w:numPr>
      </w:pPr>
      <w:r>
        <w:rPr>
          <w:i/>
          <w:iCs/>
        </w:rPr>
        <w:t xml:space="preserve">Negativos</w:t>
      </w:r>
      <w:r>
        <w:t xml:space="preserve">: tipo de interés real a largo plazo;</w:t>
      </w:r>
      <w:r>
        <w:rPr>
          <w:rStyle w:val="FootnoteReference"/>
        </w:rPr>
        <w:footnoteReference w:id="65"/>
      </w:r>
      <w:r>
        <w:t xml:space="preserve"> </w:t>
      </w:r>
      <w:r>
        <w:t xml:space="preserve">inflación actual (encarece los costes y aumenta la incertidumbre); costes de construcción y precio real del equipo; incertidumbre económica y política.</w:t>
      </w:r>
      <w:r>
        <w:rPr>
          <w:rStyle w:val="FootnoteReference"/>
        </w:rPr>
        <w:footnoteReference w:id="66"/>
      </w:r>
    </w:p>
    <w:p>
      <w:pPr>
        <w:numPr>
          <w:ilvl w:val="1"/>
          <w:numId w:val="1032"/>
        </w:numPr>
      </w:pPr>
      <w:r>
        <w:rPr>
          <w:i/>
          <w:iCs/>
        </w:rPr>
        <w:t xml:space="preserve">Expulsión</w:t>
      </w:r>
      <w:r>
        <w:t xml:space="preserve"> </w:t>
      </w:r>
      <w:r>
        <w:t xml:space="preserve">(</w:t>
      </w:r>
      <w:r>
        <w:rPr>
          <w:i/>
          <w:iCs/>
        </w:rPr>
        <w:t xml:space="preserve">crowding-out</w:t>
      </w:r>
      <w:r>
        <w:t xml:space="preserve">): con déficit público alto y tipos al alza, el endeudamiento público puede detraer financiación a la inversión privada.</w:t>
      </w:r>
    </w:p>
    <w:p>
      <w:pPr>
        <w:numPr>
          <w:ilvl w:val="1"/>
          <w:numId w:val="1032"/>
        </w:numPr>
      </w:pPr>
      <w:r>
        <w:t xml:space="preserve">Si el cuadro no da indicadores de expectativas, se pueden mencionar como posible factor, con condicionales («es posible que el crecimiento del resto del mundo esté generando unas expectativas que expliquen la inversión»).</w:t>
      </w:r>
    </w:p>
    <w:p>
      <w:pPr>
        <w:numPr>
          <w:ilvl w:val="0"/>
          <w:numId w:val="1029"/>
        </w:numPr>
      </w:pPr>
      <w:r>
        <w:rPr>
          <w:i/>
          <w:iCs/>
        </w:rPr>
        <w:t xml:space="preserve">Tema</w:t>
      </w:r>
      <w:r>
        <w:t xml:space="preserve">:</w:t>
      </w:r>
      <w:r>
        <w:t xml:space="preserve"> </w:t>
      </w:r>
      <w:hyperlink r:id="rId67">
        <w:r>
          <w:rPr>
            <w:rStyle w:val="Referenciaatema"/>
          </w:rPr>
          <w:t xml:space="preserve">[ver tema 3.A.34]</w:t>
        </w:r>
      </w:hyperlink>
      <w:r>
        <w:t xml:space="preserve"> </w:t>
      </w:r>
      <w:hyperlink r:id="rId49">
        <w:r>
          <w:rPr>
            <w:rStyle w:val="Referenciaatema"/>
          </w:rPr>
          <w:t xml:space="preserve">[ver tema 4.A.29]</w:t>
        </w:r>
      </w:hyperlink>
      <w:r>
        <w:t xml:space="preserve">.</w:t>
      </w:r>
    </w:p>
    <w:p>
      <w:pPr>
        <w:pStyle w:val="Cajadeanotaciones"/>
        <w:keepNext/>
        <w:keepLines/>
      </w:pPr>
      <w:r>
        <w:rPr>
          <w:b/>
          <w:bCs/>
        </w:rPr>
        <w:t xml:space="preserve">Ejemplo de redacción: la inversión.</w:t>
      </w:r>
      <w:r>
        <w:t xml:space="preserve"> </w:t>
      </w:r>
      <w:r>
        <w:t xml:space="preserve">«La inversión se muestra, como es habitual, como el componente más volátil del PIB: la serie tiene una amplitud de x puntos porcentuales. Su evolución parece explicarse en parte por el flujo de crédito al sector privado y por el tipo de interés real a corto plazo (el nominal a corto menos la inflación, a falta del tipo a largo y de las expectativas de inflación): los años en que más cae la inversión coinciden con caídas del crédito privado, y los de crecimiento de la formación bruta de capital, con tipos reales negativos. Es posible que las expectativas también influyan en las decisiones de inversión.»</w:t>
      </w:r>
    </w:p>
    <w:p>
      <w:pPr>
        <w:pStyle w:val="Cajadeanotaciones"/>
        <w:keepLines/>
      </w:pPr>
      <w:r>
        <w:t xml:space="preserve">«La inversión se muestra volátil a lo largo de la serie: crece con fuerza en la primera mitad del ciclo y se reduce a partir de 20xx, anticipando la recesión.»</w:t>
      </w:r>
    </w:p>
    <w:p>
      <w:pPr>
        <w:pStyle w:val="Notaalopositor"/>
        <w:keepLines/>
      </w:pPr>
      <w:r>
        <w:rPr>
          <w:b/>
          <w:bCs/>
        </w:rPr>
        <w:t xml:space="preserve">Nota al opositor. </w:t>
      </w:r>
      <w:r>
        <w:t xml:space="preserve">Los determinantes del consumo y de la inversión se preguntaron en 2023 y 2026</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se contestan con la lista de determinantes, eligiendo los 2 o 3 que el cuadro permite ver y diciendo con condicionales cuáles faltan.</w:t>
      </w:r>
    </w:p>
    <w:bookmarkEnd w:id="68"/>
    <w:bookmarkStart w:id="69" w:name="consumo_e_inversi__n_p__blicos"/>
    <w:p>
      <w:pPr>
        <w:pStyle w:val="Heading4"/>
      </w:pPr>
      <w:r>
        <w:t xml:space="preserve">Consumo e inversión públicos</w:t>
      </w:r>
    </w:p>
    <w:p>
      <w:pPr>
        <w:numPr>
          <w:ilvl w:val="0"/>
          <w:numId w:val="1033"/>
        </w:numPr>
      </w:pPr>
      <w:r>
        <w:rPr>
          <w:i/>
          <w:iCs/>
        </w:rPr>
        <w:t xml:space="preserve">Qué incluyen</w:t>
      </w:r>
      <w:r>
        <w:t xml:space="preserve">: el consumo público son sobre todo los gastos de personal y las compras de bienes y servicios de las administraciones; la inversión pública, las infraestructuras y el equipamiento (dentro de la FBCF).</w:t>
      </w:r>
    </w:p>
    <w:p>
      <w:pPr>
        <w:numPr>
          <w:ilvl w:val="0"/>
          <w:numId w:val="1033"/>
        </w:numPr>
      </w:pPr>
      <w:r>
        <w:rPr>
          <w:i/>
          <w:iCs/>
        </w:rPr>
        <w:t xml:space="preserve">Cómo se leen</w:t>
      </w:r>
      <w:r>
        <w:t xml:space="preserve">: responden sobre todo a decisiones políticas. En las economías avanzadas el consumo público es acíclico o algo contracíclico (crece en las recesiones, como en 2020); en muchos emergentes es procíclico, porque el Estado gasta cuando entra financiación y recorta cuando se corta</w:t>
      </w:r>
      <w:r>
        <w:t xml:space="preserve"> </w:t>
      </w:r>
      <w:r>
        <w:t xml:space="preserve">(</w:t>
      </w:r>
      <w:hyperlink w:anchor="ref_Kaminsky2004Rains">
        <w:r>
          <w:rPr>
            <w:rStyle w:val="Hyperlink"/>
            <w:smallCaps/>
          </w:rPr>
          <w:t xml:space="preserve">Kaminsky</w:t>
        </w:r>
        <w:r>
          <w:rPr>
            <w:rStyle w:val="Hyperlink"/>
          </w:rPr>
          <w:t xml:space="preserve">,</w:t>
        </w:r>
        <w:r>
          <w:rPr>
            <w:rStyle w:val="Hyperlink"/>
          </w:rPr>
          <w:t xml:space="preserve"> </w:t>
        </w:r>
        <w:r>
          <w:rPr>
            <w:rStyle w:val="Hyperlink"/>
            <w:smallCaps/>
          </w:rPr>
          <w:t xml:space="preserve">Reinhart</w:t>
        </w:r>
        <w:r>
          <w:rPr>
            <w:rStyle w:val="Hyperlink"/>
          </w:rPr>
          <w:t xml:space="preserve"> </w:t>
        </w:r>
        <w:r>
          <w:rPr>
            <w:rStyle w:val="Hyperlink"/>
          </w:rPr>
          <w:t xml:space="preserve">y</w:t>
        </w:r>
        <w:r>
          <w:rPr>
            <w:rStyle w:val="Hyperlink"/>
          </w:rPr>
          <w:t xml:space="preserve"> </w:t>
        </w:r>
        <w:r>
          <w:rPr>
            <w:rStyle w:val="Hyperlink"/>
            <w:smallCaps/>
          </w:rPr>
          <w:t xml:space="preserve">Végh</w:t>
        </w:r>
        <w:r>
          <w:rPr>
            <w:rStyle w:val="Hyperlink"/>
          </w:rPr>
          <w:t xml:space="preserve">, 2004</w:t>
        </w:r>
      </w:hyperlink>
      <w:r>
        <w:t xml:space="preserve">)</w:t>
      </w:r>
      <w:r>
        <w:t xml:space="preserve">. Si sube con fuerza en una recesión, lo probable es una respuesta discrecional, que se analiza en la pregunta de política fiscal (apartado </w:t>
      </w:r>
      <w:hyperlink w:anchor="sec_fiscal">
        <w:r>
          <w:rPr>
            <w:rStyle w:val="Hyperlink"/>
          </w:rPr>
          <w:t xml:space="preserve">V.3</w:t>
        </w:r>
      </w:hyperlink>
      <w:r>
        <w:t xml:space="preserve">).</w:t>
      </w:r>
    </w:p>
    <w:p>
      <w:pPr>
        <w:numPr>
          <w:ilvl w:val="0"/>
          <w:numId w:val="1033"/>
        </w:numPr>
      </w:pPr>
      <w:r>
        <w:t xml:space="preserve">La inversión pública suele incluirse en la inversión en construcción. Puede arrastrar a la privada (infraestructuras que la hacen rentable) o expulsarla: por superposición (expulsión real) o porque el endeudamiento público detrae financiación (expulsión financiera).</w:t>
      </w:r>
    </w:p>
    <w:p>
      <w:pPr>
        <w:numPr>
          <w:ilvl w:val="0"/>
          <w:numId w:val="1033"/>
        </w:numPr>
      </w:pPr>
      <w:r>
        <w:t xml:space="preserve">Hay poco que contar salvo que se vea algo raro: su peso depende del papel del sector público en esa economía, y en general solo puede decirse que refuerzan o compensan a los demás componentes. Si es relevante, se relacionan brevemente con el déficit y la deuda.</w:t>
      </w:r>
    </w:p>
    <w:p>
      <w:pPr>
        <w:pStyle w:val="Cajadeanotaciones"/>
        <w:keepLines/>
      </w:pPr>
      <w:r>
        <w:rPr>
          <w:b/>
          <w:bCs/>
        </w:rPr>
        <w:t xml:space="preserve">Ejemplo de redacción: consumo e inversión públicos.</w:t>
      </w:r>
      <w:r>
        <w:t xml:space="preserve"> </w:t>
      </w:r>
      <w:r>
        <w:t xml:space="preserve">«Los otros 2 componentes de la demanda nacional, el consumo y la inversión públicos, pertenecen al ámbito de la política fiscal y se analizarán con más detalle en la pregunta correspondiente. Baste señalar aquí que la inversión pública muestra un comportamiento algo errático y el consumo público, tasas de variación moderadas; llama la atención el fuerte crecimiento de ambos en 20xx, el año de la crisis, probablemente con una intención contracíclica.»</w:t>
      </w:r>
    </w:p>
    <w:bookmarkEnd w:id="69"/>
    <w:bookmarkStart w:id="71" w:name="demanda_externa"/>
    <w:p>
      <w:pPr>
        <w:pStyle w:val="Heading4"/>
      </w:pPr>
      <w:r>
        <w:t xml:space="preserve">Demanda externa</w:t>
      </w:r>
    </w:p>
    <w:p>
      <w:pPr>
        <w:numPr>
          <w:ilvl w:val="0"/>
          <w:numId w:val="1034"/>
        </w:numPr>
      </w:pPr>
      <w:r>
        <w:t xml:space="preserve">En el perfil cíclico se comenta en 1 o 2 frases: su contribución y si la explican las exportaciones o las importaciones. Si faltan los datos de bienes y servicios, se usa la balanza comercial, diciéndolo. Sus determinantes (las funciones de exportaciones e importaciones) se analizan en el sector exterior (apartado </w:t>
      </w:r>
      <w:hyperlink w:anchor="sec_cuenta_corriente">
        <w:r>
          <w:rPr>
            <w:rStyle w:val="Hyperlink"/>
          </w:rPr>
          <w:t xml:space="preserve">IV.1</w:t>
        </w:r>
      </w:hyperlink>
      <w:r>
        <w:t xml:space="preserve">); el comercio mundial, más volátil que el PIB, en el gráfico </w:t>
      </w:r>
      <w:hyperlink w:anchor="fig_pib_comercio_mundial">
        <w:r>
          <w:rPr>
            <w:rStyle w:val="Hyperlink"/>
          </w:rPr>
          <w:t xml:space="preserve">8</w:t>
        </w:r>
      </w:hyperlink>
      <w:r>
        <w:t xml:space="preserve">, en los anexos.</w:t>
      </w:r>
      <w:r>
        <w:rPr>
          <w:rStyle w:val="FootnoteReference"/>
        </w:rPr>
        <w:footnoteReference w:id="70"/>
      </w:r>
    </w:p>
    <w:p>
      <w:pPr>
        <w:pStyle w:val="Cajadeanotaciones"/>
        <w:keepLines/>
      </w:pPr>
      <w:r>
        <w:rPr>
          <w:b/>
          <w:bCs/>
        </w:rPr>
        <w:t xml:space="preserve">Ejemplo de redacción: la demanda externa en el perfil cíclico.</w:t>
      </w:r>
      <w:r>
        <w:t xml:space="preserve"> </w:t>
      </w:r>
      <w:r>
        <w:t xml:space="preserve">«Tras el análisis de la demanda interna, pasamos al de la evolución del PIB desde el punto de vista de la demanda externa, que integra exportaciones e importaciones. La demanda externa neta ha alternado, entre 20xx y 20xx, contribuciones negativas con aportaciones nulas o ligeramente positivas, con un comportamiento más errático que el de la demanda nacional. No hay que perder de vista que un factor importante de los flujos comerciales es la competitividad no precio (calidad, imagen de marca, diferenciación), sobre la que el cuadro no da datos.»</w:t>
      </w:r>
    </w:p>
    <w:p>
      <w:pPr>
        <w:pStyle w:val="Notaalopositor"/>
        <w:keepLines/>
      </w:pPr>
      <w:r>
        <w:rPr>
          <w:b/>
          <w:bCs/>
        </w:rPr>
        <w:t xml:space="preserve">Nota al opositor. </w:t>
      </w:r>
      <w:r>
        <w:t xml:space="preserve">En el perfil cíclico, la demanda externa se comenta en 1 o 2 frases; sus determinantes, la competitividad y la balanza de pagos van en la pregunta del sector exterior. Así se evita contar 2 veces lo mismo.</w:t>
      </w:r>
    </w:p>
    <w:bookmarkEnd w:id="71"/>
    <w:bookmarkEnd w:id="72"/>
    <w:bookmarkStart w:id="81" w:name="sec_oferta"/>
    <w:p>
      <w:pPr>
        <w:pStyle w:val="Heading2"/>
      </w:pPr>
      <w:r>
        <w:t xml:space="preserve">I.5.</w:t>
      </w:r>
      <w:r>
        <w:t xml:space="preserve"> </w:t>
      </w:r>
      <w:r>
        <w:t xml:space="preserve">Oferta</w:t>
      </w:r>
    </w:p>
    <w:p>
      <w:pPr>
        <w:numPr>
          <w:ilvl w:val="0"/>
          <w:numId w:val="1035"/>
        </w:numPr>
      </w:pPr>
      <w:r>
        <w:t xml:space="preserve">La idea: el lado de la oferta explica el PIB por el enfoque de la producción. A corto plazo la economía depende de la demanda; a largo plazo, de la oferta. Da 2 ideas: si se crece con productividad o con más factores, y qué sectores tiran.</w:t>
      </w:r>
    </w:p>
    <w:p>
      <w:pPr>
        <w:pStyle w:val="Notaalopositor"/>
        <w:keepLines/>
      </w:pPr>
      <w:r>
        <w:rPr>
          <w:b/>
          <w:bCs/>
        </w:rPr>
        <w:t xml:space="preserve">Nota al opositor. </w:t>
      </w:r>
      <w:r>
        <w:t xml:space="preserve">La oferta se pregunta menos que la demanda (2013, 2014 y 2024; el sector petrolero en 2016 y 2025)</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pero un par de frases sobre empleo frente a productividad y sobre los sectores completan cualquier perfil cíclico.</w:t>
      </w:r>
    </w:p>
    <w:bookmarkStart w:id="74" w:name="motor_de_crecimiento_productividad_52659"/>
    <w:p>
      <w:pPr>
        <w:pStyle w:val="Heading4"/>
      </w:pPr>
      <w:r>
        <w:t xml:space="preserve">Motor de crecimiento: productividad o acumulación de factores</w:t>
      </w:r>
    </w:p>
    <w:p>
      <w:pPr>
        <w:numPr>
          <w:ilvl w:val="0"/>
          <w:numId w:val="1036"/>
        </w:numPr>
      </w:pPr>
      <w:r>
        <w:rPr>
          <w:i/>
          <w:iCs/>
        </w:rPr>
        <w:t xml:space="preserve">Qué mide</w:t>
      </w:r>
      <w:r>
        <w:t xml:space="preserve">: si el crecimiento se basa en mejoras de la productividad o en más trabajo y capital.</w:t>
      </w:r>
    </w:p>
    <w:p>
      <w:pPr>
        <w:numPr>
          <w:ilvl w:val="0"/>
          <w:numId w:val="1036"/>
        </w:numPr>
      </w:pPr>
      <w:r>
        <w:rPr>
          <w:i/>
          <w:iCs/>
        </w:rPr>
        <w:t xml:space="preserve">Cómo se calcula</w:t>
      </w:r>
      <w:r>
        <w:t xml:space="preserve">: con una función de producción</w:t>
      </w:r>
      <w:r>
        <w:t xml:space="preserve"> </w:t>
      </w:r>
      <m:oMath>
        <m:r>
          <m:t>Y</m:t>
        </m:r>
        <m:r>
          <m:rPr>
            <m:sty m:val="p"/>
          </m:rPr>
          <m:t>=</m:t>
        </m:r>
        <m:r>
          <m:t>F</m:t>
        </m:r>
        <m:d>
          <m:dPr>
            <m:begChr m:val="("/>
            <m:sepChr m:val=""/>
            <m:endChr m:val=")"/>
            <m:grow/>
          </m:dPr>
          <m:e>
            <m:r>
              <m:t>A</m:t>
            </m:r>
            <m:r>
              <m:rPr>
                <m:sty m:val="p"/>
              </m:rPr>
              <m:t>,</m:t>
            </m:r>
            <m:r>
              <m:t>K</m:t>
            </m:r>
            <m:r>
              <m:rPr>
                <m:sty m:val="p"/>
              </m:rPr>
              <m:t>,</m:t>
            </m:r>
            <m:r>
              <m:t>L</m:t>
            </m:r>
          </m:e>
        </m:d>
      </m:oMath>
      <w:r>
        <w:t xml:space="preserve">, la contabilidad del crecimiento descompone</w:t>
      </w:r>
    </w:p>
    <w:p>
      <w:pPr>
        <w:pStyle w:val="BodyText"/>
        <w:keepNext/>
      </w:pPr>
      <m:oMathPara>
        <m:oMathParaPr>
          <m:jc m:val="center"/>
        </m:oMathParaPr>
        <m:oMath>
          <m:sSub>
            <m:e>
              <m:r>
                <m:t>γ</m:t>
              </m:r>
            </m:e>
            <m:sub>
              <m:r>
                <m:t>Y</m:t>
              </m:r>
            </m:sub>
          </m:sSub>
          <m:r>
            <m:rPr>
              <m:sty m:val="p"/>
            </m:rPr>
            <m:t>=</m:t>
          </m:r>
          <m:sSub>
            <m:e>
              <m:r>
                <m:t>γ</m:t>
              </m:r>
            </m:e>
            <m:sub>
              <m:r>
                <m:t>A</m:t>
              </m:r>
            </m:sub>
          </m:sSub>
          <m:r>
            <m:rPr>
              <m:sty m:val="p"/>
            </m:rPr>
            <m:t>+</m:t>
          </m:r>
          <m:r>
            <m:t>α</m:t>
          </m:r>
          <m:r>
            <m:t> </m:t>
          </m:r>
          <m:sSub>
            <m:e>
              <m:r>
                <m:t>γ</m:t>
              </m:r>
            </m:e>
            <m:sub>
              <m:r>
                <m:t>K</m:t>
              </m:r>
            </m:sub>
          </m:sSub>
          <m:r>
            <m:rPr>
              <m:sty m:val="p"/>
            </m:rPr>
            <m:t>+</m:t>
          </m:r>
          <m:d>
            <m:dPr>
              <m:begChr m:val="("/>
              <m:sepChr m:val=""/>
              <m:endChr m:val=")"/>
              <m:grow/>
            </m:dPr>
            <m:e>
              <m:r>
                <m:t>1</m:t>
              </m:r>
              <m:r>
                <m:rPr>
                  <m:sty m:val="p"/>
                </m:rPr>
                <m:t>−</m:t>
              </m:r>
              <m:r>
                <m:t>α</m:t>
              </m:r>
            </m:e>
          </m:d>
          <m:r>
            <m:t> </m:t>
          </m:r>
          <m:sSub>
            <m:e>
              <m:r>
                <m:t>γ</m:t>
              </m:r>
            </m:e>
            <m:sub>
              <m:r>
                <m:t>L</m:t>
              </m:r>
            </m:sub>
          </m:sSub>
          <m:r>
            <m:rPr>
              <m:sty m:val="p"/>
            </m:rPr>
            <m:t>,</m:t>
          </m:r>
        </m:oMath>
      </m:oMathPara>
    </w:p>
    <w:p>
      <w:pPr>
        <w:numPr>
          <w:ilvl w:val="0"/>
          <w:numId w:val="1000"/>
        </w:numPr>
      </w:pPr>
      <w:r>
        <w:t xml:space="preserve">con</w:t>
      </w:r>
      <w:r>
        <w:t xml:space="preserve"> </w:t>
      </w:r>
      <m:oMath>
        <m:r>
          <m:t>α</m:t>
        </m:r>
      </m:oMath>
      <w:r>
        <w:t xml:space="preserve"> </w:t>
      </w:r>
      <w:r>
        <w:t xml:space="preserve">la participación del capital en la renta y</w:t>
      </w:r>
      <w:r>
        <w:t xml:space="preserve"> </w:t>
      </w:r>
      <m:oMath>
        <m:sSub>
          <m:e>
            <m:r>
              <m:t>γ</m:t>
            </m:r>
          </m:e>
          <m:sub>
            <m:r>
              <m:t>A</m:t>
            </m:r>
          </m:sub>
        </m:sSub>
      </m:oMath>
      <w:r>
        <w:t xml:space="preserve"> </w:t>
      </w:r>
      <w:r>
        <w:t xml:space="preserve">el crecimiento de la productividad total de los factores</w:t>
      </w:r>
      <w:r>
        <w:t xml:space="preserve"> </w:t>
      </w:r>
      <w:hyperlink r:id="rId40">
        <w:r>
          <w:rPr>
            <w:rStyle w:val="Referenciaatema"/>
          </w:rPr>
          <w:t xml:space="preserve">[ver tema 3.A.45]</w:t>
        </w:r>
      </w:hyperlink>
      <w:r>
        <w:t xml:space="preserve">. Como el cuadro casi nunca da el capital ni la productividad total, se usa la</w:t>
      </w:r>
      <w:r>
        <w:t xml:space="preserve"> </w:t>
      </w:r>
      <w:r>
        <w:rPr>
          <w:b/>
          <w:bCs/>
        </w:rPr>
        <w:t xml:space="preserve">productividad aparente del trabajo</w:t>
      </w:r>
      <w:r>
        <w:t xml:space="preserve"> </w:t>
      </w:r>
      <w:r>
        <w:t xml:space="preserve">(PAT),</w:t>
      </w:r>
      <w:r>
        <w:t xml:space="preserve"> </w:t>
      </w:r>
      <m:oMath>
        <m:r>
          <m:rPr>
            <m:sty m:val="p"/>
          </m:rPr>
          <m:t>P</m:t>
        </m:r>
        <m:r>
          <m:rPr>
            <m:sty m:val="p"/>
          </m:rPr>
          <m:t>A</m:t>
        </m:r>
        <m:r>
          <m:rPr>
            <m:sty m:val="p"/>
          </m:rPr>
          <m:t>T</m:t>
        </m:r>
        <m:r>
          <m:rPr>
            <m:sty m:val="p"/>
          </m:rPr>
          <m:t>=</m:t>
        </m:r>
        <m:r>
          <m:t>Y</m:t>
        </m:r>
        <m:r>
          <m:rPr>
            <m:sty m:val="p"/>
          </m:rPr>
          <m:t>/</m:t>
        </m:r>
        <m:r>
          <m:t>L</m:t>
        </m:r>
      </m:oMath>
      <w:r>
        <w:t xml:space="preserve">:</w:t>
      </w:r>
    </w:p>
    <w:p>
      <w:pPr>
        <w:pStyle w:val="BodyText"/>
        <w:keepNext/>
      </w:pPr>
      <m:oMathPara>
        <m:oMathParaPr>
          <m:jc m:val="center"/>
        </m:oMathParaPr>
        <m:oMath>
          <m:sSub>
            <m:e>
              <m:r>
                <m:t>γ</m:t>
              </m:r>
            </m:e>
            <m:sub>
              <m:r>
                <m:rPr>
                  <m:sty m:val="p"/>
                </m:rPr>
                <m:t>P</m:t>
              </m:r>
              <m:r>
                <m:rPr>
                  <m:sty m:val="p"/>
                </m:rPr>
                <m:t>A</m:t>
              </m:r>
              <m:r>
                <m:rPr>
                  <m:sty m:val="p"/>
                </m:rPr>
                <m:t>T</m:t>
              </m:r>
            </m:sub>
          </m:sSub>
          <m:r>
            <m:rPr>
              <m:sty m:val="p"/>
            </m:rPr>
            <m:t>=</m:t>
          </m:r>
          <m:sSub>
            <m:e>
              <m:r>
                <m:t>γ</m:t>
              </m:r>
            </m:e>
            <m:sub>
              <m:r>
                <m:t>Y</m:t>
              </m:r>
            </m:sub>
          </m:sSub>
          <m:r>
            <m:rPr>
              <m:sty m:val="p"/>
            </m:rPr>
            <m:t>−</m:t>
          </m:r>
          <m:sSub>
            <m:e>
              <m:r>
                <m:t>γ</m:t>
              </m:r>
            </m:e>
            <m:sub>
              <m:r>
                <m:t>L</m:t>
              </m:r>
            </m:sub>
          </m:sSub>
          <m:r>
            <m:t> </m:t>
          </m:r>
          <m:r>
            <m:rPr>
              <m:sty m:val="p"/>
            </m:rPr>
            <m:t>⇔</m:t>
          </m:r>
          <m:r>
            <m:t> </m:t>
          </m:r>
          <m:sSub>
            <m:e>
              <m:r>
                <m:t>γ</m:t>
              </m:r>
            </m:e>
            <m:sub>
              <m:r>
                <m:t>Y</m:t>
              </m:r>
            </m:sub>
          </m:sSub>
          <m:r>
            <m:rPr>
              <m:sty m:val="p"/>
            </m:rPr>
            <m:t>=</m:t>
          </m:r>
          <m:sSub>
            <m:e>
              <m:r>
                <m:t>γ</m:t>
              </m:r>
            </m:e>
            <m:sub>
              <m:r>
                <m:rPr>
                  <m:sty m:val="p"/>
                </m:rPr>
                <m:t>P</m:t>
              </m:r>
              <m:r>
                <m:rPr>
                  <m:sty m:val="p"/>
                </m:rPr>
                <m:t>A</m:t>
              </m:r>
              <m:r>
                <m:rPr>
                  <m:sty m:val="p"/>
                </m:rPr>
                <m:t>T</m:t>
              </m:r>
            </m:sub>
          </m:sSub>
          <m:r>
            <m:rPr>
              <m:sty m:val="p"/>
            </m:rPr>
            <m:t>+</m:t>
          </m:r>
          <m:sSub>
            <m:e>
              <m:r>
                <m:t>γ</m:t>
              </m:r>
            </m:e>
            <m:sub>
              <m:r>
                <m:t>L</m:t>
              </m:r>
            </m:sub>
          </m:sSub>
          <m:r>
            <m:rPr>
              <m:sty m:val="p"/>
            </m:rPr>
            <m:t>.</m:t>
          </m:r>
        </m:oMath>
      </m:oMathPara>
    </w:p>
    <w:p>
      <w:pPr>
        <w:keepNext/>
        <w:numPr>
          <w:ilvl w:val="0"/>
          <w:numId w:val="1036"/>
        </w:numPr>
      </w:pPr>
      <w:r>
        <w:rPr>
          <w:i/>
          <w:iCs/>
        </w:rPr>
        <w:t xml:space="preserve">Cómo se lee</w:t>
      </w:r>
      <w:r>
        <w:t xml:space="preserve">:</w:t>
      </w:r>
    </w:p>
    <w:p>
      <w:pPr>
        <w:numPr>
          <w:ilvl w:val="1"/>
          <w:numId w:val="1037"/>
        </w:numPr>
      </w:pPr>
      <w:r>
        <w:t xml:space="preserve">crecimiento con empleo y PAT estancada: patrón extensivo (más factores);</w:t>
      </w:r>
    </w:p>
    <w:p>
      <w:pPr>
        <w:numPr>
          <w:ilvl w:val="1"/>
          <w:numId w:val="1037"/>
        </w:numPr>
      </w:pPr>
      <w:r>
        <w:t xml:space="preserve">crecimiento con PAT al alza: patrón intensivo, más sostenible;</w:t>
      </w:r>
    </w:p>
    <w:p>
      <w:pPr>
        <w:numPr>
          <w:ilvl w:val="1"/>
          <w:numId w:val="1037"/>
        </w:numPr>
      </w:pPr>
      <w:r>
        <w:t xml:space="preserve">cuidado: si el empleo cae más que el PIB, la PAT «sube» de forma espuria (se destruye el empleo menos productivo), y la causalidad entre productividad y ciclo es difícil de establecer: mejor no concluir que la expansión se debe a un choque de productividad.</w:t>
      </w:r>
    </w:p>
    <w:p>
      <w:pPr>
        <w:numPr>
          <w:ilvl w:val="0"/>
          <w:numId w:val="1036"/>
        </w:numPr>
      </w:pPr>
      <w:r>
        <w:rPr>
          <w:i/>
          <w:iCs/>
        </w:rPr>
        <w:t xml:space="preserve">Con qué se cruza</w:t>
      </w:r>
      <w:r>
        <w:t xml:space="preserve">: con el empleo, las horas y los CLU (apartado </w:t>
      </w:r>
      <w:hyperlink w:anchor="sec_trabajo">
        <w:r>
          <w:rPr>
            <w:rStyle w:val="Hyperlink"/>
          </w:rPr>
          <w:t xml:space="preserve">II.1</w:t>
        </w:r>
      </w:hyperlink>
      <w:r>
        <w:t xml:space="preserve">) y con la brecha: si la economía crece y la brecha no se cierra, el potencial crece (apartado </w:t>
      </w:r>
      <w:hyperlink w:anchor="sec_medidores">
        <w:r>
          <w:rPr>
            <w:rStyle w:val="Hyperlink"/>
          </w:rPr>
          <w:t xml:space="preserve">I.3</w:t>
        </w:r>
      </w:hyperlink>
      <w:r>
        <w:t xml:space="preserve">).</w:t>
      </w:r>
    </w:p>
    <w:p>
      <w:pPr>
        <w:numPr>
          <w:ilvl w:val="0"/>
          <w:numId w:val="1036"/>
        </w:numPr>
      </w:pPr>
      <w:r>
        <w:rPr>
          <w:i/>
          <w:iCs/>
        </w:rPr>
        <w:t xml:space="preserve">Tema</w:t>
      </w:r>
      <w:r>
        <w:t xml:space="preserve">:</w:t>
      </w:r>
      <w:r>
        <w:t xml:space="preserve"> </w:t>
      </w:r>
      <w:hyperlink r:id="rId40">
        <w:r>
          <w:rPr>
            <w:rStyle w:val="Referenciaatema"/>
          </w:rPr>
          <w:t xml:space="preserve">[ver tema 3.A.45]</w:t>
        </w:r>
      </w:hyperlink>
      <w:r>
        <w:t xml:space="preserve"> </w:t>
      </w:r>
      <w:hyperlink r:id="rId73">
        <w:r>
          <w:rPr>
            <w:rStyle w:val="Referenciaatema"/>
          </w:rPr>
          <w:t xml:space="preserve">[ver tema 3.A.43]</w:t>
        </w:r>
      </w:hyperlink>
      <w:r>
        <w:t xml:space="preserve"> </w:t>
      </w:r>
      <w:hyperlink r:id="rId49">
        <w:r>
          <w:rPr>
            <w:rStyle w:val="Referenciaatema"/>
          </w:rPr>
          <w:t xml:space="preserve">[ver tema 4.A.29]</w:t>
        </w:r>
      </w:hyperlink>
      <w:r>
        <w:t xml:space="preserve">.</w:t>
      </w:r>
    </w:p>
    <w:p>
      <w:pPr>
        <w:pStyle w:val="Cajadeanotaciones"/>
        <w:keepLines/>
      </w:pPr>
      <w:r>
        <w:rPr>
          <w:b/>
          <w:bCs/>
        </w:rPr>
        <w:t xml:space="preserve">Ejemplo de redacción: empleo frente a productividad.</w:t>
      </w:r>
      <w:r>
        <w:t xml:space="preserve"> </w:t>
      </w:r>
      <w:r>
        <w:t xml:space="preserve">«La variación del crecimiento desde la óptica de la oferta puede descomponerse en la de la acumulación de factores y la de su productividad. A falta de datos agregados, la aproximaremos con el mercado de trabajo, descomponiendo el crecimiento en el del empleo y el de la productividad aparente del trabajo. En 20xx-20xx el motor sería el empleo; en 20xx-20xx dominan los aumentos de la productividad aparente, que tiene una tendencia creciente a lo largo de la serie. Sin embargo, sería poco prudente concluir que la fase alcista está guiada por un choque de productividad, porque con la productividad aparente es difícil establecer la dirección de la causalidad.»</w:t>
      </w:r>
    </w:p>
    <w:bookmarkEnd w:id="74"/>
    <w:bookmarkStart w:id="79" w:name="sectores"/>
    <w:p>
      <w:pPr>
        <w:pStyle w:val="Heading4"/>
      </w:pPr>
      <w:r>
        <w:t xml:space="preserve">Sectores</w:t>
      </w:r>
    </w:p>
    <w:p>
      <w:pPr>
        <w:numPr>
          <w:ilvl w:val="0"/>
          <w:numId w:val="1038"/>
        </w:numPr>
      </w:pPr>
      <w:r>
        <w:rPr>
          <w:i/>
          <w:iCs/>
        </w:rPr>
        <w:t xml:space="preserve">Otro enfoque</w:t>
      </w:r>
      <w:r>
        <w:t xml:space="preserve">: proyectar la producción de cada sector por separado y obtener el crecimiento del PIB real como la media de los crecimientos sectoriales ponderada por su peso.</w:t>
      </w:r>
    </w:p>
    <w:p>
      <w:pPr>
        <w:numPr>
          <w:ilvl w:val="0"/>
          <w:numId w:val="1038"/>
        </w:numPr>
      </w:pPr>
      <w:r>
        <w:rPr>
          <w:i/>
          <w:iCs/>
        </w:rPr>
        <w:t xml:space="preserve">Qué se mira</w:t>
      </w:r>
      <w:r>
        <w:t xml:space="preserve">: la evolución del valor añadido bruto (VAB) de cada sector y su peso, con 4 preguntas: ¿cambia la estructura productiva (industrialización, terciarización)?, ¿qué factores usa con intensidad cada sector (trabajo, capital, I+D, energía)?, ¿tira del resto (eslabonamientos)?, ¿genera externalidades (como la industria aeronáutica)?</w:t>
      </w:r>
    </w:p>
    <w:p>
      <w:pPr>
        <w:keepNext/>
        <w:numPr>
          <w:ilvl w:val="0"/>
          <w:numId w:val="1038"/>
        </w:numPr>
      </w:pPr>
      <w:r>
        <w:rPr>
          <w:i/>
          <w:iCs/>
        </w:rPr>
        <w:t xml:space="preserve">Rasgos de cada sector</w:t>
      </w:r>
      <w:r>
        <w:t xml:space="preserve">:</w:t>
      </w:r>
    </w:p>
    <w:p>
      <w:pPr>
        <w:numPr>
          <w:ilvl w:val="1"/>
          <w:numId w:val="1039"/>
        </w:numPr>
      </w:pPr>
      <w:r>
        <w:rPr>
          <w:i/>
          <w:iCs/>
        </w:rPr>
        <w:t xml:space="preserve">Primario</w:t>
      </w:r>
      <w:r>
        <w:t xml:space="preserve">: en general acíclico; intensivo en trabajo; baja elasticidad-renta; protección y subvenciones; más peso cuanto menos desarrollado el país</w:t>
      </w:r>
      <w:r>
        <w:t xml:space="preserve"> </w:t>
      </w:r>
      <w:hyperlink r:id="rId75">
        <w:r>
          <w:rPr>
            <w:rStyle w:val="Referenciaatema"/>
          </w:rPr>
          <w:t xml:space="preserve">[ver tema 4.A.4]</w:t>
        </w:r>
      </w:hyperlink>
      <w:r>
        <w:t xml:space="preserve">.</w:t>
      </w:r>
    </w:p>
    <w:p>
      <w:pPr>
        <w:numPr>
          <w:ilvl w:val="1"/>
          <w:numId w:val="1039"/>
        </w:numPr>
      </w:pPr>
      <w:r>
        <w:rPr>
          <w:i/>
          <w:iCs/>
        </w:rPr>
        <w:t xml:space="preserve">Energía y materias primas</w:t>
      </w:r>
      <w:r>
        <w:t xml:space="preserve">: precios fijados en los mercados mundiales (inflación importada en un importador), subvenciones o impuestos, efecto sobre la balanza comercial, capacidad de refino (a menudo con inversión extranjera)</w:t>
      </w:r>
      <w:r>
        <w:t xml:space="preserve"> </w:t>
      </w:r>
      <w:hyperlink r:id="rId76">
        <w:r>
          <w:rPr>
            <w:rStyle w:val="Referenciaatema"/>
          </w:rPr>
          <w:t xml:space="preserve">[ver tema 4.A.5]</w:t>
        </w:r>
      </w:hyperlink>
      <w:r>
        <w:t xml:space="preserve">.</w:t>
      </w:r>
    </w:p>
    <w:p>
      <w:pPr>
        <w:numPr>
          <w:ilvl w:val="1"/>
          <w:numId w:val="1039"/>
        </w:numPr>
      </w:pPr>
      <w:r>
        <w:rPr>
          <w:i/>
          <w:iCs/>
        </w:rPr>
        <w:t xml:space="preserve">Construcción</w:t>
      </w:r>
      <w:r>
        <w:t xml:space="preserve">: grandes eslabonamientos hacia atrás, intensiva en trabajo poco cualificado, maduración larga, oferta fija a corto plazo, demanda condicionada por la demografía y por su carácter de inversión; riesgo de burbuja, fuerte efecto riqueza y simbiosis con el sector financiero (círculos virtuosos o viciosos con el crédito)</w:t>
      </w:r>
      <w:r>
        <w:t xml:space="preserve"> </w:t>
      </w:r>
      <w:hyperlink r:id="rId63">
        <w:r>
          <w:rPr>
            <w:rStyle w:val="Referenciaatema"/>
          </w:rPr>
          <w:t xml:space="preserve">[ver tema 4.A.11]</w:t>
        </w:r>
      </w:hyperlink>
      <w:r>
        <w:t xml:space="preserve">.</w:t>
      </w:r>
    </w:p>
    <w:p>
      <w:pPr>
        <w:numPr>
          <w:ilvl w:val="1"/>
          <w:numId w:val="1039"/>
        </w:numPr>
      </w:pPr>
      <w:r>
        <w:rPr>
          <w:i/>
          <w:iCs/>
        </w:rPr>
        <w:t xml:space="preserve">Industria</w:t>
      </w:r>
      <w:r>
        <w:t xml:space="preserve">: menos intensiva en trabajo; ver su relación con las exportaciones y, en un país en desarrollo, si hay una estrategia de industrialización orientada a la exportación</w:t>
      </w:r>
      <w:r>
        <w:t xml:space="preserve"> </w:t>
      </w:r>
      <w:hyperlink r:id="rId77">
        <w:r>
          <w:rPr>
            <w:rStyle w:val="Referenciaatema"/>
          </w:rPr>
          <w:t xml:space="preserve">[ver tema 4.A.9]</w:t>
        </w:r>
      </w:hyperlink>
      <w:r>
        <w:t xml:space="preserve">.</w:t>
      </w:r>
    </w:p>
    <w:p>
      <w:pPr>
        <w:numPr>
          <w:ilvl w:val="1"/>
          <w:numId w:val="1039"/>
        </w:numPr>
      </w:pPr>
      <w:r>
        <w:rPr>
          <w:i/>
          <w:iCs/>
        </w:rPr>
        <w:t xml:space="preserve">Servicios</w:t>
      </w:r>
      <w:r>
        <w:t xml:space="preserve">: muy heterogéneos, de alto y bajo valor añadido y a menudo no comercializables; el turismo depende de la movilidad y suele concentrar empleo joven, temporal y poco cualificado</w:t>
      </w:r>
      <w:r>
        <w:t xml:space="preserve"> </w:t>
      </w:r>
      <w:hyperlink r:id="rId78">
        <w:r>
          <w:rPr>
            <w:rStyle w:val="Referenciaatema"/>
          </w:rPr>
          <w:t xml:space="preserve">[ver tema 4.A.13]</w:t>
        </w:r>
      </w:hyperlink>
      <w:r>
        <w:t xml:space="preserve">.</w:t>
      </w:r>
    </w:p>
    <w:p>
      <w:pPr>
        <w:numPr>
          <w:ilvl w:val="0"/>
          <w:numId w:val="1038"/>
        </w:numPr>
      </w:pPr>
      <w:r>
        <w:rPr>
          <w:i/>
          <w:iCs/>
        </w:rPr>
        <w:t xml:space="preserve">Tamaño de las empresas</w:t>
      </w:r>
      <w:r>
        <w:t xml:space="preserve">: un tejido muy atomizado hace al país más vulnerable a las crisis y limita la innovación, la internacionalización y la financiación, y con ello la productividad. Un ejemplo de redacción sobre un sector dominante y el tejido productivo está en el anexo </w:t>
      </w:r>
      <w:hyperlink w:anchor="anexo_parrafos">
        <w:r>
          <w:rPr>
            <w:rStyle w:val="Hyperlink"/>
          </w:rPr>
          <w:t xml:space="preserve">K.1</w:t>
        </w:r>
      </w:hyperlink>
      <w:r>
        <w:t xml:space="preserve">.</w:t>
      </w:r>
    </w:p>
    <w:bookmarkEnd w:id="79"/>
    <w:bookmarkStart w:id="80" w:name="un_sector_dominante"/>
    <w:p>
      <w:pPr>
        <w:pStyle w:val="Heading4"/>
      </w:pPr>
      <w:r>
        <w:t xml:space="preserve">Un sector dominante</w:t>
      </w:r>
    </w:p>
    <w:p>
      <w:pPr>
        <w:numPr>
          <w:ilvl w:val="0"/>
          <w:numId w:val="1040"/>
        </w:numPr>
      </w:pPr>
      <w:r>
        <w:t xml:space="preserve">Si un sector (petróleo, materias primas, turismo) pesa mucho en el VAB, en las exportaciones o en los ingresos públicos, su precio mueve todo el cuadro. Los canales de un cambio del precio del petróleo, sus riesgos (enfermedad holandesa, política fiscal procíclica) y las recomendaciones están en el anexo </w:t>
      </w:r>
      <w:hyperlink w:anchor="anexo_casos">
        <w:r>
          <w:rPr>
            <w:rStyle w:val="Hyperlink"/>
          </w:rPr>
          <w:t xml:space="preserve">E</w:t>
        </w:r>
      </w:hyperlink>
      <w:r>
        <w:t xml:space="preserve">.</w:t>
      </w:r>
    </w:p>
    <w:bookmarkEnd w:id="80"/>
    <w:bookmarkEnd w:id="81"/>
    <w:bookmarkStart w:id="83" w:name="sec_anticipar"/>
    <w:p>
      <w:pPr>
        <w:pStyle w:val="Heading2"/>
      </w:pPr>
      <w:r>
        <w:t xml:space="preserve">I.6.</w:t>
      </w:r>
      <w:r>
        <w:t xml:space="preserve"> </w:t>
      </w:r>
      <w:r>
        <w:t xml:space="preserve">Anticipar el diagnóstico</w:t>
      </w:r>
    </w:p>
    <w:p>
      <w:pPr>
        <w:numPr>
          <w:ilvl w:val="0"/>
          <w:numId w:val="1041"/>
        </w:numPr>
      </w:pPr>
      <w:r>
        <w:t xml:space="preserve">La idea: si está claro y da tiempo, la respuesta del perfil cíclico se cierra con un diagnóstico general que anuncia lo que se desarrollará después. Se deja hueco y se escribe al final.</w:t>
      </w:r>
    </w:p>
    <w:p>
      <w:pPr>
        <w:numPr>
          <w:ilvl w:val="0"/>
          <w:numId w:val="1041"/>
        </w:numPr>
      </w:pPr>
      <w:r>
        <w:t xml:space="preserve">Sin intentar adivinar el país, hay rasgos que cambian la lectura según sea una economía avanzada o emergente (tabla </w:t>
      </w:r>
      <w:hyperlink w:anchor="tab_avanzada_emergente">
        <w:r>
          <w:rPr>
            <w:rStyle w:val="Hyperlink"/>
          </w:rPr>
          <w:t xml:space="preserve">10</w:t>
        </w:r>
      </w:hyperlink>
      <w:r>
        <w:t xml:space="preserve"> </w:t>
      </w:r>
      <w:r>
        <w:t xml:space="preserve">y su comentario, en el anexo </w:t>
      </w:r>
      <w:hyperlink w:anchor="anexo_indicadores">
        <w:r>
          <w:rPr>
            <w:rStyle w:val="Hyperlink"/>
          </w:rPr>
          <w:t xml:space="preserve">B</w:t>
        </w:r>
      </w:hyperlink>
      <w:r>
        <w:t xml:space="preserve">).</w:t>
      </w:r>
    </w:p>
    <w:p>
      <w:pPr>
        <w:numPr>
          <w:ilvl w:val="0"/>
          <w:numId w:val="1041"/>
        </w:numPr>
      </w:pPr>
      <w:r>
        <w:rPr>
          <w:i/>
          <w:iCs/>
        </w:rPr>
        <w:t xml:space="preserve">Cómo se escribe</w:t>
      </w:r>
      <w:r>
        <w:t xml:space="preserve">: «como se verá, parece tratarse de una economía avanzada cuyo crecimiento se ha apoyado en la demanda interna, pero que presenta desequilibrios como un déficit exterior persistente y una deuda pública elevada, de modo que su cuadro macroeconómico tiene una salud mejorable».</w:t>
      </w:r>
    </w:p>
    <w:p>
      <w:pPr>
        <w:pStyle w:val="Notaalopositor"/>
        <w:keepLines/>
      </w:pPr>
      <w:r>
        <w:rPr>
          <w:b/>
          <w:bCs/>
        </w:rPr>
        <w:t xml:space="preserve">Nota al opositor. </w:t>
      </w:r>
      <w:r>
        <w:t xml:space="preserve">Los problemas estructurales son más difíciles de ver en los datos que los coyunturales. Por eso se formulan con condicionales y apoyados en 2 o 3 datos (crecimiento potencial bajo, productividad estancada, paro persistente).</w:t>
      </w:r>
    </w:p>
    <w:bookmarkStart w:id="82" w:name="desequilibrios_y_fortalezas_t__picos"/>
    <w:p>
      <w:pPr>
        <w:pStyle w:val="Heading4"/>
      </w:pPr>
      <w:r>
        <w:t xml:space="preserve">Desequilibrios y fortalezas típicos</w:t>
      </w:r>
    </w:p>
    <w:p>
      <w:pPr>
        <w:keepNext/>
        <w:numPr>
          <w:ilvl w:val="0"/>
          <w:numId w:val="1042"/>
        </w:numPr>
      </w:pPr>
      <w:r>
        <w:t xml:space="preserve">Los desequilibrios que más se repiten en los dictámenes, con el indicador que los delata:</w:t>
      </w:r>
    </w:p>
    <w:p>
      <w:pPr>
        <w:numPr>
          <w:ilvl w:val="1"/>
          <w:numId w:val="1043"/>
        </w:numPr>
      </w:pPr>
      <w:r>
        <w:rPr>
          <w:i/>
          <w:iCs/>
        </w:rPr>
        <w:t xml:space="preserve">Débil crecimiento o recesión</w:t>
      </w:r>
      <w:r>
        <w:t xml:space="preserve">: PIB real que crece poco o cae; crecimiento potencial bajo.</w:t>
      </w:r>
    </w:p>
    <w:p>
      <w:pPr>
        <w:numPr>
          <w:ilvl w:val="1"/>
          <w:numId w:val="1043"/>
        </w:numPr>
      </w:pPr>
      <w:r>
        <w:rPr>
          <w:i/>
          <w:iCs/>
        </w:rPr>
        <w:t xml:space="preserve">Demanda interna anémica</w:t>
      </w:r>
      <w:r>
        <w:t xml:space="preserve">: consumo privado que apenas crece.</w:t>
      </w:r>
    </w:p>
    <w:p>
      <w:pPr>
        <w:numPr>
          <w:ilvl w:val="1"/>
          <w:numId w:val="1043"/>
        </w:numPr>
      </w:pPr>
      <w:r>
        <w:rPr>
          <w:i/>
          <w:iCs/>
        </w:rPr>
        <w:t xml:space="preserve">Inflación y sobrecalentamiento</w:t>
      </w:r>
      <w:r>
        <w:t xml:space="preserve">: brecha positiva persistente, inflación alta, consumo que crece mucho, caída brusca de existencias y salto de la penetración de importaciones.</w:t>
      </w:r>
    </w:p>
    <w:p>
      <w:pPr>
        <w:numPr>
          <w:ilvl w:val="1"/>
          <w:numId w:val="1043"/>
        </w:numPr>
      </w:pPr>
      <w:r>
        <w:rPr>
          <w:i/>
          <w:iCs/>
        </w:rPr>
        <w:t xml:space="preserve">Mercado de trabajo deficiente</w:t>
      </w:r>
      <w:r>
        <w:t xml:space="preserve">: paro alto y persistente, CLU crecientes.</w:t>
      </w:r>
    </w:p>
    <w:p>
      <w:pPr>
        <w:numPr>
          <w:ilvl w:val="1"/>
          <w:numId w:val="1043"/>
        </w:numPr>
      </w:pPr>
      <w:r>
        <w:rPr>
          <w:i/>
          <w:iCs/>
        </w:rPr>
        <w:t xml:space="preserve">Déficit y deuda públicos</w:t>
      </w:r>
      <w:r>
        <w:t xml:space="preserve">: altos, persistentes o con trayectoria insostenible.</w:t>
      </w:r>
    </w:p>
    <w:p>
      <w:pPr>
        <w:numPr>
          <w:ilvl w:val="1"/>
          <w:numId w:val="1043"/>
        </w:numPr>
      </w:pPr>
      <w:r>
        <w:rPr>
          <w:i/>
          <w:iCs/>
        </w:rPr>
        <w:t xml:space="preserve">Déficit por cuenta corriente y deuda externa</w:t>
      </w:r>
      <w:r>
        <w:t xml:space="preserve">: altos y persistentes, con pérdida de competitividad, exceso de absorción, ahorro escaso o déficit público.</w:t>
      </w:r>
    </w:p>
    <w:p>
      <w:pPr>
        <w:numPr>
          <w:ilvl w:val="1"/>
          <w:numId w:val="1043"/>
        </w:numPr>
      </w:pPr>
      <w:r>
        <w:rPr>
          <w:i/>
          <w:iCs/>
        </w:rPr>
        <w:t xml:space="preserve">Riesgos en el sistema financiero</w:t>
      </w:r>
      <w:r>
        <w:t xml:space="preserve">: prima de riesgo alta, endeudamiento privado y público alto, morosidad, racionamiento del crédito.</w:t>
      </w:r>
    </w:p>
    <w:p>
      <w:pPr>
        <w:numPr>
          <w:ilvl w:val="1"/>
          <w:numId w:val="1043"/>
        </w:numPr>
      </w:pPr>
      <w:r>
        <w:rPr>
          <w:i/>
          <w:iCs/>
        </w:rPr>
        <w:t xml:space="preserve">Estructura sectorial desequilibrada</w:t>
      </w:r>
      <w:r>
        <w:t xml:space="preserve">: dependencia de un sector (inmobiliario, energético, materias primas).</w:t>
      </w:r>
    </w:p>
    <w:p>
      <w:pPr>
        <w:numPr>
          <w:ilvl w:val="0"/>
          <w:numId w:val="1042"/>
        </w:numPr>
      </w:pPr>
      <w:r>
        <w:t xml:space="preserve">Las fortalezas son su reverso (tabla </w:t>
      </w:r>
      <w:hyperlink w:anchor="tab_matriz">
        <w:r>
          <w:rPr>
            <w:rStyle w:val="Hyperlink"/>
          </w:rPr>
          <w:t xml:space="preserve">17</w:t>
        </w:r>
      </w:hyperlink>
      <w:r>
        <w:t xml:space="preserve">, en el anexo </w:t>
      </w:r>
      <w:hyperlink w:anchor="anexo_matriz">
        <w:r>
          <w:rPr>
            <w:rStyle w:val="Hyperlink"/>
          </w:rPr>
          <w:t xml:space="preserve">H.7</w:t>
        </w:r>
      </w:hyperlink>
      <w:r>
        <w:t xml:space="preserve">). Cada uno se desarrolla en su bloque, y la recomendación tipo para cada desequilibrio está en el apartado </w:t>
      </w:r>
      <w:hyperlink w:anchor="sec_por_desequilibrio">
        <w:r>
          <w:rPr>
            <w:rStyle w:val="Hyperlink"/>
          </w:rPr>
          <w:t xml:space="preserve">VI.2</w:t>
        </w:r>
      </w:hyperlink>
      <w:r>
        <w:t xml:space="preserve">.</w:t>
      </w:r>
    </w:p>
    <w:p>
      <w:pPr>
        <w:numPr>
          <w:ilvl w:val="0"/>
          <w:numId w:val="1044"/>
        </w:numPr>
      </w:pPr>
      <w:r>
        <w:rPr>
          <w:i/>
          <w:iCs/>
        </w:rPr>
        <w:t xml:space="preserve">Recapitulación</w:t>
      </w:r>
      <w:r>
        <w:t xml:space="preserve">: el perfil cíclico se resuelve con 3 piezas que se repiten en todos los dictámenes: las fases (con el crecimiento y la brecha), el motor (contribuciones por el lado de la demanda y, si hay datos, empleo frente a productividad por el de la oferta) y un diagnóstico anticipado. Una vez situada la economía en el ciclo, pasamos a los mercados de factores, donde el crecimiento se traduce en empleo, salarios y crédito.</w:t>
      </w:r>
    </w:p>
    <w:bookmarkEnd w:id="82"/>
    <w:bookmarkEnd w:id="83"/>
    <w:bookmarkEnd w:id="84"/>
    <w:bookmarkStart w:id="112" w:name="sec_factores"/>
    <w:p>
      <w:pPr>
        <w:pStyle w:val="Heading1"/>
      </w:pPr>
      <w:r>
        <w:t xml:space="preserve">II.</w:t>
      </w:r>
      <w:r>
        <w:t xml:space="preserve"> </w:t>
      </w:r>
      <w:r>
        <w:t xml:space="preserve">Mercados de factores</w:t>
      </w:r>
    </w:p>
    <w:p>
      <w:pPr>
        <w:numPr>
          <w:ilvl w:val="0"/>
          <w:numId w:val="1045"/>
        </w:numPr>
      </w:pPr>
      <w:r>
        <w:t xml:space="preserve">La conclusión por adelantado: en los mercados de factores se ve si el crecimiento es sostenible. En el de trabajo, si crea empleo, qué tipo de paro hay y si los salarios siguen a la productividad; en el de capitales, si el crédito, la deuda, la banca y los precios de los activos acumulan riesgos.</w:t>
      </w:r>
    </w:p>
    <w:p>
      <w:pPr>
        <w:numPr>
          <w:ilvl w:val="0"/>
          <w:numId w:val="1045"/>
        </w:numPr>
      </w:pPr>
      <w:r>
        <w:t xml:space="preserve">Desde el punto de vista macroeconómico, el trabajo es, junto con el capital, uno de los 2 factores de producción (la tierra se suele incluir en el capital).</w:t>
      </w:r>
    </w:p>
    <w:bookmarkStart w:id="106" w:name="sec_trabajo"/>
    <w:p>
      <w:pPr>
        <w:pStyle w:val="Heading2"/>
      </w:pPr>
      <w:r>
        <w:t xml:space="preserve">II.1.</w:t>
      </w:r>
      <w:r>
        <w:t xml:space="preserve"> </w:t>
      </w:r>
      <w:r>
        <w:t xml:space="preserve">Mercado de trabajo</w:t>
      </w:r>
    </w:p>
    <w:p>
      <w:pPr>
        <w:pStyle w:val="Ideaclave"/>
        <w:keepLines/>
      </w:pPr>
      <w:r>
        <w:rPr>
          <w:b/>
          <w:bCs/>
        </w:rPr>
        <w:t xml:space="preserve">Qué hay que contestar</w:t>
      </w:r>
      <w:r>
        <w:t xml:space="preserve">: ¿cuánto empleo crea el crecimiento? ¿Qué tipo de paro hay? ¿Los salarios siguen a la productividad? ¿Es flexible y competitivo el mercado de trabajo?</w:t>
      </w:r>
    </w:p>
    <w:p>
      <w:pPr>
        <w:pStyle w:val="Notaalopositor"/>
        <w:keepLines/>
      </w:pPr>
      <w:r>
        <w:rPr>
          <w:b/>
          <w:bCs/>
        </w:rPr>
        <w:t xml:space="preserve">Nota al opositor. </w:t>
      </w:r>
      <w:r>
        <w:t xml:space="preserve">En el mercado de trabajo suelen pedirse cosas muy concretas: definir la tasa de actividad y leer la curva de</w:t>
      </w:r>
      <w:r>
        <w:t xml:space="preserve"> </w:t>
      </w:r>
      <w:r>
        <w:rPr>
          <w:smallCaps/>
        </w:rPr>
        <w:t xml:space="preserve">Beveridge</w:t>
      </w:r>
      <w:r>
        <w:t xml:space="preserve"> </w:t>
      </w:r>
      <w:r>
        <w:t xml:space="preserve">(2023), calcular la productividad y los CLU (2011, 2016, 2018, 2019 y 2021), valorar la ley de</w:t>
      </w:r>
      <w:r>
        <w:t xml:space="preserve"> </w:t>
      </w:r>
      <w:r>
        <w:rPr>
          <w:smallCaps/>
        </w:rPr>
        <w:t xml:space="preserve">Okun</w:t>
      </w:r>
      <w:r>
        <w:t xml:space="preserve"> </w:t>
      </w:r>
      <w:r>
        <w:t xml:space="preserve">y la curva de</w:t>
      </w:r>
      <w:r>
        <w:t xml:space="preserve"> </w:t>
      </w:r>
      <w:r>
        <w:rPr>
          <w:smallCaps/>
        </w:rPr>
        <w:t xml:space="preserve">Phillips</w:t>
      </w:r>
      <w:r>
        <w:t xml:space="preserve"> </w:t>
      </w:r>
      <w:r>
        <w:t xml:space="preserve">(2021), el efecto de endurecer los visados de trabajo (2020), de subir el salario mínimo (2019) o de la demografía (2026)</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Conviene contestarlas al principio de la respuesta, con un rótulo, para que el tribunal las encuentre al oírlas en la lectura.</w:t>
      </w:r>
    </w:p>
    <w:bookmarkStart w:id="89" w:name="indicadores_de_cantidad"/>
    <w:p>
      <w:pPr>
        <w:pStyle w:val="Heading4"/>
      </w:pPr>
      <w:r>
        <w:t xml:space="preserve">Indicadores de cantidad</w:t>
      </w:r>
    </w:p>
    <w:p>
      <w:pPr>
        <w:numPr>
          <w:ilvl w:val="0"/>
          <w:numId w:val="1046"/>
        </w:numPr>
      </w:pPr>
      <w:r>
        <w:rPr>
          <w:i/>
          <w:iCs/>
        </w:rPr>
        <w:t xml:space="preserve">Qué miden</w:t>
      </w:r>
      <w:r>
        <w:t xml:space="preserve">: la</w:t>
      </w:r>
      <w:r>
        <w:t xml:space="preserve"> </w:t>
      </w:r>
      <w:r>
        <w:rPr>
          <w:b/>
          <w:bCs/>
        </w:rPr>
        <w:t xml:space="preserve">población activa</w:t>
      </w:r>
      <w:r>
        <w:t xml:space="preserve"> </w:t>
      </w:r>
      <w:r>
        <w:t xml:space="preserve">son quienes, en edad de trabajar, trabajan o buscan empleo activamente; los</w:t>
      </w:r>
      <w:r>
        <w:t xml:space="preserve"> </w:t>
      </w:r>
      <w:r>
        <w:rPr>
          <w:b/>
          <w:bCs/>
        </w:rPr>
        <w:t xml:space="preserve">ocupados</w:t>
      </w:r>
      <w:r>
        <w:t xml:space="preserve">, todas las personas, asalariadas o por cuenta propia, que participan en una actividad productiva; los</w:t>
      </w:r>
      <w:r>
        <w:t xml:space="preserve"> </w:t>
      </w:r>
      <w:r>
        <w:rPr>
          <w:b/>
          <w:bCs/>
        </w:rPr>
        <w:t xml:space="preserve">parados</w:t>
      </w:r>
      <w:r>
        <w:t xml:space="preserve">, los activos que no tienen trabajo y lo buscan activamente.</w:t>
      </w:r>
    </w:p>
    <w:p>
      <w:pPr>
        <w:numPr>
          <w:ilvl w:val="0"/>
          <w:numId w:val="1046"/>
        </w:numPr>
      </w:pPr>
      <w:r>
        <w:rPr>
          <w:i/>
          <w:iCs/>
        </w:rPr>
        <w:t xml:space="preserve">Cómo se calculan</w:t>
      </w:r>
      <w:r>
        <w:t xml:space="preserve">: con la notación de la Encuesta de Población Activa,</w:t>
      </w:r>
      <w:r>
        <w:t xml:space="preserve"> </w:t>
      </w:r>
      <m:oMath>
        <m:r>
          <m:t>L</m:t>
        </m:r>
      </m:oMath>
      <w:r>
        <w:t xml:space="preserve"> </w:t>
      </w:r>
      <w:r>
        <w:t xml:space="preserve">ocupados,</w:t>
      </w:r>
      <w:r>
        <w:t xml:space="preserve"> </w:t>
      </w:r>
      <m:oMath>
        <m:r>
          <m:t>U</m:t>
        </m:r>
      </m:oMath>
      <w:r>
        <w:t xml:space="preserve"> </w:t>
      </w:r>
      <w:r>
        <w:t xml:space="preserve">parados,</w:t>
      </w:r>
      <w:r>
        <w:t xml:space="preserve"> </w:t>
      </w:r>
      <m:oMath>
        <m:r>
          <m:t>A</m:t>
        </m:r>
        <m:r>
          <m:rPr>
            <m:sty m:val="p"/>
          </m:rPr>
          <m:t>=</m:t>
        </m:r>
        <m:r>
          <m:t>L</m:t>
        </m:r>
        <m:r>
          <m:rPr>
            <m:sty m:val="p"/>
          </m:rPr>
          <m:t>+</m:t>
        </m:r>
        <m:r>
          <m:t>U</m:t>
        </m:r>
      </m:oMath>
      <w:r>
        <w:t xml:space="preserve"> </w:t>
      </w:r>
      <w:r>
        <w:t xml:space="preserve">activos y</w:t>
      </w:r>
      <w:r>
        <w:t xml:space="preserve"> </w:t>
      </w:r>
      <m:oMath>
        <m:sSub>
          <m:e>
            <m:r>
              <m:t>P</m:t>
            </m:r>
          </m:e>
          <m:sub>
            <m:r>
              <m:t>16</m:t>
            </m:r>
          </m:sub>
        </m:sSub>
      </m:oMath>
      <w:r>
        <w:t xml:space="preserve"> </w:t>
      </w:r>
      <w:r>
        <w:t xml:space="preserve">población de 16 y más años</w:t>
      </w:r>
      <w:r>
        <w:t xml:space="preserve"> </w:t>
      </w:r>
      <w:hyperlink r:id="rId34">
        <w:r>
          <w:rPr>
            <w:rStyle w:val="Referenciaatema"/>
          </w:rPr>
          <w:t xml:space="preserve">[ver tema 4.A.1]</w:t>
        </w:r>
      </w:hyperlink>
      <w:r>
        <w:t xml:space="preserve">,</w:t>
      </w:r>
    </w:p>
    <w:p>
      <w:pPr>
        <w:pStyle w:val="BodyText"/>
        <w:keepNext/>
      </w:pPr>
      <m:oMathPara>
        <m:oMathParaPr>
          <m:jc m:val="center"/>
        </m:oMathParaPr>
        <m:oMath>
          <m:r>
            <m:rPr>
              <m:nor/>
              <m:sty m:val="p"/>
            </m:rPr>
            <m:t>tasa de actividad</m:t>
          </m:r>
          <m:r>
            <m:rPr>
              <m:sty m:val="p"/>
            </m:rPr>
            <m:t>=</m:t>
          </m:r>
          <m:f>
            <m:fPr>
              <m:type m:val="bar"/>
            </m:fPr>
            <m:num>
              <m:r>
                <m:t>A</m:t>
              </m:r>
            </m:num>
            <m:den>
              <m:sSub>
                <m:e>
                  <m:r>
                    <m:t>P</m:t>
                  </m:r>
                </m:e>
                <m:sub>
                  <m:r>
                    <m:t>16</m:t>
                  </m:r>
                </m:sub>
              </m:sSub>
            </m:den>
          </m:f>
          <m:r>
            <m:rPr>
              <m:sty m:val="p"/>
            </m:rPr>
            <m:t>,</m:t>
          </m:r>
          <m:r>
            <m:t>  </m:t>
          </m:r>
          <m:r>
            <m:rPr>
              <m:nor/>
              <m:sty m:val="p"/>
            </m:rPr>
            <m:t>tasa de empleo</m:t>
          </m:r>
          <m:r>
            <m:rPr>
              <m:sty m:val="p"/>
            </m:rPr>
            <m:t>=</m:t>
          </m:r>
          <m:f>
            <m:fPr>
              <m:type m:val="bar"/>
            </m:fPr>
            <m:num>
              <m:r>
                <m:t>L</m:t>
              </m:r>
            </m:num>
            <m:den>
              <m:sSub>
                <m:e>
                  <m:r>
                    <m:t>P</m:t>
                  </m:r>
                </m:e>
                <m:sub>
                  <m:r>
                    <m:t>16</m:t>
                  </m:r>
                </m:sub>
              </m:sSub>
            </m:den>
          </m:f>
          <m:r>
            <m:rPr>
              <m:sty m:val="p"/>
            </m:rPr>
            <m:t>,</m:t>
          </m:r>
          <m:r>
            <m:t>  </m:t>
          </m:r>
          <m:r>
            <m:t>u</m:t>
          </m:r>
          <m:r>
            <m:rPr>
              <m:sty m:val="p"/>
            </m:rPr>
            <m:t>=</m:t>
          </m:r>
          <m:f>
            <m:fPr>
              <m:type m:val="bar"/>
            </m:fPr>
            <m:num>
              <m:r>
                <m:t>U</m:t>
              </m:r>
            </m:num>
            <m:den>
              <m:r>
                <m:t>A</m:t>
              </m:r>
            </m:den>
          </m:f>
          <m:r>
            <m:rPr>
              <m:sty m:val="p"/>
            </m:rPr>
            <m:t>.</m:t>
          </m:r>
        </m:oMath>
      </m:oMathPara>
    </w:p>
    <w:p>
      <w:pPr>
        <w:numPr>
          <w:ilvl w:val="0"/>
          <w:numId w:val="1046"/>
        </w:numPr>
      </w:pPr>
      <w:r>
        <w:rPr>
          <w:i/>
          <w:iCs/>
        </w:rPr>
        <w:t xml:space="preserve">Cuidado con la edad</w:t>
      </w:r>
      <w:r>
        <w:t xml:space="preserve">: el INE calcula las tasas sobre la población de 16 y más años (incluye a los jubilados), y Eurostat y la OCDE, sobre la de 15 a 64 años. Con la misma definición, la tasa de actividad de España (74,9 % en 2025) ya no está por debajo de la media de la OCDE (73,9 % en 2024); sobre la población de 16 y más años es del 58 %, por el peso de los mayores</w:t>
      </w:r>
      <w:r>
        <w:t xml:space="preserve"> </w:t>
      </w:r>
      <w:r>
        <w:t xml:space="preserve">(</w:t>
      </w:r>
      <w:hyperlink w:anchor="ref_OCDE2026LFS">
        <w:r>
          <w:rPr>
            <w:rStyle w:val="Hyperlink"/>
            <w:smallCaps/>
          </w:rPr>
          <w:t xml:space="preserve">OCDE</w:t>
        </w:r>
        <w:r>
          <w:rPr>
            <w:rStyle w:val="Hyperlink"/>
          </w:rPr>
          <w:t xml:space="preserve">, 2026a</w:t>
        </w:r>
      </w:hyperlink>
      <w:r>
        <w:t xml:space="preserve">;</w:t>
      </w:r>
      <w:r>
        <w:t xml:space="preserve"> </w:t>
      </w:r>
      <w:hyperlink w:anchor="ref_Eurostat2026lfsa">
        <w:r>
          <w:rPr>
            <w:rStyle w:val="Hyperlink"/>
            <w:smallCaps/>
          </w:rPr>
          <w:t xml:space="preserve">Eurostat</w:t>
        </w:r>
        <w:r>
          <w:rPr>
            <w:rStyle w:val="Hyperlink"/>
          </w:rPr>
          <w:t xml:space="preserve">, 2026b</w:t>
        </w:r>
      </w:hyperlink>
      <w:r>
        <w:t xml:space="preserve">;</w:t>
      </w:r>
      <w:r>
        <w:t xml:space="preserve"> </w:t>
      </w:r>
      <w:hyperlink w:anchor="ref_INE2025EPA">
        <w:r>
          <w:rPr>
            <w:rStyle w:val="Hyperlink"/>
            <w:smallCaps/>
          </w:rPr>
          <w:t xml:space="preserve">Instituto Nacional de Estadística</w:t>
        </w:r>
        <w:r>
          <w:rPr>
            <w:rStyle w:val="Hyperlink"/>
          </w:rPr>
          <w:t xml:space="preserve">, 2025</w:t>
        </w:r>
      </w:hyperlink>
      <w:r>
        <w:t xml:space="preserve">)</w:t>
      </w:r>
      <w:r>
        <w:t xml:space="preserve">. Solo se comparan tasas con la misma definición.</w:t>
      </w:r>
    </w:p>
    <w:p>
      <w:pPr>
        <w:numPr>
          <w:ilvl w:val="0"/>
          <w:numId w:val="1046"/>
        </w:numPr>
      </w:pPr>
      <w:r>
        <w:rPr>
          <w:i/>
          <w:iCs/>
        </w:rPr>
        <w:t xml:space="preserve">Otras medidas</w:t>
      </w:r>
      <w:r>
        <w:t xml:space="preserve">: la tasa bruta de actividad (activos sobre población total) mezcla la participación con la estructura de edades; el factor demográfico (población en edad de trabajar sobre la total) encaja en la descomposición</w:t>
      </w:r>
      <w:r>
        <w:t xml:space="preserve"> </w:t>
      </w:r>
      <m:oMath>
        <m:r>
          <m:t>Y</m:t>
        </m:r>
        <m:r>
          <m:rPr>
            <m:sty m:val="p"/>
          </m:rPr>
          <m:t>/</m:t>
        </m:r>
        <m:r>
          <m:t>N</m:t>
        </m:r>
        <m:r>
          <m:rPr>
            <m:sty m:val="p"/>
          </m:rPr>
          <m:t>=</m:t>
        </m:r>
        <m:d>
          <m:dPr>
            <m:begChr m:val="("/>
            <m:sepChr m:val=""/>
            <m:endChr m:val=")"/>
            <m:grow/>
          </m:dPr>
          <m:e>
            <m:r>
              <m:t>Y</m:t>
            </m:r>
            <m:r>
              <m:rPr>
                <m:sty m:val="p"/>
              </m:rPr>
              <m:t>/</m:t>
            </m:r>
            <m:r>
              <m:t>L</m:t>
            </m:r>
          </m:e>
        </m:d>
        <m:d>
          <m:dPr>
            <m:begChr m:val="("/>
            <m:sepChr m:val=""/>
            <m:endChr m:val=")"/>
            <m:grow/>
          </m:dPr>
          <m:e>
            <m:r>
              <m:t>L</m:t>
            </m:r>
            <m:r>
              <m:rPr>
                <m:sty m:val="p"/>
              </m:rPr>
              <m:t>/</m:t>
            </m:r>
            <m:r>
              <m:t>A</m:t>
            </m:r>
          </m:e>
        </m:d>
        <m:d>
          <m:dPr>
            <m:begChr m:val="("/>
            <m:sepChr m:val=""/>
            <m:endChr m:val=")"/>
            <m:grow/>
          </m:dPr>
          <m:e>
            <m:r>
              <m:t>A</m:t>
            </m:r>
            <m:r>
              <m:rPr>
                <m:sty m:val="p"/>
              </m:rPr>
              <m:t>/</m:t>
            </m:r>
            <m:sSub>
              <m:e>
                <m:r>
                  <m:t>P</m:t>
                </m:r>
              </m:e>
              <m:sub>
                <m:r>
                  <m:t>16</m:t>
                </m:r>
              </m:sub>
            </m:sSub>
          </m:e>
        </m:d>
        <m:d>
          <m:dPr>
            <m:begChr m:val="("/>
            <m:sepChr m:val=""/>
            <m:endChr m:val=")"/>
            <m:grow/>
          </m:dPr>
          <m:e>
            <m:sSub>
              <m:e>
                <m:r>
                  <m:t>P</m:t>
                </m:r>
              </m:e>
              <m:sub>
                <m:r>
                  <m:t>16</m:t>
                </m:r>
              </m:sub>
            </m:sSub>
            <m:r>
              <m:rPr>
                <m:sty m:val="p"/>
              </m:rPr>
              <m:t>/</m:t>
            </m:r>
            <m:r>
              <m:t>N</m:t>
            </m:r>
          </m:e>
        </m:d>
      </m:oMath>
      <w:r>
        <w:t xml:space="preserve"> </w:t>
      </w:r>
      <w:hyperlink r:id="rId85">
        <w:r>
          <w:rPr>
            <w:rStyle w:val="Referenciaatema"/>
          </w:rPr>
          <w:t xml:space="preserve">[ver tema 4.A.30]</w:t>
        </w:r>
      </w:hyperlink>
      <w:r>
        <w:t xml:space="preserve">.</w:t>
      </w:r>
    </w:p>
    <w:p>
      <w:pPr>
        <w:numPr>
          <w:ilvl w:val="0"/>
          <w:numId w:val="1046"/>
        </w:numPr>
      </w:pPr>
      <w:r>
        <w:rPr>
          <w:i/>
          <w:iCs/>
        </w:rPr>
        <w:t xml:space="preserve">Umbral o referencia</w:t>
      </w:r>
      <w:r>
        <w:t xml:space="preserve">: el cuadro de indicadores del procedimiento de desequilibrios macroeconómicos alerta con un paro superior al 10 % y con una caída de la tasa de actividad de más de 0,2 puntos en 3 años</w:t>
      </w:r>
      <w:r>
        <w:t xml:space="preserve"> </w:t>
      </w:r>
      <w:r>
        <w:t xml:space="preserve">(</w:t>
      </w:r>
      <w:hyperlink w:anchor="ref_CE2025AMR2026">
        <w:r>
          <w:rPr>
            <w:rStyle w:val="Hyperlink"/>
            <w:smallCaps/>
          </w:rPr>
          <w:t xml:space="preserve">Comisión Europea</w:t>
        </w:r>
        <w:r>
          <w:rPr>
            <w:rStyle w:val="Hyperlink"/>
          </w:rPr>
          <w:t xml:space="preserve">, 2025a</w:t>
        </w:r>
      </w:hyperlink>
      <w:r>
        <w:t xml:space="preserve">)</w:t>
      </w:r>
      <w:r>
        <w:t xml:space="preserve">. Como regla práctica (orientativa), un paro del 3-6 % suele considerarse pleno empleo en las economías avanzadas</w:t>
      </w:r>
      <w:r>
        <w:t xml:space="preserve"> </w:t>
      </w:r>
      <w:r>
        <w:t xml:space="preserve">(</w:t>
      </w:r>
      <w:hyperlink w:anchor="ref_OIT2019PlenoEmpleo">
        <w:r>
          <w:rPr>
            <w:rStyle w:val="Hyperlink"/>
            <w:smallCaps/>
          </w:rPr>
          <w:t xml:space="preserve">Organización Internacional del Trabajo</w:t>
        </w:r>
        <w:r>
          <w:rPr>
            <w:rStyle w:val="Hyperlink"/>
          </w:rPr>
          <w:t xml:space="preserve">, 2019</w:t>
        </w:r>
      </w:hyperlink>
      <w:r>
        <w:t xml:space="preserve">)</w:t>
      </w:r>
      <w:r>
        <w:t xml:space="preserve">.</w:t>
      </w:r>
      <w:r>
        <w:rPr>
          <w:rStyle w:val="FootnoteReference"/>
        </w:rPr>
        <w:footnoteReference w:id="86"/>
      </w:r>
    </w:p>
    <w:p>
      <w:pPr>
        <w:keepNext/>
        <w:numPr>
          <w:ilvl w:val="0"/>
          <w:numId w:val="1046"/>
        </w:numPr>
      </w:pPr>
      <w:r>
        <w:rPr>
          <w:i/>
          <w:iCs/>
        </w:rPr>
        <w:t xml:space="preserve">Cómo se lee</w:t>
      </w:r>
      <w:r>
        <w:t xml:space="preserve">:</w:t>
      </w:r>
    </w:p>
    <w:p>
      <w:pPr>
        <w:numPr>
          <w:ilvl w:val="1"/>
          <w:numId w:val="1047"/>
        </w:numPr>
      </w:pPr>
      <w:r>
        <w:t xml:space="preserve">la tasa de actividad depende de la demografía, de la incorporación de la mujer, de los años de estudio y de los incentivos (jubilación, prestaciones, fiscalidad), y es importante para la sostenibilidad del Estado del bienestar;</w:t>
      </w:r>
    </w:p>
    <w:p>
      <w:pPr>
        <w:numPr>
          <w:ilvl w:val="1"/>
          <w:numId w:val="1047"/>
        </w:numPr>
      </w:pPr>
      <w:r>
        <w:t xml:space="preserve">la variación del empleo es la creación menos la destrucción de empleo: hay que mirar a partir de qué crecimiento del PIB se crea empleo y con qué elasticidad;</w:t>
      </w:r>
    </w:p>
    <w:p>
      <w:pPr>
        <w:numPr>
          <w:ilvl w:val="1"/>
          <w:numId w:val="1047"/>
        </w:numPr>
      </w:pPr>
      <w:r>
        <w:t xml:space="preserve">el empleo y el paro pueden subir a la vez si llegan más activos (inmigración) de los que encuentran trabajo, y bajar a la vez si se destruye empleo pero se van aún más activos (emigración de parados, que contiene el paro pero puede suponer una fuga de cerebros). La inmigración eleva primero el paro y después el crecimiento potencial;</w:t>
      </w:r>
    </w:p>
    <w:p>
      <w:pPr>
        <w:numPr>
          <w:ilvl w:val="1"/>
          <w:numId w:val="1047"/>
        </w:numPr>
      </w:pPr>
      <w:r>
        <w:t xml:space="preserve">en la pandemia el empleo y el paro apenas reflejaron la caída del PIB por 3 razones: los esquemas de mantenimiento del empleo amortiguaron los despidos, las estadísticas no cuentan como parados a sus trabajadores y creció el empleo público (sanidad y educación). Un ejemplo de lectura del empleo, las horas y la actividad de la zona del euro está en el gráfico </w:t>
      </w:r>
      <w:hyperlink w:anchor="fig_empleo_horas">
        <w:r>
          <w:rPr>
            <w:rStyle w:val="Hyperlink"/>
          </w:rPr>
          <w:t xml:space="preserve">10</w:t>
        </w:r>
      </w:hyperlink>
      <w:r>
        <w:t xml:space="preserve">, en los anexos, y un párrafo del BCE que lo comenta, en el anexo </w:t>
      </w:r>
      <w:hyperlink w:anchor="anexo_parrafos">
        <w:r>
          <w:rPr>
            <w:rStyle w:val="Hyperlink"/>
          </w:rPr>
          <w:t xml:space="preserve">K.1</w:t>
        </w:r>
      </w:hyperlink>
      <w:r>
        <w:t xml:space="preserve">.</w:t>
      </w:r>
    </w:p>
    <w:p>
      <w:pPr>
        <w:numPr>
          <w:ilvl w:val="0"/>
          <w:numId w:val="1046"/>
        </w:numPr>
      </w:pPr>
      <w:r>
        <w:rPr>
          <w:i/>
          <w:iCs/>
        </w:rPr>
        <w:t xml:space="preserve">Tema</w:t>
      </w:r>
      <w:r>
        <w:t xml:space="preserve">:</w:t>
      </w:r>
      <w:r>
        <w:t xml:space="preserve"> </w:t>
      </w:r>
      <w:hyperlink r:id="rId87">
        <w:r>
          <w:rPr>
            <w:rStyle w:val="Referenciaatema"/>
          </w:rPr>
          <w:t xml:space="preserve">[ver tema 3.A.25]</w:t>
        </w:r>
      </w:hyperlink>
      <w:r>
        <w:t xml:space="preserve"> </w:t>
      </w:r>
      <w:hyperlink r:id="rId88">
        <w:r>
          <w:rPr>
            <w:rStyle w:val="Referenciaatema"/>
          </w:rPr>
          <w:t xml:space="preserve">[ver tema 4.A.16]</w:t>
        </w:r>
      </w:hyperlink>
      <w:r>
        <w:t xml:space="preserve">.</w:t>
      </w:r>
    </w:p>
    <w:bookmarkEnd w:id="89"/>
    <w:bookmarkStart w:id="90" w:name="productividad"/>
    <w:p>
      <w:pPr>
        <w:pStyle w:val="Heading4"/>
      </w:pPr>
      <w:r>
        <w:t xml:space="preserve">Productividad</w:t>
      </w:r>
    </w:p>
    <w:p>
      <w:pPr>
        <w:numPr>
          <w:ilvl w:val="0"/>
          <w:numId w:val="1048"/>
        </w:numPr>
      </w:pPr>
      <w:r>
        <w:rPr>
          <w:i/>
          <w:iCs/>
        </w:rPr>
        <w:t xml:space="preserve">Qué mide</w:t>
      </w:r>
      <w:r>
        <w:t xml:space="preserve">: la</w:t>
      </w:r>
      <w:r>
        <w:t xml:space="preserve"> </w:t>
      </w:r>
      <w:r>
        <w:rPr>
          <w:b/>
          <w:bCs/>
        </w:rPr>
        <w:t xml:space="preserve">productividad aparente del trabajo</w:t>
      </w:r>
      <w:r>
        <w:t xml:space="preserve">,</w:t>
      </w:r>
      <w:r>
        <w:t xml:space="preserve"> </w:t>
      </w:r>
      <m:oMath>
        <m:r>
          <m:rPr>
            <m:sty m:val="p"/>
          </m:rPr>
          <m:t>P</m:t>
        </m:r>
        <m:r>
          <m:rPr>
            <m:sty m:val="p"/>
          </m:rPr>
          <m:t>A</m:t>
        </m:r>
        <m:r>
          <m:rPr>
            <m:sty m:val="p"/>
          </m:rPr>
          <m:t>T</m:t>
        </m:r>
        <m:r>
          <m:rPr>
            <m:sty m:val="p"/>
          </m:rPr>
          <m:t>=</m:t>
        </m:r>
        <m:r>
          <m:t>Y</m:t>
        </m:r>
        <m:r>
          <m:rPr>
            <m:sty m:val="p"/>
          </m:rPr>
          <m:t>/</m:t>
        </m:r>
        <m:r>
          <m:t>L</m:t>
        </m:r>
      </m:oMath>
      <w:r>
        <w:t xml:space="preserve">, es lo que produce cada ocupado (o cada hora, si el cuadro da horas); es una aproximación a la productividad marginal, que no se observa.</w:t>
      </w:r>
    </w:p>
    <w:p>
      <w:pPr>
        <w:numPr>
          <w:ilvl w:val="0"/>
          <w:numId w:val="1048"/>
        </w:numPr>
      </w:pPr>
      <w:r>
        <w:rPr>
          <w:i/>
          <w:iCs/>
        </w:rPr>
        <w:t xml:space="preserve">Cómo se calcula</w:t>
      </w:r>
      <w:r>
        <w:t xml:space="preserve">:</w:t>
      </w:r>
      <w:r>
        <w:t xml:space="preserve"> </w:t>
      </w:r>
      <m:oMath>
        <m:sSub>
          <m:e>
            <m:r>
              <m:t>γ</m:t>
            </m:r>
          </m:e>
          <m:sub>
            <m:r>
              <m:rPr>
                <m:sty m:val="p"/>
              </m:rPr>
              <m:t>P</m:t>
            </m:r>
            <m:r>
              <m:rPr>
                <m:sty m:val="p"/>
              </m:rPr>
              <m:t>A</m:t>
            </m:r>
            <m:r>
              <m:rPr>
                <m:sty m:val="p"/>
              </m:rPr>
              <m:t>T</m:t>
            </m:r>
          </m:sub>
        </m:sSub>
        <m:r>
          <m:rPr>
            <m:sty m:val="p"/>
          </m:rPr>
          <m:t>=</m:t>
        </m:r>
        <m:sSub>
          <m:e>
            <m:r>
              <m:t>γ</m:t>
            </m:r>
          </m:e>
          <m:sub>
            <m:r>
              <m:t>Y</m:t>
            </m:r>
          </m:sub>
        </m:sSub>
        <m:r>
          <m:rPr>
            <m:sty m:val="p"/>
          </m:rPr>
          <m:t>−</m:t>
        </m:r>
        <m:sSub>
          <m:e>
            <m:r>
              <m:t>γ</m:t>
            </m:r>
          </m:e>
          <m:sub>
            <m:r>
              <m:t>L</m:t>
            </m:r>
          </m:sub>
        </m:sSub>
      </m:oMath>
      <w:r>
        <w:t xml:space="preserve"> </w:t>
      </w:r>
      <w:r>
        <w:t xml:space="preserve">(apartado </w:t>
      </w:r>
      <w:hyperlink w:anchor="sec_oferta">
        <w:r>
          <w:rPr>
            <w:rStyle w:val="Hyperlink"/>
          </w:rPr>
          <w:t xml:space="preserve">I.5</w:t>
        </w:r>
      </w:hyperlink>
      <w:r>
        <w:t xml:space="preserve">). Con horas trabajadas, el PIB por persona en edad de trabajar se descompone en PIB por hora y horas por persona.</w:t>
      </w:r>
    </w:p>
    <w:p>
      <w:pPr>
        <w:numPr>
          <w:ilvl w:val="0"/>
          <w:numId w:val="1048"/>
        </w:numPr>
      </w:pPr>
      <w:r>
        <w:rPr>
          <w:i/>
          <w:iCs/>
        </w:rPr>
        <w:t xml:space="preserve">Cómo se lee</w:t>
      </w:r>
      <w:r>
        <w:t xml:space="preserve">: la productividad del trabajo no refleja solo las capacidades y el esfuerzo de los trabajadores, sino también el capital y la tecnología con que trabajan. Crece por</w:t>
      </w:r>
      <w:r>
        <w:t xml:space="preserve"> </w:t>
      </w:r>
      <w:r>
        <w:rPr>
          <w:i/>
          <w:iCs/>
        </w:rPr>
        <w:t xml:space="preserve">intensificación del capital</w:t>
      </w:r>
      <w:r>
        <w:t xml:space="preserve"> </w:t>
      </w:r>
      <w:r>
        <w:t xml:space="preserve">(más capital físico por trabajador, gracias a la inversión neta), por inversión en</w:t>
      </w:r>
      <w:r>
        <w:t xml:space="preserve"> </w:t>
      </w:r>
      <w:r>
        <w:rPr>
          <w:i/>
          <w:iCs/>
        </w:rPr>
        <w:t xml:space="preserve">capital intangible</w:t>
      </w:r>
      <w:r>
        <w:t xml:space="preserve"> </w:t>
      </w:r>
      <w:r>
        <w:t xml:space="preserve">(innovación, cambios organizativos, I+D) o por</w:t>
      </w:r>
      <w:r>
        <w:t xml:space="preserve"> </w:t>
      </w:r>
      <w:r>
        <w:rPr>
          <w:i/>
          <w:iCs/>
        </w:rPr>
        <w:t xml:space="preserve">progreso técnico</w:t>
      </w:r>
      <w:r>
        <w:t xml:space="preserve"> </w:t>
      </w:r>
      <w:r>
        <w:t xml:space="preserve">(sube la productividad total de los factores). Si cae el empleo menos productivo, la PAT sube sin que nadie trabaje mejor. A largo plazo, la productividad es la que eleva la renta per cápita y los salarios reales. El gráfico </w:t>
      </w:r>
      <w:hyperlink w:anchor="fig_pib_por_pet">
        <w:r>
          <w:rPr>
            <w:rStyle w:val="Hyperlink"/>
          </w:rPr>
          <w:t xml:space="preserve">11</w:t>
        </w:r>
      </w:hyperlink>
      <w:r>
        <w:t xml:space="preserve">, en los anexos, descompone el PIB por persona en edad de trabajar de España en productividad por hora y horas por persona.</w:t>
      </w:r>
    </w:p>
    <w:p>
      <w:pPr>
        <w:numPr>
          <w:ilvl w:val="0"/>
          <w:numId w:val="1048"/>
        </w:numPr>
      </w:pPr>
      <w:r>
        <w:rPr>
          <w:i/>
          <w:iCs/>
        </w:rPr>
        <w:t xml:space="preserve">Tema</w:t>
      </w:r>
      <w:r>
        <w:t xml:space="preserve">:</w:t>
      </w:r>
      <w:r>
        <w:t xml:space="preserve"> </w:t>
      </w:r>
      <w:hyperlink r:id="rId40">
        <w:r>
          <w:rPr>
            <w:rStyle w:val="Referenciaatema"/>
          </w:rPr>
          <w:t xml:space="preserve">[ver tema 3.A.45]</w:t>
        </w:r>
      </w:hyperlink>
      <w:r>
        <w:t xml:space="preserve"> </w:t>
      </w:r>
      <w:hyperlink r:id="rId49">
        <w:r>
          <w:rPr>
            <w:rStyle w:val="Referenciaatema"/>
          </w:rPr>
          <w:t xml:space="preserve">[ver tema 4.A.29]</w:t>
        </w:r>
      </w:hyperlink>
      <w:r>
        <w:t xml:space="preserve">.</w:t>
      </w:r>
    </w:p>
    <w:bookmarkEnd w:id="90"/>
    <w:bookmarkStart w:id="95" w:name="salarios_costes_laborales_unitario_37226"/>
    <w:p>
      <w:pPr>
        <w:pStyle w:val="Heading4"/>
      </w:pPr>
      <w:r>
        <w:t xml:space="preserve">Salarios, costes laborales unitarios y margen</w:t>
      </w:r>
    </w:p>
    <w:p>
      <w:pPr>
        <w:numPr>
          <w:ilvl w:val="0"/>
          <w:numId w:val="1049"/>
        </w:numPr>
      </w:pPr>
      <w:r>
        <w:rPr>
          <w:i/>
          <w:iCs/>
        </w:rPr>
        <w:t xml:space="preserve">Qué mide</w:t>
      </w:r>
      <w:r>
        <w:t xml:space="preserve">: el</w:t>
      </w:r>
      <w:r>
        <w:t xml:space="preserve"> </w:t>
      </w:r>
      <w:r>
        <w:rPr>
          <w:b/>
          <w:bCs/>
        </w:rPr>
        <w:t xml:space="preserve">coste laboral unitario</w:t>
      </w:r>
      <w:r>
        <w:t xml:space="preserve"> </w:t>
      </w:r>
      <w:r>
        <w:t xml:space="preserve">(CLU) es lo que cuesta en salarios producir una unidad: la remuneración por asalariado (</w:t>
      </w:r>
      <m:oMath>
        <m:r>
          <m:t>W</m:t>
        </m:r>
      </m:oMath>
      <w:r>
        <w:t xml:space="preserve">, nominal) dividida por la productividad. Es una remuneración ajustada por la productividad y la medida de competitividad en costes que más se usa. Los salarios reales se obtienen deflactando los nominales con el índice de precios adecuado, y a largo plazo su crecimiento suele seguir al de la productividad.</w:t>
      </w:r>
    </w:p>
    <w:p>
      <w:pPr>
        <w:numPr>
          <w:ilvl w:val="0"/>
          <w:numId w:val="1049"/>
        </w:numPr>
      </w:pPr>
      <w:r>
        <w:rPr>
          <w:i/>
          <w:iCs/>
        </w:rPr>
        <w:t xml:space="preserve">Cómo se calcula</w:t>
      </w:r>
      <w:r>
        <w:t xml:space="preserve">:</w:t>
      </w:r>
    </w:p>
    <w:p>
      <w:pPr>
        <w:pStyle w:val="BodyText"/>
        <w:keepNext/>
      </w:pPr>
      <m:oMathPara>
        <m:oMathParaPr>
          <m:jc m:val="center"/>
        </m:oMathParaPr>
        <m:oMath>
          <m:r>
            <m:rPr>
              <m:sty m:val="p"/>
            </m:rPr>
            <m:t>C</m:t>
          </m:r>
          <m:r>
            <m:rPr>
              <m:sty m:val="p"/>
            </m:rPr>
            <m:t>L</m:t>
          </m:r>
          <m:r>
            <m:rPr>
              <m:sty m:val="p"/>
            </m:rPr>
            <m:t>U</m:t>
          </m:r>
          <m:r>
            <m:rPr>
              <m:sty m:val="p"/>
            </m:rPr>
            <m:t>=</m:t>
          </m:r>
          <m:f>
            <m:fPr>
              <m:type m:val="bar"/>
            </m:fPr>
            <m:num>
              <m:r>
                <m:t>W</m:t>
              </m:r>
              <m:r>
                <m:t>L</m:t>
              </m:r>
            </m:num>
            <m:den>
              <m:r>
                <m:t>Y</m:t>
              </m:r>
            </m:den>
          </m:f>
          <m:r>
            <m:rPr>
              <m:sty m:val="p"/>
            </m:rPr>
            <m:t>=</m:t>
          </m:r>
          <m:f>
            <m:fPr>
              <m:type m:val="bar"/>
            </m:fPr>
            <m:num>
              <m:r>
                <m:t>W</m:t>
              </m:r>
            </m:num>
            <m:den>
              <m:r>
                <m:rPr>
                  <m:sty m:val="p"/>
                </m:rPr>
                <m:t>P</m:t>
              </m:r>
              <m:r>
                <m:rPr>
                  <m:sty m:val="p"/>
                </m:rPr>
                <m:t>A</m:t>
              </m:r>
              <m:r>
                <m:rPr>
                  <m:sty m:val="p"/>
                </m:rPr>
                <m:t>T</m:t>
              </m:r>
            </m:den>
          </m:f>
          <m:r>
            <m:t> </m:t>
          </m:r>
          <m:r>
            <m:rPr>
              <m:sty m:val="p"/>
            </m:rPr>
            <m:t>⇒</m:t>
          </m:r>
          <m:r>
            <m:t> </m:t>
          </m:r>
          <m:sSub>
            <m:e>
              <m:r>
                <m:t>γ</m:t>
              </m:r>
            </m:e>
            <m:sub>
              <m:r>
                <m:rPr>
                  <m:sty m:val="p"/>
                </m:rPr>
                <m:t>C</m:t>
              </m:r>
              <m:r>
                <m:rPr>
                  <m:sty m:val="p"/>
                </m:rPr>
                <m:t>L</m:t>
              </m:r>
              <m:r>
                <m:rPr>
                  <m:sty m:val="p"/>
                </m:rPr>
                <m:t>U</m:t>
              </m:r>
            </m:sub>
          </m:sSub>
          <m:r>
            <m:rPr>
              <m:sty m:val="p"/>
            </m:rPr>
            <m:t>=</m:t>
          </m:r>
          <m:sSub>
            <m:e>
              <m:r>
                <m:t>γ</m:t>
              </m:r>
            </m:e>
            <m:sub>
              <m:r>
                <m:t>W</m:t>
              </m:r>
            </m:sub>
          </m:sSub>
          <m:r>
            <m:rPr>
              <m:sty m:val="p"/>
            </m:rPr>
            <m:t>−</m:t>
          </m:r>
          <m:sSub>
            <m:e>
              <m:r>
                <m:t>γ</m:t>
              </m:r>
            </m:e>
            <m:sub>
              <m:r>
                <m:rPr>
                  <m:sty m:val="p"/>
                </m:rPr>
                <m:t>P</m:t>
              </m:r>
              <m:r>
                <m:rPr>
                  <m:sty m:val="p"/>
                </m:rPr>
                <m:t>A</m:t>
              </m:r>
              <m:r>
                <m:rPr>
                  <m:sty m:val="p"/>
                </m:rPr>
                <m:t>T</m:t>
              </m:r>
            </m:sub>
          </m:sSub>
          <m:r>
            <m:rPr>
              <m:sty m:val="p"/>
            </m:rPr>
            <m:t>.</m:t>
          </m:r>
        </m:oMath>
      </m:oMathPara>
    </w:p>
    <w:p>
      <w:pPr>
        <w:numPr>
          <w:ilvl w:val="0"/>
          <w:numId w:val="1000"/>
        </w:numPr>
      </w:pPr>
      <w:r>
        <w:t xml:space="preserve">Como</w:t>
      </w:r>
      <w:r>
        <w:t xml:space="preserve"> </w:t>
      </w:r>
      <m:oMath>
        <m:r>
          <m:rPr>
            <m:sty m:val="p"/>
          </m:rPr>
          <m:t>C</m:t>
        </m:r>
        <m:r>
          <m:rPr>
            <m:sty m:val="p"/>
          </m:rPr>
          <m:t>L</m:t>
        </m:r>
        <m:r>
          <m:rPr>
            <m:sty m:val="p"/>
          </m:rPr>
          <m:t>U</m:t>
        </m:r>
        <m:r>
          <m:rPr>
            <m:sty m:val="p"/>
          </m:rPr>
          <m:t>=</m:t>
        </m:r>
        <m:r>
          <m:t>P</m:t>
        </m:r>
        <m:r>
          <m:rPr>
            <m:sty m:val="p"/>
          </m:rPr>
          <m:t>⋅</m:t>
        </m:r>
        <m:f>
          <m:fPr>
            <m:type m:val="bar"/>
          </m:fPr>
          <m:num>
            <m:r>
              <m:t>W</m:t>
            </m:r>
            <m:r>
              <m:t>L</m:t>
            </m:r>
          </m:num>
          <m:den>
            <m:r>
              <m:t>P</m:t>
            </m:r>
            <m:r>
              <m:t>Y</m:t>
            </m:r>
          </m:den>
        </m:f>
      </m:oMath>
      <w:r>
        <w:t xml:space="preserve">, el</w:t>
      </w:r>
      <w:r>
        <w:t xml:space="preserve"> </w:t>
      </w:r>
      <w:r>
        <w:rPr>
          <w:b/>
          <w:bCs/>
        </w:rPr>
        <w:t xml:space="preserve">CLU real</w:t>
      </w:r>
      <w:r>
        <w:t xml:space="preserve"> </w:t>
      </w:r>
      <w:r>
        <w:t xml:space="preserve">(</w:t>
      </w:r>
      <m:oMath>
        <m:r>
          <m:rPr>
            <m:sty m:val="p"/>
          </m:rPr>
          <m:t>C</m:t>
        </m:r>
        <m:r>
          <m:rPr>
            <m:sty m:val="p"/>
          </m:rPr>
          <m:t>L</m:t>
        </m:r>
        <m:r>
          <m:rPr>
            <m:sty m:val="p"/>
          </m:rPr>
          <m:t>U</m:t>
        </m:r>
        <m:r>
          <m:rPr>
            <m:sty m:val="p"/>
          </m:rPr>
          <m:t>/</m:t>
        </m:r>
        <m:r>
          <m:t>P</m:t>
        </m:r>
      </m:oMath>
      <w:r>
        <w:t xml:space="preserve">, con</w:t>
      </w:r>
      <w:r>
        <w:t xml:space="preserve"> </w:t>
      </w:r>
      <m:oMath>
        <m:r>
          <m:t>P</m:t>
        </m:r>
      </m:oMath>
      <w:r>
        <w:t xml:space="preserve"> </w:t>
      </w:r>
      <w:r>
        <w:t xml:space="preserve">el deflactor del PIB) es la participación de la remuneración de los asalariados en el PIB.</w:t>
      </w:r>
      <w:r>
        <w:rPr>
          <w:rStyle w:val="FootnoteReference"/>
        </w:rPr>
        <w:footnoteReference w:id="91"/>
      </w:r>
    </w:p>
    <w:p>
      <w:pPr>
        <w:numPr>
          <w:ilvl w:val="0"/>
          <w:numId w:val="1049"/>
        </w:numPr>
      </w:pPr>
      <w:r>
        <w:rPr>
          <w:i/>
          <w:iCs/>
        </w:rPr>
        <w:t xml:space="preserve">Margen</w:t>
      </w:r>
      <w:r>
        <w:t xml:space="preserve">: si el precio es un margen</w:t>
      </w:r>
      <w:r>
        <w:t xml:space="preserve"> </w:t>
      </w:r>
      <m:oMath>
        <m:r>
          <m:t>μ</m:t>
        </m:r>
      </m:oMath>
      <w:r>
        <w:t xml:space="preserve"> </w:t>
      </w:r>
      <w:r>
        <w:t xml:space="preserve">sobre el coste laboral unitario,</w:t>
      </w:r>
      <w:r>
        <w:t xml:space="preserve"> </w:t>
      </w:r>
      <m:oMath>
        <m:r>
          <m:t>P</m:t>
        </m:r>
        <m:r>
          <m:rPr>
            <m:sty m:val="p"/>
          </m:rPr>
          <m:t>=</m:t>
        </m:r>
        <m:d>
          <m:dPr>
            <m:begChr m:val="("/>
            <m:sepChr m:val=""/>
            <m:endChr m:val=")"/>
            <m:grow/>
          </m:dPr>
          <m:e>
            <m:r>
              <m:t>1</m:t>
            </m:r>
            <m:r>
              <m:rPr>
                <m:sty m:val="p"/>
              </m:rPr>
              <m:t>+</m:t>
            </m:r>
            <m:r>
              <m:t>μ</m:t>
            </m:r>
          </m:e>
        </m:d>
        <m:r>
          <m:t> </m:t>
        </m:r>
        <m:r>
          <m:rPr>
            <m:sty m:val="p"/>
          </m:rPr>
          <m:t>C</m:t>
        </m:r>
        <m:r>
          <m:rPr>
            <m:sty m:val="p"/>
          </m:rPr>
          <m:t>L</m:t>
        </m:r>
        <m:r>
          <m:rPr>
            <m:sty m:val="p"/>
          </m:rPr>
          <m:t>U</m:t>
        </m:r>
      </m:oMath>
      <w:r>
        <w:t xml:space="preserve">, y el margen evoluciona como</w:t>
      </w:r>
    </w:p>
    <w:p>
      <w:pPr>
        <w:pStyle w:val="BodyText"/>
        <w:keepNext/>
      </w:pPr>
      <m:oMathPara>
        <m:oMathParaPr>
          <m:jc m:val="center"/>
        </m:oMathParaPr>
        <m:oMath>
          <m:sSub>
            <m:e>
              <m:r>
                <m:t>γ</m:t>
              </m:r>
            </m:e>
            <m:sub>
              <m:r>
                <m:t>1</m:t>
              </m:r>
              <m:r>
                <m:rPr>
                  <m:sty m:val="p"/>
                </m:rPr>
                <m:t>+</m:t>
              </m:r>
              <m:r>
                <m:t>μ</m:t>
              </m:r>
            </m:sub>
          </m:sSub>
          <m:r>
            <m:rPr>
              <m:sty m:val="p"/>
            </m:rPr>
            <m:t>≈</m:t>
          </m:r>
          <m:sSub>
            <m:e>
              <m:r>
                <m:t>γ</m:t>
              </m:r>
            </m:e>
            <m:sub>
              <m:r>
                <m:t>P</m:t>
              </m:r>
            </m:sub>
          </m:sSub>
          <m:r>
            <m:rPr>
              <m:sty m:val="p"/>
            </m:rPr>
            <m:t>−</m:t>
          </m:r>
          <m:sSub>
            <m:e>
              <m:r>
                <m:t>γ</m:t>
              </m:r>
            </m:e>
            <m:sub>
              <m:r>
                <m:rPr>
                  <m:sty m:val="p"/>
                </m:rPr>
                <m:t>C</m:t>
              </m:r>
              <m:r>
                <m:rPr>
                  <m:sty m:val="p"/>
                </m:rPr>
                <m:t>L</m:t>
              </m:r>
              <m:r>
                <m:rPr>
                  <m:sty m:val="p"/>
                </m:rPr>
                <m:t>U</m:t>
              </m:r>
            </m:sub>
          </m:sSub>
          <m:r>
            <m:rPr>
              <m:sty m:val="p"/>
            </m:rPr>
            <m:t>.</m:t>
          </m:r>
        </m:oMath>
      </m:oMathPara>
    </w:p>
    <w:p>
      <w:pPr>
        <w:numPr>
          <w:ilvl w:val="0"/>
          <w:numId w:val="1000"/>
        </w:numPr>
      </w:pPr>
      <w:r>
        <w:t xml:space="preserve">Los márgenes suben exactamente cuando caen los CLU reales. Es una aproximación: supone constantes los impuestos indirectos netos y el peso de los consumos intermedios importados. El excedente bruto de explotación es otra cosa, un nivel de rentas, y su crecimiento no es el del margen.</w:t>
      </w:r>
    </w:p>
    <w:p>
      <w:pPr>
        <w:numPr>
          <w:ilvl w:val="0"/>
          <w:numId w:val="1049"/>
        </w:numPr>
      </w:pPr>
      <w:r>
        <w:rPr>
          <w:i/>
          <w:iCs/>
        </w:rPr>
        <w:t xml:space="preserve">Umbral o referencia</w:t>
      </w:r>
      <w:r>
        <w:t xml:space="preserve">: el cuadro de indicadores del procedimiento de desequilibrios alerta si los CLU nominales por hora crecen más del 9 % en 3 años en la zona del euro (12 % fuera)</w:t>
      </w:r>
      <w:r>
        <w:t xml:space="preserve"> </w:t>
      </w:r>
      <w:r>
        <w:t xml:space="preserve">(</w:t>
      </w:r>
      <w:hyperlink w:anchor="ref_CE2025AMR2026">
        <w:r>
          <w:rPr>
            <w:rStyle w:val="Hyperlink"/>
            <w:smallCaps/>
          </w:rPr>
          <w:t xml:space="preserve">Comisión Europea</w:t>
        </w:r>
        <w:r>
          <w:rPr>
            <w:rStyle w:val="Hyperlink"/>
          </w:rPr>
          <w:t xml:space="preserve">, 2025a</w:t>
        </w:r>
      </w:hyperlink>
      <w:r>
        <w:t xml:space="preserve">)</w:t>
      </w:r>
      <w:r>
        <w:t xml:space="preserve">. Como referencia, que los salarios nominales crezcan como la productividad más el objetivo de inflación mantiene estables los CLU reales.</w:t>
      </w:r>
      <w:r>
        <w:rPr>
          <w:rStyle w:val="FootnoteReference"/>
        </w:rPr>
        <w:footnoteReference w:id="92"/>
      </w:r>
    </w:p>
    <w:p>
      <w:pPr>
        <w:keepNext/>
        <w:numPr>
          <w:ilvl w:val="0"/>
          <w:numId w:val="1049"/>
        </w:numPr>
      </w:pPr>
      <w:r>
        <w:rPr>
          <w:i/>
          <w:iCs/>
        </w:rPr>
        <w:t xml:space="preserve">Cómo se lee</w:t>
      </w:r>
      <w:r>
        <w:t xml:space="preserve">:</w:t>
      </w:r>
    </w:p>
    <w:p>
      <w:pPr>
        <w:numPr>
          <w:ilvl w:val="1"/>
          <w:numId w:val="1050"/>
        </w:numPr>
      </w:pPr>
      <w:r>
        <w:t xml:space="preserve">CLU nominales que crecen</w:t>
      </w:r>
      <w:r>
        <w:t xml:space="preserve"> </w:t>
      </w:r>
      <w:r>
        <w:rPr>
          <w:i/>
          <w:iCs/>
        </w:rPr>
        <w:t xml:space="preserve">más que la inflación</w:t>
      </w:r>
      <w:r>
        <w:t xml:space="preserve"> </w:t>
      </w:r>
      <w:r>
        <w:t xml:space="preserve">(CLU reales al alza): los salarios crecen más que la productividad o la productividad cae sin reflejo en los salarios. Anticipan presiones inflacionistas, menos margen y beneficio y, a medio plazo, sustitución de trabajo por capital y menos empleo.</w:t>
      </w:r>
    </w:p>
    <w:p>
      <w:pPr>
        <w:numPr>
          <w:ilvl w:val="1"/>
          <w:numId w:val="1050"/>
        </w:numPr>
      </w:pPr>
      <w:r>
        <w:t xml:space="preserve">CLU nominales que crecen</w:t>
      </w:r>
      <w:r>
        <w:t xml:space="preserve"> </w:t>
      </w:r>
      <w:r>
        <w:rPr>
          <w:i/>
          <w:iCs/>
        </w:rPr>
        <w:t xml:space="preserve">más que en los socios</w:t>
      </w:r>
      <w:r>
        <w:t xml:space="preserve">: pérdida de competitividad-precio (apartado </w:t>
      </w:r>
      <w:hyperlink w:anchor="sec_tipo_cambio">
        <w:r>
          <w:rPr>
            <w:rStyle w:val="Hyperlink"/>
          </w:rPr>
          <w:t xml:space="preserve">III.2</w:t>
        </w:r>
      </w:hyperlink>
      <w:r>
        <w:t xml:space="preserve">).</w:t>
      </w:r>
    </w:p>
    <w:p>
      <w:pPr>
        <w:numPr>
          <w:ilvl w:val="1"/>
          <w:numId w:val="1050"/>
        </w:numPr>
      </w:pPr>
      <w:r>
        <w:t xml:space="preserve">CLU que crecen poco con paro alto: ajuste por salarios (devaluación interna).</w:t>
      </w:r>
    </w:p>
    <w:p>
      <w:pPr>
        <w:numPr>
          <w:ilvl w:val="1"/>
          <w:numId w:val="1050"/>
        </w:numPr>
      </w:pPr>
      <w:r>
        <w:t xml:space="preserve">CLU nominales que crecen</w:t>
      </w:r>
      <w:r>
        <w:t xml:space="preserve"> </w:t>
      </w:r>
      <w:r>
        <w:rPr>
          <w:i/>
          <w:iCs/>
        </w:rPr>
        <w:t xml:space="preserve">menos que la inflación</w:t>
      </w:r>
      <w:r>
        <w:t xml:space="preserve"> </w:t>
      </w:r>
      <w:r>
        <w:t xml:space="preserve">(CLU reales a la baja): no hay presiones inflacionistas desde los costes.</w:t>
      </w:r>
    </w:p>
    <w:p>
      <w:pPr>
        <w:numPr>
          <w:ilvl w:val="0"/>
          <w:numId w:val="1049"/>
        </w:numPr>
      </w:pPr>
      <w:r>
        <w:rPr>
          <w:i/>
          <w:iCs/>
        </w:rPr>
        <w:t xml:space="preserve">Por qué importa</w:t>
      </w:r>
      <w:r>
        <w:t xml:space="preserve">: como el trabajo es el mayor coste de producción, el CLU anticipa la tendencia de los costes, de los beneficios, de la bolsa y de la inflación:</w:t>
      </w:r>
      <w:r>
        <w:t xml:space="preserve"> </w:t>
      </w:r>
      <w:r>
        <w:rPr>
          <w:i/>
          <w:iCs/>
        </w:rPr>
        <w:t xml:space="preserve">ceteris paribus</w:t>
      </w:r>
      <w:r>
        <w:t xml:space="preserve">, un aumento sostenido del CLU (i) sube los costes totales; (ii) reduce los beneficios y, si se extiende a toda la economía, la cotización de las acciones; y (iii) presiona a las empresas a subir precios. Si sube la participación de los salarios en la renta (</w:t>
      </w:r>
      <m:oMath>
        <m:sSub>
          <m:e>
            <m:r>
              <m:t>s</m:t>
            </m:r>
          </m:e>
          <m:sub>
            <m:r>
              <m:t>L</m:t>
            </m:r>
          </m:sub>
        </m:sSub>
      </m:oMath>
      <w:r>
        <w:t xml:space="preserve">), cae la de los beneficios (</w:t>
      </w:r>
      <m:oMath>
        <m:sSub>
          <m:e>
            <m:r>
              <m:t>s</m:t>
            </m:r>
          </m:e>
          <m:sub>
            <m:r>
              <m:t>K</m:t>
            </m:r>
          </m:sub>
        </m:sSub>
      </m:oMath>
      <w:r>
        <w:t xml:space="preserve">): por eso un aumento del CLU real se lee como una caída de la rentabilidad.</w:t>
      </w:r>
    </w:p>
    <w:p>
      <w:pPr>
        <w:numPr>
          <w:ilvl w:val="0"/>
          <w:numId w:val="1049"/>
        </w:numPr>
      </w:pPr>
      <w:r>
        <w:rPr>
          <w:i/>
          <w:iCs/>
        </w:rPr>
        <w:t xml:space="preserve">Por qué los nominales</w:t>
      </w:r>
      <w:r>
        <w:t xml:space="preserve">: la mayoría de las instituciones usan los CLU nominales por 2 razones: para compararlos con la inflación y anticipar presiones inflacionistas, y para analizar la competitividad exterior, porque el tipo de cambio efectivo real en términos de CLU depende de los salarios nominales del país frente a los de sus socios.</w:t>
      </w:r>
    </w:p>
    <w:p>
      <w:pPr>
        <w:numPr>
          <w:ilvl w:val="0"/>
          <w:numId w:val="1049"/>
        </w:numPr>
      </w:pPr>
      <w:r>
        <w:rPr>
          <w:i/>
          <w:iCs/>
        </w:rPr>
        <w:t xml:space="preserve">Efectos sobre los precios</w:t>
      </w:r>
      <w:r>
        <w:t xml:space="preserve">: hay que ver si el mercado de trabajo los transmite, por ejemplo con salarios indexados a la inflación pasada en lugar de a la productividad o con una negociación colectiva de nivel intermedio (sectorial), que según</w:t>
      </w:r>
      <w:r>
        <w:t xml:space="preserve"> </w:t>
      </w:r>
      <w:r>
        <w:rPr>
          <w:smallCaps/>
        </w:rPr>
        <w:t xml:space="preserve">Calmfors</w:t>
      </w:r>
      <w:r>
        <w:t xml:space="preserve"> </w:t>
      </w:r>
      <w:r>
        <w:t xml:space="preserve">y</w:t>
      </w:r>
      <w:r>
        <w:t xml:space="preserve"> </w:t>
      </w:r>
      <w:r>
        <w:rPr>
          <w:smallCaps/>
        </w:rPr>
        <w:t xml:space="preserve">Driffill</w:t>
      </w:r>
      <w:r>
        <w:t xml:space="preserve"> </w:t>
      </w:r>
      <w:r>
        <w:t xml:space="preserve">(</w:t>
      </w:r>
      <w:hyperlink w:anchor="ref_CalmforsDriffill1988">
        <w:r>
          <w:rPr>
            <w:rStyle w:val="Hyperlink"/>
          </w:rPr>
          <w:t xml:space="preserve">1988</w:t>
        </w:r>
      </w:hyperlink>
      <w:r>
        <w:t xml:space="preserve">)</w:t>
      </w:r>
      <w:r>
        <w:t xml:space="preserve"> </w:t>
      </w:r>
      <w:r>
        <w:t xml:space="preserve">da peores resultados que la muy centralizada o la de empresa. Es el origen de los efectos de segunda ronda (apartado </w:t>
      </w:r>
      <w:hyperlink w:anchor="sec_precios">
        <w:r>
          <w:rPr>
            <w:rStyle w:val="Hyperlink"/>
          </w:rPr>
          <w:t xml:space="preserve">III.1</w:t>
        </w:r>
      </w:hyperlink>
      <w:r>
        <w:t xml:space="preserve">).</w:t>
      </w:r>
    </w:p>
    <w:p>
      <w:pPr>
        <w:numPr>
          <w:ilvl w:val="0"/>
          <w:numId w:val="1049"/>
        </w:numPr>
      </w:pPr>
      <w:r>
        <w:rPr>
          <w:i/>
          <w:iCs/>
        </w:rPr>
        <w:t xml:space="preserve">Tema</w:t>
      </w:r>
      <w:r>
        <w:t xml:space="preserve">:</w:t>
      </w:r>
      <w:r>
        <w:t xml:space="preserve"> </w:t>
      </w:r>
      <w:hyperlink r:id="rId93">
        <w:r>
          <w:rPr>
            <w:rStyle w:val="Referenciaatema"/>
          </w:rPr>
          <w:t xml:space="preserve">[ver tema 3.A.27]</w:t>
        </w:r>
      </w:hyperlink>
      <w:r>
        <w:t xml:space="preserve"> </w:t>
      </w:r>
      <w:hyperlink r:id="rId37">
        <w:r>
          <w:rPr>
            <w:rStyle w:val="Referenciaatema"/>
          </w:rPr>
          <w:t xml:space="preserve">[ver tema 3.A.28]</w:t>
        </w:r>
      </w:hyperlink>
      <w:r>
        <w:t xml:space="preserve"> </w:t>
      </w:r>
      <w:hyperlink r:id="rId94">
        <w:r>
          <w:rPr>
            <w:rStyle w:val="Referenciaatema"/>
          </w:rPr>
          <w:t xml:space="preserve">[ver tema 4.A.22]</w:t>
        </w:r>
      </w:hyperlink>
      <w:r>
        <w:t xml:space="preserve">.</w:t>
      </w:r>
    </w:p>
    <w:bookmarkEnd w:id="95"/>
    <w:bookmarkStart w:id="96" w:name="demanda_y_oferta_de_trabajo"/>
    <w:p>
      <w:pPr>
        <w:pStyle w:val="Heading4"/>
      </w:pPr>
      <w:r>
        <w:t xml:space="preserve">Demanda y oferta de trabajo</w:t>
      </w:r>
    </w:p>
    <w:p>
      <w:pPr>
        <w:numPr>
          <w:ilvl w:val="0"/>
          <w:numId w:val="1051"/>
        </w:numPr>
      </w:pPr>
      <w:r>
        <w:rPr>
          <w:i/>
          <w:iCs/>
        </w:rPr>
        <w:t xml:space="preserve">Demanda de trabajo</w:t>
      </w:r>
      <w:r>
        <w:t xml:space="preserve"> </w:t>
      </w:r>
      <w:r>
        <w:t xml:space="preserve">(la creación de empleo): depende negativamente de los CLU</w:t>
      </w:r>
      <w:r>
        <w:t xml:space="preserve"> </w:t>
      </w:r>
      <w:r>
        <w:rPr>
          <w:i/>
          <w:iCs/>
        </w:rPr>
        <w:t xml:space="preserve">reales</w:t>
      </w:r>
      <w:r>
        <w:t xml:space="preserve"> </w:t>
      </w:r>
      <w:r>
        <w:t xml:space="preserve">(si los nominales suben al ritmo de los precios, el trabajo no se encarece para la empresa) y positivamente de los márgenes y del excedente empresarial, de la demanda interna y de las exportaciones; los factores institucionales (rigideces, problemas de emparejamiento) la condicionan.</w:t>
      </w:r>
    </w:p>
    <w:p>
      <w:pPr>
        <w:numPr>
          <w:ilvl w:val="0"/>
          <w:numId w:val="1051"/>
        </w:numPr>
      </w:pPr>
      <w:r>
        <w:rPr>
          <w:i/>
          <w:iCs/>
        </w:rPr>
        <w:t xml:space="preserve">Oferta de trabajo</w:t>
      </w:r>
      <w:r>
        <w:t xml:space="preserve"> </w:t>
      </w:r>
      <w:r>
        <w:t xml:space="preserve">(los activos): depende del salario real y de la demografía y la inmigración, y la reducen las prestaciones mal diseñadas.</w:t>
      </w:r>
    </w:p>
    <w:p>
      <w:pPr>
        <w:pStyle w:val="Cajadeanotaciones"/>
        <w:keepLines/>
      </w:pPr>
      <w:r>
        <w:rPr>
          <w:b/>
          <w:bCs/>
        </w:rPr>
        <w:t xml:space="preserve">Ejemplo de redacción: el mercado de trabajo.</w:t>
      </w:r>
      <w:r>
        <w:t xml:space="preserve"> </w:t>
      </w:r>
      <w:r>
        <w:t xml:space="preserve">«El mercado laboral muestra un comportamiento marcadamente procíclico: el paro se reduce con fuerza según avanza la fase alcista, y los salarios reales crecen de forma acelerada, lo que podría señalar un alto grado de tensión en el mercado de trabajo, corroborado por una brecha de producción positiva al final de la serie. El aumento de la productividad aparente podría estar guiando el de la demanda de trabajo, y el de los salarios reales, el de la oferta.» Más ejemplos (la demanda de trabajo y el paro persistente), en el anexo </w:t>
      </w:r>
      <w:hyperlink w:anchor="anexo_parrafos">
        <w:r>
          <w:rPr>
            <w:rStyle w:val="Hyperlink"/>
          </w:rPr>
          <w:t xml:space="preserve">K.1</w:t>
        </w:r>
      </w:hyperlink>
      <w:r>
        <w:t xml:space="preserve">.</w:t>
      </w:r>
    </w:p>
    <w:bookmarkEnd w:id="96"/>
    <w:bookmarkStart w:id="98" w:name="qu___tipo_de_paro_hay"/>
    <w:p>
      <w:pPr>
        <w:pStyle w:val="Heading4"/>
      </w:pPr>
      <w:r>
        <w:t xml:space="preserve">Qué tipo de paro hay</w:t>
      </w:r>
    </w:p>
    <w:p>
      <w:pPr>
        <w:keepNext/>
        <w:numPr>
          <w:ilvl w:val="0"/>
          <w:numId w:val="1052"/>
        </w:numPr>
      </w:pPr>
      <w:r>
        <w:t xml:space="preserve">La receta depende del diagnóstico, así que hay que identificar el tipo de paro:</w:t>
      </w:r>
    </w:p>
    <w:p>
      <w:pPr>
        <w:numPr>
          <w:ilvl w:val="1"/>
          <w:numId w:val="1053"/>
        </w:numPr>
      </w:pPr>
      <w:r>
        <w:rPr>
          <w:b/>
          <w:bCs/>
        </w:rPr>
        <w:t xml:space="preserve">clásico</w:t>
      </w:r>
      <w:r>
        <w:t xml:space="preserve">: salarios reales demasiado altos para la productividad (rigideces: salario mínimo, cuña fiscal, poder de negociación); se delata por CLU que crecen mucho y de forma sistemática, o por salarios reales que suben mientras sube el paro;</w:t>
      </w:r>
    </w:p>
    <w:p>
      <w:pPr>
        <w:numPr>
          <w:ilvl w:val="1"/>
          <w:numId w:val="1053"/>
        </w:numPr>
      </w:pPr>
      <w:r>
        <w:rPr>
          <w:b/>
          <w:bCs/>
        </w:rPr>
        <w:t xml:space="preserve">keynesiano</w:t>
      </w:r>
      <w:r>
        <w:t xml:space="preserve">: demanda insuficiente; consumo y demanda interna anémicos;</w:t>
      </w:r>
    </w:p>
    <w:p>
      <w:pPr>
        <w:numPr>
          <w:ilvl w:val="1"/>
          <w:numId w:val="1053"/>
        </w:numPr>
      </w:pPr>
      <w:r>
        <w:rPr>
          <w:b/>
          <w:bCs/>
        </w:rPr>
        <w:t xml:space="preserve">friccional</w:t>
      </w:r>
      <w:r>
        <w:t xml:space="preserve"> </w:t>
      </w:r>
      <w:r>
        <w:t xml:space="preserve">o de desajuste: búsqueda y emparejamiento; vacantes altas con paro alto (curva de</w:t>
      </w:r>
      <w:r>
        <w:t xml:space="preserve"> </w:t>
      </w:r>
      <w:r>
        <w:rPr>
          <w:smallCaps/>
        </w:rPr>
        <w:t xml:space="preserve">Beveridge</w:t>
      </w:r>
      <w:r>
        <w:t xml:space="preserve"> </w:t>
      </w:r>
      <w:r>
        <w:t xml:space="preserve">alejada del origen);</w:t>
      </w:r>
    </w:p>
    <w:p>
      <w:pPr>
        <w:numPr>
          <w:ilvl w:val="1"/>
          <w:numId w:val="1053"/>
        </w:numPr>
      </w:pPr>
      <w:r>
        <w:rPr>
          <w:b/>
          <w:bCs/>
        </w:rPr>
        <w:t xml:space="preserve">de larga duración</w:t>
      </w:r>
      <w:r>
        <w:t xml:space="preserve">: se retroalimenta (pérdida de cualificación, desánimo, estigma) y es causa de histéresis.</w:t>
      </w:r>
    </w:p>
    <w:p>
      <w:pPr>
        <w:numPr>
          <w:ilvl w:val="0"/>
          <w:numId w:val="1052"/>
        </w:numPr>
      </w:pPr>
      <w:r>
        <w:rPr>
          <w:b/>
          <w:bCs/>
        </w:rPr>
        <w:t xml:space="preserve">NAIRU</w:t>
      </w:r>
      <w:r>
        <w:t xml:space="preserve">: la tasa de paro compatible con una inflación estable. Si el paro está por debajo, la inflación tiende a acelerarse; si está por encima, a frenarse. No es un techo al empleo: mide a partir de qué paro aparecen tensiones salariales</w:t>
      </w:r>
      <w:r>
        <w:t xml:space="preserve"> </w:t>
      </w:r>
      <w:hyperlink r:id="rId37">
        <w:r>
          <w:rPr>
            <w:rStyle w:val="Referenciaatema"/>
          </w:rPr>
          <w:t xml:space="preserve">[ver tema 3.A.28]</w:t>
        </w:r>
      </w:hyperlink>
      <w:r>
        <w:t xml:space="preserve">. En el examen se aproxima con el paro de los años en que la brecha de producción es nula. La Comisión estima una NAWRU en torno al 6-7 % en la zona del euro y al 12 % en España</w:t>
      </w:r>
      <w:r>
        <w:t xml:space="preserve"> </w:t>
      </w:r>
      <w:r>
        <w:t xml:space="preserve">(</w:t>
      </w:r>
      <w:hyperlink w:anchor="ref_CE2026AMECO">
        <w:r>
          <w:rPr>
            <w:rStyle w:val="Hyperlink"/>
            <w:smallCaps/>
          </w:rPr>
          <w:t xml:space="preserve">Comisión Europea</w:t>
        </w:r>
        <w:r>
          <w:rPr>
            <w:rStyle w:val="Hyperlink"/>
          </w:rPr>
          <w:t xml:space="preserve">, 2026</w:t>
        </w:r>
      </w:hyperlink>
      <w:r>
        <w:t xml:space="preserve">)</w:t>
      </w:r>
      <w:r>
        <w:t xml:space="preserve">; si es alta, puede haber rigideces (cuña fiscal alta, negociación que protege a los ocupados, prestaciones mal diseñadas, desajuste de cualificaciones).</w:t>
      </w:r>
    </w:p>
    <w:p>
      <w:pPr>
        <w:numPr>
          <w:ilvl w:val="0"/>
          <w:numId w:val="1052"/>
        </w:numPr>
      </w:pPr>
      <w:r>
        <w:rPr>
          <w:b/>
          <w:bCs/>
        </w:rPr>
        <w:t xml:space="preserve">Histéresis</w:t>
      </w:r>
      <w:r>
        <w:t xml:space="preserve">: el paro de equilibrio depende del paro pasado, de modo que un paro alto y persistente tiende a quedarse. Tiene 3 causas: la dualidad entre</w:t>
      </w:r>
      <w:r>
        <w:t xml:space="preserve"> </w:t>
      </w:r>
      <w:r>
        <w:rPr>
          <w:i/>
          <w:iCs/>
        </w:rPr>
        <w:t xml:space="preserve">insiders</w:t>
      </w:r>
      <w:r>
        <w:t xml:space="preserve"> </w:t>
      </w:r>
      <w:r>
        <w:t xml:space="preserve">y</w:t>
      </w:r>
      <w:r>
        <w:t xml:space="preserve"> </w:t>
      </w:r>
      <w:r>
        <w:rPr>
          <w:i/>
          <w:iCs/>
        </w:rPr>
        <w:t xml:space="preserve">outsiders</w:t>
      </w:r>
      <w:r>
        <w:t xml:space="preserve">, el paro de larga duración y la pérdida de capital instalado. Si la hay, las políticas de demanda tienen efectos a largo plazo</w:t>
      </w:r>
      <w:r>
        <w:t xml:space="preserve"> </w:t>
      </w:r>
      <w:hyperlink r:id="rId37">
        <w:r>
          <w:rPr>
            <w:rStyle w:val="Referenciaatema"/>
          </w:rPr>
          <w:t xml:space="preserve">[ver tema 3.A.28]</w:t>
        </w:r>
      </w:hyperlink>
      <w:r>
        <w:t xml:space="preserve">.</w:t>
      </w:r>
    </w:p>
    <w:p>
      <w:pPr>
        <w:keepNext/>
        <w:numPr>
          <w:ilvl w:val="0"/>
          <w:numId w:val="1052"/>
        </w:numPr>
      </w:pPr>
      <w:r>
        <w:rPr>
          <w:i/>
          <w:iCs/>
        </w:rPr>
        <w:t xml:space="preserve">Ley de</w:t>
      </w:r>
      <w:r>
        <w:rPr>
          <w:i/>
          <w:iCs/>
        </w:rPr>
        <w:t xml:space="preserve"> </w:t>
      </w:r>
      <w:r>
        <w:rPr>
          <w:i/>
          <w:iCs/>
          <w:smallCaps/>
        </w:rPr>
        <w:t xml:space="preserve">Okun</w:t>
      </w:r>
      <w:r>
        <w:rPr>
          <w:i/>
          <w:iCs/>
        </w:rPr>
        <w:t xml:space="preserve"> </w:t>
      </w:r>
      <w:r>
        <w:rPr>
          <w:i/>
          <w:iCs/>
        </w:rPr>
        <w:t xml:space="preserve">y curva de</w:t>
      </w:r>
      <w:r>
        <w:rPr>
          <w:i/>
          <w:iCs/>
        </w:rPr>
        <w:t xml:space="preserve"> </w:t>
      </w:r>
      <w:r>
        <w:rPr>
          <w:i/>
          <w:iCs/>
          <w:smallCaps/>
        </w:rPr>
        <w:t xml:space="preserve">Phillips</w:t>
      </w:r>
      <w:r>
        <w:t xml:space="preserve">:</w:t>
      </w:r>
    </w:p>
    <w:p>
      <w:pPr>
        <w:numPr>
          <w:ilvl w:val="1"/>
          <w:numId w:val="1054"/>
        </w:numPr>
      </w:pPr>
      <w:r>
        <w:t xml:space="preserve">la ley de</w:t>
      </w:r>
      <w:r>
        <w:t xml:space="preserve"> </w:t>
      </w:r>
      <w:r>
        <w:rPr>
          <w:smallCaps/>
        </w:rPr>
        <w:t xml:space="preserve">Okun</w:t>
      </w:r>
      <w:r>
        <w:t xml:space="preserve"> </w:t>
      </w:r>
      <w:r>
        <w:t xml:space="preserve">relaciona la variación del paro con el crecimiento por encima del potencial; en EE. UU., en torno a medio punto menos de paro por cada punto de crecimiento por encima del potencial</w:t>
      </w:r>
      <w:r>
        <w:t xml:space="preserve"> </w:t>
      </w:r>
      <w:r>
        <w:t xml:space="preserve">(</w:t>
      </w:r>
      <w:hyperlink w:anchor="ref_Okun1962">
        <w:r>
          <w:rPr>
            <w:rStyle w:val="Hyperlink"/>
            <w:smallCaps/>
          </w:rPr>
          <w:t xml:space="preserve">Okun</w:t>
        </w:r>
        <w:r>
          <w:rPr>
            <w:rStyle w:val="Hyperlink"/>
          </w:rPr>
          <w:t xml:space="preserve">, 1962</w:t>
        </w:r>
      </w:hyperlink>
      <w:r>
        <w:t xml:space="preserve">)</w:t>
      </w:r>
      <w:r>
        <w:t xml:space="preserve">. En el cuadro sirve para ver a partir de qué crecimiento baja el paro (si el PIB crece mucho y el empleo poco, la elasticidad es baja);</w:t>
      </w:r>
    </w:p>
    <w:p>
      <w:pPr>
        <w:numPr>
          <w:ilvl w:val="1"/>
          <w:numId w:val="1054"/>
        </w:numPr>
      </w:pPr>
      <w:r>
        <w:t xml:space="preserve">la curva de</w:t>
      </w:r>
      <w:r>
        <w:t xml:space="preserve"> </w:t>
      </w:r>
      <w:r>
        <w:rPr>
          <w:smallCaps/>
        </w:rPr>
        <w:t xml:space="preserve">Phillips</w:t>
      </w:r>
      <w:r>
        <w:t xml:space="preserve"> </w:t>
      </w:r>
      <w:r>
        <w:t xml:space="preserve">con expectativas,</w:t>
      </w:r>
      <w:r>
        <w:t xml:space="preserve"> </w:t>
      </w:r>
      <m:oMath>
        <m:sSub>
          <m:e>
            <m:r>
              <m:t>π</m:t>
            </m:r>
          </m:e>
          <m:sub>
            <m:r>
              <m:t>t</m:t>
            </m:r>
          </m:sub>
        </m:sSub>
        <m:r>
          <m:rPr>
            <m:sty m:val="p"/>
          </m:rPr>
          <m:t>=</m:t>
        </m:r>
        <m:sSubSup>
          <m:e>
            <m:r>
              <m:t>π</m:t>
            </m:r>
          </m:e>
          <m:sub>
            <m:r>
              <m:t>t</m:t>
            </m:r>
          </m:sub>
          <m:sup>
            <m:r>
              <m:t>e</m:t>
            </m:r>
          </m:sup>
        </m:sSubSup>
        <m:r>
          <m:rPr>
            <m:sty m:val="p"/>
          </m:rPr>
          <m:t>−</m:t>
        </m:r>
        <m:r>
          <m:t>a</m:t>
        </m:r>
        <m:r>
          <m:t> </m:t>
        </m:r>
        <m:d>
          <m:dPr>
            <m:begChr m:val="("/>
            <m:sepChr m:val=""/>
            <m:endChr m:val=")"/>
            <m:grow/>
          </m:dPr>
          <m:e>
            <m:sSub>
              <m:e>
                <m:r>
                  <m:t>U</m:t>
                </m:r>
              </m:e>
              <m:sub>
                <m:r>
                  <m:t>t</m:t>
                </m:r>
              </m:sub>
            </m:sSub>
            <m:r>
              <m:rPr>
                <m:sty m:val="p"/>
              </m:rPr>
              <m:t>−</m:t>
            </m:r>
            <m:sSup>
              <m:e>
                <m:r>
                  <m:t>U</m:t>
                </m:r>
              </m:e>
              <m:sup>
                <m:r>
                  <m:t>n</m:t>
                </m:r>
              </m:sup>
            </m:sSup>
          </m:e>
        </m:d>
        <m:r>
          <m:rPr>
            <m:sty m:val="p"/>
          </m:rPr>
          <m:t>+</m:t>
        </m:r>
        <m:sSub>
          <m:e>
            <m:r>
              <m:t>ε</m:t>
            </m:r>
          </m:e>
          <m:sub>
            <m:r>
              <m:t>t</m:t>
            </m:r>
          </m:sub>
        </m:sSub>
      </m:oMath>
      <w:r>
        <w:t xml:space="preserve">, relaciona la inflación con la distancia entre la tasa de paro y la NAIRU</w:t>
      </w:r>
      <w:r>
        <w:t xml:space="preserve"> </w:t>
      </w:r>
      <w:r>
        <w:t xml:space="preserve">(</w:t>
      </w:r>
      <w:hyperlink w:anchor="ref_Phillips1958">
        <w:r>
          <w:rPr>
            <w:rStyle w:val="Hyperlink"/>
            <w:smallCaps/>
          </w:rPr>
          <w:t xml:space="preserve">Phillips</w:t>
        </w:r>
        <w:r>
          <w:rPr>
            <w:rStyle w:val="Hyperlink"/>
          </w:rPr>
          <w:t xml:space="preserve">, 1958</w:t>
        </w:r>
      </w:hyperlink>
      <w:r>
        <w:t xml:space="preserve">)</w:t>
      </w:r>
      <w:r>
        <w:rPr>
          <w:rStyle w:val="FootnoteReference"/>
        </w:rPr>
        <w:footnoteReference w:id="97"/>
      </w:r>
      <w:r>
        <w:t xml:space="preserve"> </w:t>
      </w:r>
      <w:hyperlink r:id="rId37">
        <w:r>
          <w:rPr>
            <w:rStyle w:val="Referenciaatema"/>
          </w:rPr>
          <w:t xml:space="preserve">[ver tema 3.A.28]</w:t>
        </w:r>
      </w:hyperlink>
      <w:r>
        <w:t xml:space="preserve">;</w:t>
      </w:r>
    </w:p>
    <w:p>
      <w:pPr>
        <w:numPr>
          <w:ilvl w:val="1"/>
          <w:numId w:val="1054"/>
        </w:numPr>
      </w:pPr>
      <w:r>
        <w:t xml:space="preserve">son razonables con un mercado de trabajo formal y asalariado y una serie larga y estable; no lo son con mucha informalidad, con esquemas de mantenimiento del empleo, con choques de oferta o cambios de régimen, y el coeficiente de</w:t>
      </w:r>
      <w:r>
        <w:t xml:space="preserve"> </w:t>
      </w:r>
      <w:r>
        <w:rPr>
          <w:smallCaps/>
        </w:rPr>
        <w:t xml:space="preserve">Okun</w:t>
      </w:r>
      <w:r>
        <w:t xml:space="preserve"> </w:t>
      </w:r>
      <w:r>
        <w:t xml:space="preserve">varía mucho entre países y en el tiempo</w:t>
      </w:r>
      <w:r>
        <w:t xml:space="preserve"> </w:t>
      </w:r>
      <w:r>
        <w:t xml:space="preserve">(</w:t>
      </w:r>
      <w:hyperlink w:anchor="ref_Ball2017Okun">
        <w:r>
          <w:rPr>
            <w:rStyle w:val="Hyperlink"/>
            <w:smallCaps/>
          </w:rPr>
          <w:t xml:space="preserve">Ball</w:t>
        </w:r>
        <w:r>
          <w:rPr>
            <w:rStyle w:val="Hyperlink"/>
          </w:rPr>
          <w:t xml:space="preserve">,</w:t>
        </w:r>
        <w:r>
          <w:rPr>
            <w:rStyle w:val="Hyperlink"/>
          </w:rPr>
          <w:t xml:space="preserve"> </w:t>
        </w:r>
        <w:r>
          <w:rPr>
            <w:rStyle w:val="Hyperlink"/>
            <w:smallCaps/>
          </w:rPr>
          <w:t xml:space="preserve">Leigh</w:t>
        </w:r>
        <w:r>
          <w:rPr>
            <w:rStyle w:val="Hyperlink"/>
          </w:rPr>
          <w:t xml:space="preserve"> </w:t>
        </w:r>
        <w:r>
          <w:rPr>
            <w:rStyle w:val="Hyperlink"/>
          </w:rPr>
          <w:t xml:space="preserve">y</w:t>
        </w:r>
        <w:r>
          <w:rPr>
            <w:rStyle w:val="Hyperlink"/>
          </w:rPr>
          <w:t xml:space="preserve"> </w:t>
        </w:r>
        <w:r>
          <w:rPr>
            <w:rStyle w:val="Hyperlink"/>
            <w:smallCaps/>
          </w:rPr>
          <w:t xml:space="preserve">Loungani</w:t>
        </w:r>
        <w:r>
          <w:rPr>
            <w:rStyle w:val="Hyperlink"/>
          </w:rPr>
          <w:t xml:space="preserve">, 2017</w:t>
        </w:r>
      </w:hyperlink>
      <w:r>
        <w:t xml:space="preserve">)</w:t>
      </w:r>
      <w:r>
        <w:t xml:space="preserve">.</w:t>
      </w:r>
    </w:p>
    <w:bookmarkEnd w:id="98"/>
    <w:bookmarkStart w:id="104" w:name="curva_de_beveridge"/>
    <w:p>
      <w:pPr>
        <w:pStyle w:val="Heading4"/>
      </w:pPr>
      <w:r>
        <w:t xml:space="preserve">Curva de</w:t>
      </w:r>
      <w:r>
        <w:t xml:space="preserve"> </w:t>
      </w:r>
      <w:r>
        <w:rPr>
          <w:smallCaps/>
        </w:rPr>
        <w:t xml:space="preserve">Beveridge</w:t>
      </w:r>
    </w:p>
    <w:p>
      <w:pPr>
        <w:numPr>
          <w:ilvl w:val="0"/>
          <w:numId w:val="1055"/>
        </w:numPr>
      </w:pPr>
      <w:r>
        <w:rPr>
          <w:i/>
          <w:iCs/>
        </w:rPr>
        <w:t xml:space="preserve">Qué mide</w:t>
      </w:r>
      <w:r>
        <w:t xml:space="preserve">: la relación entre la tasa de vacantes y la de paro.</w:t>
      </w:r>
    </w:p>
    <w:p>
      <w:pPr>
        <w:numPr>
          <w:ilvl w:val="0"/>
          <w:numId w:val="1055"/>
        </w:numPr>
      </w:pPr>
      <w:r>
        <w:rPr>
          <w:i/>
          <w:iCs/>
        </w:rPr>
        <w:t xml:space="preserve">Cómo se lee</w:t>
      </w:r>
      <w:r>
        <w:t xml:space="preserve">: moverse</w:t>
      </w:r>
      <w:r>
        <w:t xml:space="preserve"> </w:t>
      </w:r>
      <w:r>
        <w:rPr>
          <w:i/>
          <w:iCs/>
        </w:rPr>
        <w:t xml:space="preserve">a lo largo</w:t>
      </w:r>
      <w:r>
        <w:t xml:space="preserve"> </w:t>
      </w:r>
      <w:r>
        <w:t xml:space="preserve">de la curva es el ciclo (en las expansiones, más vacantes y menos paro);</w:t>
      </w:r>
      <w:r>
        <w:t xml:space="preserve"> </w:t>
      </w:r>
      <w:r>
        <w:rPr>
          <w:i/>
          <w:iCs/>
        </w:rPr>
        <w:t xml:space="preserve">desplazarse hacia fuera</w:t>
      </w:r>
      <w:r>
        <w:t xml:space="preserve"> </w:t>
      </w:r>
      <w:r>
        <w:t xml:space="preserve">indica peor emparejamiento entre parados y puestos (desajuste de cualificaciones o geográfico, paro de larga duración)</w:t>
      </w:r>
      <w:r>
        <w:t xml:space="preserve"> </w:t>
      </w:r>
      <w:r>
        <w:t xml:space="preserve">(</w:t>
      </w:r>
      <w:hyperlink w:anchor="ref_BlanchardDiamond1989">
        <w:r>
          <w:rPr>
            <w:rStyle w:val="Hyperlink"/>
          </w:rPr>
          <w:t xml:space="preserve">O. J.</w:t>
        </w:r>
        <w:r>
          <w:rPr>
            <w:rStyle w:val="Hyperlink"/>
          </w:rPr>
          <w:t xml:space="preserve"> </w:t>
        </w:r>
        <w:r>
          <w:rPr>
            <w:rStyle w:val="Hyperlink"/>
            <w:smallCaps/>
          </w:rPr>
          <w:t xml:space="preserve">Blanchard</w:t>
        </w:r>
        <w:r>
          <w:rPr>
            <w:rStyle w:val="Hyperlink"/>
          </w:rPr>
          <w:t xml:space="preserve"> </w:t>
        </w:r>
        <w:r>
          <w:rPr>
            <w:rStyle w:val="Hyperlink"/>
          </w:rPr>
          <w:t xml:space="preserve">y</w:t>
        </w:r>
        <w:r>
          <w:rPr>
            <w:rStyle w:val="Hyperlink"/>
          </w:rPr>
          <w:t xml:space="preserve"> </w:t>
        </w:r>
        <w:r>
          <w:rPr>
            <w:rStyle w:val="Hyperlink"/>
            <w:smallCaps/>
          </w:rPr>
          <w:t xml:space="preserve">Diamond</w:t>
        </w:r>
        <w:r>
          <w:rPr>
            <w:rStyle w:val="Hyperlink"/>
          </w:rPr>
          <w:t xml:space="preserve">, 1989</w:t>
        </w:r>
      </w:hyperlink>
      <w:r>
        <w:t xml:space="preserve">)</w:t>
      </w:r>
      <w:r>
        <w:t xml:space="preserve">. Si las vacantes suben y el paro no baja, el problema es estructural, no de demanda. La ratio vacantes/parados resume la tensión del mercado: si sube, presiona sobre los salarios. Un ejemplo de lectura, la curva española de 1994 a 2022, está en el anexo </w:t>
      </w:r>
      <w:hyperlink w:anchor="anexo_casos">
        <w:r>
          <w:rPr>
            <w:rStyle w:val="Hyperlink"/>
          </w:rPr>
          <w:t xml:space="preserve">E</w:t>
        </w:r>
      </w:hyperlink>
      <w:r>
        <w:t xml:space="preserve">.</w:t>
      </w:r>
    </w:p>
    <w:p>
      <w:pPr>
        <w:numPr>
          <w:ilvl w:val="0"/>
          <w:numId w:val="1055"/>
        </w:numPr>
      </w:pPr>
      <w:r>
        <w:rPr>
          <w:i/>
          <w:iCs/>
        </w:rPr>
        <w:t xml:space="preserve">Tema</w:t>
      </w:r>
      <w:r>
        <w:t xml:space="preserve">:</w:t>
      </w:r>
      <w:r>
        <w:t xml:space="preserve"> </w:t>
      </w:r>
      <w:hyperlink r:id="rId99">
        <w:r>
          <w:rPr>
            <w:rStyle w:val="Referenciaatema"/>
          </w:rPr>
          <w:t xml:space="preserve">[ver tema 3.A.26]</w:t>
        </w:r>
      </w:hyperlink>
      <w:r>
        <w:t xml:space="preserve">.</w:t>
      </w:r>
    </w:p>
    <w:bookmarkStart w:id="103" w:name="fig_beveridge"/>
    <w:p>
      <w:pPr>
        <w:pStyle w:val="ImageCaption"/>
      </w:pPr>
      <w:r>
        <w:t xml:space="preserve">Gráfico 3.–</w:t>
      </w:r>
      <w:r>
        <w:t xml:space="preserve"> </w:t>
      </w:r>
      <w:r>
        <w:t xml:space="preserve">Curva de</w:t>
      </w:r>
      <w:r>
        <w:t xml:space="preserve"> </w:t>
      </w:r>
      <w:r>
        <w:rPr>
          <w:smallCaps/>
        </w:rPr>
        <w:t xml:space="preserve">Beveridge</w:t>
      </w:r>
      <w:r>
        <w:t xml:space="preserve"> </w:t>
      </w:r>
      <w:r>
        <w:t xml:space="preserve">de España y de la zona del euro</w:t>
      </w:r>
    </w:p>
    <w:p>
      <w:pPr>
        <w:pStyle w:val="CaptionedFigure"/>
      </w:pPr>
      <w:r>
        <w:drawing>
          <wp:inline>
            <wp:extent cx="3342640" cy="2303331"/>
            <wp:effectExtent b="0" l="0" r="0" t="0"/>
            <wp:docPr descr="Gráfico 3.– Curva de Beveridge de España y de la zona del euro" title="" id="101" name="Picture"/>
            <a:graphic>
              <a:graphicData uri="http://schemas.openxmlformats.org/drawingml/2006/picture">
                <pic:pic>
                  <pic:nvPicPr>
                    <pic:cNvPr descr="C:\Users\vgutierrez\Documents\src\victorgutierrezmarcos.github.io-revision\oposicion\temario\fuentes\1D01\graficos/beveridge-espana-zona-euro.png" id="102" name="Picture"/>
                    <pic:cNvPicPr>
                      <a:picLocks noChangeArrowheads="1" noChangeAspect="1"/>
                    </pic:cNvPicPr>
                  </pic:nvPicPr>
                  <pic:blipFill>
                    <a:blip r:embed="rId100"/>
                    <a:stretch>
                      <a:fillRect/>
                    </a:stretch>
                  </pic:blipFill>
                  <pic:spPr bwMode="auto">
                    <a:xfrm>
                      <a:off x="0" y="0"/>
                      <a:ext cx="3342640" cy="2303331"/>
                    </a:xfrm>
                    <a:prstGeom prst="rect">
                      <a:avLst/>
                    </a:prstGeom>
                    <a:noFill/>
                    <a:ln w="9525">
                      <a:noFill/>
                      <a:headEnd/>
                      <a:tailEnd/>
                    </a:ln>
                  </pic:spPr>
                </pic:pic>
              </a:graphicData>
            </a:graphic>
          </wp:inline>
        </w:drawing>
      </w:r>
    </w:p>
    <w:bookmarkEnd w:id="103"/>
    <w:p>
      <w:pPr>
        <w:pStyle w:val="Piedeimagen"/>
      </w:pPr>
      <w:r>
        <w:t xml:space="preserve">Fuente:</w:t>
      </w:r>
      <w:r>
        <w:t xml:space="preserve"> </w:t>
      </w:r>
      <w:r>
        <w:rPr>
          <w:smallCaps/>
        </w:rPr>
        <w:t xml:space="preserve">Eurostat</w:t>
      </w:r>
      <w:r>
        <w:t xml:space="preserve"> </w:t>
      </w:r>
      <w:r>
        <w:t xml:space="preserve">(</w:t>
      </w:r>
      <w:hyperlink w:anchor="ref_Eurostat2026jvs">
        <w:r>
          <w:rPr>
            <w:rStyle w:val="Hyperlink"/>
          </w:rPr>
          <w:t xml:space="preserve">2026h</w:t>
        </w:r>
      </w:hyperlink>
      <w:r>
        <w:t xml:space="preserve">,</w:t>
      </w:r>
      <w:r>
        <w:t xml:space="preserve"> </w:t>
      </w:r>
      <w:hyperlink w:anchor="ref_Eurostat2026une">
        <w:r>
          <w:rPr>
            <w:rStyle w:val="Hyperlink"/>
          </w:rPr>
          <w:t xml:space="preserve">2026i</w:t>
        </w:r>
      </w:hyperlink>
      <w:r>
        <w:t xml:space="preserve">)</w:t>
      </w:r>
      <w:r>
        <w:t xml:space="preserve">; medias anuales. Qué hay que ver: la zona del euro se mueve a lo largo de su curva con el ciclo (máximo de vacantes, 3,2 %, con paro mínimo en 2022); España tiene muy pocas vacantes (en torno al 0,9 %) con mucho paro, una curva lejos del origen que apunta a problemas de emparejamiento.</w:t>
      </w:r>
    </w:p>
    <w:bookmarkEnd w:id="104"/>
    <w:bookmarkStart w:id="105" w:name="demograf__a_migraci__n_y_salario_m__nimo"/>
    <w:p>
      <w:pPr>
        <w:pStyle w:val="Heading4"/>
      </w:pPr>
      <w:r>
        <w:t xml:space="preserve">Demografía, migración y salario mínimo</w:t>
      </w:r>
    </w:p>
    <w:p>
      <w:pPr>
        <w:numPr>
          <w:ilvl w:val="0"/>
          <w:numId w:val="1056"/>
        </w:numPr>
      </w:pPr>
      <w:r>
        <w:t xml:space="preserve">El envejecimiento, un cambio en la inmigración o una subida del salario mínimo afectan a la oferta de trabajo, a los salarios, al potencial y a las cuentas públicas; cómo se analiza cada uno está en el anexo </w:t>
      </w:r>
      <w:hyperlink w:anchor="anexo_casos">
        <w:r>
          <w:rPr>
            <w:rStyle w:val="Hyperlink"/>
          </w:rPr>
          <w:t xml:space="preserve">E</w:t>
        </w:r>
      </w:hyperlink>
      <w:r>
        <w:t xml:space="preserve">.</w:t>
      </w:r>
    </w:p>
    <w:bookmarkEnd w:id="105"/>
    <w:bookmarkEnd w:id="106"/>
    <w:bookmarkStart w:id="111" w:name="sec_capitales"/>
    <w:p>
      <w:pPr>
        <w:pStyle w:val="Heading2"/>
      </w:pPr>
      <w:r>
        <w:t xml:space="preserve">II.2.</w:t>
      </w:r>
      <w:r>
        <w:t xml:space="preserve"> </w:t>
      </w:r>
      <w:r>
        <w:t xml:space="preserve">Mercado de capitales</w:t>
      </w:r>
    </w:p>
    <w:p>
      <w:pPr>
        <w:pStyle w:val="Ideaclave"/>
        <w:keepLines/>
      </w:pPr>
      <w:r>
        <w:rPr>
          <w:b/>
          <w:bCs/>
        </w:rPr>
        <w:t xml:space="preserve">Qué hay que contestar</w:t>
      </w:r>
      <w:r>
        <w:t xml:space="preserve">: ¿hay capital y financiación suficientes para crecer? ¿Llega el crédito a las empresas y los hogares, y a qué coste?</w:t>
      </w:r>
    </w:p>
    <w:bookmarkStart w:id="107" w:name="capital_f__sico"/>
    <w:p>
      <w:pPr>
        <w:pStyle w:val="Heading4"/>
      </w:pPr>
      <w:r>
        <w:t xml:space="preserve">Capital físico</w:t>
      </w:r>
    </w:p>
    <w:p>
      <w:pPr>
        <w:numPr>
          <w:ilvl w:val="0"/>
          <w:numId w:val="1057"/>
        </w:numPr>
      </w:pPr>
      <w:r>
        <w:t xml:space="preserve">Sus indicadores son poco habituales en el cuadro (stock de capital, grado de utilización de la capacidad productiva). La inversión ya se ha analizado en el perfil cíclico (apartado </w:t>
      </w:r>
      <w:hyperlink w:anchor="sec_demanda">
        <w:r>
          <w:rPr>
            <w:rStyle w:val="Hyperlink"/>
          </w:rPr>
          <w:t xml:space="preserve">I.4</w:t>
        </w:r>
      </w:hyperlink>
      <w:r>
        <w:t xml:space="preserve">), y el análisis de la productividad del trabajo recoge parte del efecto del capital (por ejemplo, de las tecnologías de la información y la comunicación).</w:t>
      </w:r>
    </w:p>
    <w:bookmarkEnd w:id="107"/>
    <w:bookmarkStart w:id="110" w:name="cr__dito_y_financiaci__n_como_factor"/>
    <w:p>
      <w:pPr>
        <w:pStyle w:val="Heading4"/>
      </w:pPr>
      <w:r>
        <w:t xml:space="preserve">Crédito y financiación como factor</w:t>
      </w:r>
    </w:p>
    <w:p>
      <w:pPr>
        <w:numPr>
          <w:ilvl w:val="0"/>
          <w:numId w:val="1058"/>
        </w:numPr>
      </w:pPr>
      <w:r>
        <w:rPr>
          <w:i/>
          <w:iCs/>
        </w:rPr>
        <w:t xml:space="preserve">Qué se mira</w:t>
      </w:r>
      <w:r>
        <w:t xml:space="preserve">: el flujo de crédito nuevo a empresas y hogares, su coste (tipos de los préstamos) y el desarrollo del mercado financiero, que se aproxima por el diferencial entre los tipos de los préstamos y los de los depósitos: cuanto más estrecho, más eficiente la intermediación.</w:t>
      </w:r>
    </w:p>
    <w:p>
      <w:pPr>
        <w:numPr>
          <w:ilvl w:val="0"/>
          <w:numId w:val="1058"/>
        </w:numPr>
      </w:pPr>
      <w:r>
        <w:rPr>
          <w:i/>
          <w:iCs/>
        </w:rPr>
        <w:t xml:space="preserve">Cómo se lee</w:t>
      </w:r>
      <w:r>
        <w:t xml:space="preserve">: un sistema financiero que funciona bien canaliza el ahorro hacia la inversión productiva; uno que funciona mal frena la productividad por 2 vías: da crédito a empresas</w:t>
      </w:r>
      <w:r>
        <w:t xml:space="preserve"> </w:t>
      </w:r>
      <w:r>
        <w:rPr>
          <w:i/>
          <w:iCs/>
        </w:rPr>
        <w:t xml:space="preserve">zombis</w:t>
      </w:r>
      <w:r>
        <w:t xml:space="preserve"> </w:t>
      </w:r>
      <w:r>
        <w:t xml:space="preserve">(con pérdidas, que sobreviven solo gracias al crédito) y deja sin financiar proyectos rentables. Un racionamiento del crédito (crédito que cae con demanda y tipos estables) frena la inversión y el consumo de bienes duraderos.</w:t>
      </w:r>
    </w:p>
    <w:p>
      <w:pPr>
        <w:numPr>
          <w:ilvl w:val="0"/>
          <w:numId w:val="1058"/>
        </w:numPr>
      </w:pPr>
      <w:r>
        <w:rPr>
          <w:i/>
          <w:iCs/>
        </w:rPr>
        <w:t xml:space="preserve">Con qué se cruza</w:t>
      </w:r>
      <w:r>
        <w:t xml:space="preserve">: con la inversión y el consumo (apartado </w:t>
      </w:r>
      <w:hyperlink w:anchor="sec_demanda">
        <w:r>
          <w:rPr>
            <w:rStyle w:val="Hyperlink"/>
          </w:rPr>
          <w:t xml:space="preserve">I.4</w:t>
        </w:r>
      </w:hyperlink>
      <w:r>
        <w:t xml:space="preserve">) y con el tono de la política monetaria (apartado </w:t>
      </w:r>
      <w:hyperlink w:anchor="sec_monetaria">
        <w:r>
          <w:rPr>
            <w:rStyle w:val="Hyperlink"/>
          </w:rPr>
          <w:t xml:space="preserve">V.1</w:t>
        </w:r>
      </w:hyperlink>
      <w:r>
        <w:t xml:space="preserve">).</w:t>
      </w:r>
    </w:p>
    <w:p>
      <w:pPr>
        <w:numPr>
          <w:ilvl w:val="0"/>
          <w:numId w:val="1058"/>
        </w:numPr>
      </w:pPr>
      <w:r>
        <w:t xml:space="preserve">El endeudamiento, la banca, los riesgos (vivienda, bolsa, divisas) y la política macroprudencial se analizan en la pregunta de estabilidad financiera (apartado </w:t>
      </w:r>
      <w:hyperlink w:anchor="sec_estabilidad">
        <w:r>
          <w:rPr>
            <w:rStyle w:val="Hyperlink"/>
          </w:rPr>
          <w:t xml:space="preserve">V.2</w:t>
        </w:r>
      </w:hyperlink>
      <w:r>
        <w:t xml:space="preserve">), que es como se preguntan</w:t>
      </w:r>
      <w:r>
        <w:t xml:space="preserve"> </w:t>
      </w:r>
      <w:hyperlink r:id="rId108">
        <w:r>
          <w:rPr>
            <w:rStyle w:val="Referenciaatema"/>
          </w:rPr>
          <w:t xml:space="preserve">[ver tema 3.B.27]</w:t>
        </w:r>
      </w:hyperlink>
      <w:r>
        <w:t xml:space="preserve"> </w:t>
      </w:r>
      <w:hyperlink r:id="rId109">
        <w:r>
          <w:rPr>
            <w:rStyle w:val="Referenciaatema"/>
          </w:rPr>
          <w:t xml:space="preserve">[ver tema 4.A.19]</w:t>
        </w:r>
      </w:hyperlink>
      <w:r>
        <w:t xml:space="preserve">.</w:t>
      </w:r>
    </w:p>
    <w:p>
      <w:pPr>
        <w:numPr>
          <w:ilvl w:val="0"/>
          <w:numId w:val="1059"/>
        </w:numPr>
      </w:pPr>
      <w:r>
        <w:rPr>
          <w:i/>
          <w:iCs/>
        </w:rPr>
        <w:t xml:space="preserve">Recapitulación</w:t>
      </w:r>
      <w:r>
        <w:t xml:space="preserve">: el mercado de trabajo dice cuánto empleo crea el crecimiento y si los costes siguen a la productividad (CLU); el de capitales, si hay financiación para invertir. Los CLU llevan directamente al bloque siguiente: la competitividad.</w:t>
      </w:r>
    </w:p>
    <w:bookmarkEnd w:id="110"/>
    <w:bookmarkEnd w:id="111"/>
    <w:bookmarkEnd w:id="112"/>
    <w:bookmarkStart w:id="133" w:name="sec_competitividad"/>
    <w:p>
      <w:pPr>
        <w:pStyle w:val="Heading1"/>
      </w:pPr>
      <w:r>
        <w:t xml:space="preserve">III.</w:t>
      </w:r>
      <w:r>
        <w:t xml:space="preserve"> </w:t>
      </w:r>
      <w:r>
        <w:t xml:space="preserve">Competitividad</w:t>
      </w:r>
    </w:p>
    <w:p>
      <w:pPr>
        <w:numPr>
          <w:ilvl w:val="0"/>
          <w:numId w:val="1060"/>
        </w:numPr>
      </w:pPr>
      <w:r>
        <w:t xml:space="preserve">La conclusión por adelantado: la competitividad tiene 2 caras. La de</w:t>
      </w:r>
      <w:r>
        <w:t xml:space="preserve"> </w:t>
      </w:r>
      <w:r>
        <w:rPr>
          <w:i/>
          <w:iCs/>
        </w:rPr>
        <w:t xml:space="preserve">precio</w:t>
      </w:r>
      <w:r>
        <w:t xml:space="preserve">, que depende de la inflación, los costes y el tipo de cambio, y la de</w:t>
      </w:r>
      <w:r>
        <w:t xml:space="preserve"> </w:t>
      </w:r>
      <w:r>
        <w:rPr>
          <w:i/>
          <w:iCs/>
        </w:rPr>
        <w:t xml:space="preserve">no precio</w:t>
      </w:r>
      <w:r>
        <w:t xml:space="preserve">, que depende de la calidad, la diferenciación y los mercados. Una economía puede perder la primera y ganar cuota por la segunda.</w:t>
      </w:r>
    </w:p>
    <w:bookmarkStart w:id="122" w:name="sec_precios"/>
    <w:p>
      <w:pPr>
        <w:pStyle w:val="Heading2"/>
      </w:pPr>
      <w:r>
        <w:t xml:space="preserve">III.1.</w:t>
      </w:r>
      <w:r>
        <w:t xml:space="preserve"> </w:t>
      </w:r>
      <w:r>
        <w:t xml:space="preserve">Competitividad precio: precios e inflación</w:t>
      </w:r>
    </w:p>
    <w:p>
      <w:pPr>
        <w:pStyle w:val="Ideaclave"/>
        <w:keepLines/>
      </w:pPr>
      <w:r>
        <w:rPr>
          <w:b/>
          <w:bCs/>
        </w:rPr>
        <w:t xml:space="preserve">Qué hay que contestar</w:t>
      </w:r>
      <w:r>
        <w:t xml:space="preserve">: ¿está controlada la inflación? ¿Viene de dentro o de fuera, de la demanda o de los costes? ¿Es transitoria o persistente? ¿Qué política requiere?</w:t>
      </w:r>
    </w:p>
    <w:p>
      <w:pPr>
        <w:pStyle w:val="Notaalopositor"/>
        <w:keepLines/>
      </w:pPr>
      <w:r>
        <w:rPr>
          <w:b/>
          <w:bCs/>
        </w:rPr>
        <w:t xml:space="preserve">Nota al opositor. </w:t>
      </w:r>
      <w:r>
        <w:t xml:space="preserve">La inflación se ha preguntado sola (sus factores, en 2025; su resistencia inicial y su cambio de tendencia, en 2026) o con la política monetaria (2016 y 2023, con el efecto base), y el tipo de cambio, con el traspaso (2026), la condición de</w:t>
      </w:r>
      <w:r>
        <w:t xml:space="preserve"> </w:t>
      </w:r>
      <w:r>
        <w:rPr>
          <w:smallCaps/>
        </w:rPr>
        <w:t xml:space="preserve">Marshall</w:t>
      </w:r>
      <w:r>
        <w:t xml:space="preserve">-</w:t>
      </w:r>
      <w:r>
        <w:rPr>
          <w:smallCaps/>
        </w:rPr>
        <w:t xml:space="preserve">Lerner</w:t>
      </w:r>
      <w:r>
        <w:t xml:space="preserve"> </w:t>
      </w:r>
      <w:r>
        <w:t xml:space="preserve">(2022), la compra de divisas por el banco central (2021) y los aranceles de Estados Unidos (2026)</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bookmarkStart w:id="115" w:name="tc___ndices_de_precios"/>
    <w:p>
      <w:pPr>
        <w:pStyle w:val="Heading4"/>
      </w:pPr>
      <w:r>
        <w:t xml:space="preserve">Índices de precios</w:t>
      </w:r>
    </w:p>
    <w:p>
      <w:pPr>
        <w:numPr>
          <w:ilvl w:val="0"/>
          <w:numId w:val="1061"/>
        </w:numPr>
      </w:pPr>
      <w:r>
        <w:rPr>
          <w:i/>
          <w:iCs/>
        </w:rPr>
        <w:t xml:space="preserve">Qué miden</w:t>
      </w:r>
      <w:r>
        <w:t xml:space="preserve">: la</w:t>
      </w:r>
      <w:r>
        <w:t xml:space="preserve"> </w:t>
      </w:r>
      <w:r>
        <w:rPr>
          <w:b/>
          <w:bCs/>
        </w:rPr>
        <w:t xml:space="preserve">inflación</w:t>
      </w:r>
      <w:r>
        <w:t xml:space="preserve"> </w:t>
      </w:r>
      <w:r>
        <w:t xml:space="preserve">es el aumento sostenido y generalizado del nivel de precios, no el cambio de un precio relativo; la</w:t>
      </w:r>
      <w:r>
        <w:t xml:space="preserve"> </w:t>
      </w:r>
      <w:r>
        <w:rPr>
          <w:b/>
          <w:bCs/>
        </w:rPr>
        <w:t xml:space="preserve">deflación</w:t>
      </w:r>
      <w:r>
        <w:t xml:space="preserve">, su caída. Para la política económica interesa más el cambio del nivel de precios que el nivel mismo: la</w:t>
      </w:r>
      <w:r>
        <w:t xml:space="preserve"> </w:t>
      </w:r>
      <w:r>
        <w:rPr>
          <w:i/>
          <w:iCs/>
        </w:rPr>
        <w:t xml:space="preserve">tasa de inflación</w:t>
      </w:r>
      <w:r>
        <w:t xml:space="preserve">, la tasa de variación de un índice,</w:t>
      </w:r>
      <w:r>
        <w:t xml:space="preserve"> </w:t>
      </w:r>
      <m:oMath>
        <m:sSub>
          <m:e>
            <m:r>
              <m:t>π</m:t>
            </m:r>
          </m:e>
          <m:sub>
            <m:r>
              <m:t>t</m:t>
            </m:r>
          </m:sub>
        </m:sSub>
        <m:r>
          <m:rPr>
            <m:sty m:val="p"/>
          </m:rPr>
          <m:t>=</m:t>
        </m:r>
        <m:d>
          <m:dPr>
            <m:begChr m:val="("/>
            <m:sepChr m:val=""/>
            <m:endChr m:val=")"/>
            <m:grow/>
          </m:dPr>
          <m:e>
            <m:sSub>
              <m:e>
                <m:r>
                  <m:rPr>
                    <m:sty m:val="p"/>
                  </m:rPr>
                  <m:t>I</m:t>
                </m:r>
                <m:r>
                  <m:rPr>
                    <m:sty m:val="p"/>
                  </m:rPr>
                  <m:t>P</m:t>
                </m:r>
                <m:r>
                  <m:rPr>
                    <m:sty m:val="p"/>
                  </m:rPr>
                  <m:t>C</m:t>
                </m:r>
              </m:e>
              <m:sub>
                <m:r>
                  <m:t>t</m:t>
                </m:r>
              </m:sub>
            </m:sSub>
            <m:r>
              <m:rPr>
                <m:sty m:val="p"/>
              </m:rPr>
              <m:t>/</m:t>
            </m:r>
            <m:sSub>
              <m:e>
                <m:r>
                  <m:rPr>
                    <m:sty m:val="p"/>
                  </m:rPr>
                  <m:t>I</m:t>
                </m:r>
                <m:r>
                  <m:rPr>
                    <m:sty m:val="p"/>
                  </m:rPr>
                  <m:t>P</m:t>
                </m:r>
                <m:r>
                  <m:rPr>
                    <m:sty m:val="p"/>
                  </m:rPr>
                  <m:t>C</m:t>
                </m:r>
              </m:e>
              <m:sub>
                <m:r>
                  <m:t>t</m:t>
                </m:r>
                <m:r>
                  <m:rPr>
                    <m:sty m:val="p"/>
                  </m:rPr>
                  <m:t>−</m:t>
                </m:r>
                <m:r>
                  <m:t>1</m:t>
                </m:r>
              </m:sub>
            </m:sSub>
            <m:r>
              <m:rPr>
                <m:sty m:val="p"/>
              </m:rPr>
              <m:t>−</m:t>
            </m:r>
            <m:r>
              <m:t>1</m:t>
            </m:r>
          </m:e>
        </m:d>
        <m:r>
          <m:rPr>
            <m:sty m:val="p"/>
          </m:rPr>
          <m:t>×</m:t>
        </m:r>
        <m:r>
          <m:t>100</m:t>
        </m:r>
      </m:oMath>
      <w:r>
        <w:t xml:space="preserve">.</w:t>
      </w:r>
    </w:p>
    <w:p>
      <w:pPr>
        <w:numPr>
          <w:ilvl w:val="0"/>
          <w:numId w:val="1061"/>
        </w:numPr>
      </w:pPr>
      <w:r>
        <w:t xml:space="preserve">Un</w:t>
      </w:r>
      <w:r>
        <w:t xml:space="preserve"> </w:t>
      </w:r>
      <w:r>
        <w:rPr>
          <w:b/>
          <w:bCs/>
        </w:rPr>
        <w:t xml:space="preserve">índice de precios</w:t>
      </w:r>
      <w:r>
        <w:t xml:space="preserve"> </w:t>
      </w:r>
      <w:r>
        <w:t xml:space="preserve">refleja la media de los cambios proporcionales de los precios de un conjunto de bienes entre 2 periodos. Toma el valor 100 en un periodo base, y sus valores en los demás periodos dan el cambio porcentual medio de los precios frente al periodo base.</w:t>
      </w:r>
      <w:r>
        <w:rPr>
          <w:rStyle w:val="FootnoteReference"/>
        </w:rPr>
        <w:footnoteReference w:id="113"/>
      </w:r>
    </w:p>
    <w:p>
      <w:pPr>
        <w:keepNext/>
        <w:numPr>
          <w:ilvl w:val="0"/>
          <w:numId w:val="1061"/>
        </w:numPr>
      </w:pPr>
      <w:r>
        <w:rPr>
          <w:i/>
          <w:iCs/>
        </w:rPr>
        <w:t xml:space="preserve">Los índices especializados</w:t>
      </w:r>
      <w:r>
        <w:t xml:space="preserve">:</w:t>
      </w:r>
    </w:p>
    <w:p>
      <w:pPr>
        <w:numPr>
          <w:ilvl w:val="1"/>
          <w:numId w:val="1062"/>
        </w:numPr>
      </w:pPr>
      <w:r>
        <w:rPr>
          <w:b/>
          <w:bCs/>
        </w:rPr>
        <w:t xml:space="preserve">IPC</w:t>
      </w:r>
      <w:r>
        <w:t xml:space="preserve">: los precios de los bienes y servicios de consumo que compran los hogares,</w:t>
      </w:r>
      <w:r>
        <w:t xml:space="preserve"> </w:t>
      </w:r>
      <w:r>
        <w:rPr>
          <w:i/>
          <w:iCs/>
        </w:rPr>
        <w:t xml:space="preserve">importaciones incluidas</w:t>
      </w:r>
      <w:r>
        <w:t xml:space="preserve">; en la UE, el armonizado (IAPC) es la referencia del objetivo del BCE;</w:t>
      </w:r>
    </w:p>
    <w:p>
      <w:pPr>
        <w:numPr>
          <w:ilvl w:val="1"/>
          <w:numId w:val="1062"/>
        </w:numPr>
      </w:pPr>
      <w:r>
        <w:rPr>
          <w:b/>
          <w:bCs/>
        </w:rPr>
        <w:t xml:space="preserve">deflactor del PIB</w:t>
      </w:r>
      <w:r>
        <w:t xml:space="preserve">: el cociente entre el PIB nominal y el PIB en volumen; recoge los precios de los bienes y servicios finales, nuevos y producidos dentro,</w:t>
      </w:r>
      <w:r>
        <w:t xml:space="preserve"> </w:t>
      </w:r>
      <w:r>
        <w:rPr>
          <w:i/>
          <w:iCs/>
        </w:rPr>
        <w:t xml:space="preserve">exportaciones, inversión y servicios públicos incluidos</w:t>
      </w:r>
      <w:r>
        <w:t xml:space="preserve">, y excluye las importaciones. El IPC y el deflactor son las 2 medidas más habituales del nivel general de precios;</w:t>
      </w:r>
    </w:p>
    <w:p>
      <w:pPr>
        <w:numPr>
          <w:ilvl w:val="1"/>
          <w:numId w:val="1062"/>
        </w:numPr>
      </w:pPr>
      <w:r>
        <w:rPr>
          <w:b/>
          <w:bCs/>
        </w:rPr>
        <w:t xml:space="preserve">precios de producción</w:t>
      </w:r>
      <w:r>
        <w:t xml:space="preserve"> </w:t>
      </w:r>
      <w:r>
        <w:t xml:space="preserve">(en España, el índice de precios industriales del INE): los precios que reciben los productores nacionales por lo que venden dentro o fuera; dicen si suben los precios de lo que produce el país, sea cual sea su destino;</w:t>
      </w:r>
    </w:p>
    <w:p>
      <w:pPr>
        <w:numPr>
          <w:ilvl w:val="1"/>
          <w:numId w:val="1062"/>
        </w:numPr>
      </w:pPr>
      <w:r>
        <w:rPr>
          <w:b/>
          <w:bCs/>
        </w:rPr>
        <w:t xml:space="preserve">precios de exportación y de importación</w:t>
      </w:r>
      <w:r>
        <w:t xml:space="preserve"> </w:t>
      </w:r>
      <w:r>
        <w:t xml:space="preserve">(en España, de los productos industriales): sirven sobre todo para deflactar el comercio exterior; los de importación, además, anticipan la inflación, porque muchos insumos y bienes de consumo son importados;</w:t>
      </w:r>
    </w:p>
    <w:p>
      <w:pPr>
        <w:numPr>
          <w:ilvl w:val="1"/>
          <w:numId w:val="1062"/>
        </w:numPr>
      </w:pPr>
      <w:r>
        <w:rPr>
          <w:b/>
          <w:bCs/>
        </w:rPr>
        <w:t xml:space="preserve">costes laborales</w:t>
      </w:r>
      <w:r>
        <w:t xml:space="preserve">, clave porque son una parte importante de los costes de las empresas: crecimiento del salario medio, índice de coste laboral y CLU (apartado </w:t>
      </w:r>
      <w:hyperlink w:anchor="sec_trabajo">
        <w:r>
          <w:rPr>
            <w:rStyle w:val="Hyperlink"/>
          </w:rPr>
          <w:t xml:space="preserve">II.1</w:t>
        </w:r>
      </w:hyperlink>
      <w:r>
        <w:t xml:space="preserve">);</w:t>
      </w:r>
    </w:p>
    <w:p>
      <w:pPr>
        <w:numPr>
          <w:ilvl w:val="1"/>
          <w:numId w:val="1062"/>
        </w:numPr>
      </w:pPr>
      <w:r>
        <w:t xml:space="preserve">precios de los activos: vivienda, bolsa, materias primas.</w:t>
      </w:r>
    </w:p>
    <w:p>
      <w:pPr>
        <w:pStyle w:val="Cajadeanotaciones"/>
        <w:keepNext/>
        <w:keepLines/>
      </w:pPr>
      <w:r>
        <w:rPr>
          <w:b/>
          <w:bCs/>
        </w:rPr>
        <w:t xml:space="preserve">El IPC, un índice de</w:t>
      </w:r>
      <w:r>
        <w:rPr>
          <w:b/>
          <w:bCs/>
        </w:rPr>
        <w:t xml:space="preserve"> </w:t>
      </w:r>
      <w:r>
        <w:rPr>
          <w:b/>
          <w:bCs/>
          <w:smallCaps/>
        </w:rPr>
        <w:t xml:space="preserve">Laspeyres</w:t>
      </w:r>
      <w:r>
        <w:rPr>
          <w:b/>
          <w:bCs/>
        </w:rPr>
        <w:t xml:space="preserve">.</w:t>
      </w:r>
    </w:p>
    <w:p>
      <w:pPr>
        <w:pStyle w:val="Cajadeanotaciones"/>
        <w:keepNext/>
        <w:keepLines/>
        <w:numPr>
          <w:ilvl w:val="0"/>
          <w:numId w:val="1063"/>
        </w:numPr>
      </w:pPr>
      <w:r>
        <w:rPr>
          <w:i/>
          <w:iCs/>
        </w:rPr>
        <w:t xml:space="preserve">Qué compara</w:t>
      </w:r>
      <w:r>
        <w:t xml:space="preserve">:</w:t>
      </w:r>
      <w:r>
        <w:t xml:space="preserve"> </w:t>
      </w:r>
      <w:r>
        <w:rPr>
          <w:b/>
          <w:bCs/>
        </w:rPr>
        <w:t xml:space="preserve">el coste de una cesta representativa de bienes y servicios a los precios del periodo actual</w:t>
      </w:r>
      <w:r>
        <w:t xml:space="preserve"> </w:t>
      </w:r>
      <w:r>
        <w:t xml:space="preserve">con</w:t>
      </w:r>
      <w:r>
        <w:t xml:space="preserve"> </w:t>
      </w:r>
      <w:r>
        <w:rPr>
          <w:b/>
          <w:bCs/>
        </w:rPr>
        <w:t xml:space="preserve">el coste de esa</w:t>
      </w:r>
      <w:r>
        <w:rPr>
          <w:b/>
          <w:bCs/>
        </w:rPr>
        <w:t xml:space="preserve"> </w:t>
      </w:r>
      <w:r>
        <w:rPr>
          <w:b/>
          <w:bCs/>
          <w:i/>
          <w:iCs/>
        </w:rPr>
        <w:t xml:space="preserve">misma</w:t>
      </w:r>
      <w:r>
        <w:rPr>
          <w:b/>
          <w:bCs/>
        </w:rPr>
        <w:t xml:space="preserve"> </w:t>
      </w:r>
      <w:r>
        <w:rPr>
          <w:b/>
          <w:bCs/>
        </w:rPr>
        <w:t xml:space="preserve">cesta a los precios del periodo de referencia</w:t>
      </w:r>
      <w:r>
        <w:t xml:space="preserve">. Los precios se ponderan por el gasto de los hogares en cada grupo de bienes, para que el índice refleje lo que realmente compran; la cesta sale de lo que declaran gastar (en España, la Encuesta de Presupuestos Familiares, completada con la contabilidad nacional).</w:t>
      </w:r>
    </w:p>
    <w:p>
      <w:pPr>
        <w:pStyle w:val="Cajadeanotaciones"/>
        <w:keepNext/>
        <w:keepLines/>
        <w:numPr>
          <w:ilvl w:val="0"/>
          <w:numId w:val="1063"/>
        </w:numPr>
      </w:pPr>
      <w:r>
        <w:rPr>
          <w:i/>
          <w:iCs/>
        </w:rPr>
        <w:t xml:space="preserve">Fórmula</w:t>
      </w:r>
      <w:r>
        <w:t xml:space="preserve">: los precios actuales ponderados por las cantidades del periodo base, divididos por los precios del periodo base ponderados por las mismas cantidades,</w:t>
      </w:r>
    </w:p>
    <w:p>
      <w:pPr>
        <w:pStyle w:val="Cajadeanotaciones"/>
        <w:keepNext/>
        <w:keepLines/>
      </w:pPr>
      <m:oMathPara>
        <m:oMathParaPr>
          <m:jc m:val="center"/>
        </m:oMathParaPr>
        <m:oMath>
          <m:sSub>
            <m:e>
              <m:r>
                <m:t>I</m:t>
              </m:r>
            </m:e>
            <m:sub>
              <m:r>
                <m:t>L</m:t>
              </m:r>
            </m:sub>
          </m:sSub>
          <m:r>
            <m:rPr>
              <m:sty m:val="p"/>
            </m:rPr>
            <m:t>≡</m:t>
          </m:r>
          <m:f>
            <m:fPr>
              <m:type m:val="bar"/>
            </m:fPr>
            <m:num>
              <m:nary>
                <m:naryPr>
                  <m:chr m:val="∑"/>
                  <m:limLoc m:val="undOvr"/>
                  <m:subHide m:val="off"/>
                  <m:supHide m:val="off"/>
                </m:naryPr>
                <m:sub>
                  <m:r>
                    <m:t>i</m:t>
                  </m:r>
                  <m:r>
                    <m:rPr>
                      <m:sty m:val="p"/>
                    </m:rPr>
                    <m:t>=</m:t>
                  </m:r>
                  <m:r>
                    <m:t>1</m:t>
                  </m:r>
                </m:sub>
                <m:sup>
                  <m:r>
                    <m:t>N</m:t>
                  </m:r>
                </m:sup>
                <m:e>
                  <m:sSubSup>
                    <m:e>
                      <m:r>
                        <m:t>p</m:t>
                      </m:r>
                    </m:e>
                    <m:sub>
                      <m:r>
                        <m:t>i</m:t>
                      </m:r>
                    </m:sub>
                    <m:sup>
                      <m:r>
                        <m:t>t</m:t>
                      </m:r>
                    </m:sup>
                  </m:sSubSup>
                </m:e>
              </m:nary>
              <m:r>
                <m:t> </m:t>
              </m:r>
              <m:sSubSup>
                <m:e>
                  <m:r>
                    <m:t>x</m:t>
                  </m:r>
                </m:e>
                <m:sub>
                  <m:r>
                    <m:t>i</m:t>
                  </m:r>
                </m:sub>
                <m:sup>
                  <m:r>
                    <m:t>0</m:t>
                  </m:r>
                </m:sup>
              </m:sSubSup>
            </m:num>
            <m:den>
              <m:nary>
                <m:naryPr>
                  <m:chr m:val="∑"/>
                  <m:limLoc m:val="undOvr"/>
                  <m:subHide m:val="off"/>
                  <m:supHide m:val="off"/>
                </m:naryPr>
                <m:sub>
                  <m:r>
                    <m:t>i</m:t>
                  </m:r>
                  <m:r>
                    <m:rPr>
                      <m:sty m:val="p"/>
                    </m:rPr>
                    <m:t>=</m:t>
                  </m:r>
                  <m:r>
                    <m:t>1</m:t>
                  </m:r>
                </m:sub>
                <m:sup>
                  <m:r>
                    <m:t>N</m:t>
                  </m:r>
                </m:sup>
                <m:e>
                  <m:sSubSup>
                    <m:e>
                      <m:r>
                        <m:t>p</m:t>
                      </m:r>
                    </m:e>
                    <m:sub>
                      <m:r>
                        <m:t>i</m:t>
                      </m:r>
                    </m:sub>
                    <m:sup>
                      <m:r>
                        <m:t>0</m:t>
                      </m:r>
                    </m:sup>
                  </m:sSubSup>
                </m:e>
              </m:nary>
              <m:r>
                <m:t> </m:t>
              </m:r>
              <m:sSubSup>
                <m:e>
                  <m:r>
                    <m:t>x</m:t>
                  </m:r>
                </m:e>
                <m:sub>
                  <m:r>
                    <m:t>i</m:t>
                  </m:r>
                </m:sub>
                <m:sup>
                  <m:r>
                    <m:t>0</m:t>
                  </m:r>
                </m:sup>
              </m:sSubSup>
            </m:den>
          </m:f>
          <m:r>
            <m:rPr>
              <m:sty m:val="p"/>
            </m:rPr>
            <m:t>×</m:t>
          </m:r>
          <m:r>
            <m:t>100</m:t>
          </m:r>
          <m:r>
            <m:rPr>
              <m:sty m:val="p"/>
            </m:rPr>
            <m:t>=</m:t>
          </m:r>
          <m:f>
            <m:fPr>
              <m:type m:val="bar"/>
            </m:fPr>
            <m:num>
              <m:sSup>
                <m:e>
                  <m:acc>
                    <m:accPr>
                      <m:chr m:val="⃗"/>
                    </m:accPr>
                    <m:e>
                      <m:r>
                        <m:t>p</m:t>
                      </m:r>
                    </m:e>
                  </m:acc>
                </m:e>
                <m:sup>
                  <m:r>
                    <m:t>t</m:t>
                  </m:r>
                </m:sup>
              </m:sSup>
              <m:r>
                <m:rPr>
                  <m:sty m:val="p"/>
                </m:rPr>
                <m:t>⋅</m:t>
              </m:r>
              <m:sSup>
                <m:e>
                  <m:acc>
                    <m:accPr>
                      <m:chr m:val="⃗"/>
                    </m:accPr>
                    <m:e>
                      <m:r>
                        <m:t>x</m:t>
                      </m:r>
                    </m:e>
                  </m:acc>
                </m:e>
                <m:sup>
                  <m:r>
                    <m:t>0</m:t>
                  </m:r>
                </m:sup>
              </m:sSup>
            </m:num>
            <m:den>
              <m:sSup>
                <m:e>
                  <m:acc>
                    <m:accPr>
                      <m:chr m:val="⃗"/>
                    </m:accPr>
                    <m:e>
                      <m:r>
                        <m:t>p</m:t>
                      </m:r>
                    </m:e>
                  </m:acc>
                </m:e>
                <m:sup>
                  <m:r>
                    <m:t>0</m:t>
                  </m:r>
                </m:sup>
              </m:sSup>
              <m:r>
                <m:rPr>
                  <m:sty m:val="p"/>
                </m:rPr>
                <m:t>⋅</m:t>
              </m:r>
              <m:sSup>
                <m:e>
                  <m:acc>
                    <m:accPr>
                      <m:chr m:val="⃗"/>
                    </m:accPr>
                    <m:e>
                      <m:r>
                        <m:t>x</m:t>
                      </m:r>
                    </m:e>
                  </m:acc>
                </m:e>
                <m:sup>
                  <m:r>
                    <m:t>0</m:t>
                  </m:r>
                </m:sup>
              </m:sSup>
            </m:den>
          </m:f>
          <m:r>
            <m:rPr>
              <m:sty m:val="p"/>
            </m:rPr>
            <m:t>×</m:t>
          </m:r>
          <m:r>
            <m:t>100</m:t>
          </m:r>
          <m:r>
            <m:rPr>
              <m:sty m:val="p"/>
            </m:rPr>
            <m:t>.</m:t>
          </m:r>
        </m:oMath>
      </m:oMathPara>
    </w:p>
    <w:p>
      <w:pPr>
        <w:pStyle w:val="Cajadeanotaciones"/>
        <w:keepNext/>
        <w:keepLines/>
        <w:numPr>
          <w:ilvl w:val="0"/>
          <w:numId w:val="1063"/>
        </w:numPr>
      </w:pPr>
      <w:r>
        <w:rPr>
          <w:i/>
          <w:iCs/>
        </w:rPr>
        <w:t xml:space="preserve">Cesta fija</w:t>
      </w:r>
      <w:r>
        <w:t xml:space="preserve">: un</w:t>
      </w:r>
      <w:r>
        <w:t xml:space="preserve"> </w:t>
      </w:r>
      <w:r>
        <w:rPr>
          <w:smallCaps/>
        </w:rPr>
        <w:t xml:space="preserve">Laspeyres</w:t>
      </w:r>
      <w:r>
        <w:t xml:space="preserve"> </w:t>
      </w:r>
      <w:r>
        <w:t xml:space="preserve">puro usaría la cesta del periodo de referencia de los precios; en la mayoría de los IPC la cesta es de un periodo distinto. El del INE es un</w:t>
      </w:r>
      <w:r>
        <w:t xml:space="preserve"> </w:t>
      </w:r>
      <w:r>
        <w:rPr>
          <w:smallCaps/>
        </w:rPr>
        <w:t xml:space="preserve">Laspeyres</w:t>
      </w:r>
      <w:r>
        <w:t xml:space="preserve"> </w:t>
      </w:r>
      <w:r>
        <w:rPr>
          <w:i/>
          <w:iCs/>
        </w:rPr>
        <w:t xml:space="preserve">encadenado</w:t>
      </w:r>
      <w:r>
        <w:t xml:space="preserve">: cada año se compara con los precios de diciembre del anterior y las ponderaciones se actualizan cada año (base 2025 desde enero de 2026)</w:t>
      </w:r>
      <w:r>
        <w:t xml:space="preserve"> </w:t>
      </w:r>
      <w:r>
        <w:t xml:space="preserve">(</w:t>
      </w:r>
      <w:hyperlink w:anchor="ref_INE2026IPCMetodologia">
        <w:r>
          <w:rPr>
            <w:rStyle w:val="Hyperlink"/>
            <w:smallCaps/>
          </w:rPr>
          <w:t xml:space="preserve">Instituto Nacional de Estadística</w:t>
        </w:r>
        <w:r>
          <w:rPr>
            <w:rStyle w:val="Hyperlink"/>
          </w:rPr>
          <w:t xml:space="preserve">, 2026</w:t>
        </w:r>
      </w:hyperlink>
      <w:r>
        <w:t xml:space="preserve">)</w:t>
      </w:r>
      <w:r>
        <w:t xml:space="preserve">. Se calcula al menos cada mes (en algunos países, cada trimestre), también para grupos de población o territorios y en versiones armonizadas, como el IAPC de la UE; cada país designa uno como índice general, la referencia de la política económica.</w:t>
      </w:r>
    </w:p>
    <w:p>
      <w:pPr>
        <w:pStyle w:val="Cajadeanotaciones"/>
        <w:keepNext/>
        <w:keepLines/>
        <w:numPr>
          <w:ilvl w:val="0"/>
          <w:numId w:val="1063"/>
        </w:numPr>
      </w:pPr>
      <w:r>
        <w:rPr>
          <w:i/>
          <w:iCs/>
        </w:rPr>
        <w:t xml:space="preserve">Sesgo</w:t>
      </w:r>
      <w:r>
        <w:t xml:space="preserve">:</w:t>
      </w:r>
      <w:r>
        <w:t xml:space="preserve"> </w:t>
      </w:r>
      <w:r>
        <w:rPr>
          <w:i/>
          <w:iCs/>
        </w:rPr>
        <w:t xml:space="preserve">sobrevalora</w:t>
      </w:r>
      <w:r>
        <w:t xml:space="preserve"> </w:t>
      </w:r>
      <w:r>
        <w:t xml:space="preserve">la inflación (sesgo de sustitución). Con el tiempo unos precios suben más que otros, y los consumidores compran menos de lo que se encarece y más de lo que se abarata. Como el IPC supone que siguen comprando la cesta del periodo base, da demasiado peso a los bienes que más se han encarecido: muestra más inflación de la que sufren los consumidores porque no recoge que sustituyen los bienes más caros por otros más baratos.</w:t>
      </w:r>
    </w:p>
    <w:p>
      <w:pPr>
        <w:pStyle w:val="Cajadeanotaciones"/>
        <w:keepNext/>
        <w:keepLines/>
      </w:pPr>
      <w:r>
        <w:rPr>
          <w:b/>
          <w:bCs/>
        </w:rPr>
        <w:t xml:space="preserve">El deflactor del PIB, un índice de</w:t>
      </w:r>
      <w:r>
        <w:rPr>
          <w:b/>
          <w:bCs/>
        </w:rPr>
        <w:t xml:space="preserve"> </w:t>
      </w:r>
      <w:r>
        <w:rPr>
          <w:b/>
          <w:bCs/>
          <w:smallCaps/>
        </w:rPr>
        <w:t xml:space="preserve">Paasche</w:t>
      </w:r>
      <w:r>
        <w:rPr>
          <w:b/>
          <w:bCs/>
        </w:rPr>
        <w:t xml:space="preserve">.</w:t>
      </w:r>
    </w:p>
    <w:p>
      <w:pPr>
        <w:pStyle w:val="Cajadeanotaciones"/>
        <w:keepNext/>
        <w:keepLines/>
        <w:numPr>
          <w:ilvl w:val="0"/>
          <w:numId w:val="1064"/>
        </w:numPr>
      </w:pPr>
      <w:r>
        <w:rPr>
          <w:i/>
          <w:iCs/>
        </w:rPr>
        <w:t xml:space="preserve">De dónde sale</w:t>
      </w:r>
      <w:r>
        <w:t xml:space="preserve">: cualquier variable nominal cambia por su volumen (cantidades) y por su precio. El PIB nominal crece por las 2 cosas, y el deflactor mide la parte que se debe a los precios:</w:t>
      </w:r>
    </w:p>
    <w:p>
      <w:pPr>
        <w:pStyle w:val="Cajadeanotaciones"/>
        <w:keepNext/>
        <w:keepLines/>
      </w:pPr>
      <m:oMathPara>
        <m:oMathParaPr>
          <m:jc m:val="center"/>
        </m:oMathParaPr>
        <m:oMath>
          <m:sSub>
            <m:e>
              <m:r>
                <m:rPr>
                  <m:nor/>
                  <m:sty m:val="p"/>
                </m:rPr>
                <m:t>Deflactor</m:t>
              </m:r>
            </m:e>
            <m:sub>
              <m:r>
                <m:rPr>
                  <m:sty m:val="p"/>
                </m:rPr>
                <m:t>P</m:t>
              </m:r>
              <m:r>
                <m:rPr>
                  <m:sty m:val="p"/>
                </m:rPr>
                <m:t>I</m:t>
              </m:r>
              <m:r>
                <m:rPr>
                  <m:sty m:val="p"/>
                </m:rPr>
                <m:t>B</m:t>
              </m:r>
            </m:sub>
          </m:sSub>
          <m:r>
            <m:rPr>
              <m:sty m:val="p"/>
            </m:rPr>
            <m:t>=</m:t>
          </m:r>
          <m:f>
            <m:fPr>
              <m:type m:val="bar"/>
            </m:fPr>
            <m:num>
              <m:limUpp>
                <m:e>
                  <m:groupChr>
                    <m:groupChrPr>
                      <m:chr m:val="⏞"/>
                      <m:pos m:val="top"/>
                      <m:vertJc m:val="bot"/>
                    </m:groupChrPr>
                    <m:e>
                      <m:r>
                        <m:rPr>
                          <m:nor/>
                          <m:sty m:val="p"/>
                        </m:rPr>
                        <m:t>PIB nominal</m:t>
                      </m:r>
                    </m:e>
                  </m:groupChr>
                </m:e>
                <m:lim>
                  <m:r>
                    <m:rPr>
                      <m:nor/>
                      <m:sty m:val="p"/>
                    </m:rPr>
                    <m:t>a precios corrientes</m:t>
                  </m:r>
                </m:lim>
              </m:limUpp>
            </m:num>
            <m:den>
              <m:limLow>
                <m:e>
                  <m:limLow>
                    <m:e>
                      <m:r>
                        <m:rPr>
                          <m:nor/>
                          <m:sty m:val="p"/>
                        </m:rPr>
                        <m:t>PIB real</m:t>
                      </m:r>
                    </m:e>
                    <m:lim>
                      <m:r>
                        <m:rPr>
                          <m:sty m:val="p"/>
                        </m:rPr>
                        <m:t>⏟</m:t>
                      </m:r>
                    </m:lim>
                  </m:limLow>
                </m:e>
                <m:lim>
                  <m:r>
                    <m:rPr>
                      <m:nor/>
                      <m:sty m:val="p"/>
                    </m:rPr>
                    <m:t>a precios del periodo de referencia</m:t>
                  </m:r>
                </m:lim>
              </m:limLow>
            </m:den>
          </m:f>
          <m:r>
            <m:rPr>
              <m:sty m:val="p"/>
            </m:rPr>
            <m:t>×</m:t>
          </m:r>
          <m:r>
            <m:t>100</m:t>
          </m:r>
          <m:r>
            <m:rPr>
              <m:sty m:val="p"/>
            </m:rPr>
            <m:t>.</m:t>
          </m:r>
        </m:oMath>
      </m:oMathPara>
    </w:p>
    <w:p>
      <w:pPr>
        <w:pStyle w:val="Cajadeanotaciones"/>
        <w:keepNext/>
        <w:keepLines/>
        <w:numPr>
          <w:ilvl w:val="0"/>
          <w:numId w:val="1064"/>
        </w:numPr>
      </w:pPr>
      <w:r>
        <w:rPr>
          <w:i/>
          <w:iCs/>
        </w:rPr>
        <w:t xml:space="preserve">Qué compara</w:t>
      </w:r>
      <w:r>
        <w:t xml:space="preserve">:</w:t>
      </w:r>
      <w:r>
        <w:t xml:space="preserve"> </w:t>
      </w:r>
      <w:r>
        <w:rPr>
          <w:b/>
          <w:bCs/>
        </w:rPr>
        <w:t xml:space="preserve">el valor de la producción nacional del periodo actual</w:t>
      </w:r>
      <w:r>
        <w:t xml:space="preserve"> </w:t>
      </w:r>
      <w:r>
        <w:t xml:space="preserve">con</w:t>
      </w:r>
      <w:r>
        <w:t xml:space="preserve"> </w:t>
      </w:r>
      <w:r>
        <w:rPr>
          <w:b/>
          <w:bCs/>
        </w:rPr>
        <w:t xml:space="preserve">esa</w:t>
      </w:r>
      <w:r>
        <w:rPr>
          <w:b/>
          <w:bCs/>
        </w:rPr>
        <w:t xml:space="preserve"> </w:t>
      </w:r>
      <w:r>
        <w:rPr>
          <w:b/>
          <w:bCs/>
          <w:i/>
          <w:iCs/>
        </w:rPr>
        <w:t xml:space="preserve">misma</w:t>
      </w:r>
      <w:r>
        <w:rPr>
          <w:b/>
          <w:bCs/>
        </w:rPr>
        <w:t xml:space="preserve"> </w:t>
      </w:r>
      <w:r>
        <w:rPr>
          <w:b/>
          <w:bCs/>
        </w:rPr>
        <w:t xml:space="preserve">producción a los precios del periodo de referencia</w:t>
      </w:r>
      <w:r>
        <w:t xml:space="preserve">.</w:t>
      </w:r>
    </w:p>
    <w:p>
      <w:pPr>
        <w:pStyle w:val="Cajadeanotaciones"/>
        <w:keepNext/>
        <w:keepLines/>
        <w:numPr>
          <w:ilvl w:val="0"/>
          <w:numId w:val="1064"/>
        </w:numPr>
      </w:pPr>
      <w:r>
        <w:rPr>
          <w:i/>
          <w:iCs/>
        </w:rPr>
        <w:t xml:space="preserve">Fórmula</w:t>
      </w:r>
      <w:r>
        <w:t xml:space="preserve">: es un índice de</w:t>
      </w:r>
      <w:r>
        <w:t xml:space="preserve"> </w:t>
      </w:r>
      <w:r>
        <w:rPr>
          <w:smallCaps/>
        </w:rPr>
        <w:t xml:space="preserve">Paasche</w:t>
      </w:r>
      <w:r>
        <w:t xml:space="preserve">, con las cantidades de hoy,</w:t>
      </w:r>
    </w:p>
    <w:p>
      <w:pPr>
        <w:pStyle w:val="Cajadeanotaciones"/>
        <w:keepNext/>
        <w:keepLines/>
      </w:pPr>
      <m:oMathPara>
        <m:oMathParaPr>
          <m:jc m:val="center"/>
        </m:oMathParaPr>
        <m:oMath>
          <m:sSub>
            <m:e>
              <m:r>
                <m:rPr>
                  <m:nor/>
                  <m:sty m:val="p"/>
                </m:rPr>
                <m:t>Deflactor</m:t>
              </m:r>
            </m:e>
            <m:sub>
              <m:r>
                <m:rPr>
                  <m:sty m:val="p"/>
                </m:rPr>
                <m:t>P</m:t>
              </m:r>
              <m:r>
                <m:rPr>
                  <m:sty m:val="p"/>
                </m:rPr>
                <m:t>I</m:t>
              </m:r>
              <m:r>
                <m:rPr>
                  <m:sty m:val="p"/>
                </m:rPr>
                <m:t>B</m:t>
              </m:r>
            </m:sub>
          </m:sSub>
          <m:r>
            <m:rPr>
              <m:sty m:val="p"/>
            </m:rPr>
            <m:t>=</m:t>
          </m:r>
          <m:f>
            <m:fPr>
              <m:type m:val="bar"/>
            </m:fPr>
            <m:num>
              <m:nary>
                <m:naryPr>
                  <m:chr m:val="∑"/>
                  <m:limLoc m:val="undOvr"/>
                  <m:subHide m:val="off"/>
                  <m:supHide m:val="off"/>
                </m:naryPr>
                <m:sub>
                  <m:r>
                    <m:t>i</m:t>
                  </m:r>
                  <m:r>
                    <m:rPr>
                      <m:sty m:val="p"/>
                    </m:rPr>
                    <m:t>=</m:t>
                  </m:r>
                  <m:r>
                    <m:t>1</m:t>
                  </m:r>
                </m:sub>
                <m:sup>
                  <m:r>
                    <m:t>N</m:t>
                  </m:r>
                </m:sup>
                <m:e>
                  <m:sSubSup>
                    <m:e>
                      <m:r>
                        <m:t>p</m:t>
                      </m:r>
                    </m:e>
                    <m:sub>
                      <m:r>
                        <m:t>i</m:t>
                      </m:r>
                    </m:sub>
                    <m:sup>
                      <m:r>
                        <m:t>t</m:t>
                      </m:r>
                    </m:sup>
                  </m:sSubSup>
                </m:e>
              </m:nary>
              <m:r>
                <m:t> </m:t>
              </m:r>
              <m:sSubSup>
                <m:e>
                  <m:r>
                    <m:t>x</m:t>
                  </m:r>
                </m:e>
                <m:sub>
                  <m:r>
                    <m:t>i</m:t>
                  </m:r>
                </m:sub>
                <m:sup>
                  <m:r>
                    <m:t>t</m:t>
                  </m:r>
                </m:sup>
              </m:sSubSup>
            </m:num>
            <m:den>
              <m:nary>
                <m:naryPr>
                  <m:chr m:val="∑"/>
                  <m:limLoc m:val="undOvr"/>
                  <m:subHide m:val="off"/>
                  <m:supHide m:val="off"/>
                </m:naryPr>
                <m:sub>
                  <m:r>
                    <m:t>i</m:t>
                  </m:r>
                  <m:r>
                    <m:rPr>
                      <m:sty m:val="p"/>
                    </m:rPr>
                    <m:t>=</m:t>
                  </m:r>
                  <m:r>
                    <m:t>1</m:t>
                  </m:r>
                </m:sub>
                <m:sup>
                  <m:r>
                    <m:t>N</m:t>
                  </m:r>
                </m:sup>
                <m:e>
                  <m:sSubSup>
                    <m:e>
                      <m:r>
                        <m:t>p</m:t>
                      </m:r>
                    </m:e>
                    <m:sub>
                      <m:r>
                        <m:t>i</m:t>
                      </m:r>
                    </m:sub>
                    <m:sup>
                      <m:r>
                        <m:t>0</m:t>
                      </m:r>
                    </m:sup>
                  </m:sSubSup>
                </m:e>
              </m:nary>
              <m:r>
                <m:t> </m:t>
              </m:r>
              <m:sSubSup>
                <m:e>
                  <m:r>
                    <m:t>x</m:t>
                  </m:r>
                </m:e>
                <m:sub>
                  <m:r>
                    <m:t>i</m:t>
                  </m:r>
                </m:sub>
                <m:sup>
                  <m:r>
                    <m:t>t</m:t>
                  </m:r>
                </m:sup>
              </m:sSubSup>
            </m:den>
          </m:f>
          <m:r>
            <m:rPr>
              <m:sty m:val="p"/>
            </m:rPr>
            <m:t>×</m:t>
          </m:r>
          <m:r>
            <m:t>100</m:t>
          </m:r>
          <m:r>
            <m:rPr>
              <m:sty m:val="p"/>
            </m:rPr>
            <m:t>=</m:t>
          </m:r>
          <m:f>
            <m:fPr>
              <m:type m:val="bar"/>
            </m:fPr>
            <m:num>
              <m:sSup>
                <m:e>
                  <m:acc>
                    <m:accPr>
                      <m:chr m:val="⃗"/>
                    </m:accPr>
                    <m:e>
                      <m:r>
                        <m:t>p</m:t>
                      </m:r>
                    </m:e>
                  </m:acc>
                </m:e>
                <m:sup>
                  <m:r>
                    <m:t>t</m:t>
                  </m:r>
                </m:sup>
              </m:sSup>
              <m:r>
                <m:rPr>
                  <m:sty m:val="p"/>
                </m:rPr>
                <m:t>⋅</m:t>
              </m:r>
              <m:sSup>
                <m:e>
                  <m:acc>
                    <m:accPr>
                      <m:chr m:val="⃗"/>
                    </m:accPr>
                    <m:e>
                      <m:r>
                        <m:t>x</m:t>
                      </m:r>
                    </m:e>
                  </m:acc>
                </m:e>
                <m:sup>
                  <m:r>
                    <m:t>t</m:t>
                  </m:r>
                </m:sup>
              </m:sSup>
            </m:num>
            <m:den>
              <m:sSup>
                <m:e>
                  <m:acc>
                    <m:accPr>
                      <m:chr m:val="⃗"/>
                    </m:accPr>
                    <m:e>
                      <m:r>
                        <m:t>p</m:t>
                      </m:r>
                    </m:e>
                  </m:acc>
                </m:e>
                <m:sup>
                  <m:r>
                    <m:t>0</m:t>
                  </m:r>
                </m:sup>
              </m:sSup>
              <m:r>
                <m:rPr>
                  <m:sty m:val="p"/>
                </m:rPr>
                <m:t>⋅</m:t>
              </m:r>
              <m:sSup>
                <m:e>
                  <m:acc>
                    <m:accPr>
                      <m:chr m:val="⃗"/>
                    </m:accPr>
                    <m:e>
                      <m:r>
                        <m:t>x</m:t>
                      </m:r>
                    </m:e>
                  </m:acc>
                </m:e>
                <m:sup>
                  <m:r>
                    <m:t>t</m:t>
                  </m:r>
                </m:sup>
              </m:sSup>
            </m:den>
          </m:f>
          <m:r>
            <m:rPr>
              <m:sty m:val="p"/>
            </m:rPr>
            <m:t>×</m:t>
          </m:r>
          <m:r>
            <m:t>100</m:t>
          </m:r>
          <m:r>
            <m:rPr>
              <m:sty m:val="p"/>
            </m:rPr>
            <m:t>≡</m:t>
          </m:r>
          <m:sSub>
            <m:e>
              <m:r>
                <m:t>I</m:t>
              </m:r>
            </m:e>
            <m:sub>
              <m:r>
                <m:t>P</m:t>
              </m:r>
            </m:sub>
          </m:sSub>
          <m:r>
            <m:rPr>
              <m:sty m:val="p"/>
            </m:rPr>
            <m:t>.</m:t>
          </m:r>
        </m:oMath>
      </m:oMathPara>
    </w:p>
    <w:p>
      <w:pPr>
        <w:pStyle w:val="Cajadeanotaciones"/>
        <w:keepNext/>
        <w:keepLines/>
        <w:numPr>
          <w:ilvl w:val="0"/>
          <w:numId w:val="1064"/>
        </w:numPr>
      </w:pPr>
      <w:r>
        <w:rPr>
          <w:i/>
          <w:iCs/>
        </w:rPr>
        <w:t xml:space="preserve">Cesta variable</w:t>
      </w:r>
      <w:r>
        <w:t xml:space="preserve">: al contrario que el IPC, no usa una cesta fija: la cesta cambia con los patrones de consumo e inversión, y recoge que los agentes responden a los cambios de los precios relativos. Como el PIB en volumen se calcula encadenado, es un</w:t>
      </w:r>
      <w:r>
        <w:t xml:space="preserve"> </w:t>
      </w:r>
      <w:r>
        <w:rPr>
          <w:smallCaps/>
        </w:rPr>
        <w:t xml:space="preserve">Paasche</w:t>
      </w:r>
      <w:r>
        <w:t xml:space="preserve"> </w:t>
      </w:r>
      <w:r>
        <w:t xml:space="preserve">encadenado.</w:t>
      </w:r>
    </w:p>
    <w:p>
      <w:pPr>
        <w:pStyle w:val="Cajadeanotaciones"/>
        <w:keepLines/>
        <w:numPr>
          <w:ilvl w:val="0"/>
          <w:numId w:val="1064"/>
        </w:numPr>
      </w:pPr>
      <w:r>
        <w:rPr>
          <w:i/>
          <w:iCs/>
        </w:rPr>
        <w:t xml:space="preserve">Sesgo</w:t>
      </w:r>
      <w:r>
        <w:t xml:space="preserve">:</w:t>
      </w:r>
      <w:r>
        <w:t xml:space="preserve"> </w:t>
      </w:r>
      <w:r>
        <w:rPr>
          <w:i/>
          <w:iCs/>
        </w:rPr>
        <w:t xml:space="preserve">infravalora</w:t>
      </w:r>
      <w:r>
        <w:t xml:space="preserve"> </w:t>
      </w:r>
      <w:r>
        <w:t xml:space="preserve">la inflación. Aunque es una medida completa de los precios de lo que se produce, no refleja bien el efecto de la inflación en el bienestar de los consumidores, porque no incluye las importaciones</w:t>
      </w:r>
      <w:r>
        <w:t xml:space="preserve"> </w:t>
      </w:r>
      <w:hyperlink r:id="rId114">
        <w:r>
          <w:rPr>
            <w:rStyle w:val="Referenciaatema"/>
          </w:rPr>
          <w:t xml:space="preserve">[ver tema 3.A.9]</w:t>
        </w:r>
      </w:hyperlink>
      <w:r>
        <w:t xml:space="preserve"> </w:t>
      </w:r>
      <w:hyperlink r:id="rId20">
        <w:r>
          <w:rPr>
            <w:rStyle w:val="Referenciaatema"/>
          </w:rPr>
          <w:t xml:space="preserve">[ver tema 3.A.30]</w:t>
        </w:r>
      </w:hyperlink>
      <w:r>
        <w:t xml:space="preserve"> </w:t>
      </w:r>
      <w:hyperlink r:id="rId34">
        <w:r>
          <w:rPr>
            <w:rStyle w:val="Referenciaatema"/>
          </w:rPr>
          <w:t xml:space="preserve">[ver tema 4.A.1]</w:t>
        </w:r>
      </w:hyperlink>
      <w:r>
        <w:t xml:space="preserve">.</w:t>
      </w:r>
    </w:p>
    <w:bookmarkEnd w:id="115"/>
    <w:bookmarkStart w:id="116" w:name="ipc_frente_a_deflactor_e_inflaci___23185"/>
    <w:p>
      <w:pPr>
        <w:pStyle w:val="Heading4"/>
      </w:pPr>
      <w:r>
        <w:t xml:space="preserve">IPC frente a deflactor e inflación importada</w:t>
      </w:r>
    </w:p>
    <w:p>
      <w:pPr>
        <w:keepNext/>
        <w:numPr>
          <w:ilvl w:val="0"/>
          <w:numId w:val="1065"/>
        </w:numPr>
      </w:pPr>
      <w:r>
        <w:t xml:space="preserve">Aunque los 2 se usan como medida del nivel general de precios, no siempre se mueven juntos, por 2 diferencias:</w:t>
      </w:r>
    </w:p>
    <w:p>
      <w:pPr>
        <w:numPr>
          <w:ilvl w:val="1"/>
          <w:numId w:val="1066"/>
        </w:numPr>
      </w:pPr>
      <w:r>
        <w:rPr>
          <w:i/>
          <w:iCs/>
        </w:rPr>
        <w:t xml:space="preserve">Cubren bienes distintos</w:t>
      </w:r>
      <w:r>
        <w:t xml:space="preserve">: el IPC, la cesta que compran los consumidores (importaciones incluidas); el deflactor, todos los bienes y servicios nuevos, finales y producidos dentro: excluye las importaciones e incluye las exportaciones (aísla el efecto externo), los bienes de inversión y los servicios públicos, que no están en el IPC.</w:t>
      </w:r>
    </w:p>
    <w:p>
      <w:pPr>
        <w:numPr>
          <w:ilvl w:val="1"/>
          <w:numId w:val="1066"/>
        </w:numPr>
      </w:pPr>
      <w:r>
        <w:rPr>
          <w:i/>
          <w:iCs/>
        </w:rPr>
        <w:t xml:space="preserve">Se construyen de forma distinta</w:t>
      </w:r>
      <w:r>
        <w:t xml:space="preserve">: el IPC mantiene la cesta fija (</w:t>
      </w:r>
      <w:r>
        <w:rPr>
          <w:smallCaps/>
        </w:rPr>
        <w:t xml:space="preserve">Laspeyres</w:t>
      </w:r>
      <w:r>
        <w:t xml:space="preserve">) y el deflactor deja que cambie (</w:t>
      </w:r>
      <w:r>
        <w:rPr>
          <w:smallCaps/>
        </w:rPr>
        <w:t xml:space="preserve">Paasche</w:t>
      </w:r>
      <w:r>
        <w:t xml:space="preserve">).</w:t>
      </w:r>
    </w:p>
    <w:p>
      <w:pPr>
        <w:keepNext/>
        <w:numPr>
          <w:ilvl w:val="0"/>
          <w:numId w:val="1065"/>
        </w:numPr>
      </w:pPr>
      <w:r>
        <w:t xml:space="preserve">En la práctica suelen dar resultados parecidos; cuando se separan, dicen algo:</w:t>
      </w:r>
    </w:p>
    <w:p>
      <w:pPr>
        <w:numPr>
          <w:ilvl w:val="1"/>
          <w:numId w:val="1067"/>
        </w:numPr>
      </w:pPr>
      <w:r>
        <w:t xml:space="preserve">IPC que crece</w:t>
      </w:r>
      <w:r>
        <w:t xml:space="preserve"> </w:t>
      </w:r>
      <w:r>
        <w:rPr>
          <w:i/>
          <w:iCs/>
        </w:rPr>
        <w:t xml:space="preserve">más</w:t>
      </w:r>
      <w:r>
        <w:t xml:space="preserve"> </w:t>
      </w:r>
      <w:r>
        <w:t xml:space="preserve">que el deflactor:</w:t>
      </w:r>
      <w:r>
        <w:t xml:space="preserve"> </w:t>
      </w:r>
      <w:r>
        <w:rPr>
          <w:b/>
          <w:bCs/>
        </w:rPr>
        <w:t xml:space="preserve">inflación importada</w:t>
      </w:r>
      <w:r>
        <w:t xml:space="preserve"> </w:t>
      </w:r>
      <w:r>
        <w:t xml:space="preserve">(energía, alimentos, depreciación), porque las importaciones están en el IPC y no en el deflactor;</w:t>
      </w:r>
    </w:p>
    <w:p>
      <w:pPr>
        <w:numPr>
          <w:ilvl w:val="1"/>
          <w:numId w:val="1067"/>
        </w:numPr>
      </w:pPr>
      <w:r>
        <w:t xml:space="preserve">IPC que crece</w:t>
      </w:r>
      <w:r>
        <w:t xml:space="preserve"> </w:t>
      </w:r>
      <w:r>
        <w:rPr>
          <w:i/>
          <w:iCs/>
        </w:rPr>
        <w:t xml:space="preserve">menos</w:t>
      </w:r>
      <w:r>
        <w:t xml:space="preserve">: suben más los precios de lo que el país produce y no consume, como las exportaciones (mejora de la relación real de intercambio, típica de un exportador de materias primas en un auge), los bienes de inversión o los servicios públicos. Ninguno de los 2 índices recoge los precios de los activos financieros.</w:t>
      </w:r>
    </w:p>
    <w:p>
      <w:pPr>
        <w:numPr>
          <w:ilvl w:val="0"/>
          <w:numId w:val="1065"/>
        </w:numPr>
      </w:pPr>
      <w:r>
        <w:t xml:space="preserve">El deflactor aísla el efecto externo, pero refleja peor el poder adquisitivo; por eso el salario real del trabajador se deflacta con el IPC y el coste real para la empresa, con el deflactor.</w:t>
      </w:r>
    </w:p>
    <w:p>
      <w:pPr>
        <w:numPr>
          <w:ilvl w:val="0"/>
          <w:numId w:val="1065"/>
        </w:numPr>
      </w:pPr>
      <w:r>
        <w:t xml:space="preserve">Si los precios de importación crecen más que el IPC, se está importando inflación; si crecen menos, los bienes importados se abaratan frente a los nacionales, lo que resta competitividad a la producción nacional en su propio mercado.</w:t>
      </w:r>
    </w:p>
    <w:bookmarkEnd w:id="116"/>
    <w:bookmarkStart w:id="119" w:name="inflaci__n_subyacente_y_efectos_de_56893"/>
    <w:p>
      <w:pPr>
        <w:pStyle w:val="Heading4"/>
      </w:pPr>
      <w:r>
        <w:t xml:space="preserve">Inflación subyacente y efectos de segunda ronda</w:t>
      </w:r>
    </w:p>
    <w:p>
      <w:pPr>
        <w:numPr>
          <w:ilvl w:val="0"/>
          <w:numId w:val="1068"/>
        </w:numPr>
      </w:pPr>
      <w:r>
        <w:rPr>
          <w:i/>
          <w:iCs/>
        </w:rPr>
        <w:t xml:space="preserve">Por qué hace falta</w:t>
      </w:r>
      <w:r>
        <w:t xml:space="preserve">: comparar el IPC de un periodo con el de otro es una medida rudimentaria de la inflación: no distingue los cambios permanentes de los transitorios, ni la inflación que viene de un componente volátil (la energía) de la que viene del resto de los precios.</w:t>
      </w:r>
    </w:p>
    <w:p>
      <w:pPr>
        <w:numPr>
          <w:ilvl w:val="0"/>
          <w:numId w:val="1068"/>
        </w:numPr>
      </w:pPr>
      <w:r>
        <w:rPr>
          <w:i/>
          <w:iCs/>
        </w:rPr>
        <w:t xml:space="preserve">Qué mide</w:t>
      </w:r>
      <w:r>
        <w:t xml:space="preserve">: la</w:t>
      </w:r>
      <w:r>
        <w:t xml:space="preserve"> </w:t>
      </w:r>
      <w:r>
        <w:rPr>
          <w:b/>
          <w:bCs/>
        </w:rPr>
        <w:t xml:space="preserve">inflación subyacente</w:t>
      </w:r>
      <w:r>
        <w:t xml:space="preserve"> </w:t>
      </w:r>
      <w:r>
        <w:t xml:space="preserve">(</w:t>
      </w:r>
      <w:r>
        <w:rPr>
          <w:i/>
          <w:iCs/>
        </w:rPr>
        <w:t xml:space="preserve">core inflation</w:t>
      </w:r>
      <w:r>
        <w:t xml:space="preserve">) quita de la general los componentes más volátiles para aislar el componente persistente y medir las presiones inflacionistas generales. Sirve para quitar ruido, localizar el origen de la inflación e informar mejor al banco central. Hay 3 tipos de medidas: las que excluyen siempre unos componentes (el INE excluye los alimentos no elaborados y los productos energéticos; Eurostat y el BCE siguen el IAPC sin energía ni alimentos, incluidos alcohol y tabaco), las que excluyen cada periodo los más volátiles (como las medias recortadas) y las que</w:t>
      </w:r>
      <w:r>
        <w:t xml:space="preserve"> </w:t>
      </w:r>
      <w:r>
        <w:rPr>
          <w:i/>
          <w:iCs/>
        </w:rPr>
        <w:t xml:space="preserve">reponderan</w:t>
      </w:r>
      <w:r>
        <w:t xml:space="preserve"> </w:t>
      </w:r>
      <w:r>
        <w:t xml:space="preserve">a la baja los componentes más volátiles. El cuadro puede traer cualquiera: hay que decir cuál se usa.</w:t>
      </w:r>
      <w:r>
        <w:rPr>
          <w:rStyle w:val="FootnoteReference"/>
        </w:rPr>
        <w:footnoteReference w:id="117"/>
      </w:r>
    </w:p>
    <w:p>
      <w:pPr>
        <w:numPr>
          <w:ilvl w:val="0"/>
          <w:numId w:val="1068"/>
        </w:numPr>
      </w:pPr>
      <w:r>
        <w:rPr>
          <w:i/>
          <w:iCs/>
        </w:rPr>
        <w:t xml:space="preserve">Cómo se lee</w:t>
      </w:r>
      <w:r>
        <w:t xml:space="preserve">: sirve para ver si un choque de oferta (energía) se está extendiendo al resto de la cesta. Son los</w:t>
      </w:r>
      <w:r>
        <w:t xml:space="preserve"> </w:t>
      </w:r>
      <w:r>
        <w:rPr>
          <w:b/>
          <w:bCs/>
        </w:rPr>
        <w:t xml:space="preserve">efectos de segunda ronda</w:t>
      </w:r>
      <w:r>
        <w:t xml:space="preserve">: los salarios y los márgenes suben para recuperar lo perdido y alimentan una espiral de precios y salarios</w:t>
      </w:r>
      <w:r>
        <w:t xml:space="preserve"> </w:t>
      </w:r>
      <w:hyperlink r:id="rId118">
        <w:r>
          <w:rPr>
            <w:rStyle w:val="Referenciaatema"/>
          </w:rPr>
          <w:t xml:space="preserve">[ver tema 3.A.41]</w:t>
        </w:r>
      </w:hyperlink>
      <w:r>
        <w:t xml:space="preserve">.</w:t>
      </w:r>
    </w:p>
    <w:bookmarkEnd w:id="119"/>
    <w:bookmarkStart w:id="121" w:name="de_d__nde_viene_la_inflaci__n"/>
    <w:p>
      <w:pPr>
        <w:pStyle w:val="Heading4"/>
      </w:pPr>
      <w:r>
        <w:t xml:space="preserve">De dónde viene la inflación</w:t>
      </w:r>
    </w:p>
    <w:p>
      <w:pPr>
        <w:numPr>
          <w:ilvl w:val="0"/>
          <w:numId w:val="1069"/>
        </w:numPr>
      </w:pPr>
      <w:r>
        <w:t xml:space="preserve">La clasificación sigue el «modelo del triángulo» de</w:t>
      </w:r>
      <w:r>
        <w:t xml:space="preserve"> </w:t>
      </w:r>
      <w:r>
        <w:rPr>
          <w:smallCaps/>
        </w:rPr>
        <w:t xml:space="preserve">Gordon</w:t>
      </w:r>
      <w:r>
        <w:t xml:space="preserve"> </w:t>
      </w:r>
      <w:r>
        <w:t xml:space="preserve">(</w:t>
      </w:r>
      <w:hyperlink w:anchor="ref_Gordon2011Phillips">
        <w:r>
          <w:rPr>
            <w:rStyle w:val="Hyperlink"/>
          </w:rPr>
          <w:t xml:space="preserve">2011</w:t>
        </w:r>
      </w:hyperlink>
      <w:r>
        <w:t xml:space="preserve">)</w:t>
      </w:r>
      <w:r>
        <w:t xml:space="preserve">: la inflación depende de la demanda, de los costes (choques de oferta) y de la inercia</w:t>
      </w:r>
      <w:r>
        <w:t xml:space="preserve"> </w:t>
      </w:r>
      <w:hyperlink r:id="rId118">
        <w:r>
          <w:rPr>
            <w:rStyle w:val="Referenciaatema"/>
          </w:rPr>
          <w:t xml:space="preserve">[ver tema 3.A.41]</w:t>
        </w:r>
      </w:hyperlink>
      <w:r>
        <w:t xml:space="preserve">.</w:t>
      </w:r>
    </w:p>
    <w:p>
      <w:pPr>
        <w:numPr>
          <w:ilvl w:val="0"/>
          <w:numId w:val="1069"/>
        </w:numPr>
      </w:pPr>
      <w:r>
        <w:rPr>
          <w:i/>
          <w:iCs/>
        </w:rPr>
        <w:t xml:space="preserve">De demanda</w:t>
      </w:r>
      <w:r>
        <w:t xml:space="preserve"> </w:t>
      </w:r>
      <w:r>
        <w:t xml:space="preserve">(</w:t>
      </w:r>
      <w:r>
        <w:rPr>
          <w:i/>
          <w:iCs/>
        </w:rPr>
        <w:t xml:space="preserve">demand-pull</w:t>
      </w:r>
      <w:r>
        <w:t xml:space="preserve">): la demanda interna (desagregada por componentes) crece más que el PIB, la brecha de producción es positiva, el crédito y los agregados monetarios crecen con fuerza, hay estímulo fiscal o las expectativas de inflación suben.</w:t>
      </w:r>
    </w:p>
    <w:p>
      <w:pPr>
        <w:numPr>
          <w:ilvl w:val="0"/>
          <w:numId w:val="1069"/>
        </w:numPr>
      </w:pPr>
      <w:r>
        <w:rPr>
          <w:i/>
          <w:iCs/>
        </w:rPr>
        <w:t xml:space="preserve">De costes</w:t>
      </w:r>
      <w:r>
        <w:t xml:space="preserve"> </w:t>
      </w:r>
      <w:r>
        <w:t xml:space="preserve">(</w:t>
      </w:r>
      <w:r>
        <w:rPr>
          <w:i/>
          <w:iCs/>
        </w:rPr>
        <w:t xml:space="preserve">cost-push</w:t>
      </w:r>
      <w:r>
        <w:t xml:space="preserve">): suben los salarios y los CLU (inflación incorporada,</w:t>
      </w:r>
      <w:r>
        <w:t xml:space="preserve"> </w:t>
      </w:r>
      <w:r>
        <w:rPr>
          <w:i/>
          <w:iCs/>
        </w:rPr>
        <w:t xml:space="preserve">built-in</w:t>
      </w:r>
      <w:r>
        <w:t xml:space="preserve">), la energía y las materias primas, o se deprecia la moneda (más cuanto más pesan las importaciones); los márgenes amplios (el excedente bruto de explotación) señalan poca competencia, y los productores que miran al futuro suben precios si esperan más inflación.</w:t>
      </w:r>
    </w:p>
    <w:p>
      <w:pPr>
        <w:numPr>
          <w:ilvl w:val="0"/>
          <w:numId w:val="1069"/>
        </w:numPr>
      </w:pPr>
      <w:r>
        <w:rPr>
          <w:b/>
          <w:bCs/>
        </w:rPr>
        <w:t xml:space="preserve">Efecto base</w:t>
      </w:r>
      <w:r>
        <w:t xml:space="preserve">: la tasa interanual compara con el mismo mes del año anterior; si entonces hubo una subida excepcional, la tasa baja cuando sale de la comparación aunque los precios no bajen. En logaritmos,</w:t>
      </w:r>
      <w:r>
        <w:t xml:space="preserve"> </w:t>
      </w:r>
      <m:oMath>
        <m:sSubSup>
          <m:e>
            <m:r>
              <m:t>π</m:t>
            </m:r>
          </m:e>
          <m:sub>
            <m:r>
              <m:t>t</m:t>
            </m:r>
          </m:sub>
          <m:sup>
            <m:r>
              <m:t>12</m:t>
            </m:r>
          </m:sup>
        </m:sSubSup>
        <m:r>
          <m:rPr>
            <m:sty m:val="p"/>
          </m:rPr>
          <m:t>−</m:t>
        </m:r>
        <m:sSubSup>
          <m:e>
            <m:r>
              <m:t>π</m:t>
            </m:r>
          </m:e>
          <m:sub>
            <m:r>
              <m:t>t</m:t>
            </m:r>
            <m:r>
              <m:rPr>
                <m:sty m:val="p"/>
              </m:rPr>
              <m:t>−</m:t>
            </m:r>
            <m:r>
              <m:t>1</m:t>
            </m:r>
          </m:sub>
          <m:sup>
            <m:r>
              <m:t>12</m:t>
            </m:r>
          </m:sup>
        </m:sSubSup>
        <m:r>
          <m:rPr>
            <m:sty m:val="p"/>
          </m:rPr>
          <m:t>≈</m:t>
        </m:r>
        <m:sSubSup>
          <m:e>
            <m:r>
              <m:t>π</m:t>
            </m:r>
          </m:e>
          <m:sub>
            <m:r>
              <m:t>t</m:t>
            </m:r>
          </m:sub>
          <m:sup>
            <m:r>
              <m:t>m</m:t>
            </m:r>
          </m:sup>
        </m:sSubSup>
        <m:r>
          <m:rPr>
            <m:sty m:val="p"/>
          </m:rPr>
          <m:t>−</m:t>
        </m:r>
        <m:sSubSup>
          <m:e>
            <m:r>
              <m:t>π</m:t>
            </m:r>
          </m:e>
          <m:sub>
            <m:r>
              <m:t>t</m:t>
            </m:r>
            <m:r>
              <m:rPr>
                <m:sty m:val="p"/>
              </m:rPr>
              <m:t>−</m:t>
            </m:r>
            <m:r>
              <m:t>12</m:t>
            </m:r>
          </m:sub>
          <m:sup>
            <m:r>
              <m:t>m</m:t>
            </m:r>
          </m:sup>
        </m:sSubSup>
      </m:oMath>
      <w:r>
        <w:t xml:space="preserve"> </w:t>
      </w:r>
      <w:r>
        <w:t xml:space="preserve">(tasa mensual que entra menos la que sale).</w:t>
      </w:r>
    </w:p>
    <w:p>
      <w:pPr>
        <w:numPr>
          <w:ilvl w:val="0"/>
          <w:numId w:val="1069"/>
        </w:numPr>
      </w:pPr>
      <w:r>
        <w:rPr>
          <w:i/>
          <w:iCs/>
        </w:rPr>
        <w:t xml:space="preserve">¿Transitoria o persistente?</w:t>
      </w:r>
      <w:r>
        <w:t xml:space="preserve"> </w:t>
      </w:r>
      <w:r>
        <w:t xml:space="preserve">Transitoria si se concentra en energía y alimentos con la subyacente contenida, salarios moderados, expectativas ancladas y materias primas que ya bajan. Persistente si la subyacente sube y se generaliza (servicios), los salarios y los márgenes se aceleran, la brecha es positiva, el paro está por debajo de la NAIRU y suben las expectativas. Cómo se explican la resistencia inicial de un brote inflacionista, su cambio de tendencia y la «última milla» de la desinflación está en el anexo </w:t>
      </w:r>
      <w:hyperlink w:anchor="anexo_casos">
        <w:r>
          <w:rPr>
            <w:rStyle w:val="Hyperlink"/>
          </w:rPr>
          <w:t xml:space="preserve">E</w:t>
        </w:r>
      </w:hyperlink>
      <w:r>
        <w:t xml:space="preserve">.</w:t>
      </w:r>
    </w:p>
    <w:p>
      <w:pPr>
        <w:keepNext/>
        <w:numPr>
          <w:ilvl w:val="0"/>
          <w:numId w:val="1069"/>
        </w:numPr>
      </w:pPr>
      <w:r>
        <w:t xml:space="preserve">Si la inflación es alta y persistente, lo natural es endurecer la política monetaria, pero depende del origen:</w:t>
      </w:r>
    </w:p>
    <w:p>
      <w:pPr>
        <w:numPr>
          <w:ilvl w:val="1"/>
          <w:numId w:val="1070"/>
        </w:numPr>
      </w:pPr>
      <w:r>
        <w:rPr>
          <w:i/>
          <w:iCs/>
        </w:rPr>
        <w:t xml:space="preserve">de demanda</w:t>
      </w:r>
      <w:r>
        <w:t xml:space="preserve">: subir tipos, y que la política fiscal no empuje en sentido contrario;</w:t>
      </w:r>
    </w:p>
    <w:p>
      <w:pPr>
        <w:numPr>
          <w:ilvl w:val="1"/>
          <w:numId w:val="1070"/>
        </w:numPr>
      </w:pPr>
      <w:r>
        <w:rPr>
          <w:i/>
          <w:iCs/>
        </w:rPr>
        <w:t xml:space="preserve">de oferta y transitoria</w:t>
      </w:r>
      <w:r>
        <w:t xml:space="preserve">, con expectativas ancladas: el banco central puede «mirar a través» del choque y vigilar los efectos de segunda ronda; si las expectativas se desanclan o la subyacente se contagia, tiene que subir tipos aunque el choque sea de oferta;</w:t>
      </w:r>
    </w:p>
    <w:p>
      <w:pPr>
        <w:numPr>
          <w:ilvl w:val="1"/>
          <w:numId w:val="1070"/>
        </w:numPr>
      </w:pPr>
      <w:r>
        <w:t xml:space="preserve">en una unión monetaria el país no tiene política monetaria propia: le quedan la fiscal y las de oferta.</w:t>
      </w:r>
    </w:p>
    <w:p>
      <w:pPr>
        <w:numPr>
          <w:ilvl w:val="0"/>
          <w:numId w:val="1069"/>
        </w:numPr>
      </w:pPr>
      <w:r>
        <w:rPr>
          <w:i/>
          <w:iCs/>
        </w:rPr>
        <w:t xml:space="preserve">Con deflación</w:t>
      </w:r>
      <w:r>
        <w:t xml:space="preserve">: política monetaria expansiva; si los tipos están en su límite inferior, expectativas, compras de activos y política fiscal expansiva.</w:t>
      </w:r>
    </w:p>
    <w:p>
      <w:pPr>
        <w:numPr>
          <w:ilvl w:val="0"/>
          <w:numId w:val="1069"/>
        </w:numPr>
      </w:pPr>
      <w:r>
        <w:rPr>
          <w:i/>
          <w:iCs/>
        </w:rPr>
        <w:t xml:space="preserve">Siempre</w:t>
      </w:r>
      <w:r>
        <w:t xml:space="preserve">: políticas que aumenten la competencia y reduzcan los márgenes.</w:t>
      </w:r>
    </w:p>
    <w:p>
      <w:pPr>
        <w:numPr>
          <w:ilvl w:val="0"/>
          <w:numId w:val="1069"/>
        </w:numPr>
      </w:pPr>
      <w:r>
        <w:t xml:space="preserve">El BCE combina el análisis económico con el análisis monetario y financiero, con un objetivo simétrico del 2 % a medio plazo</w:t>
      </w:r>
      <w:r>
        <w:t xml:space="preserve"> </w:t>
      </w:r>
      <w:r>
        <w:t xml:space="preserve">(</w:t>
      </w:r>
      <w:hyperlink w:anchor="ref_BCE2025Estrategia">
        <w:r>
          <w:rPr>
            <w:rStyle w:val="Hyperlink"/>
            <w:smallCaps/>
          </w:rPr>
          <w:t xml:space="preserve">Banco Central Europeo</w:t>
        </w:r>
        <w:r>
          <w:rPr>
            <w:rStyle w:val="Hyperlink"/>
          </w:rPr>
          <w:t xml:space="preserve">, 2025b</w:t>
        </w:r>
      </w:hyperlink>
      <w:r>
        <w:t xml:space="preserve">)</w:t>
      </w:r>
      <w:r>
        <w:t xml:space="preserve"> </w:t>
      </w:r>
      <w:hyperlink r:id="rId120">
        <w:r>
          <w:rPr>
            <w:rStyle w:val="Referenciaatema"/>
          </w:rPr>
          <w:t xml:space="preserve">[ver tema 3.A.36]</w:t>
        </w:r>
      </w:hyperlink>
      <w:r>
        <w:t xml:space="preserve">.</w:t>
      </w:r>
    </w:p>
    <w:bookmarkEnd w:id="121"/>
    <w:bookmarkEnd w:id="122"/>
    <w:bookmarkStart w:id="129" w:name="sec_tipo_cambio"/>
    <w:p>
      <w:pPr>
        <w:pStyle w:val="Heading2"/>
      </w:pPr>
      <w:r>
        <w:t xml:space="preserve">III.2.</w:t>
      </w:r>
      <w:r>
        <w:t xml:space="preserve"> </w:t>
      </w:r>
      <w:r>
        <w:t xml:space="preserve">Tipo de cambio</w:t>
      </w:r>
    </w:p>
    <w:p>
      <w:pPr>
        <w:numPr>
          <w:ilvl w:val="0"/>
          <w:numId w:val="1071"/>
        </w:numPr>
      </w:pPr>
      <w:r>
        <w:rPr>
          <w:i/>
          <w:iCs/>
        </w:rPr>
        <w:t xml:space="preserve">Qué mide</w:t>
      </w:r>
      <w:r>
        <w:t xml:space="preserve">: el precio de una moneda en otra; el tipo</w:t>
      </w:r>
      <w:r>
        <w:t xml:space="preserve"> </w:t>
      </w:r>
      <w:r>
        <w:rPr>
          <w:i/>
          <w:iCs/>
        </w:rPr>
        <w:t xml:space="preserve">real</w:t>
      </w:r>
      <w:r>
        <w:t xml:space="preserve"> </w:t>
      </w:r>
      <w:r>
        <w:t xml:space="preserve">mide la competitividad-precio.</w:t>
      </w:r>
    </w:p>
    <w:p>
      <w:pPr>
        <w:keepNext/>
        <w:numPr>
          <w:ilvl w:val="0"/>
          <w:numId w:val="1071"/>
        </w:numPr>
      </w:pPr>
      <w:r>
        <w:rPr>
          <w:i/>
          <w:iCs/>
        </w:rPr>
        <w:t xml:space="preserve">Cómo se calcula</w:t>
      </w:r>
      <w:r>
        <w:t xml:space="preserve"> </w:t>
      </w:r>
      <w:hyperlink r:id="rId123">
        <w:r>
          <w:rPr>
            <w:rStyle w:val="Referenciaatema"/>
          </w:rPr>
          <w:t xml:space="preserve">[ver tema 3.B.13]</w:t>
        </w:r>
      </w:hyperlink>
      <w:r>
        <w:t xml:space="preserve">:</w:t>
      </w:r>
    </w:p>
    <w:p>
      <w:pPr>
        <w:numPr>
          <w:ilvl w:val="1"/>
          <w:numId w:val="1072"/>
        </w:numPr>
      </w:pPr>
      <w:r>
        <w:rPr>
          <w:b/>
          <w:bCs/>
        </w:rPr>
        <w:t xml:space="preserve">nominal bilateral</w:t>
      </w:r>
      <w:r>
        <w:t xml:space="preserve"> </w:t>
      </w:r>
      <m:oMath>
        <m:r>
          <m:t>E</m:t>
        </m:r>
      </m:oMath>
      <w:r>
        <w:t xml:space="preserve">, en convención directa: unidades de moneda nacional por unidad de moneda extranjera; si</w:t>
      </w:r>
      <w:r>
        <w:t xml:space="preserve"> </w:t>
      </w:r>
      <m:oMath>
        <m:r>
          <m:t>E</m:t>
        </m:r>
      </m:oMath>
      <w:r>
        <w:t xml:space="preserve"> </w:t>
      </w:r>
      <w:r>
        <w:t xml:space="preserve">sube, la moneda nacional se</w:t>
      </w:r>
      <w:r>
        <w:t xml:space="preserve"> </w:t>
      </w:r>
      <w:r>
        <w:rPr>
          <w:i/>
          <w:iCs/>
        </w:rPr>
        <w:t xml:space="preserve">deprecia</w:t>
      </w:r>
      <w:r>
        <w:t xml:space="preserve">;</w:t>
      </w:r>
    </w:p>
    <w:p>
      <w:pPr>
        <w:numPr>
          <w:ilvl w:val="1"/>
          <w:numId w:val="1072"/>
        </w:numPr>
      </w:pPr>
      <w:r>
        <w:rPr>
          <w:b/>
          <w:bCs/>
        </w:rPr>
        <w:t xml:space="preserve">efectivo</w:t>
      </w:r>
      <w:r>
        <w:t xml:space="preserve">: media geométrica de los bilaterales ponderada por el comercio con cada socio;</w:t>
      </w:r>
    </w:p>
    <w:p>
      <w:pPr>
        <w:numPr>
          <w:ilvl w:val="1"/>
          <w:numId w:val="1072"/>
        </w:numPr>
      </w:pPr>
      <w:r>
        <w:rPr>
          <w:b/>
          <w:bCs/>
        </w:rPr>
        <w:t xml:space="preserve">real</w:t>
      </w:r>
      <w:r>
        <w:t xml:space="preserve">:</w:t>
      </w:r>
      <w:r>
        <w:t xml:space="preserve"> </w:t>
      </w:r>
      <m:oMath>
        <m:r>
          <m:t>q</m:t>
        </m:r>
        <m:r>
          <m:rPr>
            <m:sty m:val="p"/>
          </m:rPr>
          <m:t>≡</m:t>
        </m:r>
        <m:r>
          <m:t>E</m:t>
        </m:r>
        <m:sSup>
          <m:e>
            <m:r>
              <m:t>P</m:t>
            </m:r>
          </m:e>
          <m:sup>
            <m:r>
              <m:rPr>
                <m:sty m:val="p"/>
              </m:rPr>
              <m:t>*</m:t>
            </m:r>
          </m:sup>
        </m:sSup>
        <m:r>
          <m:rPr>
            <m:sty m:val="p"/>
          </m:rPr>
          <m:t>/</m:t>
        </m:r>
        <m:r>
          <m:t>P</m:t>
        </m:r>
      </m:oMath>
      <w:r>
        <w:t xml:space="preserve">; si sube, la producción nacional se abarata frente a la extranjera y la economía gana competitividad-precio. El efectivo real es</w:t>
      </w:r>
      <w:r>
        <w:t xml:space="preserve"> </w:t>
      </w:r>
      <m:oMath>
        <m:sSup>
          <m:e>
            <m:r>
              <m:t>q</m:t>
            </m:r>
          </m:e>
          <m:sup>
            <m:r>
              <m:t>e</m:t>
            </m:r>
            <m:r>
              <m:t>f</m:t>
            </m:r>
          </m:sup>
        </m:sSup>
        <m:r>
          <m:rPr>
            <m:sty m:val="p"/>
          </m:rPr>
          <m:t>=</m:t>
        </m:r>
        <m:nary>
          <m:naryPr>
            <m:chr m:val="∏"/>
            <m:limLoc m:val="undOvr"/>
            <m:subHide m:val="off"/>
            <m:supHide m:val="on"/>
          </m:naryPr>
          <m:sub>
            <m:r>
              <m:t>i</m:t>
            </m:r>
          </m:sub>
          <m:sup>
            <m:r>
              <m:t>​</m:t>
            </m:r>
          </m:sup>
          <m:e>
            <m:sSup>
              <m:e>
                <m:d>
                  <m:dPr>
                    <m:begChr m:val="("/>
                    <m:sepChr m:val=""/>
                    <m:endChr m:val=")"/>
                    <m:grow/>
                  </m:dPr>
                  <m:e>
                    <m:sSub>
                      <m:e>
                        <m:r>
                          <m:t>E</m:t>
                        </m:r>
                      </m:e>
                      <m:sub>
                        <m:r>
                          <m:t>i</m:t>
                        </m:r>
                      </m:sub>
                    </m:sSub>
                    <m:sSubSup>
                      <m:e>
                        <m:r>
                          <m:t>P</m:t>
                        </m:r>
                      </m:e>
                      <m:sub>
                        <m:r>
                          <m:t>i</m:t>
                        </m:r>
                      </m:sub>
                      <m:sup>
                        <m:r>
                          <m:rPr>
                            <m:sty m:val="p"/>
                          </m:rPr>
                          <m:t>*</m:t>
                        </m:r>
                      </m:sup>
                    </m:sSubSup>
                    <m:r>
                      <m:rPr>
                        <m:sty m:val="p"/>
                      </m:rPr>
                      <m:t>/</m:t>
                    </m:r>
                    <m:r>
                      <m:t>P</m:t>
                    </m:r>
                  </m:e>
                </m:d>
              </m:e>
              <m:sup>
                <m:sSub>
                  <m:e>
                    <m:r>
                      <m:t>ω</m:t>
                    </m:r>
                  </m:e>
                  <m:sub>
                    <m:r>
                      <m:t>i</m:t>
                    </m:r>
                  </m:sub>
                </m:sSub>
              </m:sup>
            </m:sSup>
          </m:e>
        </m:nary>
      </m:oMath>
      <w:r>
        <w:t xml:space="preserve">; con los CLU en lugar de los precios se obtiene la competitividad en costes.</w:t>
      </w:r>
    </w:p>
    <w:p>
      <w:pPr>
        <w:numPr>
          <w:ilvl w:val="0"/>
          <w:numId w:val="1071"/>
        </w:numPr>
      </w:pPr>
      <w:r>
        <w:rPr>
          <w:i/>
          <w:iCs/>
        </w:rPr>
        <w:t xml:space="preserve">Cuidado con las unidades</w:t>
      </w:r>
      <w:r>
        <w:t xml:space="preserve">: el BCE y el Banco de España publican los índices al revés (una subida es una apreciación y una pérdida de competitividad)</w:t>
      </w:r>
      <w:r>
        <w:t xml:space="preserve"> </w:t>
      </w:r>
      <w:hyperlink r:id="rId94">
        <w:r>
          <w:rPr>
            <w:rStyle w:val="Referenciaatema"/>
          </w:rPr>
          <w:t xml:space="preserve">[ver tema 4.A.22]</w:t>
        </w:r>
      </w:hyperlink>
      <w:r>
        <w:t xml:space="preserve">, y el cuadernillo puede traer cualquiera de las 2 convenciones: en 2026 el tribunal tuvo que rectificar las unidades del tipo frente al dólar</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p>
      <w:pPr>
        <w:numPr>
          <w:ilvl w:val="0"/>
          <w:numId w:val="1071"/>
        </w:numPr>
      </w:pPr>
      <w:r>
        <w:rPr>
          <w:i/>
          <w:iCs/>
        </w:rPr>
        <w:t xml:space="preserve">Umbral</w:t>
      </w:r>
      <w:r>
        <w:t xml:space="preserve">: el cuadro de indicadores del procedimiento de desequilibrios alerta con una apreciación real de más del 3 % en 3 años en la zona del euro (10 % fuera)</w:t>
      </w:r>
      <w:r>
        <w:t xml:space="preserve"> </w:t>
      </w:r>
      <w:r>
        <w:t xml:space="preserve">(</w:t>
      </w:r>
      <w:hyperlink w:anchor="ref_CE2025AMR2026">
        <w:r>
          <w:rPr>
            <w:rStyle w:val="Hyperlink"/>
            <w:smallCaps/>
          </w:rPr>
          <w:t xml:space="preserve">Comisión Europea</w:t>
        </w:r>
        <w:r>
          <w:rPr>
            <w:rStyle w:val="Hyperlink"/>
          </w:rPr>
          <w:t xml:space="preserve">, 2025a</w:t>
        </w:r>
      </w:hyperlink>
      <w:r>
        <w:t xml:space="preserve">)</w:t>
      </w:r>
      <w:r>
        <w:t xml:space="preserve">.</w:t>
      </w:r>
    </w:p>
    <w:p>
      <w:pPr>
        <w:numPr>
          <w:ilvl w:val="0"/>
          <w:numId w:val="1071"/>
        </w:numPr>
      </w:pPr>
      <w:r>
        <w:rPr>
          <w:i/>
          <w:iCs/>
        </w:rPr>
        <w:t xml:space="preserve">Cómo se lee</w:t>
      </w:r>
      <w:r>
        <w:t xml:space="preserve">: la competitividad-precio mejora por depreciación nominal o por una inflación menor que la de los socios (devaluación interna).</w:t>
      </w:r>
    </w:p>
    <w:bookmarkStart w:id="124" w:name="traspaso_pass_through"/>
    <w:p>
      <w:pPr>
        <w:pStyle w:val="Heading4"/>
      </w:pPr>
      <w:r>
        <w:t xml:space="preserve">Traspaso (</w:t>
      </w:r>
      <w:r>
        <w:rPr>
          <w:i/>
          <w:iCs/>
        </w:rPr>
        <w:t xml:space="preserve">pass-through</w:t>
      </w:r>
      <w:r>
        <w:t xml:space="preserve">)</w:t>
      </w:r>
    </w:p>
    <w:p>
      <w:pPr>
        <w:numPr>
          <w:ilvl w:val="0"/>
          <w:numId w:val="1073"/>
        </w:numPr>
      </w:pPr>
      <w:r>
        <w:rPr>
          <w:i/>
          <w:iCs/>
        </w:rPr>
        <w:t xml:space="preserve">Qué es</w:t>
      </w:r>
      <w:r>
        <w:t xml:space="preserve">: la parte de una depreciación que pasa a los precios interiores, primero a los de importación y después al IPC. Un traspaso de 0,3 significa que una depreciación del 10 % eleva los precios un 3 %.</w:t>
      </w:r>
    </w:p>
    <w:p>
      <w:pPr>
        <w:numPr>
          <w:ilvl w:val="0"/>
          <w:numId w:val="1073"/>
        </w:numPr>
      </w:pPr>
      <w:r>
        <w:rPr>
          <w:i/>
          <w:iCs/>
        </w:rPr>
        <w:t xml:space="preserve">Cómo se detecta en el cuadro</w:t>
      </w:r>
      <w:r>
        <w:t xml:space="preserve">: comparando la depreciación con la inflación (sobre todo la de los bienes importados y la subyacente) de los años siguientes; si tras una depreciación fuerte la inflación apenas se mueve, el traspaso es bajo.</w:t>
      </w:r>
    </w:p>
    <w:p>
      <w:pPr>
        <w:numPr>
          <w:ilvl w:val="0"/>
          <w:numId w:val="1073"/>
        </w:numPr>
      </w:pPr>
      <w:r>
        <w:rPr>
          <w:i/>
          <w:iCs/>
        </w:rPr>
        <w:t xml:space="preserve">De qué depende</w:t>
      </w:r>
      <w:r>
        <w:t xml:space="preserve">: es mayor con inflación alta y poco creíble, con mucho peso de las importaciones en el consumo, con importaciones facturadas en dólares y en los emergentes</w:t>
      </w:r>
      <w:r>
        <w:t xml:space="preserve"> </w:t>
      </w:r>
      <w:r>
        <w:t xml:space="preserve">(</w:t>
      </w:r>
      <w:hyperlink w:anchor="ref_Taylor2000PassThrough">
        <w:r>
          <w:rPr>
            <w:rStyle w:val="Hyperlink"/>
            <w:smallCaps/>
          </w:rPr>
          <w:t xml:space="preserve">Taylor</w:t>
        </w:r>
        <w:r>
          <w:rPr>
            <w:rStyle w:val="Hyperlink"/>
          </w:rPr>
          <w:t xml:space="preserve">, 2000</w:t>
        </w:r>
      </w:hyperlink>
      <w:r>
        <w:t xml:space="preserve">;</w:t>
      </w:r>
      <w:r>
        <w:t xml:space="preserve"> </w:t>
      </w:r>
      <w:hyperlink w:anchor="ref_CampaGoldberg2005">
        <w:r>
          <w:rPr>
            <w:rStyle w:val="Hyperlink"/>
            <w:smallCaps/>
          </w:rPr>
          <w:t xml:space="preserve">Campa</w:t>
        </w:r>
        <w:r>
          <w:rPr>
            <w:rStyle w:val="Hyperlink"/>
          </w:rPr>
          <w:t xml:space="preserve"> </w:t>
        </w:r>
        <w:r>
          <w:rPr>
            <w:rStyle w:val="Hyperlink"/>
          </w:rPr>
          <w:t xml:space="preserve">y</w:t>
        </w:r>
        <w:r>
          <w:rPr>
            <w:rStyle w:val="Hyperlink"/>
          </w:rPr>
          <w:t xml:space="preserve"> </w:t>
        </w:r>
        <w:r>
          <w:rPr>
            <w:rStyle w:val="Hyperlink"/>
            <w:smallCaps/>
          </w:rPr>
          <w:t xml:space="preserve">Goldberg</w:t>
        </w:r>
        <w:r>
          <w:rPr>
            <w:rStyle w:val="Hyperlink"/>
          </w:rPr>
          <w:t xml:space="preserve">, 2005</w:t>
        </w:r>
      </w:hyperlink>
      <w:r>
        <w:t xml:space="preserve">)</w:t>
      </w:r>
      <w:r>
        <w:t xml:space="preserve">; menor si los exportadores extranjeros absorben la depreciación en sus márgenes, si se espera que sea transitoria y si el banco central es creíble. Con el comercio facturado en dólares, la depreciación encarece las importaciones pero apenas abarata las exportaciones a corto plazo</w:t>
      </w:r>
      <w:r>
        <w:t xml:space="preserve"> </w:t>
      </w:r>
      <w:r>
        <w:t xml:space="preserve">(</w:t>
      </w:r>
      <w:hyperlink w:anchor="ref_Gopinath2020DCP">
        <w:r>
          <w:rPr>
            <w:rStyle w:val="Hyperlink"/>
            <w:smallCaps/>
          </w:rPr>
          <w:t xml:space="preserve">Gopinath</w:t>
        </w:r>
        <w:r>
          <w:rPr>
            <w:rStyle w:val="Hyperlink"/>
          </w:rPr>
          <w:t xml:space="preserve"> </w:t>
        </w:r>
        <w:r>
          <w:rPr>
            <w:rStyle w:val="Hyperlink"/>
          </w:rPr>
          <w:t xml:space="preserve">et al., 2020</w:t>
        </w:r>
      </w:hyperlink>
      <w:r>
        <w:t xml:space="preserve">)</w:t>
      </w:r>
      <w:r>
        <w:t xml:space="preserve">.</w:t>
      </w:r>
    </w:p>
    <w:bookmarkEnd w:id="124"/>
    <w:bookmarkStart w:id="126" w:name="condici__n_de_marshall_lerner_y_curva_j"/>
    <w:p>
      <w:pPr>
        <w:pStyle w:val="Heading4"/>
      </w:pPr>
      <w:r>
        <w:t xml:space="preserve">Condición de</w:t>
      </w:r>
      <w:r>
        <w:t xml:space="preserve"> </w:t>
      </w:r>
      <w:r>
        <w:rPr>
          <w:smallCaps/>
        </w:rPr>
        <w:t xml:space="preserve">Marshall</w:t>
      </w:r>
      <w:r>
        <w:t xml:space="preserve">-</w:t>
      </w:r>
      <w:r>
        <w:rPr>
          <w:smallCaps/>
        </w:rPr>
        <w:t xml:space="preserve">Lerner</w:t>
      </w:r>
      <w:r>
        <w:t xml:space="preserve"> </w:t>
      </w:r>
      <w:r>
        <w:t xml:space="preserve">y curva J</w:t>
      </w:r>
    </w:p>
    <w:p>
      <w:pPr>
        <w:numPr>
          <w:ilvl w:val="0"/>
          <w:numId w:val="1074"/>
        </w:numPr>
      </w:pPr>
      <w:r>
        <w:t xml:space="preserve">Una depreciación real mejora la balanza comercial si, partiendo de comercio equilibrado, la suma de los valores absolutos de las elasticidades-precio de exportaciones e importaciones es mayor que 1</w:t>
      </w:r>
      <w:r>
        <w:t xml:space="preserve"> </w:t>
      </w:r>
      <w:r>
        <w:t xml:space="preserve">(</w:t>
      </w:r>
      <w:hyperlink w:anchor="ref_Marshall1923">
        <w:r>
          <w:rPr>
            <w:rStyle w:val="Hyperlink"/>
            <w:smallCaps/>
          </w:rPr>
          <w:t xml:space="preserve">Marshall</w:t>
        </w:r>
        <w:r>
          <w:rPr>
            <w:rStyle w:val="Hyperlink"/>
          </w:rPr>
          <w:t xml:space="preserve">, 1923</w:t>
        </w:r>
      </w:hyperlink>
      <w:r>
        <w:t xml:space="preserve">;</w:t>
      </w:r>
      <w:r>
        <w:t xml:space="preserve"> </w:t>
      </w:r>
      <w:hyperlink w:anchor="ref_Lerner1944">
        <w:r>
          <w:rPr>
            <w:rStyle w:val="Hyperlink"/>
            <w:smallCaps/>
          </w:rPr>
          <w:t xml:space="preserve">Lerner</w:t>
        </w:r>
        <w:r>
          <w:rPr>
            <w:rStyle w:val="Hyperlink"/>
          </w:rPr>
          <w:t xml:space="preserve">, 1944</w:t>
        </w:r>
      </w:hyperlink>
      <w:r>
        <w:t xml:space="preserve">)</w:t>
      </w:r>
      <w:r>
        <w:t xml:space="preserve">:</w:t>
      </w:r>
    </w:p>
    <w:p>
      <w:pPr>
        <w:pStyle w:val="BodyText"/>
        <w:keepNext/>
      </w:pPr>
      <m:oMathPara>
        <m:oMathParaPr>
          <m:jc m:val="center"/>
        </m:oMathParaPr>
        <m:oMath>
          <m:d>
            <m:dPr>
              <m:begChr m:val="|"/>
              <m:sepChr m:val=""/>
              <m:endChr m:val="|"/>
              <m:grow/>
            </m:dPr>
            <m:e>
              <m:sSub>
                <m:e>
                  <m:r>
                    <m:t>ε</m:t>
                  </m:r>
                </m:e>
                <m:sub>
                  <m:r>
                    <m:t>X</m:t>
                  </m:r>
                  <m:r>
                    <m:rPr>
                      <m:sty m:val="p"/>
                    </m:rPr>
                    <m:t>,</m:t>
                  </m:r>
                  <m:r>
                    <m:t>q</m:t>
                  </m:r>
                </m:sub>
              </m:sSub>
            </m:e>
          </m:d>
          <m:r>
            <m:rPr>
              <m:sty m:val="p"/>
            </m:rPr>
            <m:t>+</m:t>
          </m:r>
          <m:d>
            <m:dPr>
              <m:begChr m:val="|"/>
              <m:sepChr m:val=""/>
              <m:endChr m:val="|"/>
              <m:grow/>
            </m:dPr>
            <m:e>
              <m:sSub>
                <m:e>
                  <m:r>
                    <m:t>ε</m:t>
                  </m:r>
                </m:e>
                <m:sub>
                  <m:r>
                    <m:t>M</m:t>
                  </m:r>
                  <m:r>
                    <m:rPr>
                      <m:sty m:val="p"/>
                    </m:rPr>
                    <m:t>,</m:t>
                  </m:r>
                  <m:r>
                    <m:t>q</m:t>
                  </m:r>
                </m:sub>
              </m:sSub>
            </m:e>
          </m:d>
          <m:r>
            <m:rPr>
              <m:sty m:val="p"/>
            </m:rPr>
            <m:t>&gt;</m:t>
          </m:r>
          <m:r>
            <m:t>1</m:t>
          </m:r>
          <m:r>
            <m:rPr>
              <m:sty m:val="p"/>
            </m:rPr>
            <m:t>.</m:t>
          </m:r>
        </m:oMath>
      </m:oMathPara>
    </w:p>
    <w:p>
      <w:pPr>
        <w:numPr>
          <w:ilvl w:val="0"/>
          <w:numId w:val="1074"/>
        </w:numPr>
      </w:pPr>
      <w:r>
        <w:t xml:space="preserve">A corto plazo las cantidades reaccionan poco y la balanza puede empeorar antes de mejorar: es la</w:t>
      </w:r>
      <w:r>
        <w:t xml:space="preserve"> </w:t>
      </w:r>
      <w:r>
        <w:rPr>
          <w:b/>
          <w:bCs/>
        </w:rPr>
        <w:t xml:space="preserve">curva J</w:t>
      </w:r>
      <w:r>
        <w:t xml:space="preserve"> </w:t>
      </w:r>
      <w:r>
        <w:t xml:space="preserve">(</w:t>
      </w:r>
      <w:hyperlink w:anchor="ref_Magee1973">
        <w:r>
          <w:rPr>
            <w:rStyle w:val="Hyperlink"/>
            <w:smallCaps/>
          </w:rPr>
          <w:t xml:space="preserve">Magee</w:t>
        </w:r>
        <w:r>
          <w:rPr>
            <w:rStyle w:val="Hyperlink"/>
          </w:rPr>
          <w:t xml:space="preserve">, 1973</w:t>
        </w:r>
      </w:hyperlink>
      <w:r>
        <w:t xml:space="preserve">)</w:t>
      </w:r>
      <w:r>
        <w:t xml:space="preserve">.</w:t>
      </w:r>
    </w:p>
    <w:p>
      <w:pPr>
        <w:numPr>
          <w:ilvl w:val="0"/>
          <w:numId w:val="1074"/>
        </w:numPr>
      </w:pPr>
      <w:r>
        <w:rPr>
          <w:i/>
          <w:iCs/>
        </w:rPr>
        <w:t xml:space="preserve">Cómo se comprueba en el cuadro</w:t>
      </w:r>
      <w:r>
        <w:t xml:space="preserve">: si tras una depreciación real el saldo de bienes y servicios mejora en 1 o 2 años, con más volumen exportado y menos importado, la condición parece cumplirse; si empeora de forma persistente, no. Con prudencia: la renta interior y la exterior también cambian</w:t>
      </w:r>
      <w:r>
        <w:t xml:space="preserve"> </w:t>
      </w:r>
      <w:hyperlink r:id="rId125">
        <w:r>
          <w:rPr>
            <w:rStyle w:val="Referenciaatema"/>
          </w:rPr>
          <w:t xml:space="preserve">[ver tema 3.B.12]</w:t>
        </w:r>
      </w:hyperlink>
      <w:r>
        <w:t xml:space="preserve">.</w:t>
      </w:r>
    </w:p>
    <w:bookmarkEnd w:id="126"/>
    <w:bookmarkStart w:id="128" w:name="r__gimen_cambiario_e_intervenci__n"/>
    <w:p>
      <w:pPr>
        <w:pStyle w:val="Heading4"/>
      </w:pPr>
      <w:r>
        <w:t xml:space="preserve">Régimen cambiario e intervención</w:t>
      </w:r>
    </w:p>
    <w:p>
      <w:pPr>
        <w:numPr>
          <w:ilvl w:val="0"/>
          <w:numId w:val="1075"/>
        </w:numPr>
      </w:pPr>
      <w:r>
        <w:rPr>
          <w:i/>
          <w:iCs/>
        </w:rPr>
        <w:t xml:space="preserve">Regímenes</w:t>
      </w:r>
      <w:r>
        <w:t xml:space="preserve">: fijo (o caja de conversión), intermedios (bandas, deslizamiento,</w:t>
      </w:r>
      <w:r>
        <w:t xml:space="preserve"> </w:t>
      </w:r>
      <w:r>
        <w:rPr>
          <w:i/>
          <w:iCs/>
        </w:rPr>
        <w:t xml:space="preserve">flotación sucia</w:t>
      </w:r>
      <w:r>
        <w:t xml:space="preserve">, con intervenciones para suavizar) y flotación libre. Con libertad de capitales, un tipo fijo obliga a renunciar a la política monetaria propia (</w:t>
      </w:r>
      <w:r>
        <w:rPr>
          <w:b/>
          <w:bCs/>
        </w:rPr>
        <w:t xml:space="preserve">trilema</w:t>
      </w:r>
      <w:r>
        <w:t xml:space="preserve">)</w:t>
      </w:r>
      <w:r>
        <w:t xml:space="preserve"> </w:t>
      </w:r>
      <w:hyperlink r:id="rId127">
        <w:r>
          <w:rPr>
            <w:rStyle w:val="Referenciaatema"/>
          </w:rPr>
          <w:t xml:space="preserve">[ver tema 3.B.15]</w:t>
        </w:r>
      </w:hyperlink>
      <w:r>
        <w:t xml:space="preserve">.</w:t>
      </w:r>
    </w:p>
    <w:p>
      <w:pPr>
        <w:numPr>
          <w:ilvl w:val="0"/>
          <w:numId w:val="1075"/>
        </w:numPr>
      </w:pPr>
      <w:r>
        <w:rPr>
          <w:i/>
          <w:iCs/>
        </w:rPr>
        <w:t xml:space="preserve">Cómo se detecta la intervención</w:t>
      </w:r>
      <w:r>
        <w:t xml:space="preserve">: por las reservas. Si caen mientras la moneda se deprecia, el banco central vende divisas para frenarla; si suben mientras se aprecia, las compra. Muchos emergentes que dicen flotar intervienen por</w:t>
      </w:r>
      <w:r>
        <w:t xml:space="preserve"> </w:t>
      </w:r>
      <w:r>
        <w:rPr>
          <w:b/>
          <w:bCs/>
        </w:rPr>
        <w:t xml:space="preserve">miedo a flotar</w:t>
      </w:r>
      <w:r>
        <w:t xml:space="preserve"> </w:t>
      </w:r>
      <w:r>
        <w:t xml:space="preserve">(</w:t>
      </w:r>
      <w:hyperlink w:anchor="ref_CalvoReinhart2002">
        <w:r>
          <w:rPr>
            <w:rStyle w:val="Hyperlink"/>
            <w:smallCaps/>
          </w:rPr>
          <w:t xml:space="preserve">Calvo</w:t>
        </w:r>
        <w:r>
          <w:rPr>
            <w:rStyle w:val="Hyperlink"/>
          </w:rPr>
          <w:t xml:space="preserve"> </w:t>
        </w:r>
        <w:r>
          <w:rPr>
            <w:rStyle w:val="Hyperlink"/>
          </w:rPr>
          <w:t xml:space="preserve">y</w:t>
        </w:r>
        <w:r>
          <w:rPr>
            <w:rStyle w:val="Hyperlink"/>
          </w:rPr>
          <w:t xml:space="preserve"> </w:t>
        </w:r>
        <w:r>
          <w:rPr>
            <w:rStyle w:val="Hyperlink"/>
            <w:smallCaps/>
          </w:rPr>
          <w:t xml:space="preserve">Reinhart</w:t>
        </w:r>
        <w:r>
          <w:rPr>
            <w:rStyle w:val="Hyperlink"/>
          </w:rPr>
          <w:t xml:space="preserve">, 2002</w:t>
        </w:r>
      </w:hyperlink>
      <w:r>
        <w:t xml:space="preserve">)</w:t>
      </w:r>
      <w:r>
        <w:t xml:space="preserve">.</w:t>
      </w:r>
    </w:p>
    <w:p>
      <w:pPr>
        <w:numPr>
          <w:ilvl w:val="0"/>
          <w:numId w:val="1075"/>
        </w:numPr>
      </w:pPr>
      <w:r>
        <w:rPr>
          <w:i/>
          <w:iCs/>
        </w:rPr>
        <w:t xml:space="preserve">Efecto de comprar divisas sobre la inflación</w:t>
      </w:r>
      <w:r>
        <w:t xml:space="preserve">: el banco central las paga con moneda nacional; si no la retira vendiendo bonos (intervención</w:t>
      </w:r>
      <w:r>
        <w:t xml:space="preserve"> </w:t>
      </w:r>
      <w:r>
        <w:rPr>
          <w:i/>
          <w:iCs/>
        </w:rPr>
        <w:t xml:space="preserve">no esterilizada</w:t>
      </w:r>
      <w:r>
        <w:t xml:space="preserve">), aumentan la base monetaria y la presión inflacionista, y además frena la apreciación (más inflación importada). Si esteriliza, neutraliza el efecto monetario a costa de un coste financiero. El nivel adecuado de reservas se ve en el sector exterior (apartado </w:t>
      </w:r>
      <w:hyperlink w:anchor="sec_financiacion">
        <w:r>
          <w:rPr>
            <w:rStyle w:val="Hyperlink"/>
          </w:rPr>
          <w:t xml:space="preserve">IV.2</w:t>
        </w:r>
      </w:hyperlink>
      <w:r>
        <w:t xml:space="preserve">).</w:t>
      </w:r>
    </w:p>
    <w:bookmarkEnd w:id="128"/>
    <w:bookmarkEnd w:id="129"/>
    <w:bookmarkStart w:id="132" w:name="sec_no_precio"/>
    <w:p>
      <w:pPr>
        <w:pStyle w:val="Heading2"/>
      </w:pPr>
      <w:r>
        <w:t xml:space="preserve">III.3.</w:t>
      </w:r>
      <w:r>
        <w:t xml:space="preserve"> </w:t>
      </w:r>
      <w:r>
        <w:t xml:space="preserve">Competitividad no precio y política comercial</w:t>
      </w:r>
    </w:p>
    <w:p>
      <w:pPr>
        <w:numPr>
          <w:ilvl w:val="0"/>
          <w:numId w:val="1076"/>
        </w:numPr>
      </w:pPr>
      <w:r>
        <w:rPr>
          <w:i/>
          <w:iCs/>
        </w:rPr>
        <w:t xml:space="preserve">Qué mide</w:t>
      </w:r>
      <w:r>
        <w:t xml:space="preserve">: la capacidad de vender fuera por razones distintas del precio: calidad, diferenciación e imagen de marca, contenido tecnológico, servicio posventa, diversificación de productos y mercados, número y tamaño de las empresas exportadoras.</w:t>
      </w:r>
    </w:p>
    <w:p>
      <w:pPr>
        <w:numPr>
          <w:ilvl w:val="0"/>
          <w:numId w:val="1076"/>
        </w:numPr>
      </w:pPr>
      <w:r>
        <w:rPr>
          <w:i/>
          <w:iCs/>
        </w:rPr>
        <w:t xml:space="preserve">Cómo se aproxima</w:t>
      </w:r>
      <w:r>
        <w:t xml:space="preserve"> </w:t>
      </w:r>
      <w:r>
        <w:t xml:space="preserve">(casi nunca viene en el cuadro): la</w:t>
      </w:r>
      <w:r>
        <w:t xml:space="preserve"> </w:t>
      </w:r>
      <w:r>
        <w:rPr>
          <w:b/>
          <w:bCs/>
        </w:rPr>
        <w:t xml:space="preserve">cuota de mercado</w:t>
      </w:r>
      <w:r>
        <w:t xml:space="preserve"> </w:t>
      </w:r>
      <w:r>
        <w:t xml:space="preserve">de las exportaciones (si crece aunque el tipo de cambio real se aprecie o los CLU relativos suban, la competitividad no precio es fuerte, como en la paradoja de</w:t>
      </w:r>
      <w:r>
        <w:t xml:space="preserve"> </w:t>
      </w:r>
      <w:r>
        <w:rPr>
          <w:smallCaps/>
        </w:rPr>
        <w:t xml:space="preserve">Kaldor</w:t>
      </w:r>
      <w:r>
        <w:t xml:space="preserve">); exportaciones que crecen más que la demanda de los socios; valores unitarios altos; peso de las manufacturas de tecnología media-alta y de los servicios no turísticos; concentración geográfica y sectorial de las exportaciones.</w:t>
      </w:r>
    </w:p>
    <w:p>
      <w:pPr>
        <w:numPr>
          <w:ilvl w:val="0"/>
          <w:numId w:val="1076"/>
        </w:numPr>
      </w:pPr>
      <w:r>
        <w:rPr>
          <w:i/>
          <w:iCs/>
        </w:rPr>
        <w:t xml:space="preserve">Umbral</w:t>
      </w:r>
      <w:r>
        <w:t xml:space="preserve">: el cuadro de indicadores del procedimiento de desequilibrios alerta si los resultados de exportación caen más del 3 % en 3 años frente a las economías avanzadas</w:t>
      </w:r>
      <w:r>
        <w:t xml:space="preserve"> </w:t>
      </w:r>
      <w:r>
        <w:t xml:space="preserve">(</w:t>
      </w:r>
      <w:hyperlink w:anchor="ref_CE2025AMR2026">
        <w:r>
          <w:rPr>
            <w:rStyle w:val="Hyperlink"/>
            <w:smallCaps/>
          </w:rPr>
          <w:t xml:space="preserve">Comisión Europea</w:t>
        </w:r>
        <w:r>
          <w:rPr>
            <w:rStyle w:val="Hyperlink"/>
          </w:rPr>
          <w:t xml:space="preserve">, 2025a</w:t>
        </w:r>
      </w:hyperlink>
      <w:r>
        <w:t xml:space="preserve">)</w:t>
      </w:r>
      <w:r>
        <w:t xml:space="preserve">.</w:t>
      </w:r>
    </w:p>
    <w:p>
      <w:pPr>
        <w:numPr>
          <w:ilvl w:val="0"/>
          <w:numId w:val="1076"/>
        </w:numPr>
      </w:pPr>
      <w:r>
        <w:rPr>
          <w:i/>
          <w:iCs/>
        </w:rPr>
        <w:t xml:space="preserve">Cómo se lee</w:t>
      </w:r>
      <w:r>
        <w:t xml:space="preserve">: un país que pierde cuota sin perder competitividad-precio tiene un problema de oferta exportadora (especialización poco dinámica, empresas pequeñas, poca innovación) o de mercados de destino.</w:t>
      </w:r>
    </w:p>
    <w:p>
      <w:pPr>
        <w:numPr>
          <w:ilvl w:val="0"/>
          <w:numId w:val="1076"/>
        </w:numPr>
      </w:pPr>
      <w:r>
        <w:rPr>
          <w:i/>
          <w:iCs/>
        </w:rPr>
        <w:t xml:space="preserve">Recomendaciones</w:t>
      </w:r>
      <w:r>
        <w:t xml:space="preserve">: I+D e innovación, más tamaño empresarial, diversificación de mercados, promoción comercial (red de oficinas comerciales, agencia de promoción de exportaciones, financiación y seguro de crédito a la exportación) y nuevos acuerdos comerciales</w:t>
      </w:r>
      <w:r>
        <w:t xml:space="preserve"> </w:t>
      </w:r>
      <w:hyperlink r:id="rId130">
        <w:r>
          <w:rPr>
            <w:rStyle w:val="Referenciaatema"/>
          </w:rPr>
          <w:t xml:space="preserve">[ver tema 3.B.6]</w:t>
        </w:r>
      </w:hyperlink>
      <w:r>
        <w:t xml:space="preserve"> </w:t>
      </w:r>
      <w:hyperlink r:id="rId94">
        <w:r>
          <w:rPr>
            <w:rStyle w:val="Referenciaatema"/>
          </w:rPr>
          <w:t xml:space="preserve">[ver tema 4.A.22]</w:t>
        </w:r>
      </w:hyperlink>
      <w:r>
        <w:t xml:space="preserve">.</w:t>
      </w:r>
    </w:p>
    <w:bookmarkStart w:id="131" w:name="aranceles_y_fragmentaci__n_del_comercio"/>
    <w:p>
      <w:pPr>
        <w:pStyle w:val="Heading4"/>
      </w:pPr>
      <w:r>
        <w:t xml:space="preserve">Aranceles y fragmentación del comercio</w:t>
      </w:r>
    </w:p>
    <w:p>
      <w:pPr>
        <w:numPr>
          <w:ilvl w:val="0"/>
          <w:numId w:val="1077"/>
        </w:numPr>
      </w:pPr>
      <w:r>
        <w:t xml:space="preserve">Cómo se mide la protección y qué efecto tienen sobre el país los aranceles de un tercero (directo, por las cadenas de valor, por la desviación de comercio, la incertidumbre y el tipo de cambio) está en el anexo </w:t>
      </w:r>
      <w:hyperlink w:anchor="anexo_casos">
        <w:r>
          <w:rPr>
            <w:rStyle w:val="Hyperlink"/>
          </w:rPr>
          <w:t xml:space="preserve">E</w:t>
        </w:r>
      </w:hyperlink>
      <w:r>
        <w:t xml:space="preserve">.</w:t>
      </w:r>
    </w:p>
    <w:p>
      <w:pPr>
        <w:numPr>
          <w:ilvl w:val="0"/>
          <w:numId w:val="1078"/>
        </w:numPr>
      </w:pPr>
      <w:r>
        <w:rPr>
          <w:i/>
          <w:iCs/>
        </w:rPr>
        <w:t xml:space="preserve">Recapitulación</w:t>
      </w:r>
      <w:r>
        <w:t xml:space="preserve">: la competitividad precio se lee con la inflación (de dónde viene y si persiste), los CLU y el tipo de cambio real (con cuidado con la convención); la no precio, con las cuotas de exportación. Las 2 se reflejan en el saldo exterior, que es el bloque siguiente.</w:t>
      </w:r>
    </w:p>
    <w:bookmarkEnd w:id="131"/>
    <w:bookmarkEnd w:id="132"/>
    <w:bookmarkEnd w:id="133"/>
    <w:bookmarkStart w:id="150" w:name="sec_exterior"/>
    <w:p>
      <w:pPr>
        <w:pStyle w:val="Heading1"/>
      </w:pPr>
      <w:r>
        <w:t xml:space="preserve">IV.</w:t>
      </w:r>
      <w:r>
        <w:t xml:space="preserve"> </w:t>
      </w:r>
      <w:r>
        <w:t xml:space="preserve">Sector exterior</w:t>
      </w:r>
    </w:p>
    <w:p>
      <w:pPr>
        <w:numPr>
          <w:ilvl w:val="0"/>
          <w:numId w:val="1079"/>
        </w:numPr>
      </w:pPr>
      <w:r>
        <w:t xml:space="preserve">La conclusión por adelantado: el sector exterior se analiza en 4 preguntas encadenadas: ¿hay capacidad o necesidad de financiación y por qué?, ¿cómo se financia?, ¿qué posición acumula el país frente al exterior? y ¿es sostenible? Ser deudor no es malo en sí: lo que importa es la sostenibilidad (enfoque intertemporal,</w:t>
      </w:r>
      <w:r>
        <w:t xml:space="preserve"> </w:t>
      </w:r>
      <w:hyperlink r:id="rId125">
        <w:r>
          <w:rPr>
            <w:rStyle w:val="Referenciaatema"/>
          </w:rPr>
          <w:t xml:space="preserve">[ver tema 3.B.12]</w:t>
        </w:r>
      </w:hyperlink>
      <w:r>
        <w:t xml:space="preserve">).</w:t>
      </w:r>
    </w:p>
    <w:p>
      <w:pPr>
        <w:numPr>
          <w:ilvl w:val="0"/>
          <w:numId w:val="1079"/>
        </w:numPr>
      </w:pPr>
      <w:r>
        <w:t xml:space="preserve">Los desequilibrios externos suelen ser síntoma de desequilibrios internos (exceso de gasto, poco ahorro, pérdida de competitividad).</w:t>
      </w:r>
    </w:p>
    <w:p>
      <w:pPr>
        <w:pStyle w:val="Ideaclave"/>
        <w:keepLines/>
      </w:pPr>
      <w:r>
        <w:rPr>
          <w:b/>
          <w:bCs/>
        </w:rPr>
        <w:t xml:space="preserve">Qué hay que contestar</w:t>
      </w:r>
      <w:r>
        <w:t xml:space="preserve">: ¿hay capacidad o necesidad de financiación y de qué subcuenta viene? ¿Es un problema de ahorro o de inversión, del sector público o del privado? ¿Cómo se financia? ¿Es sostenible la posición exterior?</w:t>
      </w:r>
    </w:p>
    <w:p>
      <w:pPr>
        <w:pStyle w:val="Notaalopositor"/>
        <w:keepLines/>
      </w:pPr>
      <w:r>
        <w:rPr>
          <w:b/>
          <w:bCs/>
        </w:rPr>
        <w:t xml:space="preserve">Nota al opositor. </w:t>
      </w:r>
      <w:r>
        <w:t xml:space="preserve">El sector exterior ha caído en todos los dictámenes</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Además del análisis por subcuentas, el tribunal ha pedido los determinantes de las exportaciones (2016 y 2019), el cambio de los saldos sectoriales antes y después de una crisis (2018), la volatilidad de la capacidad de financiación (2023), la adecuación de las reservas (2021 y 2024), el efecto valoración de la PIIN (2016 y 2018), por qué mejora la PIIN con cuenta financiera negativa (2018), las causas de un déficit permanente (2022) y los desequilibrios que llevaron a una crisis exterior (2021).</w:t>
      </w:r>
    </w:p>
    <w:bookmarkStart w:id="143" w:name="sec_cuenta_corriente"/>
    <w:p>
      <w:pPr>
        <w:pStyle w:val="Heading2"/>
      </w:pPr>
      <w:r>
        <w:t xml:space="preserve">IV.1.</w:t>
      </w:r>
      <w:r>
        <w:t xml:space="preserve"> </w:t>
      </w:r>
      <w:r>
        <w:t xml:space="preserve">Capacidad o necesidad de financiación</w:t>
      </w:r>
    </w:p>
    <w:bookmarkStart w:id="136" w:name="la_balanza_de_pagos"/>
    <w:p>
      <w:pPr>
        <w:pStyle w:val="Heading4"/>
      </w:pPr>
      <w:r>
        <w:t xml:space="preserve">La balanza de pagos</w:t>
      </w:r>
    </w:p>
    <w:p>
      <w:pPr>
        <w:numPr>
          <w:ilvl w:val="0"/>
          <w:numId w:val="1080"/>
        </w:numPr>
      </w:pPr>
      <w:r>
        <w:rPr>
          <w:i/>
          <w:iCs/>
        </w:rPr>
        <w:t xml:space="preserve">Qué es</w:t>
      </w:r>
      <w:r>
        <w:t xml:space="preserve">: el registro de las transacciones de los residentes con el resto del mundo en un periodo. Es una variable</w:t>
      </w:r>
      <w:r>
        <w:t xml:space="preserve"> </w:t>
      </w:r>
      <w:r>
        <w:rPr>
          <w:i/>
          <w:iCs/>
        </w:rPr>
        <w:t xml:space="preserve">nominal</w:t>
      </w:r>
      <w:r>
        <w:t xml:space="preserve"> </w:t>
      </w:r>
      <w:r>
        <w:t xml:space="preserve">(no se compara con variables reales) y está equilibrada en conjunto, aunque sus subcuentas no.</w:t>
      </w:r>
    </w:p>
    <w:p>
      <w:pPr>
        <w:numPr>
          <w:ilvl w:val="0"/>
          <w:numId w:val="1080"/>
        </w:numPr>
      </w:pPr>
      <w:r>
        <w:rPr>
          <w:i/>
          <w:iCs/>
        </w:rPr>
        <w:t xml:space="preserve">La identidad, desarrollada</w:t>
      </w:r>
      <w:r>
        <w:t xml:space="preserve"> </w:t>
      </w:r>
      <w:r>
        <w:t xml:space="preserve">(MBP6,</w:t>
      </w:r>
      <w:r>
        <w:t xml:space="preserve"> </w:t>
      </w:r>
      <w:hyperlink r:id="rId42">
        <w:r>
          <w:rPr>
            <w:rStyle w:val="Referenciaatema"/>
          </w:rPr>
          <w:t xml:space="preserve">[ver tema 3.B.11]</w:t>
        </w:r>
      </w:hyperlink>
      <w:r>
        <w:t xml:space="preserve">):</w:t>
      </w:r>
      <w:r>
        <w:rPr>
          <w:rStyle w:val="FootnoteReference"/>
        </w:rPr>
        <w:footnoteReference w:id="134"/>
      </w:r>
    </w:p>
    <w:bookmarkStart w:id="135" w:name="eq_identidad_bp"/>
    <w:bookmarkEnd w:id="135"/>
    <w:p>
      <w:pPr>
        <w:pStyle w:val="Funcionclave"/>
        <w:keepLines/>
      </w:pPr>
      <m:oMathPara>
        <m:oMathParaPr>
          <m:jc m:val="center"/>
        </m:oMathParaPr>
        <m:oMath>
          <m:limLow>
            <m:e>
              <m:limLow>
                <m:e>
                  <m:limUpp>
                    <m:e>
                      <m:groupChr>
                        <m:groupChrPr>
                          <m:chr m:val="⏞"/>
                          <m:pos m:val="top"/>
                          <m:vertJc m:val="bot"/>
                        </m:groupChrPr>
                        <m:e>
                          <m:d>
                            <m:dPr>
                              <m:begChr m:val="("/>
                              <m:sepChr m:val=""/>
                              <m:endChr m:val=")"/>
                              <m:grow/>
                            </m:dPr>
                            <m:e>
                              <m:r>
                                <m:t>X</m:t>
                              </m:r>
                              <m:r>
                                <m:rPr>
                                  <m:sty m:val="p"/>
                                </m:rPr>
                                <m:t>−</m:t>
                              </m:r>
                              <m:r>
                                <m:t>M</m:t>
                              </m:r>
                            </m:e>
                          </m:d>
                          <m:r>
                            <m:rPr>
                              <m:sty m:val="p"/>
                            </m:rPr>
                            <m:t>+</m:t>
                          </m:r>
                          <m:r>
                            <m:rPr>
                              <m:sty m:val="p"/>
                            </m:rPr>
                            <m:t>R</m:t>
                          </m:r>
                          <m:r>
                            <m:rPr>
                              <m:sty m:val="p"/>
                            </m:rPr>
                            <m:t>P</m:t>
                          </m:r>
                          <m:r>
                            <m:rPr>
                              <m:sty m:val="p"/>
                            </m:rPr>
                            <m:t>+</m:t>
                          </m:r>
                          <m:r>
                            <m:rPr>
                              <m:sty m:val="p"/>
                            </m:rPr>
                            <m:t>R</m:t>
                          </m:r>
                          <m:r>
                            <m:rPr>
                              <m:sty m:val="p"/>
                            </m:rPr>
                            <m:t>S</m:t>
                          </m:r>
                        </m:e>
                      </m:groupChr>
                    </m:e>
                    <m:lim>
                      <m:r>
                        <m:rPr>
                          <m:sty m:val="p"/>
                        </m:rPr>
                        <m:t>C</m:t>
                      </m:r>
                      <m:r>
                        <m:rPr>
                          <m:sty m:val="p"/>
                        </m:rPr>
                        <m:t>C</m:t>
                      </m:r>
                      <m:r>
                        <m:rPr>
                          <m:nor/>
                          <m:sty m:val="p"/>
                        </m:rPr>
                        <m:t>: cuenta corriente</m:t>
                      </m:r>
                    </m:lim>
                  </m:limUpp>
                  <m:r>
                    <m:rPr>
                      <m:sty m:val="p"/>
                    </m:rPr>
                    <m:t>+</m:t>
                  </m:r>
                  <m:limUpp>
                    <m:e>
                      <m:groupChr>
                        <m:groupChrPr>
                          <m:chr m:val="⏞"/>
                          <m:pos m:val="top"/>
                          <m:vertJc m:val="bot"/>
                        </m:groupChrPr>
                        <m:e>
                          <m:r>
                            <m:rPr>
                              <m:sty m:val="p"/>
                            </m:rPr>
                            <m:t>C</m:t>
                          </m:r>
                          <m:r>
                            <m:rPr>
                              <m:sty m:val="p"/>
                            </m:rPr>
                            <m:t>K</m:t>
                          </m:r>
                        </m:e>
                      </m:groupChr>
                    </m:e>
                    <m:lim>
                      <m:r>
                        <m:rPr>
                          <m:nor/>
                          <m:sty m:val="p"/>
                        </m:rPr>
                        <m:t>c. de capital</m:t>
                      </m:r>
                    </m:lim>
                  </m:limUpp>
                </m:e>
                <m:lim>
                  <m:r>
                    <m:rPr>
                      <m:sty m:val="p"/>
                    </m:rPr>
                    <m:t>⏟</m:t>
                  </m:r>
                </m:lim>
              </m:limLow>
            </m:e>
            <m:lim>
              <m:r>
                <m:rPr>
                  <m:nor/>
                  <m:sty m:val="p"/>
                </m:rPr>
                <m:t>capacidad </m:t>
              </m:r>
              <m:d>
                <m:dPr>
                  <m:begChr m:val="("/>
                  <m:sepChr m:val=""/>
                  <m:endChr m:val=")"/>
                  <m:grow/>
                </m:dPr>
                <m:e>
                  <m:r>
                    <m:rPr>
                      <m:sty m:val="p"/>
                    </m:rPr>
                    <m:t>+</m:t>
                  </m:r>
                </m:e>
              </m:d>
              <m:r>
                <m:rPr>
                  <m:nor/>
                  <m:sty m:val="p"/>
                </m:rPr>
                <m:t> o necesidad </m:t>
              </m:r>
              <m:d>
                <m:dPr>
                  <m:begChr m:val="("/>
                  <m:sepChr m:val=""/>
                  <m:endChr m:val=")"/>
                  <m:grow/>
                </m:dPr>
                <m:e>
                  <m:r>
                    <m:rPr>
                      <m:sty m:val="p"/>
                    </m:rPr>
                    <m:t>−</m:t>
                  </m:r>
                </m:e>
              </m:d>
              <m:r>
                <m:rPr>
                  <m:nor/>
                  <m:sty m:val="p"/>
                </m:rPr>
                <m:t> de financiación</m:t>
              </m:r>
            </m:lim>
          </m:limLow>
          <m:r>
            <m:rPr>
              <m:sty m:val="p"/>
            </m:rPr>
            <m:t>+</m:t>
          </m:r>
          <m:limUpp>
            <m:e>
              <m:groupChr>
                <m:groupChrPr>
                  <m:chr m:val="⏞"/>
                  <m:pos m:val="top"/>
                  <m:vertJc m:val="bot"/>
                </m:groupChrPr>
                <m:e>
                  <m:r>
                    <m:rPr>
                      <m:sty m:val="p"/>
                    </m:rPr>
                    <m:t>E</m:t>
                  </m:r>
                  <m:r>
                    <m:rPr>
                      <m:sty m:val="p"/>
                    </m:rPr>
                    <m:t>O</m:t>
                  </m:r>
                </m:e>
              </m:groupChr>
            </m:e>
            <m:lim>
              <m:r>
                <m:rPr>
                  <m:nor/>
                  <m:sty m:val="p"/>
                </m:rPr>
                <m:t>errores y omisiones</m:t>
              </m:r>
            </m:lim>
          </m:limUpp>
          <m:r>
            <m:rPr>
              <m:sty m:val="p"/>
            </m:rPr>
            <m:t>=</m:t>
          </m:r>
          <m:limUpp>
            <m:e>
              <m:groupChr>
                <m:groupChrPr>
                  <m:chr m:val="⏞"/>
                  <m:pos m:val="top"/>
                  <m:vertJc m:val="bot"/>
                </m:groupChrPr>
                <m:e>
                  <m:r>
                    <m:rPr>
                      <m:sty m:val="p"/>
                    </m:rPr>
                    <m:t>C</m:t>
                  </m:r>
                  <m:r>
                    <m:rPr>
                      <m:sty m:val="p"/>
                    </m:rPr>
                    <m:t>F</m:t>
                  </m:r>
                </m:e>
              </m:groupChr>
            </m:e>
            <m:lim>
              <m:r>
                <m:rPr>
                  <m:nor/>
                  <m:sty m:val="p"/>
                </m:rPr>
                <m:t>c. financiera</m:t>
              </m:r>
            </m:lim>
          </m:limUpp>
          <m:r>
            <m:rPr>
              <m:sty m:val="p"/>
            </m:rPr>
            <m:t>=</m:t>
          </m:r>
          <m:limLow>
            <m:e>
              <m:limLow>
                <m:e>
                  <m:r>
                    <m:rPr>
                      <m:sty m:val="p"/>
                    </m:rPr>
                    <m:t>I</m:t>
                  </m:r>
                  <m:r>
                    <m:rPr>
                      <m:sty m:val="p"/>
                    </m:rPr>
                    <m:t>D</m:t>
                  </m:r>
                  <m:r>
                    <m:rPr>
                      <m:sty m:val="p"/>
                    </m:rPr>
                    <m:t>+</m:t>
                  </m:r>
                  <m:r>
                    <m:rPr>
                      <m:sty m:val="p"/>
                    </m:rPr>
                    <m:t>I</m:t>
                  </m:r>
                  <m:r>
                    <m:rPr>
                      <m:sty m:val="p"/>
                    </m:rPr>
                    <m:t>C</m:t>
                  </m:r>
                  <m:r>
                    <m:rPr>
                      <m:sty m:val="p"/>
                    </m:rPr>
                    <m:t>+</m:t>
                  </m:r>
                  <m:r>
                    <m:rPr>
                      <m:sty m:val="p"/>
                    </m:rPr>
                    <m:t>D</m:t>
                  </m:r>
                  <m:r>
                    <m:rPr>
                      <m:sty m:val="p"/>
                    </m:rPr>
                    <m:t>+</m:t>
                  </m:r>
                  <m:r>
                    <m:rPr>
                      <m:sty m:val="p"/>
                    </m:rPr>
                    <m:t>O</m:t>
                  </m:r>
                  <m:r>
                    <m:rPr>
                      <m:sty m:val="p"/>
                    </m:rPr>
                    <m:t>I</m:t>
                  </m:r>
                  <m:r>
                    <m:rPr>
                      <m:sty m:val="p"/>
                    </m:rPr>
                    <m:t>+</m:t>
                  </m:r>
                  <m:r>
                    <m:t>Δ</m:t>
                  </m:r>
                  <m:r>
                    <m:t>R</m:t>
                  </m:r>
                </m:e>
                <m:lim>
                  <m:r>
                    <m:rPr>
                      <m:sty m:val="p"/>
                    </m:rPr>
                    <m:t>⏟</m:t>
                  </m:r>
                </m:lim>
              </m:limLow>
            </m:e>
            <m:lim>
              <m:r>
                <m:rPr>
                  <m:nor/>
                  <m:sty m:val="p"/>
                </m:rPr>
                <m:t>por instrumentos</m:t>
              </m:r>
            </m:lim>
          </m:limLow>
        </m:oMath>
      </m:oMathPara>
    </w:p>
    <w:p>
      <w:pPr>
        <w:numPr>
          <w:ilvl w:val="0"/>
          <w:numId w:val="1000"/>
        </w:numPr>
      </w:pPr>
      <w:r>
        <w:t xml:space="preserve">y la cuenta corriente, a su vez, es</w:t>
      </w:r>
    </w:p>
    <w:p>
      <w:pPr>
        <w:pStyle w:val="Funcionclave"/>
        <w:keepLines/>
      </w:pPr>
      <m:oMathPara>
        <m:oMathParaPr>
          <m:jc m:val="center"/>
        </m:oMathParaPr>
        <m:oMath>
          <m:r>
            <m:rPr>
              <m:sty m:val="p"/>
            </m:rPr>
            <m:t>C</m:t>
          </m:r>
          <m:r>
            <m:rPr>
              <m:sty m:val="p"/>
            </m:rPr>
            <m:t>C</m:t>
          </m:r>
          <m:r>
            <m:rPr>
              <m:sty m:val="p"/>
            </m:rPr>
            <m:t>=</m:t>
          </m:r>
          <m:limLow>
            <m:e>
              <m:limLow>
                <m:e>
                  <m:d>
                    <m:dPr>
                      <m:begChr m:val="("/>
                      <m:sepChr m:val=""/>
                      <m:endChr m:val=")"/>
                      <m:grow/>
                    </m:dPr>
                    <m:e>
                      <m:r>
                        <m:t>X</m:t>
                      </m:r>
                      <m:r>
                        <m:rPr>
                          <m:sty m:val="p"/>
                        </m:rPr>
                        <m:t>−</m:t>
                      </m:r>
                      <m:r>
                        <m:t>M</m:t>
                      </m:r>
                    </m:e>
                  </m:d>
                </m:e>
                <m:lim>
                  <m:r>
                    <m:rPr>
                      <m:sty m:val="p"/>
                    </m:rPr>
                    <m:t>⏟</m:t>
                  </m:r>
                </m:lim>
              </m:limLow>
            </m:e>
            <m:lim>
              <m:r>
                <m:rPr>
                  <m:nor/>
                  <m:sty m:val="p"/>
                </m:rPr>
                <m:t>bienes y serv.</m:t>
              </m:r>
            </m:lim>
          </m:limLow>
          <m:r>
            <m:rPr>
              <m:sty m:val="p"/>
            </m:rPr>
            <m:t>+</m:t>
          </m:r>
          <m:limLow>
            <m:e>
              <m:limLow>
                <m:e>
                  <m:r>
                    <m:rPr>
                      <m:sty m:val="p"/>
                    </m:rPr>
                    <m:t>R</m:t>
                  </m:r>
                  <m:r>
                    <m:rPr>
                      <m:sty m:val="p"/>
                    </m:rPr>
                    <m:t>P</m:t>
                  </m:r>
                  <m:r>
                    <m:rPr>
                      <m:sty m:val="p"/>
                    </m:rPr>
                    <m:t>+</m:t>
                  </m:r>
                  <m:r>
                    <m:rPr>
                      <m:sty m:val="p"/>
                    </m:rPr>
                    <m:t>R</m:t>
                  </m:r>
                  <m:r>
                    <m:rPr>
                      <m:sty m:val="p"/>
                    </m:rPr>
                    <m:t>S</m:t>
                  </m:r>
                </m:e>
                <m:lim>
                  <m:r>
                    <m:rPr>
                      <m:sty m:val="p"/>
                    </m:rPr>
                    <m:t>⏟</m:t>
                  </m:r>
                </m:lim>
              </m:limLow>
            </m:e>
            <m:lim>
              <m:r>
                <m:rPr>
                  <m:nor/>
                  <m:sty m:val="p"/>
                </m:rPr>
                <m:t>rentas</m:t>
              </m:r>
            </m:lim>
          </m:limLow>
          <m:r>
            <m:rPr>
              <m:sty m:val="p"/>
            </m:rPr>
            <m:t>=</m:t>
          </m:r>
          <m:limLow>
            <m:e>
              <m:limLow>
                <m:e>
                  <m:d>
                    <m:dPr>
                      <m:begChr m:val="("/>
                      <m:sepChr m:val=""/>
                      <m:endChr m:val=")"/>
                      <m:grow/>
                    </m:dPr>
                    <m:e>
                      <m:r>
                        <m:t>Y</m:t>
                      </m:r>
                      <m:r>
                        <m:rPr>
                          <m:sty m:val="p"/>
                        </m:rPr>
                        <m:t>−</m:t>
                      </m:r>
                      <m:r>
                        <m:t>A</m:t>
                      </m:r>
                    </m:e>
                  </m:d>
                </m:e>
                <m:lim>
                  <m:r>
                    <m:rPr>
                      <m:sty m:val="p"/>
                    </m:rPr>
                    <m:t>⏟</m:t>
                  </m:r>
                </m:lim>
              </m:limLow>
            </m:e>
            <m:lim>
              <m:r>
                <m:rPr>
                  <m:nor/>
                  <m:sty m:val="p"/>
                </m:rPr>
                <m:t>renta</m:t>
              </m:r>
              <m:r>
                <m:rPr>
                  <m:sty m:val="p"/>
                </m:rPr>
                <m:t>−</m:t>
              </m:r>
              <m:r>
                <m:rPr>
                  <m:nor/>
                  <m:sty m:val="p"/>
                </m:rPr>
                <m:t>absorción</m:t>
              </m:r>
            </m:lim>
          </m:limLow>
          <m:r>
            <m:rPr>
              <m:sty m:val="p"/>
            </m:rPr>
            <m:t>+</m:t>
          </m:r>
          <m:r>
            <m:rPr>
              <m:sty m:val="p"/>
            </m:rPr>
            <m:t>R</m:t>
          </m:r>
          <m:r>
            <m:rPr>
              <m:sty m:val="p"/>
            </m:rPr>
            <m:t>P</m:t>
          </m:r>
          <m:r>
            <m:rPr>
              <m:sty m:val="p"/>
            </m:rPr>
            <m:t>+</m:t>
          </m:r>
          <m:r>
            <m:rPr>
              <m:sty m:val="p"/>
            </m:rPr>
            <m:t>R</m:t>
          </m:r>
          <m:r>
            <m:rPr>
              <m:sty m:val="p"/>
            </m:rPr>
            <m:t>S</m:t>
          </m:r>
          <m:r>
            <m:rPr>
              <m:sty m:val="p"/>
            </m:rPr>
            <m:t>=</m:t>
          </m:r>
          <m:limLow>
            <m:e>
              <m:limLow>
                <m:e>
                  <m:r>
                    <m:t>S</m:t>
                  </m:r>
                  <m:r>
                    <m:rPr>
                      <m:sty m:val="p"/>
                    </m:rPr>
                    <m:t>−</m:t>
                  </m:r>
                  <m:r>
                    <m:t>I</m:t>
                  </m:r>
                </m:e>
                <m:lim>
                  <m:r>
                    <m:rPr>
                      <m:sty m:val="p"/>
                    </m:rPr>
                    <m:t>⏟</m:t>
                  </m:r>
                </m:lim>
              </m:limLow>
            </m:e>
            <m:lim>
              <m:r>
                <m:rPr>
                  <m:nor/>
                  <m:sty m:val="p"/>
                </m:rPr>
                <m:t>ahorro</m:t>
              </m:r>
              <m:r>
                <m:rPr>
                  <m:sty m:val="p"/>
                </m:rPr>
                <m:t>−</m:t>
              </m:r>
              <m:r>
                <m:rPr>
                  <m:nor/>
                  <m:sty m:val="p"/>
                </m:rPr>
                <m:t>inversión</m:t>
              </m:r>
            </m:lim>
          </m:limLow>
          <m:r>
            <m:rPr>
              <m:sty m:val="p"/>
            </m:rPr>
            <m:t>=</m:t>
          </m:r>
          <m:limLow>
            <m:e>
              <m:limLow>
                <m:e>
                  <m:d>
                    <m:dPr>
                      <m:begChr m:val="("/>
                      <m:sepChr m:val=""/>
                      <m:endChr m:val=")"/>
                      <m:grow/>
                    </m:dPr>
                    <m:e>
                      <m:sSub>
                        <m:e>
                          <m:r>
                            <m:t>S</m:t>
                          </m:r>
                        </m:e>
                        <m:sub>
                          <m:r>
                            <m:t>P</m:t>
                          </m:r>
                        </m:sub>
                      </m:sSub>
                      <m:r>
                        <m:rPr>
                          <m:sty m:val="p"/>
                        </m:rPr>
                        <m:t>−</m:t>
                      </m:r>
                      <m:sSub>
                        <m:e>
                          <m:r>
                            <m:t>I</m:t>
                          </m:r>
                        </m:e>
                        <m:sub>
                          <m:r>
                            <m:t>P</m:t>
                          </m:r>
                        </m:sub>
                      </m:sSub>
                    </m:e>
                  </m:d>
                </m:e>
                <m:lim>
                  <m:r>
                    <m:rPr>
                      <m:sty m:val="p"/>
                    </m:rPr>
                    <m:t>⏟</m:t>
                  </m:r>
                </m:lim>
              </m:limLow>
            </m:e>
            <m:lim>
              <m:r>
                <m:rPr>
                  <m:nor/>
                  <m:sty m:val="p"/>
                </m:rPr>
                <m:t>privado</m:t>
              </m:r>
            </m:lim>
          </m:limLow>
          <m:r>
            <m:rPr>
              <m:sty m:val="p"/>
            </m:rPr>
            <m:t>+</m:t>
          </m:r>
          <m:limLow>
            <m:e>
              <m:limLow>
                <m:e>
                  <m:d>
                    <m:dPr>
                      <m:begChr m:val="("/>
                      <m:sepChr m:val=""/>
                      <m:endChr m:val=")"/>
                      <m:grow/>
                    </m:dPr>
                    <m:e>
                      <m:r>
                        <m:t>T</m:t>
                      </m:r>
                      <m:r>
                        <m:rPr>
                          <m:sty m:val="p"/>
                        </m:rPr>
                        <m:t>−</m:t>
                      </m:r>
                      <m:r>
                        <m:t>G</m:t>
                      </m:r>
                    </m:e>
                  </m:d>
                </m:e>
                <m:lim>
                  <m:r>
                    <m:rPr>
                      <m:sty m:val="p"/>
                    </m:rPr>
                    <m:t>⏟</m:t>
                  </m:r>
                </m:lim>
              </m:limLow>
            </m:e>
            <m:lim>
              <m:r>
                <m:rPr>
                  <m:nor/>
                  <m:sty m:val="p"/>
                </m:rPr>
                <m:t>público</m:t>
              </m:r>
            </m:lim>
          </m:limLow>
        </m:oMath>
      </m:oMathPara>
    </w:p>
    <w:p>
      <w:pPr>
        <w:numPr>
          <w:ilvl w:val="0"/>
          <w:numId w:val="1000"/>
        </w:numPr>
      </w:pPr>
      <w:r>
        <w:t xml:space="preserve">con RP y RS las rentas primarias y secundarias netas recibidas del exterior,</w:t>
      </w:r>
      <w:r>
        <w:t xml:space="preserve"> </w:t>
      </w:r>
      <m:oMath>
        <m:r>
          <m:t>A</m:t>
        </m:r>
        <m:r>
          <m:rPr>
            <m:sty m:val="p"/>
          </m:rPr>
          <m:t>=</m:t>
        </m:r>
        <m:r>
          <m:t>C</m:t>
        </m:r>
        <m:r>
          <m:rPr>
            <m:sty m:val="p"/>
          </m:rPr>
          <m:t>+</m:t>
        </m:r>
        <m:r>
          <m:t>I</m:t>
        </m:r>
        <m:r>
          <m:rPr>
            <m:sty m:val="p"/>
          </m:rPr>
          <m:t>+</m:t>
        </m:r>
        <m:r>
          <m:t>G</m:t>
        </m:r>
      </m:oMath>
      <w:r>
        <w:t xml:space="preserve"> </w:t>
      </w:r>
      <w:r>
        <w:t xml:space="preserve">la absorción, CK la cuenta de capital, EO los errores y omisiones y, en la cuenta financiera, la inversión directa (ID), la de cartera (IC), los derivados (D), la otra inversión (OI) y la variación de las reservas (</w:t>
      </w:r>
      <m:oMath>
        <m:r>
          <m:t>Δ</m:t>
        </m:r>
        <m:r>
          <m:t>R</m:t>
        </m:r>
      </m:oMath>
      <w:r>
        <w:t xml:space="preserve">).</w:t>
      </w:r>
    </w:p>
    <w:p>
      <w:pPr>
        <w:numPr>
          <w:ilvl w:val="0"/>
          <w:numId w:val="1080"/>
        </w:numPr>
      </w:pPr>
      <w:r>
        <w:rPr>
          <w:i/>
          <w:iCs/>
        </w:rPr>
        <w:t xml:space="preserve">En palabras</w:t>
      </w:r>
      <w:r>
        <w:t xml:space="preserve">: la cuenta corriente suma la balanza de bienes y servicios y las rentas primarias y secundarias; es igual a la renta menos la absorción (más las rentas) y al ahorro nacional menos la inversión, que es la suma del saldo privado y el público. Con la cuenta de capital da la capacidad o necesidad de financiación de la nación, y con los errores y omisiones es igual a la cuenta financiera: cómo se financia ese saldo. Al analizar cada subcuenta conviene volver a la identidad y señalar la parte de la que se habla.</w:t>
      </w:r>
    </w:p>
    <w:p>
      <w:pPr>
        <w:keepNext/>
        <w:numPr>
          <w:ilvl w:val="0"/>
          <w:numId w:val="1080"/>
        </w:numPr>
      </w:pPr>
      <w:r>
        <w:rPr>
          <w:i/>
          <w:iCs/>
        </w:rPr>
        <w:t xml:space="preserve">Por subcuentas</w:t>
      </w:r>
      <w:r>
        <w:t xml:space="preserve">:</w:t>
      </w:r>
    </w:p>
    <w:p>
      <w:pPr>
        <w:numPr>
          <w:ilvl w:val="1"/>
          <w:numId w:val="1081"/>
        </w:numPr>
      </w:pPr>
      <w:r>
        <w:rPr>
          <w:i/>
          <w:iCs/>
        </w:rPr>
        <w:t xml:space="preserve">bienes y servicios</w:t>
      </w:r>
      <w:r>
        <w:t xml:space="preserve">: competitividad, renta exterior, precios de la energía; un déficit de servicios con mucho turismo puede indicar poca competitividad de los servicios profesionales;</w:t>
      </w:r>
    </w:p>
    <w:p>
      <w:pPr>
        <w:numPr>
          <w:ilvl w:val="1"/>
          <w:numId w:val="1081"/>
        </w:numPr>
      </w:pPr>
      <w:r>
        <w:rPr>
          <w:i/>
          <w:iCs/>
        </w:rPr>
        <w:t xml:space="preserve">rentas primarias</w:t>
      </w:r>
      <w:r>
        <w:t xml:space="preserve">: trabajo y, sobre todo, rentas de la inversión (intereses de la deuda externa, beneficios de la inversión extranjera): explican la diferencia entre el PIB y la RNB (apartado </w:t>
      </w:r>
      <w:hyperlink w:anchor="sec_medidores">
        <w:r>
          <w:rPr>
            <w:rStyle w:val="Hyperlink"/>
          </w:rPr>
          <w:t xml:space="preserve">I.3</w:t>
        </w:r>
      </w:hyperlink>
      <w:r>
        <w:t xml:space="preserve">);</w:t>
      </w:r>
    </w:p>
    <w:p>
      <w:pPr>
        <w:numPr>
          <w:ilvl w:val="1"/>
          <w:numId w:val="1081"/>
        </w:numPr>
      </w:pPr>
      <w:r>
        <w:rPr>
          <w:i/>
          <w:iCs/>
        </w:rPr>
        <w:t xml:space="preserve">rentas secundarias</w:t>
      </w:r>
      <w:r>
        <w:t xml:space="preserve">: transferencias sin contrapartida (remesas de emigrantes, muy estables y contracíclicas en los países en desarrollo; cooperación; aportaciones a la UE);</w:t>
      </w:r>
    </w:p>
    <w:p>
      <w:pPr>
        <w:numPr>
          <w:ilvl w:val="1"/>
          <w:numId w:val="1081"/>
        </w:numPr>
      </w:pPr>
      <w:r>
        <w:rPr>
          <w:i/>
          <w:iCs/>
        </w:rPr>
        <w:t xml:space="preserve">cuenta de capital</w:t>
      </w:r>
      <w:r>
        <w:t xml:space="preserve">: transferencias de capital (fondos europeos para inversión) y compraventa de activos no financieros no producidos (recursos naturales, del subsuelo, terrenos); las ventas se anotan como ingresos. A veces se omite por pequeña, pero hay que sumarla para obtener la capacidad o necesidad de financiación: «la suma de la cuenta corriente y la cuenta de capital determina la capacidad o necesidad de financiación de la economía». Cómo se anotan los fondos europeos está en el anexo </w:t>
      </w:r>
      <w:hyperlink w:anchor="anexo_casos">
        <w:r>
          <w:rPr>
            <w:rStyle w:val="Hyperlink"/>
          </w:rPr>
          <w:t xml:space="preserve">E</w:t>
        </w:r>
      </w:hyperlink>
      <w:r>
        <w:t xml:space="preserve">.</w:t>
      </w:r>
    </w:p>
    <w:p>
      <w:pPr>
        <w:numPr>
          <w:ilvl w:val="0"/>
          <w:numId w:val="1080"/>
        </w:numPr>
      </w:pPr>
      <w:r>
        <w:rPr>
          <w:i/>
          <w:iCs/>
        </w:rPr>
        <w:t xml:space="preserve">Umbral</w:t>
      </w:r>
      <w:r>
        <w:t xml:space="preserve">: el cuadro de indicadores del procedimiento de desequilibrios alerta con un saldo corriente medio de 3 años inferior al</w:t>
      </w:r>
      <w:r>
        <w:t xml:space="preserve"> </w:t>
      </w:r>
      <m:oMath>
        <m:r>
          <m:rPr>
            <m:sty m:val="p"/>
          </m:rPr>
          <m:t>−</m:t>
        </m:r>
        <m:r>
          <m:t>4</m:t>
        </m:r>
      </m:oMath>
      <w:r>
        <w:t xml:space="preserve"> % del PIB o superior al</w:t>
      </w:r>
      <w:r>
        <w:t xml:space="preserve"> </w:t>
      </w:r>
      <m:oMath>
        <m:r>
          <m:rPr>
            <m:sty m:val="p"/>
          </m:rPr>
          <m:t>+</m:t>
        </m:r>
        <m:r>
          <m:t>6</m:t>
        </m:r>
      </m:oMath>
      <w:r>
        <w:t xml:space="preserve"> %</w:t>
      </w:r>
      <w:r>
        <w:t xml:space="preserve"> </w:t>
      </w:r>
      <w:r>
        <w:t xml:space="preserve">(</w:t>
      </w:r>
      <w:hyperlink w:anchor="ref_CE2025AMR2026">
        <w:r>
          <w:rPr>
            <w:rStyle w:val="Hyperlink"/>
            <w:smallCaps/>
          </w:rPr>
          <w:t xml:space="preserve">Comisión Europea</w:t>
        </w:r>
        <w:r>
          <w:rPr>
            <w:rStyle w:val="Hyperlink"/>
          </w:rPr>
          <w:t xml:space="preserve">, 2025a</w:t>
        </w:r>
      </w:hyperlink>
      <w:r>
        <w:t xml:space="preserve">)</w:t>
      </w:r>
      <w:r>
        <w:t xml:space="preserve">.</w:t>
      </w:r>
    </w:p>
    <w:p>
      <w:pPr>
        <w:pStyle w:val="Cajadeanotaciones"/>
        <w:keepLines/>
      </w:pPr>
      <w:r>
        <w:rPr>
          <w:b/>
          <w:bCs/>
        </w:rPr>
        <w:t xml:space="preserve">Ejemplo de redacción: un superávit corriente.</w:t>
      </w:r>
      <w:r>
        <w:t xml:space="preserve"> </w:t>
      </w:r>
      <w:r>
        <w:t xml:space="preserve">«El sector exterior de esta economía destaca por su persistente superávit por cuenta corriente, que se debe sobre todo al superávit de bienes. Llaman la atención 2 hechos. El primero, el déficit recurrente de servicios pese al alto peso del turismo en el PIB, que podría indicar que los servicios profesionales, de más valor añadido que los turísticos, no son lo bastante competitivos. El segundo, que la ruptura de las cadenas globales de valor en 20xx no parece haber alterado estos saldos ni la capacidad de financiación de la economía.»</w:t>
      </w:r>
    </w:p>
    <w:bookmarkEnd w:id="136"/>
    <w:bookmarkStart w:id="139" w:name="apertura_penetraci__n_de_importaci_32273"/>
    <w:p>
      <w:pPr>
        <w:pStyle w:val="Heading4"/>
      </w:pPr>
      <w:r>
        <w:t xml:space="preserve">Apertura, penetración de importaciones y relación real de intercambio</w:t>
      </w:r>
    </w:p>
    <w:p>
      <w:pPr>
        <w:numPr>
          <w:ilvl w:val="0"/>
          <w:numId w:val="1082"/>
        </w:numPr>
      </w:pPr>
      <w:r>
        <w:rPr>
          <w:i/>
          <w:iCs/>
        </w:rPr>
        <w:t xml:space="preserve">Apertura</w:t>
      </w:r>
      <w:r>
        <w:t xml:space="preserve">,</w:t>
      </w:r>
      <w:r>
        <w:t xml:space="preserve"> </w:t>
      </w:r>
      <m:oMath>
        <m:d>
          <m:dPr>
            <m:begChr m:val="("/>
            <m:sepChr m:val=""/>
            <m:endChr m:val=")"/>
            <m:grow/>
          </m:dPr>
          <m:e>
            <m:r>
              <m:t>X</m:t>
            </m:r>
            <m:r>
              <m:rPr>
                <m:sty m:val="p"/>
              </m:rPr>
              <m:t>+</m:t>
            </m:r>
            <m:r>
              <m:t>M</m:t>
            </m:r>
          </m:e>
        </m:d>
        <m:r>
          <m:rPr>
            <m:sty m:val="p"/>
          </m:rPr>
          <m:t>/</m:t>
        </m:r>
        <m:r>
          <m:rPr>
            <m:sty m:val="p"/>
          </m:rPr>
          <m:t>P</m:t>
        </m:r>
        <m:r>
          <m:rPr>
            <m:sty m:val="p"/>
          </m:rPr>
          <m:t>I</m:t>
        </m:r>
        <m:r>
          <m:rPr>
            <m:sty m:val="p"/>
          </m:rPr>
          <m:t>B</m:t>
        </m:r>
      </m:oMath>
      <w:r>
        <w:t xml:space="preserve"> </w:t>
      </w:r>
      <w:r>
        <w:t xml:space="preserve">a precios corrientes. Órdenes de magnitud orientativos, sin norma detrás: por debajo del 15-20 %, economía cerrada (país grande); en torno al 50 %, normal; por encima del 75 %, muy abierta (país pequeño). EE. UU. está en torno al 25 %, España en torno al 70 % y Bélgica por encima del 150 %</w:t>
      </w:r>
      <w:r>
        <w:t xml:space="preserve"> </w:t>
      </w:r>
      <w:r>
        <w:t xml:space="preserve">(</w:t>
      </w:r>
      <w:hyperlink w:anchor="ref_Eurostat2026nama10gdp">
        <w:r>
          <w:rPr>
            <w:rStyle w:val="Hyperlink"/>
            <w:smallCaps/>
          </w:rPr>
          <w:t xml:space="preserve">Eurostat</w:t>
        </w:r>
        <w:r>
          <w:rPr>
            <w:rStyle w:val="Hyperlink"/>
          </w:rPr>
          <w:t xml:space="preserve">, 2026e</w:t>
        </w:r>
      </w:hyperlink>
      <w:r>
        <w:t xml:space="preserve">;</w:t>
      </w:r>
      <w:r>
        <w:t xml:space="preserve"> </w:t>
      </w:r>
      <w:hyperlink w:anchor="ref_BM2026WDI">
        <w:r>
          <w:rPr>
            <w:rStyle w:val="Hyperlink"/>
            <w:smallCaps/>
          </w:rPr>
          <w:t xml:space="preserve">Banco Mundial</w:t>
        </w:r>
        <w:r>
          <w:rPr>
            <w:rStyle w:val="Hyperlink"/>
          </w:rPr>
          <w:t xml:space="preserve">, 2026</w:t>
        </w:r>
      </w:hyperlink>
      <w:r>
        <w:t xml:space="preserve">)</w:t>
      </w:r>
      <w:r>
        <w:t xml:space="preserve"> </w:t>
      </w:r>
      <w:hyperlink r:id="rId137">
        <w:r>
          <w:rPr>
            <w:rStyle w:val="Referenciaatema"/>
          </w:rPr>
          <w:t xml:space="preserve">[ver tema 3.B.9]</w:t>
        </w:r>
      </w:hyperlink>
      <w:r>
        <w:t xml:space="preserve">.</w:t>
      </w:r>
    </w:p>
    <w:p>
      <w:pPr>
        <w:numPr>
          <w:ilvl w:val="0"/>
          <w:numId w:val="1082"/>
        </w:numPr>
      </w:pPr>
      <w:r>
        <w:rPr>
          <w:i/>
          <w:iCs/>
        </w:rPr>
        <w:t xml:space="preserve">Penetración de las importaciones</w:t>
      </w:r>
      <w:r>
        <w:t xml:space="preserve">,</w:t>
      </w:r>
      <w:r>
        <w:t xml:space="preserve"> </w:t>
      </w:r>
      <m:oMath>
        <m:r>
          <m:t>M</m:t>
        </m:r>
        <m:r>
          <m:rPr>
            <m:sty m:val="p"/>
          </m:rPr>
          <m:t>/</m:t>
        </m:r>
        <m:r>
          <m:rPr>
            <m:sty m:val="p"/>
          </m:rPr>
          <m:t>P</m:t>
        </m:r>
        <m:r>
          <m:rPr>
            <m:sty m:val="p"/>
          </m:rPr>
          <m:t>I</m:t>
        </m:r>
        <m:r>
          <m:rPr>
            <m:sty m:val="p"/>
          </m:rPr>
          <m:t>B</m:t>
        </m:r>
      </m:oMath>
      <w:r>
        <w:t xml:space="preserve">: un salto brusco apunta a una demanda que la producción interior no cubre (sobrecalentamiento); una caída brusca, a una recesión o a una depreciación.</w:t>
      </w:r>
    </w:p>
    <w:p>
      <w:pPr>
        <w:numPr>
          <w:ilvl w:val="0"/>
          <w:numId w:val="1082"/>
        </w:numPr>
      </w:pPr>
      <w:r>
        <w:rPr>
          <w:i/>
          <w:iCs/>
        </w:rPr>
        <w:t xml:space="preserve">Relación real de intercambio</w:t>
      </w:r>
      <w:r>
        <w:t xml:space="preserve">,</w:t>
      </w:r>
      <w:r>
        <w:t xml:space="preserve"> </w:t>
      </w:r>
      <m:oMath>
        <m:r>
          <m:rPr>
            <m:sty m:val="p"/>
          </m:rPr>
          <m:t>R</m:t>
        </m:r>
        <m:r>
          <m:rPr>
            <m:sty m:val="p"/>
          </m:rPr>
          <m:t>R</m:t>
        </m:r>
        <m:r>
          <m:rPr>
            <m:sty m:val="p"/>
          </m:rPr>
          <m:t>I</m:t>
        </m:r>
        <m:r>
          <m:rPr>
            <m:sty m:val="p"/>
          </m:rPr>
          <m:t>=</m:t>
        </m:r>
        <m:sSub>
          <m:e>
            <m:r>
              <m:t>P</m:t>
            </m:r>
          </m:e>
          <m:sub>
            <m:r>
              <m:t>X</m:t>
            </m:r>
          </m:sub>
        </m:sSub>
        <m:r>
          <m:rPr>
            <m:sty m:val="p"/>
          </m:rPr>
          <m:t>/</m:t>
        </m:r>
        <m:sSub>
          <m:e>
            <m:r>
              <m:t>P</m:t>
            </m:r>
          </m:e>
          <m:sub>
            <m:r>
              <m:t>M</m:t>
            </m:r>
          </m:sub>
        </m:sSub>
      </m:oMath>
      <w:r>
        <w:t xml:space="preserve"> </w:t>
      </w:r>
      <w:r>
        <w:t xml:space="preserve">con los deflactores de exportaciones e importaciones (o comparando volúmenes y valores: si el volumen exportado sube y su valor no, los precios de exportación caen y la RRI empeora). Si sube, hay 2 lecturas: un enriquecimiento (el mercado mundial valora más lo que vende el país: con las mismas exportaciones se compran más importaciones) o una pérdida de competitividad (los precios de exportación se encarecen). Para saber cuál domina hay que mirar los precios nacionales: sin una inflación marcada, es más probable el enriquecimiento. Para la competitividad es mejor, por menos ambiguo, el tipo de cambio real (apartado </w:t>
      </w:r>
      <w:hyperlink w:anchor="sec_tipo_cambio">
        <w:r>
          <w:rPr>
            <w:rStyle w:val="Hyperlink"/>
          </w:rPr>
          <w:t xml:space="preserve">III.2</w:t>
        </w:r>
      </w:hyperlink>
      <w:r>
        <w:t xml:space="preserve">)</w:t>
      </w:r>
      <w:r>
        <w:t xml:space="preserve"> </w:t>
      </w:r>
      <w:hyperlink r:id="rId138">
        <w:r>
          <w:rPr>
            <w:rStyle w:val="Referenciaatema"/>
          </w:rPr>
          <w:t xml:space="preserve">[ver tema 3.B.5]</w:t>
        </w:r>
      </w:hyperlink>
      <w:r>
        <w:t xml:space="preserve">.</w:t>
      </w:r>
    </w:p>
    <w:bookmarkEnd w:id="139"/>
    <w:bookmarkStart w:id="140" w:name="exportaciones_e_importaciones_dete_61269"/>
    <w:p>
      <w:pPr>
        <w:pStyle w:val="Heading4"/>
      </w:pPr>
      <w:r>
        <w:t xml:space="preserve">Exportaciones e importaciones: determinantes</w:t>
      </w:r>
    </w:p>
    <w:p>
      <w:pPr>
        <w:numPr>
          <w:ilvl w:val="0"/>
          <w:numId w:val="1083"/>
        </w:numPr>
      </w:pPr>
      <w:r>
        <w:rPr>
          <w:i/>
          <w:iCs/>
        </w:rPr>
        <w:t xml:space="preserve">Exportaciones</w:t>
      </w:r>
      <w:r>
        <w:t xml:space="preserve">: dependen positivamente de la competitividad-precio (el tipo de cambio real,</w:t>
      </w:r>
      <w:r>
        <w:t xml:space="preserve"> </w:t>
      </w:r>
      <m:oMath>
        <m:r>
          <m:t>q</m:t>
        </m:r>
        <m:r>
          <m:rPr>
            <m:sty m:val="p"/>
          </m:rPr>
          <m:t>=</m:t>
        </m:r>
        <m:r>
          <m:t>E</m:t>
        </m:r>
        <m:sSup>
          <m:e>
            <m:r>
              <m:t>P</m:t>
            </m:r>
          </m:e>
          <m:sup>
            <m:r>
              <m:rPr>
                <m:sty m:val="p"/>
              </m:rPr>
              <m:t>*</m:t>
            </m:r>
          </m:sup>
        </m:sSup>
        <m:r>
          <m:rPr>
            <m:sty m:val="p"/>
          </m:rPr>
          <m:t>/</m:t>
        </m:r>
        <m:r>
          <m:t>P</m:t>
        </m:r>
      </m:oMath>
      <w:r>
        <w:t xml:space="preserve">, cuya subida es una depreciación real), de la competitividad no precio (calidad, marca, diferenciación) y de la renta del resto del mundo (</w:t>
      </w:r>
      <m:oMath>
        <m:sSup>
          <m:e>
            <m:r>
              <m:t>Y</m:t>
            </m:r>
          </m:e>
          <m:sup>
            <m:r>
              <m:rPr>
                <m:sty m:val="p"/>
              </m:rPr>
              <m:t>*</m:t>
            </m:r>
          </m:sup>
        </m:sSup>
      </m:oMath>
      <w:r>
        <w:t xml:space="preserve">), y negativamente de la demanda interna: cuando esta cae, las empresas buscan fuera los mercados que les faltan dentro, y cuando repunta, se repliegan al mercado nacional (más fácil y barato de atender):</w:t>
      </w:r>
    </w:p>
    <w:p>
      <w:pPr>
        <w:pStyle w:val="Funcionclave"/>
        <w:keepLines/>
      </w:pPr>
      <m:oMathPara>
        <m:oMathParaPr>
          <m:jc m:val="center"/>
        </m:oMathParaPr>
        <m:oMath>
          <m:r>
            <m:t>X</m:t>
          </m:r>
          <m:r>
            <m:rPr>
              <m:sty m:val="p"/>
            </m:rPr>
            <m:t>=</m:t>
          </m:r>
          <m:r>
            <m:t>f</m:t>
          </m:r>
          <m:d>
            <m:dPr>
              <m:begChr m:val="("/>
              <m:sepChr m:val=""/>
              <m:endChr m:val=")"/>
              <m:grow/>
            </m:dPr>
            <m:e>
              <m:limUpp>
                <m:e>
                  <m:r>
                    <m:t>q</m:t>
                  </m:r>
                </m:e>
                <m:lim>
                  <m:r>
                    <m:rPr>
                      <m:sty m:val="p"/>
                    </m:rPr>
                    <m:t>+</m:t>
                  </m:r>
                </m:lim>
              </m:limUpp>
              <m:r>
                <m:rPr>
                  <m:sty m:val="p"/>
                </m:rPr>
                <m:t>,</m:t>
              </m:r>
              <m:r>
                <m:t> </m:t>
              </m:r>
              <m:limUpp>
                <m:e>
                  <m:r>
                    <m:rPr>
                      <m:nor/>
                      <m:sty m:val="p"/>
                    </m:rPr>
                    <m:t>no precio</m:t>
                  </m:r>
                </m:e>
                <m:lim>
                  <m:r>
                    <m:rPr>
                      <m:sty m:val="p"/>
                    </m:rPr>
                    <m:t>+</m:t>
                  </m:r>
                </m:lim>
              </m:limUpp>
              <m:r>
                <m:rPr>
                  <m:sty m:val="p"/>
                </m:rPr>
                <m:t>,</m:t>
              </m:r>
              <m:r>
                <m:t> </m:t>
              </m:r>
              <m:limUpp>
                <m:e>
                  <m:sSup>
                    <m:e>
                      <m:r>
                        <m:t>Y</m:t>
                      </m:r>
                    </m:e>
                    <m:sup>
                      <m:r>
                        <m:rPr>
                          <m:sty m:val="p"/>
                        </m:rPr>
                        <m:t>*</m:t>
                      </m:r>
                    </m:sup>
                  </m:sSup>
                </m:e>
                <m:lim>
                  <m:r>
                    <m:rPr>
                      <m:sty m:val="p"/>
                    </m:rPr>
                    <m:t>+</m:t>
                  </m:r>
                </m:lim>
              </m:limUpp>
              <m:r>
                <m:rPr>
                  <m:sty m:val="p"/>
                </m:rPr>
                <m:t>,</m:t>
              </m:r>
              <m:r>
                <m:t> </m:t>
              </m:r>
              <m:limUpp>
                <m:e>
                  <m:r>
                    <m:rPr>
                      <m:nor/>
                      <m:sty m:val="p"/>
                    </m:rPr>
                    <m:t>demanda interna</m:t>
                  </m:r>
                </m:e>
                <m:lim>
                  <m:r>
                    <m:rPr>
                      <m:sty m:val="p"/>
                    </m:rPr>
                    <m:t>−</m:t>
                  </m:r>
                </m:lim>
              </m:limUpp>
            </m:e>
          </m:d>
          <m:r>
            <m:rPr>
              <m:sty m:val="p"/>
            </m:rPr>
            <m:t>,</m:t>
          </m:r>
          <m:r>
            <m:t>  </m:t>
          </m:r>
          <m:r>
            <m:t>q</m:t>
          </m:r>
          <m:r>
            <m:rPr>
              <m:sty m:val="p"/>
            </m:rPr>
            <m:t>=</m:t>
          </m:r>
          <m:f>
            <m:fPr>
              <m:type m:val="bar"/>
            </m:fPr>
            <m:num>
              <m:r>
                <m:t>E</m:t>
              </m:r>
              <m:sSup>
                <m:e>
                  <m:r>
                    <m:t>P</m:t>
                  </m:r>
                </m:e>
                <m:sup>
                  <m:r>
                    <m:rPr>
                      <m:sty m:val="p"/>
                    </m:rPr>
                    <m:t>*</m:t>
                  </m:r>
                </m:sup>
              </m:sSup>
            </m:num>
            <m:den>
              <m:r>
                <m:t>P</m:t>
              </m:r>
            </m:den>
          </m:f>
        </m:oMath>
      </m:oMathPara>
    </w:p>
    <w:p>
      <w:pPr>
        <w:numPr>
          <w:ilvl w:val="0"/>
          <w:numId w:val="1083"/>
        </w:numPr>
      </w:pPr>
      <w:r>
        <w:rPr>
          <w:i/>
          <w:iCs/>
        </w:rPr>
        <w:t xml:space="preserve">Importaciones</w:t>
      </w:r>
      <w:r>
        <w:t xml:space="preserve">: dependen positivamente de la renta nacional (son procíclicas, por su alta elasticidad-renta) y negativamente de la competitividad-precio y no precio de la producción nacional; y de rasgos estructurales, como la dependencia energética o tecnológica:</w:t>
      </w:r>
    </w:p>
    <w:p>
      <w:pPr>
        <w:pStyle w:val="Funcionclave"/>
        <w:keepLines/>
      </w:pPr>
      <m:oMathPara>
        <m:oMathParaPr>
          <m:jc m:val="center"/>
        </m:oMathParaPr>
        <m:oMath>
          <m:r>
            <m:t>M</m:t>
          </m:r>
          <m:r>
            <m:rPr>
              <m:sty m:val="p"/>
            </m:rPr>
            <m:t>=</m:t>
          </m:r>
          <m:r>
            <m:t>f</m:t>
          </m:r>
          <m:d>
            <m:dPr>
              <m:begChr m:val="("/>
              <m:sepChr m:val=""/>
              <m:endChr m:val=")"/>
              <m:grow/>
            </m:dPr>
            <m:e>
              <m:limUpp>
                <m:e>
                  <m:r>
                    <m:t>q</m:t>
                  </m:r>
                </m:e>
                <m:lim>
                  <m:r>
                    <m:rPr>
                      <m:sty m:val="p"/>
                    </m:rPr>
                    <m:t>−</m:t>
                  </m:r>
                </m:lim>
              </m:limUpp>
              <m:r>
                <m:rPr>
                  <m:sty m:val="p"/>
                </m:rPr>
                <m:t>,</m:t>
              </m:r>
              <m:r>
                <m:t> </m:t>
              </m:r>
              <m:limUpp>
                <m:e>
                  <m:r>
                    <m:rPr>
                      <m:nor/>
                      <m:sty m:val="p"/>
                    </m:rPr>
                    <m:t>no precio</m:t>
                  </m:r>
                </m:e>
                <m:lim>
                  <m:r>
                    <m:rPr>
                      <m:sty m:val="p"/>
                    </m:rPr>
                    <m:t>−</m:t>
                  </m:r>
                </m:lim>
              </m:limUpp>
              <m:r>
                <m:rPr>
                  <m:sty m:val="p"/>
                </m:rPr>
                <m:t>,</m:t>
              </m:r>
              <m:r>
                <m:t> </m:t>
              </m:r>
              <m:limUpp>
                <m:e>
                  <m:r>
                    <m:t>Y</m:t>
                  </m:r>
                </m:e>
                <m:lim>
                  <m:r>
                    <m:rPr>
                      <m:sty m:val="p"/>
                    </m:rPr>
                    <m:t>+</m:t>
                  </m:r>
                </m:lim>
              </m:limUpp>
            </m:e>
          </m:d>
        </m:oMath>
      </m:oMathPara>
    </w:p>
    <w:p>
      <w:pPr>
        <w:numPr>
          <w:ilvl w:val="0"/>
          <w:numId w:val="1083"/>
        </w:numPr>
      </w:pPr>
      <w:r>
        <w:rPr>
          <w:i/>
          <w:iCs/>
        </w:rPr>
        <w:t xml:space="preserve">Cuidado con el signo</w:t>
      </w:r>
      <w:r>
        <w:t xml:space="preserve">: aquí una subida de</w:t>
      </w:r>
      <w:r>
        <w:t xml:space="preserve"> </w:t>
      </w:r>
      <m:oMath>
        <m:r>
          <m:t>q</m:t>
        </m:r>
      </m:oMath>
      <w:r>
        <w:t xml:space="preserve"> </w:t>
      </w:r>
      <w:r>
        <w:t xml:space="preserve">es una depreciación real; si el cuadro da el tipo de cambio en la convención contraria, los signos se invierten (apartado </w:t>
      </w:r>
      <w:hyperlink w:anchor="sec_tipo_cambio">
        <w:r>
          <w:rPr>
            <w:rStyle w:val="Hyperlink"/>
          </w:rPr>
          <w:t xml:space="preserve">III.2</w:t>
        </w:r>
      </w:hyperlink>
      <w:r>
        <w:t xml:space="preserve">). Un ejemplo de redacción sobre estos determinantes está en el anexo </w:t>
      </w:r>
      <w:hyperlink w:anchor="anexo_parrafos">
        <w:r>
          <w:rPr>
            <w:rStyle w:val="Hyperlink"/>
          </w:rPr>
          <w:t xml:space="preserve">K.1</w:t>
        </w:r>
      </w:hyperlink>
      <w:r>
        <w:t xml:space="preserve">.</w:t>
      </w:r>
    </w:p>
    <w:bookmarkEnd w:id="140"/>
    <w:bookmarkStart w:id="142" w:name="ahorro_inversi__n_y_saldos_sectoriales"/>
    <w:p>
      <w:pPr>
        <w:pStyle w:val="Heading4"/>
      </w:pPr>
      <w:r>
        <w:t xml:space="preserve">Ahorro, inversión y saldos sectoriales</w:t>
      </w:r>
    </w:p>
    <w:p>
      <w:pPr>
        <w:numPr>
          <w:ilvl w:val="0"/>
          <w:numId w:val="1084"/>
        </w:numPr>
      </w:pPr>
      <w:r>
        <w:rPr>
          <w:i/>
          <w:iCs/>
        </w:rPr>
        <w:t xml:space="preserve">Cómo se calcula</w:t>
      </w:r>
      <w:r>
        <w:t xml:space="preserve">: de la identidad de la renta,</w:t>
      </w:r>
      <w:r>
        <w:t xml:space="preserve"> </w:t>
      </w:r>
      <m:oMath>
        <m:r>
          <m:rPr>
            <m:sty m:val="p"/>
          </m:rPr>
          <m:t>C</m:t>
        </m:r>
        <m:r>
          <m:rPr>
            <m:sty m:val="p"/>
          </m:rPr>
          <m:t>C</m:t>
        </m:r>
        <m:r>
          <m:rPr>
            <m:sty m:val="p"/>
          </m:rPr>
          <m:t>=</m:t>
        </m:r>
        <m:r>
          <m:t>S</m:t>
        </m:r>
        <m:r>
          <m:rPr>
            <m:sty m:val="p"/>
          </m:rPr>
          <m:t>−</m:t>
        </m:r>
        <m:r>
          <m:t>I</m:t>
        </m:r>
        <m:r>
          <m:rPr>
            <m:sty m:val="p"/>
          </m:rPr>
          <m:t>=</m:t>
        </m:r>
        <m:d>
          <m:dPr>
            <m:begChr m:val="("/>
            <m:sepChr m:val=""/>
            <m:endChr m:val=")"/>
            <m:grow/>
          </m:dPr>
          <m:e>
            <m:sSub>
              <m:e>
                <m:r>
                  <m:t>S</m:t>
                </m:r>
              </m:e>
              <m:sub>
                <m:r>
                  <m:t>P</m:t>
                </m:r>
              </m:sub>
            </m:sSub>
            <m:r>
              <m:rPr>
                <m:sty m:val="p"/>
              </m:rPr>
              <m:t>−</m:t>
            </m:r>
            <m:sSub>
              <m:e>
                <m:r>
                  <m:t>I</m:t>
                </m:r>
              </m:e>
              <m:sub>
                <m:r>
                  <m:t>P</m:t>
                </m:r>
              </m:sub>
            </m:sSub>
          </m:e>
        </m:d>
        <m:r>
          <m:rPr>
            <m:sty m:val="p"/>
          </m:rPr>
          <m:t>+</m:t>
        </m:r>
        <m:d>
          <m:dPr>
            <m:begChr m:val="("/>
            <m:sepChr m:val=""/>
            <m:endChr m:val=")"/>
            <m:grow/>
          </m:dPr>
          <m:e>
            <m:r>
              <m:t>T</m:t>
            </m:r>
            <m:r>
              <m:rPr>
                <m:sty m:val="p"/>
              </m:rPr>
              <m:t>−</m:t>
            </m:r>
            <m:r>
              <m:t>G</m:t>
            </m:r>
          </m:e>
        </m:d>
      </m:oMath>
      <w:r>
        <w:t xml:space="preserve">: un déficit corriente es un exceso de inversión sobre el ahorro nacional. Por sectores institucionales, la capacidad o necesidad de financiación de la nación es la suma de la de los hogares, las empresas, las instituciones financieras y las administraciones públicas</w:t>
      </w:r>
      <w:r>
        <w:t xml:space="preserve"> </w:t>
      </w:r>
      <w:r>
        <w:t xml:space="preserve">(</w:t>
      </w:r>
      <w:hyperlink w:anchor="ref_SEC2010">
        <w:r>
          <w:rPr>
            <w:rStyle w:val="Hyperlink"/>
            <w:smallCaps/>
          </w:rPr>
          <w:t xml:space="preserve">Parlamento Europeo y Consejo de la Unión Europea</w:t>
        </w:r>
        <w:r>
          <w:rPr>
            <w:rStyle w:val="Hyperlink"/>
          </w:rPr>
          <w:t xml:space="preserve">, 2013c</w:t>
        </w:r>
      </w:hyperlink>
      <w:r>
        <w:t xml:space="preserve">)</w:t>
      </w:r>
      <w:r>
        <w:t xml:space="preserve">.</w:t>
      </w:r>
    </w:p>
    <w:p>
      <w:pPr>
        <w:numPr>
          <w:ilvl w:val="0"/>
          <w:numId w:val="1084"/>
        </w:numPr>
      </w:pPr>
      <w:r>
        <w:rPr>
          <w:i/>
          <w:iCs/>
        </w:rPr>
        <w:t xml:space="preserve">Preguntas guía</w:t>
      </w:r>
      <w:r>
        <w:t xml:space="preserve">: ¿a qué se debe el déficit? ¿A una baja competitividad? ¿A una producción insuficiente o una absorción alta (</w:t>
      </w:r>
      <m:oMath>
        <m:r>
          <m:t>Y</m:t>
        </m:r>
        <m:r>
          <m:rPr>
            <m:sty m:val="p"/>
          </m:rPr>
          <m:t>&lt;</m:t>
        </m:r>
        <m:r>
          <m:t>A</m:t>
        </m:r>
      </m:oMath>
      <w:r>
        <w:t xml:space="preserve">)? ¿A poco ahorro o a mucha inversión? ¿A poco ahorro privado o público? ¿Y el superávit? ¿A una demanda interna anémica (por ejemplo, por el envejecimiento)? ¿A unos mercados financieros que no canalizan el ahorro hacia la inversión?</w:t>
      </w:r>
    </w:p>
    <w:p>
      <w:pPr>
        <w:keepNext/>
        <w:numPr>
          <w:ilvl w:val="0"/>
          <w:numId w:val="1084"/>
        </w:numPr>
      </w:pPr>
      <w:r>
        <w:rPr>
          <w:i/>
          <w:iCs/>
        </w:rPr>
        <w:t xml:space="preserve">Cómo se lee</w:t>
      </w:r>
      <w:r>
        <w:t xml:space="preserve">:</w:t>
      </w:r>
    </w:p>
    <w:p>
      <w:pPr>
        <w:numPr>
          <w:ilvl w:val="1"/>
          <w:numId w:val="1085"/>
        </w:numPr>
      </w:pPr>
      <w:r>
        <w:t xml:space="preserve">un déficit por</w:t>
      </w:r>
      <w:r>
        <w:t xml:space="preserve"> </w:t>
      </w:r>
      <w:r>
        <w:rPr>
          <w:i/>
          <w:iCs/>
        </w:rPr>
        <w:t xml:space="preserve">poco ahorro</w:t>
      </w:r>
      <w:r>
        <w:t xml:space="preserve"> </w:t>
      </w:r>
      <w:r>
        <w:t xml:space="preserve">(consumo excesivo, déficit público) es peor que uno por</w:t>
      </w:r>
      <w:r>
        <w:t xml:space="preserve"> </w:t>
      </w:r>
      <w:r>
        <w:rPr>
          <w:i/>
          <w:iCs/>
        </w:rPr>
        <w:t xml:space="preserve">mucha inversión</w:t>
      </w:r>
      <w:r>
        <w:t xml:space="preserve"> </w:t>
      </w:r>
      <w:r>
        <w:t xml:space="preserve">productiva, que eleva la capacidad de pago futura;</w:t>
      </w:r>
    </w:p>
    <w:p>
      <w:pPr>
        <w:numPr>
          <w:ilvl w:val="1"/>
          <w:numId w:val="1085"/>
        </w:numPr>
      </w:pPr>
      <w:r>
        <w:t xml:space="preserve">si viene del</w:t>
      </w:r>
      <w:r>
        <w:t xml:space="preserve"> </w:t>
      </w:r>
      <w:r>
        <w:rPr>
          <w:i/>
          <w:iCs/>
        </w:rPr>
        <w:t xml:space="preserve">sector privado</w:t>
      </w:r>
      <w:r>
        <w:t xml:space="preserve"> </w:t>
      </w:r>
      <w:r>
        <w:t xml:space="preserve">(hogares y empresas que invierten con crédito), el riesgo es una corrección brusca cuando se corte el crédito; si viene del</w:t>
      </w:r>
      <w:r>
        <w:t xml:space="preserve"> </w:t>
      </w:r>
      <w:r>
        <w:rPr>
          <w:i/>
          <w:iCs/>
        </w:rPr>
        <w:t xml:space="preserve">público</w:t>
      </w:r>
      <w:r>
        <w:t xml:space="preserve">, es un problema de sostenibilidad fiscal;</w:t>
      </w:r>
    </w:p>
    <w:p>
      <w:pPr>
        <w:numPr>
          <w:ilvl w:val="1"/>
          <w:numId w:val="1085"/>
        </w:numPr>
      </w:pPr>
      <w:r>
        <w:t xml:space="preserve">en las crisis el sector privado suele pasar a ahorrar y el público a endeudarse: los saldos se compensan;</w:t>
      </w:r>
    </w:p>
    <w:p>
      <w:pPr>
        <w:numPr>
          <w:ilvl w:val="1"/>
          <w:numId w:val="1085"/>
        </w:numPr>
      </w:pPr>
      <w:r>
        <w:t xml:space="preserve">un</w:t>
      </w:r>
      <w:r>
        <w:t xml:space="preserve"> </w:t>
      </w:r>
      <w:r>
        <w:rPr>
          <w:i/>
          <w:iCs/>
        </w:rPr>
        <w:t xml:space="preserve">superávit</w:t>
      </w:r>
      <w:r>
        <w:t xml:space="preserve"> </w:t>
      </w:r>
      <w:r>
        <w:t xml:space="preserve">puede reflejar demanda interna débil (envejecimiento, desapalancamiento, consolidación fiscal), inversión baja (un sistema financiero que no canaliza el ahorro) o ingresos extraordinarios que se ahorran (exportador de materias primas en un auge);</w:t>
      </w:r>
    </w:p>
    <w:p>
      <w:pPr>
        <w:numPr>
          <w:ilvl w:val="1"/>
          <w:numId w:val="1085"/>
        </w:numPr>
      </w:pPr>
      <w:r>
        <w:t xml:space="preserve">la</w:t>
      </w:r>
      <w:r>
        <w:t xml:space="preserve"> </w:t>
      </w:r>
      <w:r>
        <w:rPr>
          <w:i/>
          <w:iCs/>
        </w:rPr>
        <w:t xml:space="preserve">volatilidad</w:t>
      </w:r>
      <w:r>
        <w:t xml:space="preserve"> </w:t>
      </w:r>
      <w:r>
        <w:t xml:space="preserve">de la capacidad de financiación suele venir de la balanza energética, de los beneficios de las multinacionales o de los fondos europeos.</w:t>
      </w:r>
    </w:p>
    <w:p>
      <w:pPr>
        <w:numPr>
          <w:ilvl w:val="0"/>
          <w:numId w:val="1084"/>
        </w:numPr>
      </w:pPr>
      <w:r>
        <w:rPr>
          <w:b/>
          <w:bCs/>
        </w:rPr>
        <w:t xml:space="preserve">Déficits gemelos</w:t>
      </w:r>
      <w:r>
        <w:t xml:space="preserve">: si el saldo privado no cambia, más déficit público es más déficit exterior. La causalidad iría por 2 vías</w:t>
      </w:r>
      <w:r>
        <w:t xml:space="preserve"> </w:t>
      </w:r>
      <w:hyperlink r:id="rId141">
        <w:r>
          <w:rPr>
            <w:rStyle w:val="Referenciaatema"/>
          </w:rPr>
          <w:t xml:space="preserve">[ver tema 3.A.32]</w:t>
        </w:r>
      </w:hyperlink>
      <w:r>
        <w:t xml:space="preserve">:</w:t>
      </w:r>
      <w:r>
        <w:t xml:space="preserve"> </w:t>
      </w:r>
      <m:oMath>
        <m:r>
          <m:rPr>
            <m:sty m:val="p"/>
          </m:rPr>
          <m:t>↓</m:t>
        </m:r>
        <m:d>
          <m:dPr>
            <m:begChr m:val="("/>
            <m:sepChr m:val=""/>
            <m:endChr m:val=")"/>
            <m:grow/>
          </m:dPr>
          <m:e>
            <m:r>
              <m:t>T</m:t>
            </m:r>
            <m:r>
              <m:rPr>
                <m:sty m:val="p"/>
              </m:rPr>
              <m:t>−</m:t>
            </m:r>
            <m:r>
              <m:t>G</m:t>
            </m:r>
          </m:e>
        </m:d>
        <m:r>
          <m:rPr>
            <m:sty m:val="p"/>
          </m:rPr>
          <m:t>⇒</m:t>
        </m:r>
        <m:r>
          <m:rPr>
            <m:sty m:val="p"/>
          </m:rPr>
          <m:t>↑</m:t>
        </m:r>
        <m:r>
          <m:t>i</m:t>
        </m:r>
        <m:r>
          <m:rPr>
            <m:sty m:val="p"/>
          </m:rPr>
          <m:t>⇒</m:t>
        </m:r>
      </m:oMath>
      <w:r>
        <w:t xml:space="preserve"> </w:t>
      </w:r>
      <w:r>
        <w:t xml:space="preserve">entrada de capitales</w:t>
      </w:r>
      <w:r>
        <w:t xml:space="preserve"> </w:t>
      </w:r>
      <m:oMath>
        <m:r>
          <m:rPr>
            <m:sty m:val="p"/>
          </m:rPr>
          <m:t>⇒</m:t>
        </m:r>
        <m:r>
          <m:rPr>
            <m:sty m:val="p"/>
          </m:rPr>
          <m:t>↓</m:t>
        </m:r>
        <m:r>
          <m:t>E</m:t>
        </m:r>
      </m:oMath>
      <w:r>
        <w:t xml:space="preserve"> </w:t>
      </w:r>
      <w:r>
        <w:t xml:space="preserve">(apreciación)</w:t>
      </w:r>
      <w:r>
        <w:t xml:space="preserve"> </w:t>
      </w:r>
      <m:oMath>
        <m:r>
          <m:rPr>
            <m:sty m:val="p"/>
          </m:rPr>
          <m:t>⇒</m:t>
        </m:r>
        <m:r>
          <m:rPr>
            <m:sty m:val="p"/>
          </m:rPr>
          <m:t>↓</m:t>
        </m:r>
        <m:d>
          <m:dPr>
            <m:begChr m:val="("/>
            <m:sepChr m:val=""/>
            <m:endChr m:val=")"/>
            <m:grow/>
          </m:dPr>
          <m:e>
            <m:r>
              <m:t>X</m:t>
            </m:r>
            <m:r>
              <m:rPr>
                <m:sty m:val="p"/>
              </m:rPr>
              <m:t>−</m:t>
            </m:r>
            <m:r>
              <m:t>M</m:t>
            </m:r>
          </m:e>
        </m:d>
      </m:oMath>
      <w:r>
        <w:t xml:space="preserve">; y</w:t>
      </w:r>
      <w:r>
        <w:t xml:space="preserve"> </w:t>
      </w:r>
      <m:oMath>
        <m:r>
          <m:rPr>
            <m:sty m:val="p"/>
          </m:rPr>
          <m:t>↓</m:t>
        </m:r>
        <m:d>
          <m:dPr>
            <m:begChr m:val="("/>
            <m:sepChr m:val=""/>
            <m:endChr m:val=")"/>
            <m:grow/>
          </m:dPr>
          <m:e>
            <m:r>
              <m:t>T</m:t>
            </m:r>
            <m:r>
              <m:rPr>
                <m:sty m:val="p"/>
              </m:rPr>
              <m:t>−</m:t>
            </m:r>
            <m:r>
              <m:t>G</m:t>
            </m:r>
          </m:e>
        </m:d>
        <m:r>
          <m:rPr>
            <m:sty m:val="p"/>
          </m:rPr>
          <m:t>⇒</m:t>
        </m:r>
        <m:r>
          <m:rPr>
            <m:sty m:val="p"/>
          </m:rPr>
          <m:t>↑</m:t>
        </m:r>
        <m:r>
          <m:t>Y</m:t>
        </m:r>
        <m:r>
          <m:rPr>
            <m:sty m:val="p"/>
          </m:rPr>
          <m:t>⇒</m:t>
        </m:r>
        <m:r>
          <m:rPr>
            <m:sty m:val="p"/>
          </m:rPr>
          <m:t>↑</m:t>
        </m:r>
        <m:r>
          <m:t>M</m:t>
        </m:r>
        <m:r>
          <m:rPr>
            <m:sty m:val="p"/>
          </m:rPr>
          <m:t>⇒</m:t>
        </m:r>
        <m:r>
          <m:rPr>
            <m:sty m:val="p"/>
          </m:rPr>
          <m:t>↓</m:t>
        </m:r>
        <m:d>
          <m:dPr>
            <m:begChr m:val="("/>
            <m:sepChr m:val=""/>
            <m:endChr m:val=")"/>
            <m:grow/>
          </m:dPr>
          <m:e>
            <m:r>
              <m:t>X</m:t>
            </m:r>
            <m:r>
              <m:rPr>
                <m:sty m:val="p"/>
              </m:rPr>
              <m:t>−</m:t>
            </m:r>
            <m:r>
              <m:t>M</m:t>
            </m:r>
          </m:e>
        </m:d>
      </m:oMath>
      <w:r>
        <w:t xml:space="preserve">. En los datos no siempre van juntos: si el sector privado ahorra más cuando el Estado gasta más, el déficit exterior puede corregirse.</w:t>
      </w:r>
    </w:p>
    <w:p>
      <w:pPr>
        <w:numPr>
          <w:ilvl w:val="0"/>
          <w:numId w:val="1084"/>
        </w:numPr>
      </w:pPr>
      <w:r>
        <w:t xml:space="preserve">Si el cuadro no da el ahorro nacional pero sí el de los hogares o el privado, se dice y se razona con él suponiendo que el nacional sigue la misma tónica.</w:t>
      </w:r>
    </w:p>
    <w:bookmarkEnd w:id="142"/>
    <w:bookmarkEnd w:id="143"/>
    <w:bookmarkStart w:id="145" w:name="sec_financiacion"/>
    <w:p>
      <w:pPr>
        <w:pStyle w:val="Heading2"/>
      </w:pPr>
      <w:r>
        <w:t xml:space="preserve">IV.2.</w:t>
      </w:r>
      <w:r>
        <w:t xml:space="preserve"> </w:t>
      </w:r>
      <w:r>
        <w:t xml:space="preserve">Cómo se financia</w:t>
      </w:r>
    </w:p>
    <w:p>
      <w:pPr>
        <w:numPr>
          <w:ilvl w:val="0"/>
          <w:numId w:val="1086"/>
        </w:numPr>
      </w:pPr>
      <w:r>
        <w:rPr>
          <w:i/>
          <w:iCs/>
        </w:rPr>
        <w:t xml:space="preserve">Cómo se escribe</w:t>
      </w:r>
      <w:r>
        <w:t xml:space="preserve">: «veamos cómo se financia esta economía a través de la cuenta financiera».</w:t>
      </w:r>
    </w:p>
    <w:p>
      <w:pPr>
        <w:keepNext/>
        <w:numPr>
          <w:ilvl w:val="0"/>
          <w:numId w:val="1086"/>
        </w:numPr>
      </w:pPr>
      <w:r>
        <w:rPr>
          <w:i/>
          <w:iCs/>
        </w:rPr>
        <w:t xml:space="preserve">Qué se mira</w:t>
      </w:r>
      <w:r>
        <w:t xml:space="preserve">: la cuenta financiera por instrumentos, porque no es lo mismo financiarse con capital que con deuda:</w:t>
      </w:r>
    </w:p>
    <w:p>
      <w:pPr>
        <w:numPr>
          <w:ilvl w:val="1"/>
          <w:numId w:val="1087"/>
        </w:numPr>
      </w:pPr>
      <w:r>
        <w:rPr>
          <w:i/>
          <w:iCs/>
        </w:rPr>
        <w:t xml:space="preserve">inversión directa</w:t>
      </w:r>
      <w:r>
        <w:t xml:space="preserve">: estable, con transferencia de tecnología y efectos desbordamiento;</w:t>
      </w:r>
    </w:p>
    <w:p>
      <w:pPr>
        <w:numPr>
          <w:ilvl w:val="1"/>
          <w:numId w:val="1087"/>
        </w:numPr>
      </w:pPr>
      <w:r>
        <w:rPr>
          <w:i/>
          <w:iCs/>
        </w:rPr>
        <w:t xml:space="preserve">inversión de cartera</w:t>
      </w:r>
      <w:r>
        <w:t xml:space="preserve">: volátil y con efecto rebaño ante un cambio de expectativas;</w:t>
      </w:r>
    </w:p>
    <w:p>
      <w:pPr>
        <w:numPr>
          <w:ilvl w:val="1"/>
          <w:numId w:val="1087"/>
        </w:numPr>
      </w:pPr>
      <w:r>
        <w:rPr>
          <w:i/>
          <w:iCs/>
        </w:rPr>
        <w:t xml:space="preserve">derivados</w:t>
      </w:r>
      <w:r>
        <w:t xml:space="preserve">: aún más volátiles;</w:t>
      </w:r>
    </w:p>
    <w:p>
      <w:pPr>
        <w:numPr>
          <w:ilvl w:val="1"/>
          <w:numId w:val="1087"/>
        </w:numPr>
      </w:pPr>
      <w:r>
        <w:rPr>
          <w:i/>
          <w:iCs/>
        </w:rPr>
        <w:t xml:space="preserve">otra inversión</w:t>
      </w:r>
      <w:r>
        <w:t xml:space="preserve">: préstamos y depósitos (incluidos los del Eurosistema por TARGET y los de organismos como el FMI o la UE);</w:t>
      </w:r>
    </w:p>
    <w:p>
      <w:pPr>
        <w:numPr>
          <w:ilvl w:val="1"/>
          <w:numId w:val="1087"/>
        </w:numPr>
      </w:pPr>
      <w:r>
        <w:rPr>
          <w:i/>
          <w:iCs/>
        </w:rPr>
        <w:t xml:space="preserve">reservas</w:t>
      </w:r>
      <w:r>
        <w:t xml:space="preserve">: su variación es moderada con tipo de cambio flexible y grande si el banco central interviene (apartado </w:t>
      </w:r>
      <w:hyperlink w:anchor="sec_tipo_cambio">
        <w:r>
          <w:rPr>
            <w:rStyle w:val="Hyperlink"/>
          </w:rPr>
          <w:t xml:space="preserve">III.2</w:t>
        </w:r>
      </w:hyperlink>
      <w:r>
        <w:t xml:space="preserve">).</w:t>
      </w:r>
    </w:p>
    <w:p>
      <w:pPr>
        <w:keepNext/>
        <w:numPr>
          <w:ilvl w:val="0"/>
          <w:numId w:val="1086"/>
        </w:numPr>
      </w:pPr>
      <w:r>
        <w:rPr>
          <w:i/>
          <w:iCs/>
        </w:rPr>
        <w:t xml:space="preserve">Adecuación de las reservas</w:t>
      </w:r>
      <w:r>
        <w:t xml:space="preserve">: una combinación de políticas que lleve a un crecimiento equilibrado es siempre la mejor manera de evitar problemas de balanza de pagos a medio plazo. Con todo, la literatura sobre las reservas por motivo precaución da indicadores sencillos para juzgar si son insuficientes o excesivas ante futuros choques</w:t>
      </w:r>
      <w:r>
        <w:t xml:space="preserve"> </w:t>
      </w:r>
      <w:r>
        <w:t xml:space="preserve">(</w:t>
      </w:r>
      <w:hyperlink w:anchor="ref_FMI2011Reservas">
        <w:r>
          <w:rPr>
            <w:rStyle w:val="Hyperlink"/>
            <w:smallCaps/>
          </w:rPr>
          <w:t xml:space="preserve">Fondo Monetario Internacional</w:t>
        </w:r>
        <w:r>
          <w:rPr>
            <w:rStyle w:val="Hyperlink"/>
          </w:rPr>
          <w:t xml:space="preserve">, 2011</w:t>
        </w:r>
      </w:hyperlink>
      <w:r>
        <w:t xml:space="preserve">)</w:t>
      </w:r>
      <w:r>
        <w:t xml:space="preserve">:</w:t>
      </w:r>
    </w:p>
    <w:p>
      <w:pPr>
        <w:numPr>
          <w:ilvl w:val="1"/>
          <w:numId w:val="1088"/>
        </w:numPr>
      </w:pPr>
      <w:r>
        <w:t xml:space="preserve">al menos 3 meses de importaciones: una prueba de resistencia de la capacidad de pagar las importaciones si se pierden los ingresos por exportación y las entradas de capital; útil en los países con poco acceso a los mercados;</w:t>
      </w:r>
    </w:p>
    <w:p>
      <w:pPr>
        <w:numPr>
          <w:ilvl w:val="1"/>
          <w:numId w:val="1088"/>
        </w:numPr>
      </w:pPr>
      <w:r>
        <w:t xml:space="preserve">al menos el 100 % de la deuda externa a corto plazo (regla de</w:t>
      </w:r>
      <w:r>
        <w:t xml:space="preserve"> </w:t>
      </w:r>
      <w:r>
        <w:rPr>
          <w:smallCaps/>
        </w:rPr>
        <w:t xml:space="preserve">Greenspan</w:t>
      </w:r>
      <w:r>
        <w:t xml:space="preserve">-</w:t>
      </w:r>
      <w:r>
        <w:rPr>
          <w:smallCaps/>
        </w:rPr>
        <w:t xml:space="preserve">Guidotti</w:t>
      </w:r>
      <w:r>
        <w:t xml:space="preserve">, para emergentes con acceso a los mercados); mide la liquidez, no la solvencia, y no recoge los pasivos en acciones ni en derivados;</w:t>
      </w:r>
    </w:p>
    <w:p>
      <w:pPr>
        <w:numPr>
          <w:ilvl w:val="1"/>
          <w:numId w:val="1088"/>
        </w:numPr>
      </w:pPr>
      <w:r>
        <w:t xml:space="preserve">al menos el 20 % del dinero en sentido amplio, M2: refleja el riesgo de una fuga de capitales por una pérdida de confianza de los depositantes, que compran divisas de forma masiva y repentina; sobre todo con tipo fijo o caja de conversión;</w:t>
      </w:r>
    </w:p>
    <w:p>
      <w:pPr>
        <w:numPr>
          <w:ilvl w:val="1"/>
          <w:numId w:val="1088"/>
        </w:numPr>
      </w:pPr>
      <w:r>
        <w:t xml:space="preserve">el FMI combina estos criterios en una métrica compuesta para los emergentes.</w:t>
      </w:r>
    </w:p>
    <w:p>
      <w:pPr>
        <w:numPr>
          <w:ilvl w:val="0"/>
          <w:numId w:val="1000"/>
        </w:numPr>
      </w:pPr>
      <w:r>
        <w:t xml:space="preserve">Demasiadas reservas también cuestan (rinden poco y su esterilización tiene un coste).</w:t>
      </w:r>
    </w:p>
    <w:p>
      <w:pPr>
        <w:numPr>
          <w:ilvl w:val="0"/>
          <w:numId w:val="1086"/>
        </w:numPr>
      </w:pPr>
      <w:r>
        <w:rPr>
          <w:i/>
          <w:iCs/>
        </w:rPr>
        <w:t xml:space="preserve">Si la financiación es vulnerable</w:t>
      </w:r>
      <w:r>
        <w:t xml:space="preserve"> </w:t>
      </w:r>
      <w:r>
        <w:t xml:space="preserve">(mucha deuda a corto, mucha cartera): políticas que atraigan inversión directa y que incentiven la inversión productiva, y una fiscalidad estable.</w:t>
      </w:r>
    </w:p>
    <w:p>
      <w:pPr>
        <w:numPr>
          <w:ilvl w:val="0"/>
          <w:numId w:val="1086"/>
        </w:numPr>
      </w:pPr>
      <w:r>
        <w:rPr>
          <w:i/>
          <w:iCs/>
        </w:rPr>
        <w:t xml:space="preserve">Tema</w:t>
      </w:r>
      <w:r>
        <w:t xml:space="preserve">:</w:t>
      </w:r>
      <w:r>
        <w:t xml:space="preserve"> </w:t>
      </w:r>
      <w:hyperlink r:id="rId42">
        <w:r>
          <w:rPr>
            <w:rStyle w:val="Referenciaatema"/>
          </w:rPr>
          <w:t xml:space="preserve">[ver tema 3.B.11]</w:t>
        </w:r>
      </w:hyperlink>
      <w:r>
        <w:t xml:space="preserve"> </w:t>
      </w:r>
      <w:hyperlink r:id="rId144">
        <w:r>
          <w:rPr>
            <w:rStyle w:val="Referenciaatema"/>
          </w:rPr>
          <w:t xml:space="preserve">[ver tema 3.B.22]</w:t>
        </w:r>
      </w:hyperlink>
      <w:r>
        <w:t xml:space="preserve"> </w:t>
      </w:r>
      <w:hyperlink r:id="rId43">
        <w:r>
          <w:rPr>
            <w:rStyle w:val="Referenciaatema"/>
          </w:rPr>
          <w:t xml:space="preserve">[ver tema 4.A.21]</w:t>
        </w:r>
      </w:hyperlink>
      <w:r>
        <w:t xml:space="preserve">.</w:t>
      </w:r>
    </w:p>
    <w:bookmarkEnd w:id="145"/>
    <w:bookmarkStart w:id="147" w:name="sec_piin"/>
    <w:p>
      <w:pPr>
        <w:pStyle w:val="Heading2"/>
      </w:pPr>
      <w:r>
        <w:t xml:space="preserve">IV.3.</w:t>
      </w:r>
      <w:r>
        <w:t xml:space="preserve"> </w:t>
      </w:r>
      <w:r>
        <w:t xml:space="preserve">Posición de inversión internacional y deuda externa</w:t>
      </w:r>
    </w:p>
    <w:p>
      <w:pPr>
        <w:numPr>
          <w:ilvl w:val="0"/>
          <w:numId w:val="1089"/>
        </w:numPr>
      </w:pPr>
      <w:r>
        <w:rPr>
          <w:i/>
          <w:iCs/>
        </w:rPr>
        <w:t xml:space="preserve">Qué mide</w:t>
      </w:r>
      <w:r>
        <w:t xml:space="preserve">: los saldos (</w:t>
      </w:r>
      <w:r>
        <w:rPr>
          <w:i/>
          <w:iCs/>
        </w:rPr>
        <w:t xml:space="preserve">stocks</w:t>
      </w:r>
      <w:r>
        <w:t xml:space="preserve">) que acumulan los flujos. La</w:t>
      </w:r>
      <w:r>
        <w:t xml:space="preserve"> </w:t>
      </w:r>
      <w:r>
        <w:rPr>
          <w:b/>
          <w:bCs/>
        </w:rPr>
        <w:t xml:space="preserve">posición de inversión internacional neta</w:t>
      </w:r>
      <w:r>
        <w:t xml:space="preserve"> </w:t>
      </w:r>
      <w:r>
        <w:t xml:space="preserve">(PIIN) es la diferencia entre los activos y los pasivos financieros frente al exterior,</w:t>
      </w:r>
    </w:p>
    <w:p>
      <w:pPr>
        <w:pStyle w:val="BodyText"/>
        <w:keepNext/>
      </w:pPr>
      <m:oMathPara>
        <m:oMathParaPr>
          <m:jc m:val="center"/>
        </m:oMathParaPr>
        <m:oMath>
          <m:r>
            <m:rPr>
              <m:sty m:val="p"/>
            </m:rPr>
            <m:t>P</m:t>
          </m:r>
          <m:r>
            <m:rPr>
              <m:sty m:val="p"/>
            </m:rPr>
            <m:t>I</m:t>
          </m:r>
          <m:r>
            <m:rPr>
              <m:sty m:val="p"/>
            </m:rPr>
            <m:t>I</m:t>
          </m:r>
          <m:r>
            <m:rPr>
              <m:sty m:val="p"/>
            </m:rPr>
            <m:t>N</m:t>
          </m:r>
          <m:r>
            <m:rPr>
              <m:sty m:val="p"/>
            </m:rPr>
            <m:t>≡</m:t>
          </m:r>
          <m:r>
            <m:rPr>
              <m:nor/>
              <m:sty m:val="p"/>
            </m:rPr>
            <m:t>activos exteriores</m:t>
          </m:r>
          <m:r>
            <m:rPr>
              <m:sty m:val="p"/>
            </m:rPr>
            <m:t>−</m:t>
          </m:r>
          <m:r>
            <m:rPr>
              <m:nor/>
              <m:sty m:val="p"/>
            </m:rPr>
            <m:t>pasivos exteriores</m:t>
          </m:r>
          <m:r>
            <m:rPr>
              <m:sty m:val="p"/>
            </m:rPr>
            <m:t>,</m:t>
          </m:r>
        </m:oMath>
      </m:oMathPara>
    </w:p>
    <w:p>
      <w:pPr>
        <w:numPr>
          <w:ilvl w:val="0"/>
          <w:numId w:val="1000"/>
        </w:numPr>
      </w:pPr>
      <w:r>
        <w:t xml:space="preserve">negativa si el país es</w:t>
      </w:r>
      <w:r>
        <w:t xml:space="preserve"> </w:t>
      </w:r>
      <w:r>
        <w:rPr>
          <w:i/>
          <w:iCs/>
        </w:rPr>
        <w:t xml:space="preserve">deudor neto</w:t>
      </w:r>
      <w:r>
        <w:t xml:space="preserve"> </w:t>
      </w:r>
      <w:r>
        <w:t xml:space="preserve">(</w:t>
      </w:r>
      <w:hyperlink w:anchor="ref_FMI2009MBP6">
        <w:r>
          <w:rPr>
            <w:rStyle w:val="Hyperlink"/>
            <w:smallCaps/>
          </w:rPr>
          <w:t xml:space="preserve">Fondo Monetario Internacional</w:t>
        </w:r>
        <w:r>
          <w:rPr>
            <w:rStyle w:val="Hyperlink"/>
          </w:rPr>
          <w:t xml:space="preserve">, 2009</w:t>
        </w:r>
      </w:hyperlink>
      <w:r>
        <w:t xml:space="preserve">)</w:t>
      </w:r>
      <w:r>
        <w:t xml:space="preserve">. La</w:t>
      </w:r>
      <w:r>
        <w:t xml:space="preserve"> </w:t>
      </w:r>
      <w:r>
        <w:rPr>
          <w:b/>
          <w:bCs/>
        </w:rPr>
        <w:t xml:space="preserve">deuda externa</w:t>
      </w:r>
      <w:r>
        <w:t xml:space="preserve"> </w:t>
      </w:r>
      <w:r>
        <w:t xml:space="preserve">son solo los pasivos exigibles (sin las acciones, la inversión directa en capital ni los derivados; sí los bonos de la inversión de cartera)</w:t>
      </w:r>
      <w:r>
        <w:t xml:space="preserve"> </w:t>
      </w:r>
      <w:hyperlink r:id="rId42">
        <w:r>
          <w:rPr>
            <w:rStyle w:val="Referenciaatema"/>
          </w:rPr>
          <w:t xml:space="preserve">[ver tema 3.B.11]</w:t>
        </w:r>
      </w:hyperlink>
      <w:r>
        <w:t xml:space="preserve">.</w:t>
      </w:r>
    </w:p>
    <w:p>
      <w:pPr>
        <w:numPr>
          <w:ilvl w:val="0"/>
          <w:numId w:val="1089"/>
        </w:numPr>
      </w:pPr>
      <w:r>
        <w:rPr>
          <w:i/>
          <w:iCs/>
        </w:rPr>
        <w:t xml:space="preserve">Umbral</w:t>
      </w:r>
      <w:r>
        <w:t xml:space="preserve">: el cuadro de indicadores del procedimiento de desequilibrios alerta con una PIIN inferior al</w:t>
      </w:r>
      <w:r>
        <w:t xml:space="preserve"> </w:t>
      </w:r>
      <m:oMath>
        <m:r>
          <m:rPr>
            <m:sty m:val="p"/>
          </m:rPr>
          <m:t>−</m:t>
        </m:r>
        <m:r>
          <m:t>35</m:t>
        </m:r>
      </m:oMath>
      <w:r>
        <w:t xml:space="preserve"> % del PIB</w:t>
      </w:r>
      <w:r>
        <w:t xml:space="preserve"> </w:t>
      </w:r>
      <w:r>
        <w:t xml:space="preserve">(</w:t>
      </w:r>
      <w:hyperlink w:anchor="ref_CE2025AMR2026">
        <w:r>
          <w:rPr>
            <w:rStyle w:val="Hyperlink"/>
            <w:smallCaps/>
          </w:rPr>
          <w:t xml:space="preserve">Comisión Europea</w:t>
        </w:r>
        <w:r>
          <w:rPr>
            <w:rStyle w:val="Hyperlink"/>
          </w:rPr>
          <w:t xml:space="preserve">, 2025a</w:t>
        </w:r>
      </w:hyperlink>
      <w:r>
        <w:t xml:space="preserve">)</w:t>
      </w:r>
      <w:r>
        <w:t xml:space="preserve">.</w:t>
      </w:r>
    </w:p>
    <w:p>
      <w:pPr>
        <w:keepNext/>
        <w:numPr>
          <w:ilvl w:val="0"/>
          <w:numId w:val="1089"/>
        </w:numPr>
      </w:pPr>
      <w:r>
        <w:rPr>
          <w:i/>
          <w:iCs/>
        </w:rPr>
        <w:t xml:space="preserve">Cómo se lee</w:t>
      </w:r>
      <w:r>
        <w:t xml:space="preserve">: primero, si el país es acreedor o deudor; después, cómo evoluciona y por qué; y la composición de los pasivos, que importa tanto como el nivel:</w:t>
      </w:r>
      <w:r>
        <w:rPr>
          <w:rStyle w:val="FootnoteReference"/>
        </w:rPr>
        <w:footnoteReference w:id="146"/>
      </w:r>
    </w:p>
    <w:p>
      <w:pPr>
        <w:numPr>
          <w:ilvl w:val="1"/>
          <w:numId w:val="1090"/>
        </w:numPr>
      </w:pPr>
      <w:r>
        <w:rPr>
          <w:i/>
          <w:iCs/>
        </w:rPr>
        <w:t xml:space="preserve">instrumentos</w:t>
      </w:r>
      <w:r>
        <w:t xml:space="preserve">: mejor no exigibles (inversión directa antes que cartera y que derivados);</w:t>
      </w:r>
    </w:p>
    <w:p>
      <w:pPr>
        <w:numPr>
          <w:ilvl w:val="1"/>
          <w:numId w:val="1090"/>
        </w:numPr>
      </w:pPr>
      <w:r>
        <w:rPr>
          <w:i/>
          <w:iCs/>
        </w:rPr>
        <w:t xml:space="preserve">sectores</w:t>
      </w:r>
      <w:r>
        <w:t xml:space="preserve">: los pasivos del banco central no tienen riesgo de refinanciación;</w:t>
      </w:r>
    </w:p>
    <w:p>
      <w:pPr>
        <w:numPr>
          <w:ilvl w:val="1"/>
          <w:numId w:val="1090"/>
        </w:numPr>
      </w:pPr>
      <w:r>
        <w:rPr>
          <w:i/>
          <w:iCs/>
        </w:rPr>
        <w:t xml:space="preserve">plazos</w:t>
      </w:r>
      <w:r>
        <w:t xml:space="preserve">: mejor largos;</w:t>
      </w:r>
    </w:p>
    <w:p>
      <w:pPr>
        <w:numPr>
          <w:ilvl w:val="1"/>
          <w:numId w:val="1090"/>
        </w:numPr>
      </w:pPr>
      <w:r>
        <w:rPr>
          <w:i/>
          <w:iCs/>
        </w:rPr>
        <w:t xml:space="preserve">monedas</w:t>
      </w:r>
      <w:r>
        <w:t xml:space="preserve">: mejor en moneda nacional; si en divisas, mejor en las que se deprecian frente a la nacional.</w:t>
      </w:r>
    </w:p>
    <w:p>
      <w:pPr>
        <w:numPr>
          <w:ilvl w:val="0"/>
          <w:numId w:val="1089"/>
        </w:numPr>
      </w:pPr>
      <w:r>
        <w:rPr>
          <w:i/>
          <w:iCs/>
        </w:rPr>
        <w:t xml:space="preserve">Efecto valoración</w:t>
      </w:r>
      <w:r>
        <w:t xml:space="preserve">: la PIIN cambia por las transacciones y por las</w:t>
      </w:r>
      <w:r>
        <w:t xml:space="preserve"> </w:t>
      </w:r>
      <w:r>
        <w:rPr>
          <w:i/>
          <w:iCs/>
        </w:rPr>
        <w:t xml:space="preserve">otras variaciones</w:t>
      </w:r>
      <w:r>
        <w:t xml:space="preserve"> </w:t>
      </w:r>
      <w:r>
        <w:t xml:space="preserve">(precios de los activos y tipo de cambio), que pesan mucho en las economías pequeñas con monedas débiles que flotan. Un empeoramiento de la PIIN por valoración no siempre es más vulnerabilidad: si suben los precios de las acciones y los bonos nacionales en manos de no residentes porque mejoran las perspectivas de la economía o por una política monetaria acomodaticia, los pasivos valen más.</w:t>
      </w:r>
    </w:p>
    <w:bookmarkEnd w:id="147"/>
    <w:bookmarkStart w:id="149" w:name="sec_sostenibilidad_exterior"/>
    <w:p>
      <w:pPr>
        <w:pStyle w:val="Heading2"/>
      </w:pPr>
      <w:r>
        <w:t xml:space="preserve">IV.4.</w:t>
      </w:r>
      <w:r>
        <w:t xml:space="preserve"> </w:t>
      </w:r>
      <w:r>
        <w:t xml:space="preserve">¿Es sostenible?</w:t>
      </w:r>
    </w:p>
    <w:p>
      <w:pPr>
        <w:numPr>
          <w:ilvl w:val="0"/>
          <w:numId w:val="1091"/>
        </w:numPr>
      </w:pPr>
      <w:r>
        <w:rPr>
          <w:i/>
          <w:iCs/>
        </w:rPr>
        <w:t xml:space="preserve">Dinámica</w:t>
      </w:r>
      <w:r>
        <w:t xml:space="preserve">: en porcentaje del PIB, con</w:t>
      </w:r>
      <w:r>
        <w:t xml:space="preserve"> </w:t>
      </w:r>
      <m:oMath>
        <m:sSup>
          <m:e>
            <m:r>
              <m:t>γ</m:t>
            </m:r>
          </m:e>
          <m:sup>
            <m:r>
              <m:t>N</m:t>
            </m:r>
          </m:sup>
        </m:sSup>
      </m:oMath>
      <w:r>
        <w:t xml:space="preserve"> </w:t>
      </w:r>
      <w:r>
        <w:t xml:space="preserve">el crecimiento del PIB nominal y</w:t>
      </w:r>
      <w:r>
        <w:t xml:space="preserve"> </w:t>
      </w:r>
      <m:oMath>
        <m:r>
          <m:rPr>
            <m:sty m:val="p"/>
          </m:rPr>
          <m:t>O</m:t>
        </m:r>
        <m:r>
          <m:rPr>
            <m:sty m:val="p"/>
          </m:rPr>
          <m:t>V</m:t>
        </m:r>
      </m:oMath>
      <w:r>
        <w:t xml:space="preserve"> </w:t>
      </w:r>
      <w:r>
        <w:t xml:space="preserve">las otras variaciones</w:t>
      </w:r>
      <w:r>
        <w:t xml:space="preserve"> </w:t>
      </w:r>
      <w:hyperlink r:id="rId125">
        <w:r>
          <w:rPr>
            <w:rStyle w:val="Referenciaatema"/>
          </w:rPr>
          <w:t xml:space="preserve">[ver tema 3.B.12]</w:t>
        </w:r>
      </w:hyperlink>
      <w:r>
        <w:t xml:space="preserve">,</w:t>
      </w:r>
      <w:r>
        <w:t xml:space="preserve"> </w:t>
      </w:r>
      <w:bookmarkStart w:id="148" w:name="eq_dinamica_piin"/>
      <w:bookmarkEnd w:id="148"/>
    </w:p>
    <w:p>
      <w:pPr>
        <w:pStyle w:val="BodyText"/>
        <w:keepNext/>
      </w:pPr>
      <m:oMathPara>
        <m:oMathParaPr>
          <m:jc m:val="center"/>
        </m:oMathParaPr>
        <m:oMath>
          <m:sSub>
            <m:e>
              <m:r>
                <m:rPr>
                  <m:sty m:val="p"/>
                </m:rPr>
                <m:t>P</m:t>
              </m:r>
              <m:r>
                <m:rPr>
                  <m:sty m:val="p"/>
                </m:rPr>
                <m:t>I</m:t>
              </m:r>
              <m:r>
                <m:rPr>
                  <m:sty m:val="p"/>
                </m:rPr>
                <m:t>I</m:t>
              </m:r>
              <m:r>
                <m:rPr>
                  <m:sty m:val="p"/>
                </m:rPr>
                <m:t>N</m:t>
              </m:r>
            </m:e>
            <m:sub>
              <m:r>
                <m:t>t</m:t>
              </m:r>
            </m:sub>
          </m:sSub>
          <m:r>
            <m:rPr>
              <m:sty m:val="p"/>
            </m:rPr>
            <m:t>−</m:t>
          </m:r>
          <m:sSub>
            <m:e>
              <m:r>
                <m:rPr>
                  <m:sty m:val="p"/>
                </m:rPr>
                <m:t>P</m:t>
              </m:r>
              <m:r>
                <m:rPr>
                  <m:sty m:val="p"/>
                </m:rPr>
                <m:t>I</m:t>
              </m:r>
              <m:r>
                <m:rPr>
                  <m:sty m:val="p"/>
                </m:rPr>
                <m:t>I</m:t>
              </m:r>
              <m:r>
                <m:rPr>
                  <m:sty m:val="p"/>
                </m:rPr>
                <m:t>N</m:t>
              </m:r>
            </m:e>
            <m:sub>
              <m:r>
                <m:t>t</m:t>
              </m:r>
              <m:r>
                <m:rPr>
                  <m:sty m:val="p"/>
                </m:rPr>
                <m:t>−</m:t>
              </m:r>
              <m:r>
                <m:t>1</m:t>
              </m:r>
            </m:sub>
          </m:sSub>
          <m:r>
            <m:rPr>
              <m:sty m:val="p"/>
            </m:rPr>
            <m:t>≈</m:t>
          </m:r>
          <m:sSub>
            <m:e>
              <m:r>
                <m:rPr>
                  <m:sty m:val="p"/>
                </m:rPr>
                <m:t>C</m:t>
              </m:r>
              <m:r>
                <m:rPr>
                  <m:sty m:val="p"/>
                </m:rPr>
                <m:t>F</m:t>
              </m:r>
            </m:e>
            <m:sub>
              <m:r>
                <m:t>t</m:t>
              </m:r>
            </m:sub>
          </m:sSub>
          <m:r>
            <m:rPr>
              <m:sty m:val="p"/>
            </m:rPr>
            <m:t>+</m:t>
          </m:r>
          <m:sSub>
            <m:e>
              <m:r>
                <m:rPr>
                  <m:sty m:val="p"/>
                </m:rPr>
                <m:t>O</m:t>
              </m:r>
              <m:r>
                <m:rPr>
                  <m:sty m:val="p"/>
                </m:rPr>
                <m:t>V</m:t>
              </m:r>
            </m:e>
            <m:sub>
              <m:r>
                <m:t>t</m:t>
              </m:r>
            </m:sub>
          </m:sSub>
          <m:r>
            <m:rPr>
              <m:sty m:val="p"/>
            </m:rPr>
            <m:t>−</m:t>
          </m:r>
          <m:f>
            <m:fPr>
              <m:type m:val="bar"/>
            </m:fPr>
            <m:num>
              <m:sSubSup>
                <m:e>
                  <m:r>
                    <m:t>γ</m:t>
                  </m:r>
                </m:e>
                <m:sub>
                  <m:r>
                    <m:t>t</m:t>
                  </m:r>
                </m:sub>
                <m:sup>
                  <m:r>
                    <m:t>N</m:t>
                  </m:r>
                </m:sup>
              </m:sSubSup>
            </m:num>
            <m:den>
              <m:r>
                <m:t>1</m:t>
              </m:r>
              <m:r>
                <m:rPr>
                  <m:sty m:val="p"/>
                </m:rPr>
                <m:t>+</m:t>
              </m:r>
              <m:sSubSup>
                <m:e>
                  <m:r>
                    <m:t>γ</m:t>
                  </m:r>
                </m:e>
                <m:sub>
                  <m:r>
                    <m:t>t</m:t>
                  </m:r>
                </m:sub>
                <m:sup>
                  <m:r>
                    <m:t>N</m:t>
                  </m:r>
                </m:sup>
              </m:sSubSup>
            </m:den>
          </m:f>
          <m:r>
            <m:t> </m:t>
          </m:r>
          <m:sSub>
            <m:e>
              <m:r>
                <m:rPr>
                  <m:sty m:val="p"/>
                </m:rPr>
                <m:t>P</m:t>
              </m:r>
              <m:r>
                <m:rPr>
                  <m:sty m:val="p"/>
                </m:rPr>
                <m:t>I</m:t>
              </m:r>
              <m:r>
                <m:rPr>
                  <m:sty m:val="p"/>
                </m:rPr>
                <m:t>I</m:t>
              </m:r>
              <m:r>
                <m:rPr>
                  <m:sty m:val="p"/>
                </m:rPr>
                <m:t>N</m:t>
              </m:r>
            </m:e>
            <m:sub>
              <m:r>
                <m:t>t</m:t>
              </m:r>
              <m:r>
                <m:rPr>
                  <m:sty m:val="p"/>
                </m:rPr>
                <m:t>−</m:t>
              </m:r>
              <m:r>
                <m:t>1</m:t>
              </m:r>
            </m:sub>
          </m:sSub>
          <m:r>
            <m:rPr>
              <m:sty m:val="p"/>
            </m:rPr>
            <m:t>.</m:t>
          </m:r>
        </m:oMath>
      </m:oMathPara>
    </w:p>
    <w:p>
      <w:pPr>
        <w:numPr>
          <w:ilvl w:val="0"/>
          <w:numId w:val="1000"/>
        </w:numPr>
      </w:pPr>
      <w:r>
        <w:t xml:space="preserve">Con PIIN negativa, el crecimiento del PIB nominal la</w:t>
      </w:r>
      <w:r>
        <w:t xml:space="preserve"> </w:t>
      </w:r>
      <w:r>
        <w:rPr>
          <w:i/>
          <w:iCs/>
        </w:rPr>
        <w:t xml:space="preserve">mejora</w:t>
      </w:r>
      <w:r>
        <w:t xml:space="preserve"> </w:t>
      </w:r>
      <w:r>
        <w:t xml:space="preserve">aunque el país siga pidiendo prestado: por eso la PIIN puede mejorar con cuenta financiera negativa. Los intereses ya están en la cuenta corriente: no hay que sumarlos aparte.</w:t>
      </w:r>
    </w:p>
    <w:p>
      <w:pPr>
        <w:numPr>
          <w:ilvl w:val="0"/>
          <w:numId w:val="1091"/>
        </w:numPr>
      </w:pPr>
      <w:r>
        <w:t xml:space="preserve">Un país no puede mantener un déficit por cuenta corriente crónico, porque su capacidad de endeudarse tiene un límite. La sostenibilidad de la necesidad de financiación depende de:</w:t>
      </w:r>
    </w:p>
    <w:p>
      <w:pPr>
        <w:pStyle w:val="Funcionclave"/>
        <w:keepLines/>
      </w:pPr>
      <m:oMathPara>
        <m:oMathParaPr>
          <m:jc m:val="center"/>
        </m:oMathParaPr>
        <m:oMath>
          <m:r>
            <m:rPr>
              <m:nor/>
              <m:sty m:val="p"/>
            </m:rPr>
            <m:t>Sostenibilidad</m:t>
          </m:r>
          <m:r>
            <m:rPr>
              <m:sty m:val="p"/>
            </m:rPr>
            <m:t>=</m:t>
          </m:r>
          <m:r>
            <m:t>f</m:t>
          </m:r>
          <m:d>
            <m:dPr>
              <m:begChr m:val="("/>
              <m:sepChr m:val=""/>
              <m:endChr m:val=")"/>
              <m:grow/>
            </m:dPr>
            <m:e>
              <m:limUpp>
                <m:e>
                  <m:r>
                    <m:rPr>
                      <m:nor/>
                      <m:sty m:val="p"/>
                    </m:rPr>
                    <m:t>deuda</m:t>
                  </m:r>
                </m:e>
                <m:lim>
                  <m:r>
                    <m:rPr>
                      <m:sty m:val="p"/>
                    </m:rPr>
                    <m:t>−</m:t>
                  </m:r>
                </m:lim>
              </m:limUpp>
              <m:r>
                <m:rPr>
                  <m:sty m:val="p"/>
                </m:rPr>
                <m:t>,</m:t>
              </m:r>
              <m:r>
                <m:t> </m:t>
              </m:r>
              <m:limUpp>
                <m:e>
                  <m:sSub>
                    <m:e>
                      <m:r>
                        <m:t>γ</m:t>
                      </m:r>
                    </m:e>
                    <m:sub>
                      <m:r>
                        <m:t>Y</m:t>
                      </m:r>
                    </m:sub>
                  </m:sSub>
                </m:e>
                <m:lim>
                  <m:r>
                    <m:rPr>
                      <m:sty m:val="p"/>
                    </m:rPr>
                    <m:t>+</m:t>
                  </m:r>
                </m:lim>
              </m:limUpp>
              <m:r>
                <m:rPr>
                  <m:sty m:val="p"/>
                </m:rPr>
                <m:t>,</m:t>
              </m:r>
              <m:r>
                <m:t> </m:t>
              </m:r>
              <m:limUpp>
                <m:e>
                  <m:r>
                    <m:t>i</m:t>
                  </m:r>
                </m:e>
                <m:lim>
                  <m:r>
                    <m:rPr>
                      <m:sty m:val="p"/>
                    </m:rPr>
                    <m:t>−</m:t>
                  </m:r>
                </m:lim>
              </m:limUpp>
              <m:r>
                <m:rPr>
                  <m:sty m:val="p"/>
                </m:rPr>
                <m:t>,</m:t>
              </m:r>
              <m:r>
                <m:t> </m:t>
              </m:r>
              <m:limUpp>
                <m:e>
                  <m:r>
                    <m:t>π</m:t>
                  </m:r>
                </m:e>
                <m:lim>
                  <m:r>
                    <m:rPr>
                      <m:sty m:val="p"/>
                    </m:rPr>
                    <m:t>?</m:t>
                  </m:r>
                </m:lim>
              </m:limUpp>
              <m:r>
                <m:rPr>
                  <m:sty m:val="p"/>
                </m:rPr>
                <m:t>,</m:t>
              </m:r>
              <m:r>
                <m:t> </m:t>
              </m:r>
              <m:limUpp>
                <m:e>
                  <m:r>
                    <m:rPr>
                      <m:nor/>
                      <m:sty m:val="p"/>
                    </m:rPr>
                    <m:t>absorción</m:t>
                  </m:r>
                </m:e>
                <m:lim>
                  <m:r>
                    <m:rPr>
                      <m:sty m:val="p"/>
                    </m:rPr>
                    <m:t>−</m:t>
                  </m:r>
                </m:lim>
              </m:limUpp>
              <m:r>
                <m:rPr>
                  <m:sty m:val="p"/>
                </m:rPr>
                <m:t>,</m:t>
              </m:r>
              <m:r>
                <m:t> </m:t>
              </m:r>
              <m:limUpp>
                <m:e>
                  <m:r>
                    <m:t>E</m:t>
                  </m:r>
                </m:e>
                <m:lim>
                  <m:r>
                    <m:rPr>
                      <m:sty m:val="p"/>
                    </m:rPr>
                    <m:t>−</m:t>
                  </m:r>
                </m:lim>
              </m:limUpp>
              <m:r>
                <m:rPr>
                  <m:sty m:val="p"/>
                </m:rPr>
                <m:t>,</m:t>
              </m:r>
              <m:r>
                <m:t> </m:t>
              </m:r>
              <m:limUpp>
                <m:e>
                  <m:r>
                    <m:rPr>
                      <m:nor/>
                      <m:sty m:val="p"/>
                    </m:rPr>
                    <m:t>acceso a los mercados</m:t>
                  </m:r>
                </m:e>
                <m:lim>
                  <m:r>
                    <m:rPr>
                      <m:sty m:val="p"/>
                    </m:rPr>
                    <m:t>+</m:t>
                  </m:r>
                </m:lim>
              </m:limUpp>
            </m:e>
          </m:d>
        </m:oMath>
      </m:oMathPara>
    </w:p>
    <w:p>
      <w:pPr>
        <w:numPr>
          <w:ilvl w:val="0"/>
          <w:numId w:val="1000"/>
        </w:numPr>
      </w:pPr>
      <w:r>
        <w:t xml:space="preserve">donde el tipo de cambio (</w:t>
      </w:r>
      <m:oMath>
        <m:r>
          <m:t>E</m:t>
        </m:r>
      </m:oMath>
      <w:r>
        <w:t xml:space="preserve">) solo cuenta si la deuda está en divisas.</w:t>
      </w:r>
    </w:p>
    <w:p>
      <w:pPr>
        <w:keepNext/>
        <w:numPr>
          <w:ilvl w:val="0"/>
          <w:numId w:val="1091"/>
        </w:numPr>
      </w:pPr>
      <w:r>
        <w:rPr>
          <w:i/>
          <w:iCs/>
        </w:rPr>
        <w:t xml:space="preserve">Cada determinante</w:t>
      </w:r>
      <w:r>
        <w:t xml:space="preserve">:</w:t>
      </w:r>
    </w:p>
    <w:p>
      <w:pPr>
        <w:numPr>
          <w:ilvl w:val="1"/>
          <w:numId w:val="1092"/>
        </w:numPr>
      </w:pPr>
      <w:r>
        <w:rPr>
          <w:i/>
          <w:iCs/>
        </w:rPr>
        <w:t xml:space="preserve">volumen de la deuda</w:t>
      </w:r>
      <w:r>
        <w:t xml:space="preserve"> </w:t>
      </w:r>
      <w:r>
        <w:t xml:space="preserve">(</w:t>
      </w:r>
      <m:oMath>
        <m:r>
          <m:rPr>
            <m:sty m:val="p"/>
          </m:rPr>
          <m:t>−</m:t>
        </m:r>
      </m:oMath>
      <w:r>
        <w:t xml:space="preserve">): más deuda, más intereses, y el problema se retroalimenta;</w:t>
      </w:r>
    </w:p>
    <w:p>
      <w:pPr>
        <w:numPr>
          <w:ilvl w:val="1"/>
          <w:numId w:val="1092"/>
        </w:numPr>
      </w:pPr>
      <w:r>
        <w:rPr>
          <w:i/>
          <w:iCs/>
        </w:rPr>
        <w:t xml:space="preserve">crecimiento</w:t>
      </w:r>
      <w:r>
        <w:t xml:space="preserve"> </w:t>
      </w:r>
      <w:r>
        <w:t xml:space="preserve">(</w:t>
      </w:r>
      <m:oMath>
        <m:r>
          <m:rPr>
            <m:sty m:val="p"/>
          </m:rPr>
          <m:t>+</m:t>
        </m:r>
      </m:oMath>
      <w:r>
        <w:t xml:space="preserve">): de ahí la importancia de en qué se usa la financiación (inversión productiva mejor que gasto corriente);</w:t>
      </w:r>
    </w:p>
    <w:p>
      <w:pPr>
        <w:numPr>
          <w:ilvl w:val="1"/>
          <w:numId w:val="1092"/>
        </w:numPr>
      </w:pPr>
      <w:r>
        <w:rPr>
          <w:i/>
          <w:iCs/>
        </w:rPr>
        <w:t xml:space="preserve">tipos de interés</w:t>
      </w:r>
      <w:r>
        <w:t xml:space="preserve"> </w:t>
      </w:r>
      <w:r>
        <w:t xml:space="preserve">(</w:t>
      </w:r>
      <m:oMath>
        <m:r>
          <m:rPr>
            <m:sty m:val="p"/>
          </m:rPr>
          <m:t>−</m:t>
        </m:r>
      </m:oMath>
      <w:r>
        <w:t xml:space="preserve">);</w:t>
      </w:r>
    </w:p>
    <w:p>
      <w:pPr>
        <w:numPr>
          <w:ilvl w:val="1"/>
          <w:numId w:val="1092"/>
        </w:numPr>
      </w:pPr>
      <w:r>
        <w:rPr>
          <w:i/>
          <w:iCs/>
        </w:rPr>
        <w:t xml:space="preserve">inflación</w:t>
      </w:r>
      <w:r>
        <w:t xml:space="preserve"> </w:t>
      </w:r>
      <w:r>
        <w:t xml:space="preserve">(ambigua): solo licúa la deuda emitida en moneda nacional;</w:t>
      </w:r>
    </w:p>
    <w:p>
      <w:pPr>
        <w:numPr>
          <w:ilvl w:val="1"/>
          <w:numId w:val="1092"/>
        </w:numPr>
      </w:pPr>
      <w:r>
        <w:rPr>
          <w:i/>
          <w:iCs/>
        </w:rPr>
        <w:t xml:space="preserve">tipo de cambio</w:t>
      </w:r>
      <w:r>
        <w:t xml:space="preserve"> </w:t>
      </w:r>
      <w:r>
        <w:t xml:space="preserve">(</w:t>
      </w:r>
      <m:oMath>
        <m:r>
          <m:rPr>
            <m:sty m:val="p"/>
          </m:rPr>
          <m:t>−</m:t>
        </m:r>
      </m:oMath>
      <w:r>
        <w:t xml:space="preserve"> </w:t>
      </w:r>
      <w:r>
        <w:t xml:space="preserve">si la deuda está en divisas): una depreciación la encarece; los emergentes que no pueden endeudarse fuera en su moneda (</w:t>
      </w:r>
      <w:r>
        <w:rPr>
          <w:b/>
          <w:bCs/>
        </w:rPr>
        <w:t xml:space="preserve">pecado original</w:t>
      </w:r>
      <w:r>
        <w:t xml:space="preserve">) son los más expuestos</w:t>
      </w:r>
      <w:r>
        <w:t xml:space="preserve"> </w:t>
      </w:r>
      <w:r>
        <w:t xml:space="preserve">(</w:t>
      </w:r>
      <w:hyperlink w:anchor="ref_EHP2005PecadoOriginal">
        <w:r>
          <w:rPr>
            <w:rStyle w:val="Hyperlink"/>
            <w:smallCaps/>
          </w:rPr>
          <w:t xml:space="preserve">Eichengreen</w:t>
        </w:r>
        <w:r>
          <w:rPr>
            <w:rStyle w:val="Hyperlink"/>
          </w:rPr>
          <w:t xml:space="preserve">,</w:t>
        </w:r>
        <w:r>
          <w:rPr>
            <w:rStyle w:val="Hyperlink"/>
          </w:rPr>
          <w:t xml:space="preserve"> </w:t>
        </w:r>
        <w:r>
          <w:rPr>
            <w:rStyle w:val="Hyperlink"/>
            <w:smallCaps/>
          </w:rPr>
          <w:t xml:space="preserve">Hausmann</w:t>
        </w:r>
        <w:r>
          <w:rPr>
            <w:rStyle w:val="Hyperlink"/>
          </w:rPr>
          <w:t xml:space="preserve"> </w:t>
        </w:r>
        <w:r>
          <w:rPr>
            <w:rStyle w:val="Hyperlink"/>
          </w:rPr>
          <w:t xml:space="preserve">y</w:t>
        </w:r>
        <w:r>
          <w:rPr>
            <w:rStyle w:val="Hyperlink"/>
          </w:rPr>
          <w:t xml:space="preserve"> </w:t>
        </w:r>
        <w:r>
          <w:rPr>
            <w:rStyle w:val="Hyperlink"/>
            <w:smallCaps/>
          </w:rPr>
          <w:t xml:space="preserve">Panizza</w:t>
        </w:r>
        <w:r>
          <w:rPr>
            <w:rStyle w:val="Hyperlink"/>
          </w:rPr>
          <w:t xml:space="preserve">, 2005</w:t>
        </w:r>
      </w:hyperlink>
      <w:r>
        <w:t xml:space="preserve">)</w:t>
      </w:r>
      <w:r>
        <w:t xml:space="preserve">;</w:t>
      </w:r>
    </w:p>
    <w:p>
      <w:pPr>
        <w:numPr>
          <w:ilvl w:val="1"/>
          <w:numId w:val="1092"/>
        </w:numPr>
      </w:pPr>
      <w:r>
        <w:rPr>
          <w:i/>
          <w:iCs/>
        </w:rPr>
        <w:t xml:space="preserve">absorción interna</w:t>
      </w:r>
      <w:r>
        <w:t xml:space="preserve"> </w:t>
      </w:r>
      <w:r>
        <w:t xml:space="preserve">(</w:t>
      </w:r>
      <m:oMath>
        <m:r>
          <m:rPr>
            <m:sty m:val="p"/>
          </m:rPr>
          <m:t>−</m:t>
        </m:r>
      </m:oMath>
      <w:r>
        <w:t xml:space="preserve">), entendida como</w:t>
      </w:r>
      <w:r>
        <w:t xml:space="preserve"> </w:t>
      </w:r>
      <m:oMath>
        <m:r>
          <m:t>C</m:t>
        </m:r>
        <m:r>
          <m:rPr>
            <m:sty m:val="p"/>
          </m:rPr>
          <m:t>+</m:t>
        </m:r>
        <m:r>
          <m:t>I</m:t>
        </m:r>
        <m:r>
          <m:rPr>
            <m:sty m:val="p"/>
          </m:rPr>
          <m:t>+</m:t>
        </m:r>
        <m:r>
          <m:t>G</m:t>
        </m:r>
      </m:oMath>
      <w:r>
        <w:t xml:space="preserve">: cuanto más se gasta dentro, menos queda para pagar;</w:t>
      </w:r>
    </w:p>
    <w:p>
      <w:pPr>
        <w:numPr>
          <w:ilvl w:val="1"/>
          <w:numId w:val="1092"/>
        </w:numPr>
      </w:pPr>
      <w:r>
        <w:rPr>
          <w:i/>
          <w:iCs/>
        </w:rPr>
        <w:t xml:space="preserve">acceso a los mercados</w:t>
      </w:r>
      <w:r>
        <w:t xml:space="preserve"> </w:t>
      </w:r>
      <w:r>
        <w:t xml:space="preserve">(</w:t>
      </w:r>
      <m:oMath>
        <m:r>
          <m:rPr>
            <m:sty m:val="p"/>
          </m:rPr>
          <m:t>+</m:t>
        </m:r>
      </m:oMath>
      <w:r>
        <w:t xml:space="preserve">): sin él, el pago depende de la producción corriente.</w:t>
      </w:r>
    </w:p>
    <w:p>
      <w:pPr>
        <w:numPr>
          <w:ilvl w:val="0"/>
          <w:numId w:val="1091"/>
        </w:numPr>
      </w:pPr>
      <w:r>
        <w:rPr>
          <w:i/>
          <w:iCs/>
        </w:rPr>
        <w:t xml:space="preserve">Umbrales</w:t>
      </w:r>
      <w:r>
        <w:t xml:space="preserve">: no hay uno único para la deuda externa. La regla práctica de la guía anterior (preocupante por encima del 100 % del PIB y muy preocupante por encima del 200 %) es orientativa y no sirve para los países del euro o los centros financieros, con deudas brutas muy altas y en su moneda; en los emergentes con historial de impagos, los problemas aparecen con niveles mucho menores</w:t>
      </w:r>
      <w:r>
        <w:t xml:space="preserve"> </w:t>
      </w:r>
      <w:r>
        <w:t xml:space="preserve">(</w:t>
      </w:r>
      <w:hyperlink w:anchor="ref_Reinhart2003Intolerancia">
        <w:r>
          <w:rPr>
            <w:rStyle w:val="Hyperlink"/>
            <w:smallCaps/>
          </w:rPr>
          <w:t xml:space="preserve">Reinhart</w:t>
        </w:r>
        <w:r>
          <w:rPr>
            <w:rStyle w:val="Hyperlink"/>
          </w:rPr>
          <w:t xml:space="preserve">,</w:t>
        </w:r>
        <w:r>
          <w:rPr>
            <w:rStyle w:val="Hyperlink"/>
          </w:rPr>
          <w:t xml:space="preserve"> </w:t>
        </w:r>
        <w:r>
          <w:rPr>
            <w:rStyle w:val="Hyperlink"/>
            <w:smallCaps/>
          </w:rPr>
          <w:t xml:space="preserve">Rogoff</w:t>
        </w:r>
        <w:r>
          <w:rPr>
            <w:rStyle w:val="Hyperlink"/>
          </w:rPr>
          <w:t xml:space="preserve"> </w:t>
        </w:r>
        <w:r>
          <w:rPr>
            <w:rStyle w:val="Hyperlink"/>
          </w:rPr>
          <w:t xml:space="preserve">y</w:t>
        </w:r>
        <w:r>
          <w:rPr>
            <w:rStyle w:val="Hyperlink"/>
          </w:rPr>
          <w:t xml:space="preserve"> </w:t>
        </w:r>
        <w:r>
          <w:rPr>
            <w:rStyle w:val="Hyperlink"/>
            <w:smallCaps/>
          </w:rPr>
          <w:t xml:space="preserve">Savastano</w:t>
        </w:r>
        <w:r>
          <w:rPr>
            <w:rStyle w:val="Hyperlink"/>
          </w:rPr>
          <w:t xml:space="preserve">, 2003</w:t>
        </w:r>
      </w:hyperlink>
      <w:r>
        <w:t xml:space="preserve">)</w:t>
      </w:r>
      <w:r>
        <w:t xml:space="preserve">. Mejor la PIIN y la composición.</w:t>
      </w:r>
    </w:p>
    <w:p>
      <w:pPr>
        <w:numPr>
          <w:ilvl w:val="0"/>
          <w:numId w:val="1093"/>
        </w:numPr>
      </w:pPr>
      <w:r>
        <w:rPr>
          <w:i/>
          <w:iCs/>
        </w:rPr>
        <w:t xml:space="preserve">Recapitulación</w:t>
      </w:r>
      <w:r>
        <w:t xml:space="preserve">: capacidad o necesidad (subcuentas, ahorro e inversión, sectores), financiación (instrumentos y reservas) y posición (PIIN, composición y dinámica). Con el diagnóstico de todos los bloques, pasamos a las políticas.</w:t>
      </w:r>
    </w:p>
    <w:bookmarkEnd w:id="149"/>
    <w:bookmarkEnd w:id="150"/>
    <w:bookmarkStart w:id="196" w:name="sec_politicas"/>
    <w:p>
      <w:pPr>
        <w:pStyle w:val="Heading1"/>
      </w:pPr>
      <w:r>
        <w:t xml:space="preserve">V.</w:t>
      </w:r>
      <w:r>
        <w:t xml:space="preserve"> </w:t>
      </w:r>
      <w:r>
        <w:t xml:space="preserve">Políticas</w:t>
      </w:r>
    </w:p>
    <w:p>
      <w:pPr>
        <w:numPr>
          <w:ilvl w:val="0"/>
          <w:numId w:val="1094"/>
        </w:numPr>
      </w:pPr>
      <w:r>
        <w:t xml:space="preserve">La conclusión por adelantado: la política económica busca un crecimiento alto y sostenible y amortiguar los ciclos. Las políticas de</w:t>
      </w:r>
      <w:r>
        <w:t xml:space="preserve"> </w:t>
      </w:r>
      <w:r>
        <w:rPr>
          <w:i/>
          <w:iCs/>
        </w:rPr>
        <w:t xml:space="preserve">demanda</w:t>
      </w:r>
      <w:r>
        <w:t xml:space="preserve"> </w:t>
      </w:r>
      <w:r>
        <w:t xml:space="preserve">(monetaria y fiscal) estabilizan el ciclo; las de</w:t>
      </w:r>
      <w:r>
        <w:t xml:space="preserve"> </w:t>
      </w:r>
      <w:r>
        <w:rPr>
          <w:i/>
          <w:iCs/>
        </w:rPr>
        <w:t xml:space="preserve">oferta</w:t>
      </w:r>
      <w:r>
        <w:t xml:space="preserve"> </w:t>
      </w:r>
      <w:r>
        <w:t xml:space="preserve">elevan el crecimiento a largo plazo. En cada una hay que juzgar el</w:t>
      </w:r>
      <w:r>
        <w:t xml:space="preserve"> </w:t>
      </w:r>
      <w:r>
        <w:rPr>
          <w:i/>
          <w:iCs/>
        </w:rPr>
        <w:t xml:space="preserve">tono</w:t>
      </w:r>
      <w:r>
        <w:t xml:space="preserve">, su relación con el ciclo y si ha funcionado.</w:t>
      </w:r>
    </w:p>
    <w:bookmarkStart w:id="157" w:name="sec_monetaria"/>
    <w:p>
      <w:pPr>
        <w:pStyle w:val="Heading2"/>
      </w:pPr>
      <w:r>
        <w:t xml:space="preserve">V.1.</w:t>
      </w:r>
      <w:r>
        <w:t xml:space="preserve"> </w:t>
      </w:r>
      <w:r>
        <w:t xml:space="preserve">Política monetaria</w:t>
      </w:r>
    </w:p>
    <w:p>
      <w:pPr>
        <w:pStyle w:val="Ideaclave"/>
        <w:keepLines/>
      </w:pPr>
      <w:r>
        <w:rPr>
          <w:b/>
          <w:bCs/>
        </w:rPr>
        <w:t xml:space="preserve">Qué hay que contestar</w:t>
      </w:r>
      <w:r>
        <w:t xml:space="preserve">: ¿qué objetivo e instrumentos tiene el banco central? ¿Qué tono ha tenido y por qué? ¿Ha funcionado sobre la inflación y la actividad? ¿Qué debería hacer ahora?</w:t>
      </w:r>
    </w:p>
    <w:p>
      <w:pPr>
        <w:pStyle w:val="Notaalopositor"/>
        <w:keepLines/>
      </w:pPr>
      <w:r>
        <w:rPr>
          <w:b/>
          <w:bCs/>
        </w:rPr>
        <w:t xml:space="preserve">Nota al opositor. </w:t>
      </w:r>
      <w:r>
        <w:t xml:space="preserve">La política monetaria ha caído en 11 de los 14 dictámenes</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casi siempre el tono y si debe seguir (2016, 2018, 2021, 2022 y 2025), y además los canales de transmisión (2020 y 2024), la dominancia fiscal y el balance del banco central (2021), la «última milla» de la desinflación (2024) y su eficacia sobre las variables nominales y reales (2026). A menudo lleva una coletilla sobre el sistema financiero (apartado </w:t>
      </w:r>
      <w:hyperlink w:anchor="sec_estabilidad">
        <w:r>
          <w:rPr>
            <w:rStyle w:val="Hyperlink"/>
          </w:rPr>
          <w:t xml:space="preserve">V.2</w:t>
        </w:r>
      </w:hyperlink>
      <w:r>
        <w:t xml:space="preserve">).</w:t>
      </w:r>
    </w:p>
    <w:p>
      <w:pPr>
        <w:numPr>
          <w:ilvl w:val="0"/>
          <w:numId w:val="1095"/>
        </w:numPr>
      </w:pPr>
      <w:r>
        <w:rPr>
          <w:i/>
          <w:iCs/>
        </w:rPr>
        <w:t xml:space="preserve">Diseño</w:t>
      </w:r>
      <w:r>
        <w:t xml:space="preserve">: hay cierto consenso en que la política monetaria apenas altera el nivel de actividad a largo plazo, aunque sí a corto. Por eso el papel básico de los bancos centrales es controlar la inflación, con ciertas atribuciones de estabilidad de la producción a corto plazo y del sistema financiero. El objetivo es la estabilidad de precios (a menudo un objetivo de inflación numérico, como el 2 % simétrico a medio plazo del BCE</w:t>
      </w:r>
      <w:r>
        <w:t xml:space="preserve"> </w:t>
      </w:r>
      <w:r>
        <w:t xml:space="preserve">(</w:t>
      </w:r>
      <w:hyperlink w:anchor="ref_BCE2025Estrategia">
        <w:r>
          <w:rPr>
            <w:rStyle w:val="Hyperlink"/>
            <w:smallCaps/>
          </w:rPr>
          <w:t xml:space="preserve">Banco Central Europeo</w:t>
        </w:r>
        <w:r>
          <w:rPr>
            <w:rStyle w:val="Hyperlink"/>
          </w:rPr>
          <w:t xml:space="preserve">, 2025b</w:t>
        </w:r>
      </w:hyperlink>
      <w:r>
        <w:t xml:space="preserve">)</w:t>
      </w:r>
      <w:r>
        <w:t xml:space="preserve">; en algunos bancos centrales, también el empleo)</w:t>
      </w:r>
      <w:r>
        <w:t xml:space="preserve"> </w:t>
      </w:r>
      <w:hyperlink r:id="rId120">
        <w:r>
          <w:rPr>
            <w:rStyle w:val="Referenciaatema"/>
          </w:rPr>
          <w:t xml:space="preserve">[ver tema 3.A.36]</w:t>
        </w:r>
      </w:hyperlink>
      <w:r>
        <w:t xml:space="preserve">.</w:t>
      </w:r>
    </w:p>
    <w:p>
      <w:pPr>
        <w:numPr>
          <w:ilvl w:val="0"/>
          <w:numId w:val="1095"/>
        </w:numPr>
      </w:pPr>
      <w:r>
        <w:rPr>
          <w:i/>
          <w:iCs/>
        </w:rPr>
        <w:t xml:space="preserve">Los tipos de interés</w:t>
      </w:r>
      <w:r>
        <w:t xml:space="preserve">: el</w:t>
      </w:r>
      <w:r>
        <w:t xml:space="preserve"> </w:t>
      </w:r>
      <w:r>
        <w:rPr>
          <w:i/>
          <w:iCs/>
        </w:rPr>
        <w:t xml:space="preserve">oficial</w:t>
      </w:r>
      <w:r>
        <w:t xml:space="preserve"> </w:t>
      </w:r>
      <w:r>
        <w:t xml:space="preserve">o de intervención, al que el banco central presta o remunera la liquidez de los bancos; el</w:t>
      </w:r>
      <w:r>
        <w:t xml:space="preserve"> </w:t>
      </w:r>
      <w:r>
        <w:rPr>
          <w:i/>
          <w:iCs/>
        </w:rPr>
        <w:t xml:space="preserve">interbancario</w:t>
      </w:r>
      <w:r>
        <w:t xml:space="preserve">, al que los bancos se prestan entre sí a muy corto plazo; y los</w:t>
      </w:r>
      <w:r>
        <w:t xml:space="preserve"> </w:t>
      </w:r>
      <w:r>
        <w:rPr>
          <w:i/>
          <w:iCs/>
        </w:rPr>
        <w:t xml:space="preserve">tipos a corto plazo</w:t>
      </w:r>
      <w:r>
        <w:t xml:space="preserve"> </w:t>
      </w:r>
      <w:r>
        <w:t xml:space="preserve">del mercado (hasta 12 meses), que fija sobre todo la intervención del banco central, aunque también influyen las expectativas y la solvencia. El oficial es el que señala el signo de la política.</w:t>
      </w:r>
    </w:p>
    <w:p>
      <w:pPr>
        <w:numPr>
          <w:ilvl w:val="0"/>
          <w:numId w:val="1095"/>
        </w:numPr>
      </w:pPr>
      <w:r>
        <w:rPr>
          <w:i/>
          <w:iCs/>
        </w:rPr>
        <w:t xml:space="preserve">Instrumentos</w:t>
      </w:r>
      <w:r>
        <w:t xml:space="preserve">: tipos oficiales; operaciones de financiación a plazo largo; compras de activos (expansión cuantitativa) y su reversión (endurecimiento cuantitativo); orientación sobre los tipos futuros; en los emergentes, intervención cambiaria, coeficientes de reservas o agregados monetarios. Con exceso de liquidez, como en la zona del euro, el tipo que guía la política es el de la facilidad de depósito, y el del mercado a un día cotiza algo por debajo</w:t>
      </w:r>
      <w:r>
        <w:t xml:space="preserve"> </w:t>
      </w:r>
      <w:r>
        <w:t xml:space="preserve">(</w:t>
      </w:r>
      <w:hyperlink w:anchor="ref_BCE2024Marco">
        <w:r>
          <w:rPr>
            <w:rStyle w:val="Hyperlink"/>
            <w:smallCaps/>
          </w:rPr>
          <w:t xml:space="preserve">Banco Central Europeo</w:t>
        </w:r>
        <w:r>
          <w:rPr>
            <w:rStyle w:val="Hyperlink"/>
          </w:rPr>
          <w:t xml:space="preserve">, 2024</w:t>
        </w:r>
      </w:hyperlink>
      <w:r>
        <w:t xml:space="preserve">)</w:t>
      </w:r>
      <w:r>
        <w:t xml:space="preserve">.</w:t>
      </w:r>
    </w:p>
    <w:p>
      <w:pPr>
        <w:numPr>
          <w:ilvl w:val="0"/>
          <w:numId w:val="1095"/>
        </w:numPr>
      </w:pPr>
      <w:r>
        <w:rPr>
          <w:i/>
          <w:iCs/>
        </w:rPr>
        <w:t xml:space="preserve">Tono</w:t>
      </w:r>
      <w:r>
        <w:t xml:space="preserve">: se juzga por el</w:t>
      </w:r>
      <w:r>
        <w:t xml:space="preserve"> </w:t>
      </w:r>
      <w:r>
        <w:rPr>
          <w:i/>
          <w:iCs/>
        </w:rPr>
        <w:t xml:space="preserve">nivel</w:t>
      </w:r>
      <w:r>
        <w:t xml:space="preserve"> </w:t>
      </w:r>
      <w:r>
        <w:t xml:space="preserve">del tipo real a corto,</w:t>
      </w:r>
      <w:r>
        <w:t xml:space="preserve"> </w:t>
      </w:r>
      <m:oMath>
        <m:sSub>
          <m:e>
            <m:r>
              <m:t>r</m:t>
            </m:r>
          </m:e>
          <m:sub>
            <m:r>
              <m:t>t</m:t>
            </m:r>
          </m:sub>
        </m:sSub>
        <m:r>
          <m:rPr>
            <m:sty m:val="p"/>
          </m:rPr>
          <m:t>≡</m:t>
        </m:r>
        <m:sSub>
          <m:e>
            <m:r>
              <m:t>i</m:t>
            </m:r>
          </m:e>
          <m:sub>
            <m:r>
              <m:t>t</m:t>
            </m:r>
          </m:sub>
        </m:sSub>
        <m:r>
          <m:rPr>
            <m:sty m:val="p"/>
          </m:rPr>
          <m:t>−</m:t>
        </m:r>
        <m:sSub>
          <m:e>
            <m:r>
              <m:rPr>
                <m:sty m:val="p"/>
                <m:scr m:val="double-struck"/>
              </m:rPr>
              <m:t>E</m:t>
            </m:r>
          </m:e>
          <m:sub>
            <m:r>
              <m:t>t</m:t>
            </m:r>
          </m:sub>
        </m:sSub>
        <m:d>
          <m:dPr>
            <m:begChr m:val="["/>
            <m:sepChr m:val=""/>
            <m:endChr m:val="]"/>
            <m:grow/>
          </m:dPr>
          <m:e>
            <m:sSub>
              <m:e>
                <m:r>
                  <m:t>π</m:t>
                </m:r>
              </m:e>
              <m:sub>
                <m:r>
                  <m:t>t</m:t>
                </m:r>
                <m:r>
                  <m:rPr>
                    <m:sty m:val="p"/>
                  </m:rPr>
                  <m:t>+</m:t>
                </m:r>
                <m:r>
                  <m:t>1</m:t>
                </m:r>
              </m:sub>
            </m:sSub>
          </m:e>
        </m:d>
      </m:oMath>
      <w:r>
        <w:t xml:space="preserve"> </w:t>
      </w:r>
      <w:r>
        <w:t xml:space="preserve">(en la práctica,</w:t>
      </w:r>
      <w:r>
        <w:t xml:space="preserve"> </w:t>
      </w:r>
      <m:oMath>
        <m:sSub>
          <m:e>
            <m:r>
              <m:t>i</m:t>
            </m:r>
          </m:e>
          <m:sub>
            <m:r>
              <m:t>t</m:t>
            </m:r>
          </m:sub>
        </m:sSub>
        <m:r>
          <m:rPr>
            <m:sty m:val="p"/>
          </m:rPr>
          <m:t>−</m:t>
        </m:r>
        <m:sSub>
          <m:e>
            <m:r>
              <m:t>π</m:t>
            </m:r>
          </m:e>
          <m:sub>
            <m:r>
              <m:t>t</m:t>
            </m:r>
          </m:sub>
        </m:sSub>
      </m:oMath>
      <w:r>
        <w:t xml:space="preserve">), frente al tipo real natural</w:t>
      </w:r>
      <w:r>
        <w:t xml:space="preserve"> </w:t>
      </w:r>
      <m:oMath>
        <m:sSup>
          <m:e>
            <m:r>
              <m:t>r</m:t>
            </m:r>
          </m:e>
          <m:sup>
            <m:r>
              <m:t>n</m:t>
            </m:r>
          </m:sup>
        </m:sSup>
      </m:oMath>
      <w:r>
        <w:t xml:space="preserve">:</w:t>
      </w:r>
      <w:r>
        <w:t xml:space="preserve"> </w:t>
      </w:r>
      <w:r>
        <w:rPr>
          <w:i/>
          <w:iCs/>
        </w:rPr>
        <w:t xml:space="preserve">expansiva</w:t>
      </w:r>
      <w:r>
        <w:t xml:space="preserve"> </w:t>
      </w:r>
      <w:r>
        <w:t xml:space="preserve">(o</w:t>
      </w:r>
      <w:r>
        <w:t xml:space="preserve"> </w:t>
      </w:r>
      <w:r>
        <w:rPr>
          <w:i/>
          <w:iCs/>
        </w:rPr>
        <w:t xml:space="preserve">acomodaticia</w:t>
      </w:r>
      <w:r>
        <w:t xml:space="preserve">, que es sinónimo) si</w:t>
      </w:r>
      <w:r>
        <w:t xml:space="preserve"> </w:t>
      </w:r>
      <m:oMath>
        <m:sSub>
          <m:e>
            <m:r>
              <m:t>r</m:t>
            </m:r>
          </m:e>
          <m:sub>
            <m:r>
              <m:t>t</m:t>
            </m:r>
          </m:sub>
        </m:sSub>
        <m:r>
          <m:rPr>
            <m:sty m:val="p"/>
          </m:rPr>
          <m:t>&lt;</m:t>
        </m:r>
        <m:sSup>
          <m:e>
            <m:r>
              <m:t>r</m:t>
            </m:r>
          </m:e>
          <m:sup>
            <m:r>
              <m:t>n</m:t>
            </m:r>
          </m:sup>
        </m:sSup>
      </m:oMath>
      <w:r>
        <w:t xml:space="preserve">; neutral si</w:t>
      </w:r>
      <w:r>
        <w:t xml:space="preserve"> </w:t>
      </w:r>
      <m:oMath>
        <m:sSub>
          <m:e>
            <m:r>
              <m:t>r</m:t>
            </m:r>
          </m:e>
          <m:sub>
            <m:r>
              <m:t>t</m:t>
            </m:r>
          </m:sub>
        </m:sSub>
        <m:r>
          <m:rPr>
            <m:sty m:val="p"/>
          </m:rPr>
          <m:t>≈</m:t>
        </m:r>
        <m:sSup>
          <m:e>
            <m:r>
              <m:t>r</m:t>
            </m:r>
          </m:e>
          <m:sup>
            <m:r>
              <m:t>n</m:t>
            </m:r>
          </m:sup>
        </m:sSup>
      </m:oMath>
      <w:r>
        <w:t xml:space="preserve">; contractiva si</w:t>
      </w:r>
      <w:r>
        <w:t xml:space="preserve"> </w:t>
      </w:r>
      <m:oMath>
        <m:sSub>
          <m:e>
            <m:r>
              <m:t>r</m:t>
            </m:r>
          </m:e>
          <m:sub>
            <m:r>
              <m:t>t</m:t>
            </m:r>
          </m:sub>
        </m:sSub>
        <m:r>
          <m:rPr>
            <m:sty m:val="p"/>
          </m:rPr>
          <m:t>&gt;</m:t>
        </m:r>
        <m:sSup>
          <m:e>
            <m:r>
              <m:t>r</m:t>
            </m:r>
          </m:e>
          <m:sup>
            <m:r>
              <m:t>n</m:t>
            </m:r>
          </m:sup>
        </m:sSup>
      </m:oMath>
      <w:r>
        <w:t xml:space="preserve">. Como</w:t>
      </w:r>
      <w:r>
        <w:t xml:space="preserve"> </w:t>
      </w:r>
      <m:oMath>
        <m:sSup>
          <m:e>
            <m:r>
              <m:t>r</m:t>
            </m:r>
          </m:e>
          <m:sup>
            <m:r>
              <m:t>n</m:t>
            </m:r>
          </m:sup>
        </m:sSup>
      </m:oMath>
      <w:r>
        <w:t xml:space="preserve"> </w:t>
      </w:r>
      <w:r>
        <w:t xml:space="preserve">no se observa, se completa con la regla de</w:t>
      </w:r>
      <w:r>
        <w:t xml:space="preserve"> </w:t>
      </w:r>
      <w:r>
        <w:rPr>
          <w:smallCaps/>
        </w:rPr>
        <w:t xml:space="preserve">Taylor</w:t>
      </w:r>
      <w:r>
        <w:t xml:space="preserve"> </w:t>
      </w:r>
      <w:r>
        <w:t xml:space="preserve">(</w:t>
      </w:r>
      <w:hyperlink w:anchor="ref_Taylor1993">
        <w:r>
          <w:rPr>
            <w:rStyle w:val="Hyperlink"/>
            <w:smallCaps/>
          </w:rPr>
          <w:t xml:space="preserve">Taylor</w:t>
        </w:r>
        <w:r>
          <w:rPr>
            <w:rStyle w:val="Hyperlink"/>
          </w:rPr>
          <w:t xml:space="preserve">, 1993</w:t>
        </w:r>
      </w:hyperlink>
      <w:r>
        <w:t xml:space="preserve">)</w:t>
      </w:r>
      <w:r>
        <w:t xml:space="preserve">,</w:t>
      </w:r>
    </w:p>
    <w:p>
      <w:pPr>
        <w:pStyle w:val="BodyText"/>
        <w:keepNext/>
      </w:pPr>
      <m:oMathPara>
        <m:oMathParaPr>
          <m:jc m:val="center"/>
        </m:oMathParaPr>
        <m:oMath>
          <m:sSub>
            <m:e>
              <m:r>
                <m:t>i</m:t>
              </m:r>
            </m:e>
            <m:sub>
              <m:r>
                <m:t>t</m:t>
              </m:r>
            </m:sub>
          </m:sSub>
          <m:r>
            <m:rPr>
              <m:sty m:val="p"/>
            </m:rPr>
            <m:t>=</m:t>
          </m:r>
          <m:sSup>
            <m:e>
              <m:r>
                <m:t>r</m:t>
              </m:r>
            </m:e>
            <m:sup>
              <m:r>
                <m:rPr>
                  <m:sty m:val="p"/>
                </m:rPr>
                <m:t>*</m:t>
              </m:r>
            </m:sup>
          </m:sSup>
          <m:r>
            <m:rPr>
              <m:sty m:val="p"/>
            </m:rPr>
            <m:t>+</m:t>
          </m:r>
          <m:sSup>
            <m:e>
              <m:r>
                <m:t>π</m:t>
              </m:r>
            </m:e>
            <m:sup>
              <m:r>
                <m:rPr>
                  <m:sty m:val="p"/>
                </m:rPr>
                <m:t>*</m:t>
              </m:r>
            </m:sup>
          </m:sSup>
          <m:r>
            <m:rPr>
              <m:sty m:val="p"/>
            </m:rPr>
            <m:t>+</m:t>
          </m:r>
          <m:r>
            <m:t>1</m:t>
          </m:r>
          <m:r>
            <m:rPr>
              <m:sty m:val="p"/>
            </m:rPr>
            <m:t>,</m:t>
          </m:r>
          <m:r>
            <m:t>5</m:t>
          </m:r>
          <m:r>
            <m:t> </m:t>
          </m:r>
          <m:d>
            <m:dPr>
              <m:begChr m:val="("/>
              <m:sepChr m:val=""/>
              <m:endChr m:val=")"/>
              <m:grow/>
            </m:dPr>
            <m:e>
              <m:sSub>
                <m:e>
                  <m:r>
                    <m:t>π</m:t>
                  </m:r>
                </m:e>
                <m:sub>
                  <m:r>
                    <m:t>t</m:t>
                  </m:r>
                </m:sub>
              </m:sSub>
              <m:r>
                <m:rPr>
                  <m:sty m:val="p"/>
                </m:rPr>
                <m:t>−</m:t>
              </m:r>
              <m:sSup>
                <m:e>
                  <m:r>
                    <m:t>π</m:t>
                  </m:r>
                </m:e>
                <m:sup>
                  <m:r>
                    <m:rPr>
                      <m:sty m:val="p"/>
                    </m:rPr>
                    <m:t>*</m:t>
                  </m:r>
                </m:sup>
              </m:sSup>
            </m:e>
          </m:d>
          <m:r>
            <m:rPr>
              <m:sty m:val="p"/>
            </m:rPr>
            <m:t>+</m:t>
          </m:r>
          <m:r>
            <m:t>0</m:t>
          </m:r>
          <m:r>
            <m:rPr>
              <m:sty m:val="p"/>
            </m:rPr>
            <m:t>,</m:t>
          </m:r>
          <m:r>
            <m:t>5</m:t>
          </m:r>
          <m:r>
            <m:t> </m:t>
          </m:r>
          <m:sSub>
            <m:e>
              <m:r>
                <m:rPr>
                  <m:sty m:val="p"/>
                </m:rPr>
                <m:t>O</m:t>
              </m:r>
              <m:r>
                <m:rPr>
                  <m:sty m:val="p"/>
                </m:rPr>
                <m:t>G</m:t>
              </m:r>
            </m:e>
            <m:sub>
              <m:r>
                <m:t>t</m:t>
              </m:r>
            </m:sub>
          </m:sSub>
          <m:r>
            <m:rPr>
              <m:sty m:val="p"/>
            </m:rPr>
            <m:t>,</m:t>
          </m:r>
          <m:r>
            <m:t>  </m:t>
          </m:r>
          <m:sSup>
            <m:e>
              <m:r>
                <m:t>r</m:t>
              </m:r>
            </m:e>
            <m:sup>
              <m:r>
                <m:rPr>
                  <m:sty m:val="p"/>
                </m:rPr>
                <m:t>*</m:t>
              </m:r>
            </m:sup>
          </m:sSup>
          <m:r>
            <m:rPr>
              <m:sty m:val="p"/>
            </m:rPr>
            <m:t>=</m:t>
          </m:r>
          <m:sSup>
            <m:e>
              <m:r>
                <m:t>π</m:t>
              </m:r>
            </m:e>
            <m:sup>
              <m:r>
                <m:rPr>
                  <m:sty m:val="p"/>
                </m:rPr>
                <m:t>*</m:t>
              </m:r>
            </m:sup>
          </m:sSup>
          <m:r>
            <m:rPr>
              <m:sty m:val="p"/>
            </m:rPr>
            <m:t>=</m:t>
          </m:r>
          <m:r>
            <m:t>2</m:t>
          </m:r>
          <m:r>
            <m:t> </m:t>
          </m:r>
          <m:r>
            <m:rPr>
              <m:sty m:val="p"/>
            </m:rPr>
            <m:t>%</m:t>
          </m:r>
          <m:r>
            <m:rPr>
              <m:sty m:val="p"/>
            </m:rPr>
            <m:t>,</m:t>
          </m:r>
        </m:oMath>
      </m:oMathPara>
    </w:p>
    <w:p>
      <w:pPr>
        <w:numPr>
          <w:ilvl w:val="0"/>
          <w:numId w:val="1000"/>
        </w:numPr>
      </w:pPr>
      <w:r>
        <w:t xml:space="preserve">y, si los tipos están en su límite inferior, con el</w:t>
      </w:r>
      <w:r>
        <w:t xml:space="preserve"> </w:t>
      </w:r>
      <w:r>
        <w:rPr>
          <w:i/>
          <w:iCs/>
        </w:rPr>
        <w:t xml:space="preserve">balance del banco central</w:t>
      </w:r>
      <w:r>
        <w:t xml:space="preserve"> </w:t>
      </w:r>
      <w:r>
        <w:t xml:space="preserve">(las compras de activos se reflejan en parte en los agregados monetarios, como M3).</w:t>
      </w:r>
      <w:r>
        <w:rPr>
          <w:rStyle w:val="FootnoteReference"/>
        </w:rPr>
        <w:footnoteReference w:id="151"/>
      </w:r>
    </w:p>
    <w:p>
      <w:pPr>
        <w:keepNext/>
        <w:numPr>
          <w:ilvl w:val="0"/>
          <w:numId w:val="1095"/>
        </w:numPr>
      </w:pPr>
      <w:r>
        <w:rPr>
          <w:i/>
          <w:iCs/>
        </w:rPr>
        <w:t xml:space="preserve">Canales de transmisión</w:t>
      </w:r>
      <w:r>
        <w:t xml:space="preserve"> </w:t>
      </w:r>
      <w:hyperlink r:id="rId152">
        <w:r>
          <w:rPr>
            <w:rStyle w:val="Referenciaatema"/>
          </w:rPr>
          <w:t xml:space="preserve">[ver tema 3.A.37]</w:t>
        </w:r>
      </w:hyperlink>
      <w:r>
        <w:t xml:space="preserve">:</w:t>
      </w:r>
    </w:p>
    <w:p>
      <w:pPr>
        <w:numPr>
          <w:ilvl w:val="1"/>
          <w:numId w:val="1096"/>
        </w:numPr>
      </w:pPr>
      <w:r>
        <w:rPr>
          <w:i/>
          <w:iCs/>
        </w:rPr>
        <w:t xml:space="preserve">tipo de interés</w:t>
      </w:r>
      <w:r>
        <w:t xml:space="preserve">: del tipo oficial a la curva de tipos y a los tipos de préstamos y depósitos, y de ahí al consumo y la inversión;</w:t>
      </w:r>
    </w:p>
    <w:p>
      <w:pPr>
        <w:numPr>
          <w:ilvl w:val="1"/>
          <w:numId w:val="1096"/>
        </w:numPr>
      </w:pPr>
      <w:r>
        <w:rPr>
          <w:i/>
          <w:iCs/>
        </w:rPr>
        <w:t xml:space="preserve">crédito</w:t>
      </w:r>
      <w:r>
        <w:t xml:space="preserve">: la oferta de crédito de los bancos y el valor de las garantías de los prestatarios;</w:t>
      </w:r>
    </w:p>
    <w:p>
      <w:pPr>
        <w:numPr>
          <w:ilvl w:val="1"/>
          <w:numId w:val="1096"/>
        </w:numPr>
      </w:pPr>
      <w:r>
        <w:rPr>
          <w:i/>
          <w:iCs/>
        </w:rPr>
        <w:t xml:space="preserve">precios de los activos</w:t>
      </w:r>
      <w:r>
        <w:t xml:space="preserve">: vivienda y bolsa (efecto riqueza,</w:t>
      </w:r>
      <w:r>
        <w:t xml:space="preserve"> </w:t>
      </w:r>
      <m:oMath>
        <m:r>
          <m:t>q</m:t>
        </m:r>
      </m:oMath>
      <w:r>
        <w:t xml:space="preserve"> </w:t>
      </w:r>
      <w:r>
        <w:t xml:space="preserve">de</w:t>
      </w:r>
      <w:r>
        <w:t xml:space="preserve"> </w:t>
      </w:r>
      <w:r>
        <w:rPr>
          <w:smallCaps/>
        </w:rPr>
        <w:t xml:space="preserve">Tobin</w:t>
      </w:r>
      <w:r>
        <w:t xml:space="preserve">);</w:t>
      </w:r>
    </w:p>
    <w:p>
      <w:pPr>
        <w:numPr>
          <w:ilvl w:val="1"/>
          <w:numId w:val="1096"/>
        </w:numPr>
      </w:pPr>
      <w:r>
        <w:rPr>
          <w:i/>
          <w:iCs/>
        </w:rPr>
        <w:t xml:space="preserve">tipo de cambio</w:t>
      </w:r>
      <w:r>
        <w:t xml:space="preserve">: un tipo más alto aprecia la moneda y reduce la inflación importada;</w:t>
      </w:r>
    </w:p>
    <w:p>
      <w:pPr>
        <w:numPr>
          <w:ilvl w:val="1"/>
          <w:numId w:val="1096"/>
        </w:numPr>
      </w:pPr>
      <w:r>
        <w:rPr>
          <w:i/>
          <w:iCs/>
        </w:rPr>
        <w:t xml:space="preserve">expectativas</w:t>
      </w:r>
      <w:r>
        <w:t xml:space="preserve">: si la política es creíble, ancla las de inflación y modera salarios y precios.</w:t>
      </w:r>
    </w:p>
    <w:p>
      <w:pPr>
        <w:numPr>
          <w:ilvl w:val="0"/>
          <w:numId w:val="1095"/>
        </w:numPr>
      </w:pPr>
      <w:r>
        <w:rPr>
          <w:i/>
          <w:iCs/>
        </w:rPr>
        <w:t xml:space="preserve">Eficacia sobre variables nominales y reales</w:t>
      </w:r>
      <w:r>
        <w:t xml:space="preserve">: si tras las subidas baja la inflación (con 1 o 2 años de retraso), se frena el crédito y se aprecia la moneda, la transmisión funciona. Es menos eficaz con un sistema financiero poco desarrollado, mucha dolarización o dominancia fiscal.</w:t>
      </w:r>
    </w:p>
    <w:p>
      <w:pPr>
        <w:numPr>
          <w:ilvl w:val="0"/>
          <w:numId w:val="1095"/>
        </w:numPr>
      </w:pPr>
      <w:r>
        <w:rPr>
          <w:i/>
          <w:iCs/>
        </w:rPr>
        <w:t xml:space="preserve">Balance del banco central</w:t>
      </w:r>
      <w:r>
        <w:t xml:space="preserve">: crece con las compras de activos, los préstamos a los bancos y la compra de divisas. El del Eurosistema pasó de 2 billones de euros en 2014 a 8,8 a mediados de 2022 y bajó a 5,9 en octubre de 2026</w:t>
      </w:r>
      <w:r>
        <w:t xml:space="preserve"> </w:t>
      </w:r>
      <w:r>
        <w:t xml:space="preserve">(</w:t>
      </w:r>
      <w:hyperlink w:anchor="ref_BCE2026ILM">
        <w:r>
          <w:rPr>
            <w:rStyle w:val="Hyperlink"/>
            <w:smallCaps/>
          </w:rPr>
          <w:t xml:space="preserve">Banco Central Europeo</w:t>
        </w:r>
        <w:r>
          <w:rPr>
            <w:rStyle w:val="Hyperlink"/>
          </w:rPr>
          <w:t xml:space="preserve">, 2026c</w:t>
        </w:r>
      </w:hyperlink>
      <w:r>
        <w:t xml:space="preserve">)</w:t>
      </w:r>
      <w:r>
        <w:t xml:space="preserve">.</w:t>
      </w:r>
    </w:p>
    <w:p>
      <w:pPr>
        <w:numPr>
          <w:ilvl w:val="0"/>
          <w:numId w:val="1095"/>
        </w:numPr>
      </w:pPr>
      <w:r>
        <w:rPr>
          <w:b/>
          <w:bCs/>
        </w:rPr>
        <w:t xml:space="preserve">Dominancia fiscal</w:t>
      </w:r>
      <w:r>
        <w:t xml:space="preserve">: cuando manda la política fiscal y el banco central acaba financiando el déficit (directamente o manteniendo tipos bajos para que la deuda sea pagable), pierde el control de la inflación</w:t>
      </w:r>
      <w:r>
        <w:t xml:space="preserve"> </w:t>
      </w:r>
      <w:r>
        <w:t xml:space="preserve">(</w:t>
      </w:r>
      <w:hyperlink w:anchor="ref_SargentWallace1981">
        <w:r>
          <w:rPr>
            <w:rStyle w:val="Hyperlink"/>
            <w:smallCaps/>
          </w:rPr>
          <w:t xml:space="preserve">Sargent</w:t>
        </w:r>
        <w:r>
          <w:rPr>
            <w:rStyle w:val="Hyperlink"/>
          </w:rPr>
          <w:t xml:space="preserve"> </w:t>
        </w:r>
        <w:r>
          <w:rPr>
            <w:rStyle w:val="Hyperlink"/>
          </w:rPr>
          <w:t xml:space="preserve">y</w:t>
        </w:r>
        <w:r>
          <w:rPr>
            <w:rStyle w:val="Hyperlink"/>
          </w:rPr>
          <w:t xml:space="preserve"> </w:t>
        </w:r>
        <w:r>
          <w:rPr>
            <w:rStyle w:val="Hyperlink"/>
            <w:smallCaps/>
          </w:rPr>
          <w:t xml:space="preserve">Wallace</w:t>
        </w:r>
        <w:r>
          <w:rPr>
            <w:rStyle w:val="Hyperlink"/>
          </w:rPr>
          <w:t xml:space="preserve">, 1981</w:t>
        </w:r>
      </w:hyperlink>
      <w:r>
        <w:t xml:space="preserve">;</w:t>
      </w:r>
      <w:r>
        <w:t xml:space="preserve"> </w:t>
      </w:r>
      <w:hyperlink w:anchor="ref_Leeper1991">
        <w:r>
          <w:rPr>
            <w:rStyle w:val="Hyperlink"/>
            <w:smallCaps/>
          </w:rPr>
          <w:t xml:space="preserve">Leeper</w:t>
        </w:r>
        <w:r>
          <w:rPr>
            <w:rStyle w:val="Hyperlink"/>
          </w:rPr>
          <w:t xml:space="preserve">, 1991</w:t>
        </w:r>
      </w:hyperlink>
      <w:r>
        <w:t xml:space="preserve">)</w:t>
      </w:r>
      <w:r>
        <w:t xml:space="preserve">. Indicios: déficit y deuda altos, crédito del banco central al Estado, tipos reales muy negativos con inflación alta, objetivos incumplidos</w:t>
      </w:r>
      <w:r>
        <w:t xml:space="preserve"> </w:t>
      </w:r>
      <w:hyperlink r:id="rId59">
        <w:r>
          <w:rPr>
            <w:rStyle w:val="Referenciaatema"/>
          </w:rPr>
          <w:t xml:space="preserve">[ver tema 3.A.39]</w:t>
        </w:r>
      </w:hyperlink>
      <w:r>
        <w:t xml:space="preserve">.</w:t>
      </w:r>
    </w:p>
    <w:p>
      <w:pPr>
        <w:numPr>
          <w:ilvl w:val="0"/>
          <w:numId w:val="1095"/>
        </w:numPr>
      </w:pPr>
      <w:r>
        <w:rPr>
          <w:i/>
          <w:iCs/>
        </w:rPr>
        <w:t xml:space="preserve">Relación con el ciclo</w:t>
      </w:r>
      <w:r>
        <w:t xml:space="preserve">: contracíclica si sube los tipos con la brecha positiva y los baja con la negativa; procíclica si hace lo contrario.</w:t>
      </w:r>
    </w:p>
    <w:p>
      <w:pPr>
        <w:pStyle w:val="Cajadeanotaciones"/>
        <w:keepNext/>
        <w:keepLines/>
      </w:pPr>
      <w:r>
        <w:rPr>
          <w:b/>
          <w:bCs/>
        </w:rPr>
        <w:t xml:space="preserve">Ejemplo de redacción: el tono de la política monetaria con los tipos en la cota cero.</w:t>
      </w:r>
      <w:r>
        <w:t xml:space="preserve"> </w:t>
      </w:r>
      <w:r>
        <w:t xml:space="preserve">«Para analizar el tono de la política monetaria conviene fijarse en el tipo de interés a corto plazo, que es el que controla directamente el banco central, y en términos reales, que es el que afecta a las decisiones de los agentes. Para ello restamos la inflación al tipo nominal a corto plazo del cuadro.»</w:t>
      </w:r>
    </w:p>
    <w:p>
      <w:pPr>
        <w:pStyle w:val="Cajadeanotaciones"/>
        <w:keepLines/>
      </w:pPr>
      <w:r>
        <w:t xml:space="preserve">«Con esta métrica, el tipo real se sitúa cerca de cero durante buena parte de la serie, lo que apenas reflejaría estímulo. No conviene precipitarse: el banco central alcanza pronto la cota cero del tipo nominal y desde entonces no tiene margen con su instrumento tradicional, de modo que el tipo real no recoge todo el estímulo. Para valorar el tono hay que mirar el conjunto de instrumentos: a medida que el tipo nominal agota su margen, el banco central pone en marcha programas de compra de activos, cuyo impacto se refleja en parte en el agregado M3, que crece con más fuerza desde 20xx y se dispara en 20xx, tras el programa de compras de emergencia: una política monetaria no convencional muy expansiva.» La relación con el ciclo y la valoración final, en el anexo </w:t>
      </w:r>
      <w:hyperlink w:anchor="anexo_parrafos">
        <w:r>
          <w:rPr>
            <w:rStyle w:val="Hyperlink"/>
          </w:rPr>
          <w:t xml:space="preserve">K.1</w:t>
        </w:r>
      </w:hyperlink>
      <w:r>
        <w:t xml:space="preserve">.</w:t>
      </w:r>
    </w:p>
    <w:bookmarkStart w:id="156" w:name="fig_tipos_balance_bce"/>
    <w:p>
      <w:pPr>
        <w:pStyle w:val="ImageCaption"/>
      </w:pPr>
      <w:r>
        <w:t xml:space="preserve">Gráfico 4.–</w:t>
      </w:r>
      <w:r>
        <w:t xml:space="preserve"> </w:t>
      </w:r>
      <w:r>
        <w:t xml:space="preserve">Tipos de interés oficiales del BCE y balance del Eurosistema</w:t>
      </w:r>
    </w:p>
    <w:p>
      <w:pPr>
        <w:pStyle w:val="CaptionedFigure"/>
      </w:pPr>
      <w:r>
        <w:drawing>
          <wp:inline>
            <wp:extent cx="4417060" cy="2379151"/>
            <wp:effectExtent b="0" l="0" r="0" t="0"/>
            <wp:docPr descr="Gráfico 4.– Tipos de interés oficiales del BCE y balance del Eurosistema" title="" id="154" name="Picture"/>
            <a:graphic>
              <a:graphicData uri="http://schemas.openxmlformats.org/drawingml/2006/picture">
                <pic:pic>
                  <pic:nvPicPr>
                    <pic:cNvPr descr="C:\Users\vgutierrez\Documents\src\victorgutierrezmarcos.github.io-revision\oposicion\temario\fuentes\1D01\graficos/tipos-balance-bce.png" id="155" name="Picture"/>
                    <pic:cNvPicPr>
                      <a:picLocks noChangeArrowheads="1" noChangeAspect="1"/>
                    </pic:cNvPicPr>
                  </pic:nvPicPr>
                  <pic:blipFill>
                    <a:blip r:embed="rId153"/>
                    <a:stretch>
                      <a:fillRect/>
                    </a:stretch>
                  </pic:blipFill>
                  <pic:spPr bwMode="auto">
                    <a:xfrm>
                      <a:off x="0" y="0"/>
                      <a:ext cx="4417060" cy="2379151"/>
                    </a:xfrm>
                    <a:prstGeom prst="rect">
                      <a:avLst/>
                    </a:prstGeom>
                    <a:noFill/>
                    <a:ln w="9525">
                      <a:noFill/>
                      <a:headEnd/>
                      <a:tailEnd/>
                    </a:ln>
                  </pic:spPr>
                </pic:pic>
              </a:graphicData>
            </a:graphic>
          </wp:inline>
        </w:drawing>
      </w:r>
    </w:p>
    <w:bookmarkEnd w:id="156"/>
    <w:p>
      <w:pPr>
        <w:pStyle w:val="Piedeimagen"/>
      </w:pPr>
      <w:r>
        <w:t xml:space="preserve">Fuente:</w:t>
      </w:r>
      <w:r>
        <w:t xml:space="preserve"> </w:t>
      </w:r>
      <w:r>
        <w:rPr>
          <w:smallCaps/>
        </w:rPr>
        <w:t xml:space="preserve">Banco Central Europeo</w:t>
      </w:r>
      <w:r>
        <w:t xml:space="preserve"> </w:t>
      </w:r>
      <w:r>
        <w:t xml:space="preserve">(</w:t>
      </w:r>
      <w:hyperlink w:anchor="ref_BCE2026TiposOficiales">
        <w:r>
          <w:rPr>
            <w:rStyle w:val="Hyperlink"/>
          </w:rPr>
          <w:t xml:space="preserve">2026f</w:t>
        </w:r>
      </w:hyperlink>
      <w:r>
        <w:t xml:space="preserve">,</w:t>
      </w:r>
      <w:r>
        <w:t xml:space="preserve"> </w:t>
      </w:r>
      <w:hyperlink w:anchor="ref_BCE2026ILM">
        <w:r>
          <w:rPr>
            <w:rStyle w:val="Hyperlink"/>
          </w:rPr>
          <w:t xml:space="preserve">2026c</w:t>
        </w:r>
      </w:hyperlink>
      <w:r>
        <w:t xml:space="preserve">)</w:t>
      </w:r>
      <w:r>
        <w:t xml:space="preserve">; hasta octubre de 2026. Qué hay que ver: desde 2022 el tipo que guía la política es el de la facilidad de depósito; subidas de 450 puntos básicos en 2022-2023, bajadas hasta el 2 % en 2024-2025 y 2 subidas en 2026 (2,50 % desde septiembre). El balance crece con las compras de activos y la financiación a los bancos y baja desde 2022 al vencer los préstamos y no reinvertirse los valores.</w:t>
      </w:r>
    </w:p>
    <w:bookmarkEnd w:id="157"/>
    <w:bookmarkStart w:id="170" w:name="sec_estabilidad"/>
    <w:p>
      <w:pPr>
        <w:pStyle w:val="Heading2"/>
      </w:pPr>
      <w:r>
        <w:t xml:space="preserve">V.2.</w:t>
      </w:r>
      <w:r>
        <w:t xml:space="preserve"> </w:t>
      </w:r>
      <w:r>
        <w:t xml:space="preserve">Estabilidad financiera y política macroprudencial</w:t>
      </w:r>
    </w:p>
    <w:p>
      <w:pPr>
        <w:pStyle w:val="Ideaclave"/>
        <w:keepLines/>
      </w:pPr>
      <w:r>
        <w:rPr>
          <w:b/>
          <w:bCs/>
        </w:rPr>
        <w:t xml:space="preserve">Qué hay que contestar</w:t>
      </w:r>
      <w:r>
        <w:t xml:space="preserve">: ¿es resiliente el sistema financiero? ¿Está endeudada la economía, y con quién? ¿En qué punto del ciclo financiero está? ¿Es la banca solvente, líquida y rentable? ¿Hay burbujas en la vivienda o en la bolsa? ¿Qué deben hacer la regulación y la política macroprudencial?</w:t>
      </w:r>
    </w:p>
    <w:p>
      <w:pPr>
        <w:pStyle w:val="Notaalopositor"/>
        <w:keepLines/>
      </w:pPr>
      <w:r>
        <w:rPr>
          <w:b/>
          <w:bCs/>
        </w:rPr>
        <w:t xml:space="preserve">Nota al opositor. </w:t>
      </w:r>
      <w:r>
        <w:t xml:space="preserve">La estabilidad financiera cae como pregunta propia (en 2020, una valoración macroprudencial con la solvencia y la rentabilidad de una banca muy bancarizada y el riesgo de los tipos bajos; en 2022, las vulnerabilidades y fortalezas del sector bancario) o como coletilla de la pregunta de política monetaria (en 2023, «valore brevemente la situación del sistema financiero», y en el simulacro de Meridia)</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Por eso va aquí, justo después de la política monetaria. Conviene empezar con una frase que resuma el estado del sistema («el sistema financiero parece resiliente, aunque…») y seguir siempre el mismo orden: endeudamiento, banca, riesgos y políticas.</w:t>
      </w:r>
    </w:p>
    <w:p>
      <w:pPr>
        <w:numPr>
          <w:ilvl w:val="0"/>
          <w:numId w:val="1097"/>
        </w:numPr>
      </w:pPr>
      <w:r>
        <w:rPr>
          <w:i/>
          <w:iCs/>
        </w:rPr>
        <w:t xml:space="preserve">Para qué sirve el sistema financiero</w:t>
      </w:r>
      <w:r>
        <w:t xml:space="preserve">: canaliza el ahorro hacia la inversión productiva. Para hacerlo bien necesita una gran variedad de activos que se ajusten a las preferencias de los inversores, muchas operaciones que le den liquidez y una supervisión completa que proteja a ahorradores e inversores. La</w:t>
      </w:r>
      <w:r>
        <w:t xml:space="preserve"> </w:t>
      </w:r>
      <w:r>
        <w:rPr>
          <w:b/>
          <w:bCs/>
        </w:rPr>
        <w:t xml:space="preserve">estabilidad financiera</w:t>
      </w:r>
      <w:r>
        <w:t xml:space="preserve"> </w:t>
      </w:r>
      <w:r>
        <w:t xml:space="preserve">es que pueda seguir haciéndolo ante un choque, sin cortar el crédito ni amplificar la recesión</w:t>
      </w:r>
      <w:r>
        <w:t xml:space="preserve"> </w:t>
      </w:r>
      <w:hyperlink r:id="rId108">
        <w:r>
          <w:rPr>
            <w:rStyle w:val="Referenciaatema"/>
          </w:rPr>
          <w:t xml:space="preserve">[ver tema 3.B.27]</w:t>
        </w:r>
      </w:hyperlink>
      <w:r>
        <w:t xml:space="preserve"> </w:t>
      </w:r>
      <w:hyperlink r:id="rId109">
        <w:r>
          <w:rPr>
            <w:rStyle w:val="Referenciaatema"/>
          </w:rPr>
          <w:t xml:space="preserve">[ver tema 4.A.19]</w:t>
        </w:r>
      </w:hyperlink>
      <w:r>
        <w:t xml:space="preserve">.</w:t>
      </w:r>
    </w:p>
    <w:p>
      <w:pPr>
        <w:numPr>
          <w:ilvl w:val="0"/>
          <w:numId w:val="1097"/>
        </w:numPr>
      </w:pPr>
      <w:r>
        <w:rPr>
          <w:i/>
          <w:iCs/>
        </w:rPr>
        <w:t xml:space="preserve">Innovación financiera</w:t>
      </w:r>
      <w:r>
        <w:t xml:space="preserve">: es positiva si amplía el menú de rentabilidad y riesgo de los ahorradores y la financiación de las empresas, siempre que quede dentro del perímetro de la supervisión.</w:t>
      </w:r>
    </w:p>
    <w:p>
      <w:pPr>
        <w:numPr>
          <w:ilvl w:val="0"/>
          <w:numId w:val="1097"/>
        </w:numPr>
      </w:pPr>
      <w:r>
        <w:rPr>
          <w:i/>
          <w:iCs/>
        </w:rPr>
        <w:t xml:space="preserve">Orden del análisis</w:t>
      </w:r>
      <w:r>
        <w:t xml:space="preserve">: endeudamiento y ciclo financiero; indicadores de la banca (solvencia, calidad de los activos, liquidez y rentabilidad); riesgos (vivienda, crédito, divisas, tipos, bolsa); regulación microprudencial, supervisión y unión bancaria; y política macroprudencial.</w:t>
      </w:r>
    </w:p>
    <w:bookmarkStart w:id="159" w:name="endeudamiento_y_ciclo_financiero"/>
    <w:p>
      <w:pPr>
        <w:pStyle w:val="Heading4"/>
      </w:pPr>
      <w:r>
        <w:t xml:space="preserve">Endeudamiento y ciclo financiero</w:t>
      </w:r>
    </w:p>
    <w:p>
      <w:pPr>
        <w:numPr>
          <w:ilvl w:val="0"/>
          <w:numId w:val="1098"/>
        </w:numPr>
      </w:pPr>
      <w:r>
        <w:rPr>
          <w:i/>
          <w:iCs/>
        </w:rPr>
        <w:t xml:space="preserve">Qué se mira</w:t>
      </w:r>
      <w:r>
        <w:t xml:space="preserve">: la deuda de los hogares, de las empresas y del Estado (esta, en la política fiscal, apartado </w:t>
      </w:r>
      <w:hyperlink w:anchor="sec_fiscal">
        <w:r>
          <w:rPr>
            <w:rStyle w:val="Hyperlink"/>
          </w:rPr>
          <w:t xml:space="preserve">V.3</w:t>
        </w:r>
      </w:hyperlink>
      <w:r>
        <w:t xml:space="preserve">) y el flujo de crédito. Si gran parte de la deuda es frente al exterior (posición de inversión internacional muy negativa), la economía es más vulnerable a un encarecimiento de la financiación; si además está en divisas, se añade el riesgo de tipo de cambio.</w:t>
      </w:r>
    </w:p>
    <w:p>
      <w:pPr>
        <w:numPr>
          <w:ilvl w:val="0"/>
          <w:numId w:val="1098"/>
        </w:numPr>
      </w:pPr>
      <w:r>
        <w:rPr>
          <w:i/>
          <w:iCs/>
        </w:rPr>
        <w:t xml:space="preserve">Umbral</w:t>
      </w:r>
      <w:r>
        <w:t xml:space="preserve">: el cuadro de indicadores del procedimiento de desequilibrios alerta con una deuda de los hogares superior al 55 % del PIB, una de las sociedades no financieras superior al 85 % y flujos de crédito anuales de más del 14 % (hogares) y el 13 % (empresas) de su deuda del año anterior</w:t>
      </w:r>
      <w:r>
        <w:t xml:space="preserve"> </w:t>
      </w:r>
      <w:r>
        <w:t xml:space="preserve">(</w:t>
      </w:r>
      <w:hyperlink w:anchor="ref_CE2025AMR2026">
        <w:r>
          <w:rPr>
            <w:rStyle w:val="Hyperlink"/>
            <w:smallCaps/>
          </w:rPr>
          <w:t xml:space="preserve">Comisión Europea</w:t>
        </w:r>
        <w:r>
          <w:rPr>
            <w:rStyle w:val="Hyperlink"/>
          </w:rPr>
          <w:t xml:space="preserve">, 2025a</w:t>
        </w:r>
      </w:hyperlink>
      <w:r>
        <w:t xml:space="preserve">;</w:t>
      </w:r>
      <w:r>
        <w:t xml:space="preserve"> </w:t>
      </w:r>
      <w:hyperlink w:anchor="ref_Eurostat2025MIP">
        <w:r>
          <w:rPr>
            <w:rStyle w:val="Hyperlink"/>
            <w:smallCaps/>
          </w:rPr>
          <w:t xml:space="preserve">Eurostat</w:t>
        </w:r>
        <w:r>
          <w:rPr>
            <w:rStyle w:val="Hyperlink"/>
          </w:rPr>
          <w:t xml:space="preserve">, 2025b</w:t>
        </w:r>
      </w:hyperlink>
      <w:r>
        <w:t xml:space="preserve">)</w:t>
      </w:r>
      <w:r>
        <w:t xml:space="preserve">.</w:t>
      </w:r>
    </w:p>
    <w:p>
      <w:pPr>
        <w:numPr>
          <w:ilvl w:val="0"/>
          <w:numId w:val="1098"/>
        </w:numPr>
      </w:pPr>
      <w:r>
        <w:rPr>
          <w:b/>
          <w:bCs/>
        </w:rPr>
        <w:t xml:space="preserve">Brecha crédito-PIB</w:t>
      </w:r>
      <w:r>
        <w:t xml:space="preserve">: la desviación de la ratio crédito/PIB respecto a su tendencia, la versión financiera de la brecha de producción. Positiva y creciente, auge del crédito (riesgo de sobreendeudamiento y burbujas); negativa, el crédito está por debajo de su tendencia. Por encima de 2 puntos se recomienda activar el colchón de capital anticíclico</w:t>
      </w:r>
      <w:r>
        <w:t xml:space="preserve"> </w:t>
      </w:r>
      <w:r>
        <w:t xml:space="preserve">(</w:t>
      </w:r>
      <w:hyperlink w:anchor="ref_BCBS2010Anticiclico">
        <w:r>
          <w:rPr>
            <w:rStyle w:val="Hyperlink"/>
            <w:smallCaps/>
          </w:rPr>
          <w:t xml:space="preserve">Comité de Supervisión Bancaria de Basilea</w:t>
        </w:r>
        <w:r>
          <w:rPr>
            <w:rStyle w:val="Hyperlink"/>
          </w:rPr>
          <w:t xml:space="preserve">, 2010</w:t>
        </w:r>
      </w:hyperlink>
      <w:r>
        <w:t xml:space="preserve">)</w:t>
      </w:r>
      <w:r>
        <w:t xml:space="preserve"> </w:t>
      </w:r>
      <w:hyperlink r:id="rId21">
        <w:r>
          <w:rPr>
            <w:rStyle w:val="Referenciaatema"/>
          </w:rPr>
          <w:t xml:space="preserve">[ver tema 3.A.42]</w:t>
        </w:r>
      </w:hyperlink>
      <w:r>
        <w:t xml:space="preserve"> </w:t>
      </w:r>
      <w:hyperlink r:id="rId108">
        <w:r>
          <w:rPr>
            <w:rStyle w:val="Referenciaatema"/>
          </w:rPr>
          <w:t xml:space="preserve">[ver tema 3.B.27]</w:t>
        </w:r>
      </w:hyperlink>
      <w:r>
        <w:t xml:space="preserve">.</w:t>
      </w:r>
    </w:p>
    <w:p>
      <w:pPr>
        <w:numPr>
          <w:ilvl w:val="0"/>
          <w:numId w:val="1098"/>
        </w:numPr>
      </w:pPr>
      <w:r>
        <w:rPr>
          <w:i/>
          <w:iCs/>
        </w:rPr>
        <w:t xml:space="preserve">Bucle bancario-soberano</w:t>
      </w:r>
      <w:r>
        <w:t xml:space="preserve">: si la banca nacional tiene mucha deuda de su Estado, el riesgo de uno contagia al otro (un Estado en apuros deprecia la cartera de los bancos, y un rescate bancario dispara la deuda pública). Romper ese círculo vicioso es la razón de ser de la unión bancaria</w:t>
      </w:r>
      <w:r>
        <w:t xml:space="preserve"> </w:t>
      </w:r>
      <w:hyperlink r:id="rId158">
        <w:r>
          <w:rPr>
            <w:rStyle w:val="Referenciaatema"/>
          </w:rPr>
          <w:t xml:space="preserve">[ver tema 3.B.44]</w:t>
        </w:r>
      </w:hyperlink>
      <w:r>
        <w:t xml:space="preserve">.</w:t>
      </w:r>
    </w:p>
    <w:p>
      <w:pPr>
        <w:numPr>
          <w:ilvl w:val="0"/>
          <w:numId w:val="1098"/>
        </w:numPr>
      </w:pPr>
      <w:r>
        <w:rPr>
          <w:i/>
          <w:iCs/>
        </w:rPr>
        <w:t xml:space="preserve">Cómo se lee</w:t>
      </w:r>
      <w:r>
        <w:t xml:space="preserve">: un desapalancamiento sano es el que se hace con más ahorro y más renta, no hundiendo el consumo y la inversión (ejemplo de redacción en el anexo </w:t>
      </w:r>
      <w:hyperlink w:anchor="anexo_parrafos">
        <w:r>
          <w:rPr>
            <w:rStyle w:val="Hyperlink"/>
          </w:rPr>
          <w:t xml:space="preserve">K.1</w:t>
        </w:r>
      </w:hyperlink>
      <w:r>
        <w:t xml:space="preserve">).</w:t>
      </w:r>
    </w:p>
    <w:p>
      <w:pPr>
        <w:pStyle w:val="Cajadeanotaciones"/>
        <w:keepLines/>
      </w:pPr>
      <w:r>
        <w:rPr>
          <w:b/>
          <w:bCs/>
        </w:rPr>
        <w:t xml:space="preserve">Ejemplo de redacción: la brecha crédito-PIB.</w:t>
      </w:r>
      <w:r>
        <w:t xml:space="preserve"> </w:t>
      </w:r>
      <w:r>
        <w:t xml:space="preserve">«La brecha crédito-PIB indica que la economía se halla en una posición del ciclo financiero por debajo de su tendencia desde 20xx. No hay, por tanto, sobrecalentamiento del crédito, lo que en principio permite descartar un sobreendeudamiento agregado o burbujas de alcance sistémico.»</w:t>
      </w:r>
    </w:p>
    <w:bookmarkEnd w:id="159"/>
    <w:bookmarkStart w:id="161" w:name="indicadores_de_la_banca_solvencia"/>
    <w:p>
      <w:pPr>
        <w:pStyle w:val="Heading4"/>
      </w:pPr>
      <w:r>
        <w:t xml:space="preserve">Indicadores de la banca: solvencia</w:t>
      </w:r>
    </w:p>
    <w:p>
      <w:pPr>
        <w:numPr>
          <w:ilvl w:val="0"/>
          <w:numId w:val="1099"/>
        </w:numPr>
      </w:pPr>
      <w:r>
        <w:rPr>
          <w:i/>
          <w:iCs/>
        </w:rPr>
        <w:t xml:space="preserve">Qué mide</w:t>
      </w:r>
      <w:r>
        <w:t xml:space="preserve">: la</w:t>
      </w:r>
      <w:r>
        <w:t xml:space="preserve"> </w:t>
      </w:r>
      <w:r>
        <w:rPr>
          <w:b/>
          <w:bCs/>
        </w:rPr>
        <w:t xml:space="preserve">solvencia</w:t>
      </w:r>
      <w:r>
        <w:t xml:space="preserve"> </w:t>
      </w:r>
      <w:r>
        <w:t xml:space="preserve">es la capacidad de absorber pérdidas con recursos propios. Se mide con las</w:t>
      </w:r>
      <w:r>
        <w:t xml:space="preserve"> </w:t>
      </w:r>
      <w:r>
        <w:rPr>
          <w:b/>
          <w:bCs/>
        </w:rPr>
        <w:t xml:space="preserve">ratios de capital</w:t>
      </w:r>
      <w:r>
        <w:t xml:space="preserve">: en el numerador, distintos componentes del patrimonio neto del banco; en el denominador, los</w:t>
      </w:r>
      <w:r>
        <w:t xml:space="preserve"> </w:t>
      </w:r>
      <w:r>
        <w:rPr>
          <w:b/>
          <w:bCs/>
        </w:rPr>
        <w:t xml:space="preserve">activos ponderados por riesgo</w:t>
      </w:r>
      <w:r>
        <w:t xml:space="preserve"> </w:t>
      </w:r>
      <w:r>
        <w:t xml:space="preserve">(APR). Cada activo se multiplica por un porcentaje que refleja su riesgo: no es lo mismo una hipoteca que un préstamo personal, ni un préstamo a una empresa que a un Estado de la zona del euro. Se analiza la</w:t>
      </w:r>
      <w:r>
        <w:t xml:space="preserve"> </w:t>
      </w:r>
      <w:r>
        <w:rPr>
          <w:i/>
          <w:iCs/>
        </w:rPr>
        <w:t xml:space="preserve">cantidad</w:t>
      </w:r>
      <w:r>
        <w:t xml:space="preserve"> </w:t>
      </w:r>
      <w:r>
        <w:t xml:space="preserve">y la</w:t>
      </w:r>
      <w:r>
        <w:t xml:space="preserve"> </w:t>
      </w:r>
      <w:r>
        <w:rPr>
          <w:i/>
          <w:iCs/>
        </w:rPr>
        <w:t xml:space="preserve">calidad</w:t>
      </w:r>
      <w:r>
        <w:t xml:space="preserve"> </w:t>
      </w:r>
      <w:r>
        <w:t xml:space="preserve">del capital.</w:t>
      </w:r>
    </w:p>
    <w:p>
      <w:pPr>
        <w:keepNext/>
        <w:numPr>
          <w:ilvl w:val="0"/>
          <w:numId w:val="1099"/>
        </w:numPr>
      </w:pPr>
      <w:r>
        <w:rPr>
          <w:i/>
          <w:iCs/>
        </w:rPr>
        <w:t xml:space="preserve">Las 3 ratios</w:t>
      </w:r>
      <w:r>
        <w:t xml:space="preserve">, según la calidad de lo que se incluye en el numerador:</w:t>
      </w:r>
    </w:p>
    <w:p>
      <w:pPr>
        <w:numPr>
          <w:ilvl w:val="1"/>
          <w:numId w:val="1100"/>
        </w:numPr>
      </w:pPr>
      <w:r>
        <w:rPr>
          <w:b/>
          <w:bCs/>
        </w:rPr>
        <w:t xml:space="preserve">CET1</w:t>
      </w:r>
      <w:r>
        <w:t xml:space="preserve"> </w:t>
      </w:r>
      <w:r>
        <w:t xml:space="preserve">(</w:t>
      </w:r>
      <w:r>
        <w:rPr>
          <w:i/>
          <w:iCs/>
        </w:rPr>
        <w:t xml:space="preserve">common equity tier 1</w:t>
      </w:r>
      <w:r>
        <w:t xml:space="preserve">, capital ordinario de nivel 1): los instrumentos de máxima calidad, el capital social, sus primas de emisión y las reservas;</w:t>
      </w:r>
    </w:p>
    <w:p>
      <w:pPr>
        <w:numPr>
          <w:ilvl w:val="1"/>
          <w:numId w:val="1100"/>
        </w:numPr>
      </w:pPr>
      <w:r>
        <w:rPr>
          <w:b/>
          <w:bCs/>
        </w:rPr>
        <w:t xml:space="preserve">Tier 1</w:t>
      </w:r>
      <w:r>
        <w:t xml:space="preserve"> </w:t>
      </w:r>
      <w:r>
        <w:t xml:space="preserve">(capital de nivel 1): el CET1 más otros instrumentos que absorben pérdidas con la entidad en funcionamiento (capital adicional de nivel 1, convertible o amortizable si el capital cae);</w:t>
      </w:r>
    </w:p>
    <w:p>
      <w:pPr>
        <w:numPr>
          <w:ilvl w:val="1"/>
          <w:numId w:val="1100"/>
        </w:numPr>
      </w:pPr>
      <w:r>
        <w:rPr>
          <w:b/>
          <w:bCs/>
        </w:rPr>
        <w:t xml:space="preserve">capital total</w:t>
      </w:r>
      <w:r>
        <w:t xml:space="preserve">: el Tier 1 más el capital de nivel 2 (sobre todo deuda subordinada).</w:t>
      </w:r>
    </w:p>
    <w:p>
      <w:pPr>
        <w:numPr>
          <w:ilvl w:val="0"/>
          <w:numId w:val="1000"/>
        </w:numPr>
      </w:pPr>
      <w:r>
        <w:t xml:space="preserve">Estas ratios no se comparan con las de una empresa no financiera, como el patrimonio neto sobre el activo total.</w:t>
      </w:r>
      <w:r>
        <w:rPr>
          <w:rStyle w:val="FootnoteReference"/>
        </w:rPr>
        <w:footnoteReference w:id="160"/>
      </w:r>
    </w:p>
    <w:p>
      <w:pPr>
        <w:numPr>
          <w:ilvl w:val="0"/>
          <w:numId w:val="1099"/>
        </w:numPr>
      </w:pPr>
      <w:r>
        <w:rPr>
          <w:i/>
          <w:iCs/>
        </w:rPr>
        <w:t xml:space="preserve">Umbral</w:t>
      </w:r>
      <w:r>
        <w:t xml:space="preserve">: los mínimos de Basilea III con el colchón de conservación son el 7, el 8,5 y el 10,5 % de los APR, a los que se suman los colchones anticíclico y sistémicos y el requisito de Pilar 2 de cada banco: en la zona del euro, los requisitos totales rondan el 11 % de CET1 y el 16 % de capital total (tabla </w:t>
      </w:r>
      <w:hyperlink w:anchor="tab_basilea">
        <w:r>
          <w:rPr>
            <w:rStyle w:val="Hyperlink"/>
          </w:rPr>
          <w:t xml:space="preserve">8</w:t>
        </w:r>
      </w:hyperlink>
      <w:r>
        <w:t xml:space="preserve">, en los anexos)</w:t>
      </w:r>
      <w:r>
        <w:t xml:space="preserve"> </w:t>
      </w:r>
      <w:r>
        <w:t xml:space="preserve">(</w:t>
      </w:r>
      <w:hyperlink w:anchor="ref_BCBS2017Basel3">
        <w:r>
          <w:rPr>
            <w:rStyle w:val="Hyperlink"/>
            <w:smallCaps/>
          </w:rPr>
          <w:t xml:space="preserve">Basel Committee on Banking Supervision</w:t>
        </w:r>
        <w:r>
          <w:rPr>
            <w:rStyle w:val="Hyperlink"/>
          </w:rPr>
          <w:t xml:space="preserve">, 2017</w:t>
        </w:r>
      </w:hyperlink>
      <w:r>
        <w:t xml:space="preserve">;</w:t>
      </w:r>
      <w:r>
        <w:t xml:space="preserve"> </w:t>
      </w:r>
      <w:hyperlink w:anchor="ref_RegUE2013CRR">
        <w:r>
          <w:rPr>
            <w:rStyle w:val="Hyperlink"/>
            <w:smallCaps/>
          </w:rPr>
          <w:t xml:space="preserve">Parlamento Europeo y Consejo de la Unión Europea</w:t>
        </w:r>
        <w:r>
          <w:rPr>
            <w:rStyle w:val="Hyperlink"/>
          </w:rPr>
          <w:t xml:space="preserve">, 2013b</w:t>
        </w:r>
      </w:hyperlink>
      <w:r>
        <w:t xml:space="preserve">;</w:t>
      </w:r>
      <w:r>
        <w:t xml:space="preserve"> </w:t>
      </w:r>
      <w:hyperlink w:anchor="ref_BCE2025SREP">
        <w:r>
          <w:rPr>
            <w:rStyle w:val="Hyperlink"/>
            <w:smallCaps/>
          </w:rPr>
          <w:t xml:space="preserve">Banco Central Europeo</w:t>
        </w:r>
        <w:r>
          <w:rPr>
            <w:rStyle w:val="Hyperlink"/>
          </w:rPr>
          <w:t xml:space="preserve">, 2025a</w:t>
        </w:r>
      </w:hyperlink>
      <w:r>
        <w:t xml:space="preserve">)</w:t>
      </w:r>
      <w:r>
        <w:t xml:space="preserve">. Como referencia orientativa, la Autoridad Bancaria Europea considera holgado un CET1 por encima del 14 %</w:t>
      </w:r>
      <w:r>
        <w:t xml:space="preserve"> </w:t>
      </w:r>
      <w:r>
        <w:t xml:space="preserve">(</w:t>
      </w:r>
      <w:hyperlink w:anchor="ref_ABE2026RiskDashboard">
        <w:r>
          <w:rPr>
            <w:rStyle w:val="Hyperlink"/>
            <w:smallCaps/>
          </w:rPr>
          <w:t xml:space="preserve">European Banking Authority</w:t>
        </w:r>
        <w:r>
          <w:rPr>
            <w:rStyle w:val="Hyperlink"/>
          </w:rPr>
          <w:t xml:space="preserve">, 2026</w:t>
        </w:r>
      </w:hyperlink>
      <w:r>
        <w:t xml:space="preserve">)</w:t>
      </w:r>
      <w:r>
        <w:t xml:space="preserve">; la regla práctica de la guía anterior (un Tier 1 por encima del 12 % «cumple con cierto margen») se queda corta frente a los requisitos actuales.</w:t>
      </w:r>
    </w:p>
    <w:p>
      <w:pPr>
        <w:numPr>
          <w:ilvl w:val="0"/>
          <w:numId w:val="1099"/>
        </w:numPr>
      </w:pPr>
      <w:r>
        <w:rPr>
          <w:b/>
          <w:bCs/>
        </w:rPr>
        <w:t xml:space="preserve">Ratio de apalancamiento</w:t>
      </w:r>
      <w:r>
        <w:t xml:space="preserve">: un endeudamiento excesivo amenaza la solvencia de un banco (y de cualquier empresa). La ratio limita el endeudamiento con el Tier 1 en el numerador y la</w:t>
      </w:r>
      <w:r>
        <w:t xml:space="preserve"> </w:t>
      </w:r>
      <w:r>
        <w:rPr>
          <w:i/>
          <w:iCs/>
        </w:rPr>
        <w:t xml:space="preserve">exposición total</w:t>
      </w:r>
      <w:r>
        <w:t xml:space="preserve"> </w:t>
      </w:r>
      <w:r>
        <w:t xml:space="preserve">en el denominador: todos los activos y las partidas fuera de balance, sin ponderar por riesgo y con algunos ajustes. El mínimo es el 3 % y no depende de los modelos internos de riesgo de cada banco</w:t>
      </w:r>
      <w:r>
        <w:t xml:space="preserve"> </w:t>
      </w:r>
      <w:r>
        <w:t xml:space="preserve">(</w:t>
      </w:r>
      <w:hyperlink w:anchor="ref_BCBS2017Basel3">
        <w:r>
          <w:rPr>
            <w:rStyle w:val="Hyperlink"/>
            <w:smallCaps/>
          </w:rPr>
          <w:t xml:space="preserve">Basel Committee on Banking Supervision</w:t>
        </w:r>
        <w:r>
          <w:rPr>
            <w:rStyle w:val="Hyperlink"/>
          </w:rPr>
          <w:t xml:space="preserve">, 2017</w:t>
        </w:r>
      </w:hyperlink>
      <w:r>
        <w:t xml:space="preserve">)</w:t>
      </w:r>
      <w:r>
        <w:t xml:space="preserve">.</w:t>
      </w:r>
    </w:p>
    <w:p>
      <w:pPr>
        <w:numPr>
          <w:ilvl w:val="0"/>
          <w:numId w:val="1099"/>
        </w:numPr>
      </w:pPr>
      <w:r>
        <w:rPr>
          <w:i/>
          <w:iCs/>
        </w:rPr>
        <w:t xml:space="preserve">Cómo se lee</w:t>
      </w:r>
      <w:r>
        <w:t xml:space="preserve">: en una buena coyuntura hay 2 efectos opuestos sobre la ratio de capital: más beneficios retenidos (sube el numerador) y más crédito (suben los APR del denominador). Un capital que cumple, pero muy justo, puede no bastar ante un choque.</w:t>
      </w:r>
    </w:p>
    <w:bookmarkEnd w:id="161"/>
    <w:bookmarkStart w:id="162" w:name="calidad_de_los_activos"/>
    <w:p>
      <w:pPr>
        <w:pStyle w:val="Heading4"/>
      </w:pPr>
      <w:r>
        <w:t xml:space="preserve">Calidad de los activos</w:t>
      </w:r>
    </w:p>
    <w:p>
      <w:pPr>
        <w:numPr>
          <w:ilvl w:val="0"/>
          <w:numId w:val="1101"/>
        </w:numPr>
      </w:pPr>
      <w:r>
        <w:rPr>
          <w:i/>
          <w:iCs/>
        </w:rPr>
        <w:t xml:space="preserve">Por qué importa</w:t>
      </w:r>
      <w:r>
        <w:t xml:space="preserve">: la esencia del negocio bancario es prestar bien (el activo) para tranquilidad de los depositantes (el pasivo). Cuando un préstamo pasa a</w:t>
      </w:r>
      <w:r>
        <w:t xml:space="preserve"> </w:t>
      </w:r>
      <w:r>
        <w:rPr>
          <w:i/>
          <w:iCs/>
        </w:rPr>
        <w:t xml:space="preserve">dudoso</w:t>
      </w:r>
      <w:r>
        <w:t xml:space="preserve">, el banco deja de cobrar intereses (pierde ingresos) y tiene que dotar una provisión (anota un coste): donde había un beneficio aparece una pérdida.</w:t>
      </w:r>
    </w:p>
    <w:p>
      <w:pPr>
        <w:numPr>
          <w:ilvl w:val="0"/>
          <w:numId w:val="1101"/>
        </w:numPr>
      </w:pPr>
      <w:r>
        <w:rPr>
          <w:i/>
          <w:iCs/>
        </w:rPr>
        <w:t xml:space="preserve">Qué mide</w:t>
      </w:r>
      <w:r>
        <w:t xml:space="preserve">: la</w:t>
      </w:r>
      <w:r>
        <w:t xml:space="preserve"> </w:t>
      </w:r>
      <w:r>
        <w:rPr>
          <w:b/>
          <w:bCs/>
        </w:rPr>
        <w:t xml:space="preserve">ratio de dudosos</w:t>
      </w:r>
      <w:r>
        <w:t xml:space="preserve"> </w:t>
      </w:r>
      <w:r>
        <w:t xml:space="preserve">(</w:t>
      </w:r>
      <w:r>
        <w:rPr>
          <w:i/>
          <w:iCs/>
        </w:rPr>
        <w:t xml:space="preserve">non-performing loans</w:t>
      </w:r>
      <w:r>
        <w:t xml:space="preserve">, NPL): los préstamos con más de 90 días de impago o de pago improbable sobre el crédito total; y la</w:t>
      </w:r>
      <w:r>
        <w:t xml:space="preserve"> </w:t>
      </w:r>
      <w:r>
        <w:rPr>
          <w:b/>
          <w:bCs/>
        </w:rPr>
        <w:t xml:space="preserve">ratio de cobertura</w:t>
      </w:r>
      <w:r>
        <w:t xml:space="preserve">: las provisiones sobre los dudosos.</w:t>
      </w:r>
    </w:p>
    <w:p>
      <w:pPr>
        <w:numPr>
          <w:ilvl w:val="0"/>
          <w:numId w:val="1101"/>
        </w:numPr>
      </w:pPr>
      <w:r>
        <w:rPr>
          <w:i/>
          <w:iCs/>
        </w:rPr>
        <w:t xml:space="preserve">Umbral</w:t>
      </w:r>
      <w:r>
        <w:t xml:space="preserve"> </w:t>
      </w:r>
      <w:r>
        <w:t xml:space="preserve">(orientativo, de la Autoridad Bancaria Europea): por debajo del 3 %, bajo; por encima del 8 %, alto</w:t>
      </w:r>
      <w:r>
        <w:t xml:space="preserve"> </w:t>
      </w:r>
      <w:r>
        <w:t xml:space="preserve">(</w:t>
      </w:r>
      <w:hyperlink w:anchor="ref_ABE2026RiskDashboard">
        <w:r>
          <w:rPr>
            <w:rStyle w:val="Hyperlink"/>
            <w:smallCaps/>
          </w:rPr>
          <w:t xml:space="preserve">European Banking Authority</w:t>
        </w:r>
        <w:r>
          <w:rPr>
            <w:rStyle w:val="Hyperlink"/>
          </w:rPr>
          <w:t xml:space="preserve">, 2026</w:t>
        </w:r>
      </w:hyperlink>
      <w:r>
        <w:t xml:space="preserve">)</w:t>
      </w:r>
      <w:r>
        <w:t xml:space="preserve">.</w:t>
      </w:r>
    </w:p>
    <w:p>
      <w:pPr>
        <w:numPr>
          <w:ilvl w:val="0"/>
          <w:numId w:val="1101"/>
        </w:numPr>
      </w:pPr>
      <w:r>
        <w:rPr>
          <w:i/>
          <w:iCs/>
        </w:rPr>
        <w:t xml:space="preserve">Cómo se lee</w:t>
      </w:r>
      <w:r>
        <w:t xml:space="preserve">: la morosidad va retrasada respecto al ciclo; las moratorias y las garantías públicas pueden retrasar su reconocimiento.</w:t>
      </w:r>
    </w:p>
    <w:bookmarkEnd w:id="162"/>
    <w:bookmarkStart w:id="163" w:name="liquidez"/>
    <w:p>
      <w:pPr>
        <w:pStyle w:val="Heading4"/>
      </w:pPr>
      <w:r>
        <w:t xml:space="preserve">Liquidez</w:t>
      </w:r>
    </w:p>
    <w:p>
      <w:pPr>
        <w:numPr>
          <w:ilvl w:val="0"/>
          <w:numId w:val="1102"/>
        </w:numPr>
      </w:pPr>
      <w:r>
        <w:rPr>
          <w:i/>
          <w:iCs/>
        </w:rPr>
        <w:t xml:space="preserve">Qué mide</w:t>
      </w:r>
      <w:r>
        <w:t xml:space="preserve">: el riesgo de no tener recursos líquidos suficientes para atender los pagos previstos y los imprevistos sin vender activos con pérdidas. Un banco solvente puede caer por falta de liquidez.</w:t>
      </w:r>
    </w:p>
    <w:p>
      <w:pPr>
        <w:numPr>
          <w:ilvl w:val="0"/>
          <w:numId w:val="1102"/>
        </w:numPr>
      </w:pPr>
      <w:r>
        <w:rPr>
          <w:i/>
          <w:iCs/>
        </w:rPr>
        <w:t xml:space="preserve">Indicadores</w:t>
      </w:r>
      <w:r>
        <w:t xml:space="preserve">: la</w:t>
      </w:r>
      <w:r>
        <w:t xml:space="preserve"> </w:t>
      </w:r>
      <w:r>
        <w:rPr>
          <w:b/>
          <w:bCs/>
        </w:rPr>
        <w:t xml:space="preserve">LCR</w:t>
      </w:r>
      <w:r>
        <w:t xml:space="preserve"> </w:t>
      </w:r>
      <w:r>
        <w:t xml:space="preserve">(activos líquidos de alta calidad sobre las salidas netas en 30 días de tensión) y la</w:t>
      </w:r>
      <w:r>
        <w:t xml:space="preserve"> </w:t>
      </w:r>
      <w:r>
        <w:rPr>
          <w:b/>
          <w:bCs/>
        </w:rPr>
        <w:t xml:space="preserve">NSFR</w:t>
      </w:r>
      <w:r>
        <w:t xml:space="preserve"> </w:t>
      </w:r>
      <w:r>
        <w:t xml:space="preserve">(financiación estable disponible sobre la requerida a un año), con mínimos del 100 %</w:t>
      </w:r>
      <w:r>
        <w:t xml:space="preserve"> </w:t>
      </w:r>
      <w:r>
        <w:t xml:space="preserve">(</w:t>
      </w:r>
      <w:hyperlink w:anchor="ref_BCBS2013LCR">
        <w:r>
          <w:rPr>
            <w:rStyle w:val="Hyperlink"/>
            <w:smallCaps/>
          </w:rPr>
          <w:t xml:space="preserve">Comité de Supervisión Bancaria de Basilea</w:t>
        </w:r>
        <w:r>
          <w:rPr>
            <w:rStyle w:val="Hyperlink"/>
          </w:rPr>
          <w:t xml:space="preserve">, 2013</w:t>
        </w:r>
      </w:hyperlink>
      <w:r>
        <w:t xml:space="preserve">,</w:t>
      </w:r>
      <w:r>
        <w:t xml:space="preserve"> </w:t>
      </w:r>
      <w:hyperlink w:anchor="ref_BCBS2014NSFR">
        <w:r>
          <w:rPr>
            <w:rStyle w:val="Hyperlink"/>
          </w:rPr>
          <w:t xml:space="preserve">2014</w:t>
        </w:r>
      </w:hyperlink>
      <w:r>
        <w:t xml:space="preserve">)</w:t>
      </w:r>
      <w:r>
        <w:t xml:space="preserve">; los activos líquidos sobre el activo total; y la</w:t>
      </w:r>
      <w:r>
        <w:t xml:space="preserve"> </w:t>
      </w:r>
      <w:r>
        <w:rPr>
          <w:b/>
          <w:bCs/>
        </w:rPr>
        <w:t xml:space="preserve">ratio créditos/depósitos</w:t>
      </w:r>
      <w:r>
        <w:t xml:space="preserve"> </w:t>
      </w:r>
      <w:r>
        <w:t xml:space="preserve">(LTD).</w:t>
      </w:r>
    </w:p>
    <w:p>
      <w:pPr>
        <w:numPr>
          <w:ilvl w:val="0"/>
          <w:numId w:val="1102"/>
        </w:numPr>
      </w:pPr>
      <w:r>
        <w:rPr>
          <w:i/>
          <w:iCs/>
        </w:rPr>
        <w:t xml:space="preserve">Cómo se lee</w:t>
      </w:r>
      <w:r>
        <w:t xml:space="preserve">: una LTD por encima del 100 % significa que los créditos superan a los depósitos y el banco depende de la financiación mayorista (riesgo de financiación); muy por debajo, el banco presta poco de lo que capta y quizá gana menos de lo que podría.</w:t>
      </w:r>
    </w:p>
    <w:bookmarkEnd w:id="163"/>
    <w:bookmarkStart w:id="165" w:name="rentabilidad"/>
    <w:p>
      <w:pPr>
        <w:pStyle w:val="Heading4"/>
      </w:pPr>
      <w:r>
        <w:t xml:space="preserve">Rentabilidad</w:t>
      </w:r>
    </w:p>
    <w:p>
      <w:pPr>
        <w:numPr>
          <w:ilvl w:val="0"/>
          <w:numId w:val="1103"/>
        </w:numPr>
      </w:pPr>
      <w:r>
        <w:rPr>
          <w:i/>
          <w:iCs/>
        </w:rPr>
        <w:t xml:space="preserve">Por qué importa</w:t>
      </w:r>
      <w:r>
        <w:t xml:space="preserve">: una empresa con pérdidas continuadas está condenada a desaparecer, porque nadie quiere perder dinero año tras año; un banco necesita beneficios para generar capital y atraer inversores. Con tipos de interés cercanos a cero y costes de estructura altos (oficinas, sistemas, personal), la banca europea fue poco rentable durante años; con las subidas de tipos su rentabilidad mejoró.</w:t>
      </w:r>
    </w:p>
    <w:p>
      <w:pPr>
        <w:numPr>
          <w:ilvl w:val="0"/>
          <w:numId w:val="1103"/>
        </w:numPr>
      </w:pPr>
      <w:r>
        <w:rPr>
          <w:i/>
          <w:iCs/>
        </w:rPr>
        <w:t xml:space="preserve">Indicadores</w:t>
      </w:r>
      <w:r>
        <w:t xml:space="preserve">: el</w:t>
      </w:r>
      <w:r>
        <w:t xml:space="preserve"> </w:t>
      </w:r>
      <w:r>
        <w:rPr>
          <w:b/>
          <w:bCs/>
        </w:rPr>
        <w:t xml:space="preserve">ROE</w:t>
      </w:r>
      <w:r>
        <w:t xml:space="preserve"> </w:t>
      </w:r>
      <w:r>
        <w:t xml:space="preserve">(beneficio neto sobre patrimonio neto), la más usada, también en las empresas no financieras; el ROA bancario (beneficio neto sobre activo medio, distinto del ROA de la empresa no financiera</w:t>
      </w:r>
      <w:r>
        <w:t xml:space="preserve"> </w:t>
      </w:r>
      <w:hyperlink r:id="rId164">
        <w:r>
          <w:rPr>
            <w:rStyle w:val="Referenciaatema"/>
          </w:rPr>
          <w:t xml:space="preserve">[ver tema 3.B.1]</w:t>
        </w:r>
      </w:hyperlink>
      <w:r>
        <w:t xml:space="preserve">), con</w:t>
      </w:r>
      <w:r>
        <w:t xml:space="preserve"> </w:t>
      </w:r>
      <m:oMath>
        <m:r>
          <m:rPr>
            <m:sty m:val="p"/>
          </m:rPr>
          <m:t>R</m:t>
        </m:r>
        <m:r>
          <m:rPr>
            <m:sty m:val="p"/>
          </m:rPr>
          <m:t>O</m:t>
        </m:r>
        <m:r>
          <m:rPr>
            <m:sty m:val="p"/>
          </m:rPr>
          <m:t>E</m:t>
        </m:r>
        <m:r>
          <m:rPr>
            <m:sty m:val="p"/>
          </m:rPr>
          <m:t>=</m:t>
        </m:r>
        <m:r>
          <m:rPr>
            <m:sty m:val="p"/>
          </m:rPr>
          <m:t>R</m:t>
        </m:r>
        <m:r>
          <m:rPr>
            <m:sty m:val="p"/>
          </m:rPr>
          <m:t>O</m:t>
        </m:r>
        <m:r>
          <m:rPr>
            <m:sty m:val="p"/>
          </m:rPr>
          <m:t>A</m:t>
        </m:r>
        <m:r>
          <m:rPr>
            <m:sty m:val="p"/>
          </m:rPr>
          <m:t>×</m:t>
        </m:r>
        <m:r>
          <m:rPr>
            <m:nor/>
            <m:sty m:val="p"/>
          </m:rPr>
          <m:t>activo</m:t>
        </m:r>
        <m:r>
          <m:rPr>
            <m:sty m:val="p"/>
          </m:rPr>
          <m:t>/</m:t>
        </m:r>
        <m:r>
          <m:rPr>
            <m:nor/>
            <m:sty m:val="p"/>
          </m:rPr>
          <m:t>patrimonio</m:t>
        </m:r>
      </m:oMath>
      <w:r>
        <w:t xml:space="preserve"> </w:t>
      </w:r>
      <w:r>
        <w:t xml:space="preserve">(el ROE supera al ROA por el apalancamiento); y la</w:t>
      </w:r>
      <w:r>
        <w:t xml:space="preserve"> </w:t>
      </w:r>
      <w:r>
        <w:rPr>
          <w:b/>
          <w:bCs/>
        </w:rPr>
        <w:t xml:space="preserve">ratio de eficiencia</w:t>
      </w:r>
      <w:r>
        <w:t xml:space="preserve"> </w:t>
      </w:r>
      <w:r>
        <w:t xml:space="preserve">(gastos de explotación sobre margen bruto; cuanto menor, mejor).</w:t>
      </w:r>
    </w:p>
    <w:p>
      <w:pPr>
        <w:numPr>
          <w:ilvl w:val="0"/>
          <w:numId w:val="1103"/>
        </w:numPr>
      </w:pPr>
      <w:r>
        <w:rPr>
          <w:i/>
          <w:iCs/>
        </w:rPr>
        <w:t xml:space="preserve">Umbral</w:t>
      </w:r>
      <w:r>
        <w:t xml:space="preserve">: el ROE es suficiente si supera el</w:t>
      </w:r>
      <w:r>
        <w:t xml:space="preserve"> </w:t>
      </w:r>
      <w:r>
        <w:rPr>
          <w:b/>
          <w:bCs/>
        </w:rPr>
        <w:t xml:space="preserve">coste del capital</w:t>
      </w:r>
      <w:r>
        <w:t xml:space="preserve">, la rentabilidad que exigen los accionistas (el tipo sin riesgo más una prima), que los bancos europeos estiman entre el 8 y el 12 %</w:t>
      </w:r>
      <w:r>
        <w:t xml:space="preserve"> </w:t>
      </w:r>
      <w:r>
        <w:t xml:space="preserve">(</w:t>
      </w:r>
      <w:hyperlink w:anchor="ref_ABE2025RAR">
        <w:r>
          <w:rPr>
            <w:rStyle w:val="Hyperlink"/>
            <w:smallCaps/>
          </w:rPr>
          <w:t xml:space="preserve">European Banking Authority</w:t>
        </w:r>
        <w:r>
          <w:rPr>
            <w:rStyle w:val="Hyperlink"/>
          </w:rPr>
          <w:t xml:space="preserve">, 2025</w:t>
        </w:r>
      </w:hyperlink>
      <w:r>
        <w:t xml:space="preserve">)</w:t>
      </w:r>
      <w:r>
        <w:t xml:space="preserve">; no basta compararlo con los tipos de mercado. Referencias orientativas de la Autoridad Bancaria Europea: ROE favorable por encima del 10 %; eficiencia favorable por debajo del 50 % y desfavorable por encima del 60 %</w:t>
      </w:r>
      <w:r>
        <w:t xml:space="preserve"> </w:t>
      </w:r>
      <w:r>
        <w:t xml:space="preserve">(</w:t>
      </w:r>
      <w:hyperlink w:anchor="ref_ABE2026RiskDashboard">
        <w:r>
          <w:rPr>
            <w:rStyle w:val="Hyperlink"/>
            <w:smallCaps/>
          </w:rPr>
          <w:t xml:space="preserve">European Banking Authority</w:t>
        </w:r>
        <w:r>
          <w:rPr>
            <w:rStyle w:val="Hyperlink"/>
          </w:rPr>
          <w:t xml:space="preserve">, 2026</w:t>
        </w:r>
      </w:hyperlink>
      <w:r>
        <w:t xml:space="preserve">)</w:t>
      </w:r>
      <w:r>
        <w:t xml:space="preserve">.</w:t>
      </w:r>
    </w:p>
    <w:p>
      <w:pPr>
        <w:numPr>
          <w:ilvl w:val="0"/>
          <w:numId w:val="1103"/>
        </w:numPr>
      </w:pPr>
      <w:r>
        <w:rPr>
          <w:i/>
          <w:iCs/>
        </w:rPr>
        <w:t xml:space="preserve">Cómo se lee</w:t>
      </w:r>
      <w:r>
        <w:t xml:space="preserve">: la rentabilidad sube con el margen entre los tipos de los préstamos y los de los depósitos y con más crédito, y baja con más gastos de explotación o más provisiones. Con los tipos hay 2 efectos opuestos: tipos más bajos estrechan el margen de intermediación (efecto precio) pero aumentan el crédito y mejoran la calidad de los préstamos (efecto volumen); con subidas de tipos, al revés.</w:t>
      </w:r>
    </w:p>
    <w:p>
      <w:pPr>
        <w:numPr>
          <w:ilvl w:val="0"/>
          <w:numId w:val="1103"/>
        </w:numPr>
      </w:pPr>
      <w:r>
        <w:rPr>
          <w:i/>
          <w:iCs/>
        </w:rPr>
        <w:t xml:space="preserve">Las debilidades se refuerzan entre sí</w:t>
      </w:r>
      <w:r>
        <w:t xml:space="preserve">: más dudosos, más provisiones, menos beneficio y menos capital. Todas las referencias, oficiales y orientativas, están en la tabla </w:t>
      </w:r>
      <w:hyperlink w:anchor="tab_indicadores_financiero">
        <w:r>
          <w:rPr>
            <w:rStyle w:val="Hyperlink"/>
          </w:rPr>
          <w:t xml:space="preserve">7</w:t>
        </w:r>
      </w:hyperlink>
      <w:r>
        <w:t xml:space="preserve">, y las ratios de la banca española y la europea, en la tabla </w:t>
      </w:r>
      <w:hyperlink w:anchor="tab_ratios_banca">
        <w:r>
          <w:rPr>
            <w:rStyle w:val="Hyperlink"/>
          </w:rPr>
          <w:t xml:space="preserve">9</w:t>
        </w:r>
      </w:hyperlink>
      <w:r>
        <w:t xml:space="preserve"> </w:t>
      </w:r>
      <w:r>
        <w:t xml:space="preserve">(las 2, en los anexos). A mediados de 2026 la banca española era más rentable que la europea (ROE del 16 %, frente al 11 %) pero tenía menos capital de máxima calidad (CET1 del 14 %, frente al 16 %)</w:t>
      </w:r>
      <w:r>
        <w:t xml:space="preserve"> </w:t>
      </w:r>
      <w:r>
        <w:t xml:space="preserve">(</w:t>
      </w:r>
      <w:hyperlink w:anchor="ref_BdE2026EstadSupervisoras">
        <w:r>
          <w:rPr>
            <w:rStyle w:val="Hyperlink"/>
            <w:smallCaps/>
          </w:rPr>
          <w:t xml:space="preserve">Banco de España</w:t>
        </w:r>
        <w:r>
          <w:rPr>
            <w:rStyle w:val="Hyperlink"/>
          </w:rPr>
          <w:t xml:space="preserve">, 2026a</w:t>
        </w:r>
      </w:hyperlink>
      <w:r>
        <w:t xml:space="preserve">;</w:t>
      </w:r>
      <w:r>
        <w:t xml:space="preserve"> </w:t>
      </w:r>
      <w:hyperlink w:anchor="ref_ABE2026RiskDashboard">
        <w:r>
          <w:rPr>
            <w:rStyle w:val="Hyperlink"/>
            <w:smallCaps/>
          </w:rPr>
          <w:t xml:space="preserve">European Banking Authority</w:t>
        </w:r>
        <w:r>
          <w:rPr>
            <w:rStyle w:val="Hyperlink"/>
          </w:rPr>
          <w:t xml:space="preserve">, 2026</w:t>
        </w:r>
      </w:hyperlink>
      <w:r>
        <w:t xml:space="preserve">)</w:t>
      </w:r>
      <w:r>
        <w:t xml:space="preserve">.</w:t>
      </w:r>
    </w:p>
    <w:p>
      <w:pPr>
        <w:pStyle w:val="Cajadeanotaciones"/>
        <w:keepLines/>
      </w:pPr>
      <w:r>
        <w:rPr>
          <w:b/>
          <w:bCs/>
        </w:rPr>
        <w:t xml:space="preserve">Ejemplo de redacción: un sector bancario que parte débil y mejora.</w:t>
      </w:r>
      <w:r>
        <w:t xml:space="preserve"> </w:t>
      </w:r>
      <w:r>
        <w:t xml:space="preserve">«El sector bancario parte de una situación débil, con 3 vulnerabilidades al inicio de la serie: i)</w:t>
      </w:r>
      <w:r>
        <w:t xml:space="preserve"> </w:t>
      </w:r>
      <w:r>
        <w:rPr>
          <w:i/>
          <w:iCs/>
        </w:rPr>
        <w:t xml:space="preserve">calidad de los activos</w:t>
      </w:r>
      <w:r>
        <w:t xml:space="preserve">: la ratio de dudosos es muy elevada (xx % de la inversión crediticia); ii)</w:t>
      </w:r>
      <w:r>
        <w:t xml:space="preserve"> </w:t>
      </w:r>
      <w:r>
        <w:rPr>
          <w:i/>
          <w:iCs/>
        </w:rPr>
        <w:t xml:space="preserve">rentabilidad</w:t>
      </w:r>
      <w:r>
        <w:t xml:space="preserve">: el ROE es inferior al coste del capital, e incluso negativo en varios periodos; iii)</w:t>
      </w:r>
      <w:r>
        <w:t xml:space="preserve"> </w:t>
      </w:r>
      <w:r>
        <w:rPr>
          <w:i/>
          <w:iCs/>
        </w:rPr>
        <w:t xml:space="preserve">solvencia</w:t>
      </w:r>
      <w:r>
        <w:t xml:space="preserve">: el capital cumple los requisitos de Basilea III en toda la serie (supera el 8 % más el 2,5 % de los APR, suponiendo una composición adecuada entre CET1, capital adicional de nivel 1 y de nivel 2), pero de forma muy ajustada, lo que podría no garantizar que absorba un choque. La</w:t>
      </w:r>
      <w:r>
        <w:t xml:space="preserve"> </w:t>
      </w:r>
      <w:r>
        <w:rPr>
          <w:i/>
          <w:iCs/>
        </w:rPr>
        <w:t xml:space="preserve">liquidez</w:t>
      </w:r>
      <w:r>
        <w:t xml:space="preserve">, en cambio, no parece un problema: la ratio créditos/depósitos se sitúa por debajo del 100 %. Las 3 vulnerabilidades están relacionadas: un activo de mala calidad reduce la rentabilidad y encarece la financiación, y las pérdidas erosionan el capital. Gracias al saneamiento de los agentes (desapalancamiento), al fuerte crecimiento y al tono de la política monetaria, la situación mejora notablemente: la rentabilidad supera el coste del capital, la morosidad cae a niveles aceptables y las ratios de capital parecen adecuadas (sin entrar en otros requisitos, como el MREL, ni en la posible activación de colchones macroprudenciales).» Otro ejemplo, el de un sistema bancario que entra en una crisis bien capitalizado, en el anexo </w:t>
      </w:r>
      <w:hyperlink w:anchor="anexo_parrafos">
        <w:r>
          <w:rPr>
            <w:rStyle w:val="Hyperlink"/>
          </w:rPr>
          <w:t xml:space="preserve">K.1</w:t>
        </w:r>
      </w:hyperlink>
      <w:r>
        <w:t xml:space="preserve">.</w:t>
      </w:r>
    </w:p>
    <w:bookmarkEnd w:id="165"/>
    <w:bookmarkStart w:id="166" w:name="riesgos_para_la_estabilidad_financiera"/>
    <w:p>
      <w:pPr>
        <w:pStyle w:val="Heading4"/>
      </w:pPr>
      <w:r>
        <w:t xml:space="preserve">Riesgos para la estabilidad financiera</w:t>
      </w:r>
    </w:p>
    <w:p>
      <w:pPr>
        <w:keepNext/>
        <w:numPr>
          <w:ilvl w:val="0"/>
          <w:numId w:val="1104"/>
        </w:numPr>
      </w:pPr>
      <w:r>
        <w:rPr>
          <w:i/>
          <w:iCs/>
        </w:rPr>
        <w:t xml:space="preserve">Vivienda</w:t>
      </w:r>
      <w:r>
        <w:t xml:space="preserve">: es el principal activo de los hogares, su principal deuda y la garantía de buena parte del crédito bancario. Hay que separar fundamentos y burbuja:</w:t>
      </w:r>
    </w:p>
    <w:p>
      <w:pPr>
        <w:numPr>
          <w:ilvl w:val="1"/>
          <w:numId w:val="1105"/>
        </w:numPr>
      </w:pPr>
      <w:r>
        <w:rPr>
          <w:i/>
          <w:iCs/>
        </w:rPr>
        <w:t xml:space="preserve">fundamentos</w:t>
      </w:r>
      <w:r>
        <w:t xml:space="preserve">: renta disponible, población y formación de hogares, tipos hipotecarios, oferta de vivienda nueva, fiscalidad, demanda extranjera;</w:t>
      </w:r>
    </w:p>
    <w:p>
      <w:pPr>
        <w:numPr>
          <w:ilvl w:val="1"/>
          <w:numId w:val="1105"/>
        </w:numPr>
      </w:pPr>
      <w:r>
        <w:rPr>
          <w:i/>
          <w:iCs/>
        </w:rPr>
        <w:t xml:space="preserve">señales de sobrevaloración</w:t>
      </w:r>
      <w:r>
        <w:t xml:space="preserve">: precio que crece mucho más que la renta o que los alquileres, crédito hipotecario muy dinámico con criterios relajados (préstamo sobre valor o sobre renta altos) y precios que suben más que el VAB de la construcción (más precio que cantidad);</w:t>
      </w:r>
    </w:p>
    <w:p>
      <w:pPr>
        <w:numPr>
          <w:ilvl w:val="1"/>
          <w:numId w:val="1105"/>
        </w:numPr>
      </w:pPr>
      <w:r>
        <w:rPr>
          <w:i/>
          <w:iCs/>
        </w:rPr>
        <w:t xml:space="preserve">umbrales</w:t>
      </w:r>
      <w:r>
        <w:t xml:space="preserve">: el cuadro de indicadores del procedimiento de desequilibrios alerta con subidas del precio nominal de más del 9 % anual</w:t>
      </w:r>
      <w:r>
        <w:t xml:space="preserve"> </w:t>
      </w:r>
      <w:r>
        <w:t xml:space="preserve">(</w:t>
      </w:r>
      <w:hyperlink w:anchor="ref_CE2025AMR2026">
        <w:r>
          <w:rPr>
            <w:rStyle w:val="Hyperlink"/>
            <w:smallCaps/>
          </w:rPr>
          <w:t xml:space="preserve">Comisión Europea</w:t>
        </w:r>
        <w:r>
          <w:rPr>
            <w:rStyle w:val="Hyperlink"/>
          </w:rPr>
          <w:t xml:space="preserve">, 2025a</w:t>
        </w:r>
      </w:hyperlink>
      <w:r>
        <w:t xml:space="preserve">)</w:t>
      </w:r>
      <w:r>
        <w:t xml:space="preserve">. Para la accesibilidad, como referencias orientativas, una regla práctica sin norma detrás considera excesivo dedicar a la vivienda más de un tercio de la renta corriente (la guía anterior usaba el 33 %), y Eurostat habla de sobrecarga cuando los gastos de vivienda superan el 40 % de la renta disponible</w:t>
      </w:r>
      <w:r>
        <w:t xml:space="preserve"> </w:t>
      </w:r>
      <w:r>
        <w:t xml:space="preserve">(</w:t>
      </w:r>
      <w:hyperlink w:anchor="ref_Eurostat2025Sobrecarga">
        <w:r>
          <w:rPr>
            <w:rStyle w:val="Hyperlink"/>
            <w:smallCaps/>
          </w:rPr>
          <w:t xml:space="preserve">Eurostat</w:t>
        </w:r>
        <w:r>
          <w:rPr>
            <w:rStyle w:val="Hyperlink"/>
          </w:rPr>
          <w:t xml:space="preserve">, 2025a</w:t>
        </w:r>
      </w:hyperlink>
      <w:r>
        <w:t xml:space="preserve">)</w:t>
      </w:r>
      <w:r>
        <w:t xml:space="preserve">;</w:t>
      </w:r>
    </w:p>
    <w:p>
      <w:pPr>
        <w:numPr>
          <w:ilvl w:val="1"/>
          <w:numId w:val="1105"/>
        </w:numPr>
      </w:pPr>
      <w:r>
        <w:rPr>
          <w:i/>
          <w:iCs/>
        </w:rPr>
        <w:t xml:space="preserve">con qué se cruza</w:t>
      </w:r>
      <w:r>
        <w:t xml:space="preserve">: consumo (efecto riqueza), inversión residencial, crédito y morosidad, y movilidad laboral (vivienda cara, peor emparejamiento)</w:t>
      </w:r>
      <w:r>
        <w:t xml:space="preserve"> </w:t>
      </w:r>
      <w:hyperlink r:id="rId63">
        <w:r>
          <w:rPr>
            <w:rStyle w:val="Referenciaatema"/>
          </w:rPr>
          <w:t xml:space="preserve">[ver tema 4.A.11]</w:t>
        </w:r>
      </w:hyperlink>
      <w:r>
        <w:t xml:space="preserve">.</w:t>
      </w:r>
    </w:p>
    <w:p>
      <w:pPr>
        <w:numPr>
          <w:ilvl w:val="0"/>
          <w:numId w:val="1104"/>
        </w:numPr>
      </w:pPr>
      <w:r>
        <w:rPr>
          <w:i/>
          <w:iCs/>
        </w:rPr>
        <w:t xml:space="preserve">Crédito</w:t>
      </w:r>
      <w:r>
        <w:t xml:space="preserve">: un auge del crédito (brecha crédito-PIB positiva y creciente, flujos por encima de los umbrales) suele preceder a las crisis bancarias; un racionamiento del crédito, a recesiones largas.</w:t>
      </w:r>
    </w:p>
    <w:p>
      <w:pPr>
        <w:numPr>
          <w:ilvl w:val="0"/>
          <w:numId w:val="1104"/>
        </w:numPr>
      </w:pPr>
      <w:r>
        <w:rPr>
          <w:i/>
          <w:iCs/>
        </w:rPr>
        <w:t xml:space="preserve">Préstamos en moneda extranjera</w:t>
      </w:r>
      <w:r>
        <w:t xml:space="preserve">: si una parte grande del crédito está en divisas y los prestatarios cobran en moneda nacional, una depreciación encarece sus deudas, eleva la morosidad y puede convertir una crisis cambiaria en bancaria</w:t>
      </w:r>
      <w:r>
        <w:t xml:space="preserve"> </w:t>
      </w:r>
      <w:r>
        <w:t xml:space="preserve">(</w:t>
      </w:r>
      <w:hyperlink w:anchor="ref_EHP2005PecadoOriginal">
        <w:r>
          <w:rPr>
            <w:rStyle w:val="Hyperlink"/>
            <w:smallCaps/>
          </w:rPr>
          <w:t xml:space="preserve">Eichengreen</w:t>
        </w:r>
        <w:r>
          <w:rPr>
            <w:rStyle w:val="Hyperlink"/>
          </w:rPr>
          <w:t xml:space="preserve">,</w:t>
        </w:r>
        <w:r>
          <w:rPr>
            <w:rStyle w:val="Hyperlink"/>
          </w:rPr>
          <w:t xml:space="preserve"> </w:t>
        </w:r>
        <w:r>
          <w:rPr>
            <w:rStyle w:val="Hyperlink"/>
            <w:smallCaps/>
          </w:rPr>
          <w:t xml:space="preserve">Hausmann</w:t>
        </w:r>
        <w:r>
          <w:rPr>
            <w:rStyle w:val="Hyperlink"/>
          </w:rPr>
          <w:t xml:space="preserve"> </w:t>
        </w:r>
        <w:r>
          <w:rPr>
            <w:rStyle w:val="Hyperlink"/>
          </w:rPr>
          <w:t xml:space="preserve">y</w:t>
        </w:r>
        <w:r>
          <w:rPr>
            <w:rStyle w:val="Hyperlink"/>
          </w:rPr>
          <w:t xml:space="preserve"> </w:t>
        </w:r>
        <w:r>
          <w:rPr>
            <w:rStyle w:val="Hyperlink"/>
            <w:smallCaps/>
          </w:rPr>
          <w:t xml:space="preserve">Panizza</w:t>
        </w:r>
        <w:r>
          <w:rPr>
            <w:rStyle w:val="Hyperlink"/>
          </w:rPr>
          <w:t xml:space="preserve">, 2005</w:t>
        </w:r>
      </w:hyperlink>
      <w:r>
        <w:t xml:space="preserve">)</w:t>
      </w:r>
      <w:r>
        <w:t xml:space="preserve">.</w:t>
      </w:r>
    </w:p>
    <w:p>
      <w:pPr>
        <w:numPr>
          <w:ilvl w:val="0"/>
          <w:numId w:val="1104"/>
        </w:numPr>
      </w:pPr>
      <w:r>
        <w:rPr>
          <w:i/>
          <w:iCs/>
        </w:rPr>
        <w:t xml:space="preserve">Tipos muy bajos durante mucho tiempo</w:t>
      </w:r>
      <w:r>
        <w:t xml:space="preserve">: pueden ser un riesgo (búsqueda de rentabilidad, financiación de proyectos de poca calidad y de empresas</w:t>
      </w:r>
      <w:r>
        <w:t xml:space="preserve"> </w:t>
      </w:r>
      <w:r>
        <w:rPr>
          <w:i/>
          <w:iCs/>
        </w:rPr>
        <w:t xml:space="preserve">zombis</w:t>
      </w:r>
      <w:r>
        <w:t xml:space="preserve">, menor margen de bancos y aseguradoras, precios de los activos inflados).</w:t>
      </w:r>
    </w:p>
    <w:p>
      <w:pPr>
        <w:numPr>
          <w:ilvl w:val="0"/>
          <w:numId w:val="1104"/>
        </w:numPr>
      </w:pPr>
      <w:r>
        <w:rPr>
          <w:i/>
          <w:iCs/>
        </w:rPr>
        <w:t xml:space="preserve">Bolsa</w:t>
      </w:r>
      <w:r>
        <w:t xml:space="preserve">: el índice bursátil recoge las expectativas de beneficios empresariales descontadas con una prima de riesgo y es un indicador adelantado del ciclo. Si sube con el PIB y los beneficios, refleja buenas perspectivas; si sube mucho más que los beneficios con tipos muy bajos o con fuertes entradas de inversión de cartera, puede haber sobrevaloración. Se cruza con la inversión (la</w:t>
      </w:r>
      <w:r>
        <w:t xml:space="preserve"> </w:t>
      </w:r>
      <m:oMath>
        <m:r>
          <m:t>q</m:t>
        </m:r>
      </m:oMath>
      <w:r>
        <w:t xml:space="preserve"> </w:t>
      </w:r>
      <w:r>
        <w:t xml:space="preserve">de</w:t>
      </w:r>
      <w:r>
        <w:t xml:space="preserve"> </w:t>
      </w:r>
      <w:r>
        <w:rPr>
          <w:smallCaps/>
        </w:rPr>
        <w:t xml:space="preserve">Tobin</w:t>
      </w:r>
      <w:r>
        <w:t xml:space="preserve">: si el valor de mercado de las empresas supera el coste de reponer su capital, conviene invertir,</w:t>
      </w:r>
      <w:r>
        <w:t xml:space="preserve"> </w:t>
      </w:r>
      <w:hyperlink r:id="rId67">
        <w:r>
          <w:rPr>
            <w:rStyle w:val="Referenciaatema"/>
          </w:rPr>
          <w:t xml:space="preserve">[ver tema 3.A.34]</w:t>
        </w:r>
      </w:hyperlink>
      <w:r>
        <w:t xml:space="preserve">) y con el consumo (efecto riqueza, menor que el de la vivienda).</w:t>
      </w:r>
    </w:p>
    <w:p>
      <w:pPr>
        <w:numPr>
          <w:ilvl w:val="0"/>
          <w:numId w:val="1104"/>
        </w:numPr>
      </w:pPr>
      <w:r>
        <w:rPr>
          <w:i/>
          <w:iCs/>
        </w:rPr>
        <w:t xml:space="preserve">Riesgos externos</w:t>
      </w:r>
      <w:r>
        <w:t xml:space="preserve">: salidas bruscas de capitales, contagio de crisis de otros países y exposición de los bancos a economías en dificultades.</w:t>
      </w:r>
    </w:p>
    <w:bookmarkEnd w:id="166"/>
    <w:bookmarkStart w:id="167" w:name="regulaci__n_microprudencial_basilea_iii"/>
    <w:p>
      <w:pPr>
        <w:pStyle w:val="Heading4"/>
      </w:pPr>
      <w:r>
        <w:t xml:space="preserve">Regulación microprudencial: Basilea III</w:t>
      </w:r>
    </w:p>
    <w:p>
      <w:pPr>
        <w:numPr>
          <w:ilvl w:val="0"/>
          <w:numId w:val="1106"/>
        </w:numPr>
      </w:pPr>
      <w:r>
        <w:rPr>
          <w:i/>
          <w:iCs/>
        </w:rPr>
        <w:t xml:space="preserve">Micro y macro</w:t>
      </w:r>
      <w:r>
        <w:t xml:space="preserve">: la regulación</w:t>
      </w:r>
      <w:r>
        <w:t xml:space="preserve"> </w:t>
      </w:r>
      <w:r>
        <w:rPr>
          <w:b/>
          <w:bCs/>
        </w:rPr>
        <w:t xml:space="preserve">microprudencial</w:t>
      </w:r>
      <w:r>
        <w:t xml:space="preserve"> </w:t>
      </w:r>
      <w:r>
        <w:t xml:space="preserve">vela por la solvencia y la liquidez de</w:t>
      </w:r>
      <w:r>
        <w:t xml:space="preserve"> </w:t>
      </w:r>
      <w:r>
        <w:rPr>
          <w:i/>
          <w:iCs/>
        </w:rPr>
        <w:t xml:space="preserve">cada</w:t>
      </w:r>
      <w:r>
        <w:t xml:space="preserve"> </w:t>
      </w:r>
      <w:r>
        <w:t xml:space="preserve">entidad; la</w:t>
      </w:r>
      <w:r>
        <w:t xml:space="preserve"> </w:t>
      </w:r>
      <w:r>
        <w:rPr>
          <w:b/>
          <w:bCs/>
        </w:rPr>
        <w:t xml:space="preserve">macroprudencial</w:t>
      </w:r>
      <w:r>
        <w:t xml:space="preserve">, por la del</w:t>
      </w:r>
      <w:r>
        <w:t xml:space="preserve"> </w:t>
      </w:r>
      <w:r>
        <w:rPr>
          <w:i/>
          <w:iCs/>
        </w:rPr>
        <w:t xml:space="preserve">sistema</w:t>
      </w:r>
      <w:r>
        <w:t xml:space="preserve"> </w:t>
      </w:r>
      <w:r>
        <w:t xml:space="preserve">en su conjunto.</w:t>
      </w:r>
    </w:p>
    <w:p>
      <w:pPr>
        <w:keepNext/>
        <w:numPr>
          <w:ilvl w:val="0"/>
          <w:numId w:val="1106"/>
        </w:numPr>
      </w:pPr>
      <w:r>
        <w:rPr>
          <w:i/>
          <w:iCs/>
        </w:rPr>
        <w:t xml:space="preserve">Basilea III</w:t>
      </w:r>
      <w:r>
        <w:t xml:space="preserve">: las normas sobre capital y liquidez del Comité de Supervisión Bancaria de Basilea, acordadas tras la crisis financiera y cerradas en diciembre de 2017</w:t>
      </w:r>
      <w:r>
        <w:t xml:space="preserve"> </w:t>
      </w:r>
      <w:r>
        <w:t xml:space="preserve">(</w:t>
      </w:r>
      <w:hyperlink w:anchor="ref_BCBS2011Basilea3">
        <w:r>
          <w:rPr>
            <w:rStyle w:val="Hyperlink"/>
            <w:smallCaps/>
          </w:rPr>
          <w:t xml:space="preserve">Comité de Supervisión Bancaria de Basilea</w:t>
        </w:r>
        <w:r>
          <w:rPr>
            <w:rStyle w:val="Hyperlink"/>
          </w:rPr>
          <w:t xml:space="preserve">, 2011</w:t>
        </w:r>
      </w:hyperlink>
      <w:r>
        <w:t xml:space="preserve">;</w:t>
      </w:r>
      <w:r>
        <w:t xml:space="preserve"> </w:t>
      </w:r>
      <w:hyperlink w:anchor="ref_BCBS2017Basel3">
        <w:r>
          <w:rPr>
            <w:rStyle w:val="Hyperlink"/>
            <w:smallCaps/>
          </w:rPr>
          <w:t xml:space="preserve">Basel Committee on Banking Supervision</w:t>
        </w:r>
        <w:r>
          <w:rPr>
            <w:rStyle w:val="Hyperlink"/>
          </w:rPr>
          <w:t xml:space="preserve">, 2017</w:t>
        </w:r>
      </w:hyperlink>
      <w:r>
        <w:t xml:space="preserve">)</w:t>
      </w:r>
      <w:r>
        <w:t xml:space="preserve">. En la UE se aplican con el Reglamento y la Directiva de requisitos de capital, cuya última reforma rige desde 2025</w:t>
      </w:r>
      <w:r>
        <w:t xml:space="preserve"> </w:t>
      </w:r>
      <w:r>
        <w:t xml:space="preserve">(</w:t>
      </w:r>
      <w:hyperlink w:anchor="ref_RegUE2013CRR">
        <w:r>
          <w:rPr>
            <w:rStyle w:val="Hyperlink"/>
            <w:smallCaps/>
          </w:rPr>
          <w:t xml:space="preserve">Parlamento Europeo y Consejo de la Unión Europea</w:t>
        </w:r>
        <w:r>
          <w:rPr>
            <w:rStyle w:val="Hyperlink"/>
          </w:rPr>
          <w:t xml:space="preserve">, 2013b</w:t>
        </w:r>
      </w:hyperlink>
      <w:r>
        <w:t xml:space="preserve">,</w:t>
      </w:r>
      <w:r>
        <w:t xml:space="preserve"> </w:t>
      </w:r>
      <w:hyperlink w:anchor="ref_DirUE2013CRD">
        <w:r>
          <w:rPr>
            <w:rStyle w:val="Hyperlink"/>
          </w:rPr>
          <w:t xml:space="preserve">2013a</w:t>
        </w:r>
      </w:hyperlink>
      <w:r>
        <w:t xml:space="preserve">,</w:t>
      </w:r>
      <w:r>
        <w:t xml:space="preserve"> </w:t>
      </w:r>
      <w:hyperlink w:anchor="ref_RegUE2024CRR3">
        <w:r>
          <w:rPr>
            <w:rStyle w:val="Hyperlink"/>
          </w:rPr>
          <w:t xml:space="preserve">2024b</w:t>
        </w:r>
      </w:hyperlink>
      <w:r>
        <w:t xml:space="preserve">)</w:t>
      </w:r>
      <w:r>
        <w:t xml:space="preserve">. Se ordenan en 3 pilares:</w:t>
      </w:r>
    </w:p>
    <w:p>
      <w:pPr>
        <w:numPr>
          <w:ilvl w:val="1"/>
          <w:numId w:val="1107"/>
        </w:numPr>
      </w:pPr>
      <w:r>
        <w:rPr>
          <w:i/>
          <w:iCs/>
        </w:rPr>
        <w:t xml:space="preserve">Pilar 1</w:t>
      </w:r>
      <w:r>
        <w:t xml:space="preserve">: requisitos mínimos de capital por riesgo de crédito, de mercado y operacional; la ratio de apalancamiento; y las ratios de liquidez (LCR y NSFR);</w:t>
      </w:r>
    </w:p>
    <w:p>
      <w:pPr>
        <w:numPr>
          <w:ilvl w:val="1"/>
          <w:numId w:val="1107"/>
        </w:numPr>
      </w:pPr>
      <w:r>
        <w:rPr>
          <w:i/>
          <w:iCs/>
        </w:rPr>
        <w:t xml:space="preserve">Pilar 2</w:t>
      </w:r>
      <w:r>
        <w:t xml:space="preserve">: la revisión supervisora de cada banco, que añade un requisito propio (P2R) y una recomendación (P2G) según su perfil de riesgo</w:t>
      </w:r>
      <w:r>
        <w:t xml:space="preserve"> </w:t>
      </w:r>
      <w:r>
        <w:t xml:space="preserve">(</w:t>
      </w:r>
      <w:hyperlink w:anchor="ref_BCE2025SREP">
        <w:r>
          <w:rPr>
            <w:rStyle w:val="Hyperlink"/>
            <w:smallCaps/>
          </w:rPr>
          <w:t xml:space="preserve">Banco Central Europeo</w:t>
        </w:r>
        <w:r>
          <w:rPr>
            <w:rStyle w:val="Hyperlink"/>
          </w:rPr>
          <w:t xml:space="preserve">, 2025a</w:t>
        </w:r>
      </w:hyperlink>
      <w:r>
        <w:t xml:space="preserve">)</w:t>
      </w:r>
      <w:r>
        <w:t xml:space="preserve">;</w:t>
      </w:r>
    </w:p>
    <w:p>
      <w:pPr>
        <w:numPr>
          <w:ilvl w:val="1"/>
          <w:numId w:val="1107"/>
        </w:numPr>
      </w:pPr>
      <w:r>
        <w:rPr>
          <w:i/>
          <w:iCs/>
        </w:rPr>
        <w:t xml:space="preserve">Pilar 3</w:t>
      </w:r>
      <w:r>
        <w:t xml:space="preserve">: la disciplina de mercado, con la obligación de publicar información sobre el capital y los riesgos.</w:t>
      </w:r>
    </w:p>
    <w:p>
      <w:pPr>
        <w:numPr>
          <w:ilvl w:val="0"/>
          <w:numId w:val="1106"/>
        </w:numPr>
      </w:pPr>
      <w:r>
        <w:rPr>
          <w:i/>
          <w:iCs/>
        </w:rPr>
        <w:t xml:space="preserve">Capacidad de absorber pérdidas en una resolución</w:t>
      </w:r>
      <w:r>
        <w:t xml:space="preserve">: los bancos deben tener, además, pasivos que puedan convertirse en capital o amortizarse si la entidad se resuelve (MREL en la UE; TLAC para los bancos sistémicos mundiales), para que las pérdidas las asuman accionistas y acreedores y no el contribuyente.</w:t>
      </w:r>
    </w:p>
    <w:bookmarkEnd w:id="167"/>
    <w:bookmarkStart w:id="168" w:name="supervisi__n_y_uni__n_bancaria"/>
    <w:p>
      <w:pPr>
        <w:pStyle w:val="Heading4"/>
      </w:pPr>
      <w:r>
        <w:t xml:space="preserve">Supervisión y unión bancaria</w:t>
      </w:r>
    </w:p>
    <w:p>
      <w:pPr>
        <w:numPr>
          <w:ilvl w:val="0"/>
          <w:numId w:val="1108"/>
        </w:numPr>
      </w:pPr>
      <w:r>
        <w:rPr>
          <w:i/>
          <w:iCs/>
        </w:rPr>
        <w:t xml:space="preserve">Qué es</w:t>
      </w:r>
      <w:r>
        <w:t xml:space="preserve">: tras el euro (con su política monetaria única, tipos comunes y sin tipos de cambio entre sus miembros, hoy 21 países</w:t>
      </w:r>
      <w:r>
        <w:t xml:space="preserve"> </w:t>
      </w:r>
      <w:r>
        <w:t xml:space="preserve">(</w:t>
      </w:r>
      <w:hyperlink w:anchor="ref_BCE2026Bulgaria">
        <w:r>
          <w:rPr>
            <w:rStyle w:val="Hyperlink"/>
            <w:smallCaps/>
          </w:rPr>
          <w:t xml:space="preserve">Banco Central Europeo</w:t>
        </w:r>
        <w:r>
          <w:rPr>
            <w:rStyle w:val="Hyperlink"/>
          </w:rPr>
          <w:t xml:space="preserve">, 2026a</w:t>
        </w:r>
      </w:hyperlink>
      <w:r>
        <w:t xml:space="preserve">)</w:t>
      </w:r>
      <w:r>
        <w:t xml:space="preserve">), la</w:t>
      </w:r>
      <w:r>
        <w:t xml:space="preserve"> </w:t>
      </w:r>
      <w:r>
        <w:rPr>
          <w:b/>
          <w:bCs/>
        </w:rPr>
        <w:t xml:space="preserve">unión bancaria</w:t>
      </w:r>
      <w:r>
        <w:t xml:space="preserve"> </w:t>
      </w:r>
      <w:r>
        <w:t xml:space="preserve">es quizá el paso más importante de la integración europea. Busca un sistema bancario unificado, transparente y seguro, y romper el bucle bancario-soberano</w:t>
      </w:r>
      <w:r>
        <w:t xml:space="preserve"> </w:t>
      </w:r>
      <w:hyperlink r:id="rId158">
        <w:r>
          <w:rPr>
            <w:rStyle w:val="Referenciaatema"/>
          </w:rPr>
          <w:t xml:space="preserve">[ver tema 3.B.44]</w:t>
        </w:r>
      </w:hyperlink>
      <w:r>
        <w:t xml:space="preserve">.</w:t>
      </w:r>
    </w:p>
    <w:p>
      <w:pPr>
        <w:keepNext/>
        <w:numPr>
          <w:ilvl w:val="0"/>
          <w:numId w:val="1108"/>
        </w:numPr>
      </w:pPr>
      <w:r>
        <w:rPr>
          <w:i/>
          <w:iCs/>
        </w:rPr>
        <w:t xml:space="preserve">Sus pilares</w:t>
      </w:r>
      <w:r>
        <w:t xml:space="preserve">:</w:t>
      </w:r>
    </w:p>
    <w:p>
      <w:pPr>
        <w:numPr>
          <w:ilvl w:val="1"/>
          <w:numId w:val="1109"/>
        </w:numPr>
      </w:pPr>
      <w:r>
        <w:t xml:space="preserve">el</w:t>
      </w:r>
      <w:r>
        <w:t xml:space="preserve"> </w:t>
      </w:r>
      <w:r>
        <w:rPr>
          <w:b/>
          <w:bCs/>
        </w:rPr>
        <w:t xml:space="preserve">Mecanismo Único de Supervisión</w:t>
      </w:r>
      <w:r>
        <w:t xml:space="preserve"> </w:t>
      </w:r>
      <w:r>
        <w:t xml:space="preserve">(MUS), desde 2014: el BCE supervisa directamente las entidades significativas y, a través de las autoridades nacionales, las demás</w:t>
      </w:r>
      <w:r>
        <w:t xml:space="preserve"> </w:t>
      </w:r>
      <w:r>
        <w:t xml:space="preserve">(</w:t>
      </w:r>
      <w:hyperlink w:anchor="ref_RegUE2013MUS">
        <w:r>
          <w:rPr>
            <w:rStyle w:val="Hyperlink"/>
            <w:smallCaps/>
          </w:rPr>
          <w:t xml:space="preserve">Consejo de la Unión Europea</w:t>
        </w:r>
        <w:r>
          <w:rPr>
            <w:rStyle w:val="Hyperlink"/>
          </w:rPr>
          <w:t xml:space="preserve">, 2013</w:t>
        </w:r>
      </w:hyperlink>
      <w:r>
        <w:t xml:space="preserve">)</w:t>
      </w:r>
      <w:r>
        <w:t xml:space="preserve">;</w:t>
      </w:r>
    </w:p>
    <w:p>
      <w:pPr>
        <w:numPr>
          <w:ilvl w:val="1"/>
          <w:numId w:val="1109"/>
        </w:numPr>
      </w:pPr>
      <w:r>
        <w:t xml:space="preserve">el</w:t>
      </w:r>
      <w:r>
        <w:t xml:space="preserve"> </w:t>
      </w:r>
      <w:r>
        <w:rPr>
          <w:b/>
          <w:bCs/>
        </w:rPr>
        <w:t xml:space="preserve">Mecanismo Único de Resolución</w:t>
      </w:r>
      <w:r>
        <w:t xml:space="preserve"> </w:t>
      </w:r>
      <w:r>
        <w:t xml:space="preserve">(MUR): la Junta Única de Resolución decide cómo se resuelve un banco inviable, con el Fondo Único de Resolución que financia la industria</w:t>
      </w:r>
      <w:r>
        <w:t xml:space="preserve"> </w:t>
      </w:r>
      <w:r>
        <w:t xml:space="preserve">(</w:t>
      </w:r>
      <w:hyperlink w:anchor="ref_RegUE2014MUR">
        <w:r>
          <w:rPr>
            <w:rStyle w:val="Hyperlink"/>
            <w:smallCaps/>
          </w:rPr>
          <w:t xml:space="preserve">Parlamento Europeo y Consejo de la Unión Europea</w:t>
        </w:r>
        <w:r>
          <w:rPr>
            <w:rStyle w:val="Hyperlink"/>
          </w:rPr>
          <w:t xml:space="preserve">, 2014</w:t>
        </w:r>
      </w:hyperlink>
      <w:r>
        <w:t xml:space="preserve">)</w:t>
      </w:r>
      <w:r>
        <w:t xml:space="preserve">;</w:t>
      </w:r>
    </w:p>
    <w:p>
      <w:pPr>
        <w:numPr>
          <w:ilvl w:val="1"/>
          <w:numId w:val="1109"/>
        </w:numPr>
      </w:pPr>
      <w:r>
        <w:t xml:space="preserve">el tercero, un</w:t>
      </w:r>
      <w:r>
        <w:t xml:space="preserve"> </w:t>
      </w:r>
      <w:r>
        <w:rPr>
          <w:i/>
          <w:iCs/>
        </w:rPr>
        <w:t xml:space="preserve">sistema europeo de garantía de depósitos</w:t>
      </w:r>
      <w:r>
        <w:t xml:space="preserve">, propuesto en 2015, sigue pendiente</w:t>
      </w:r>
      <w:r>
        <w:t xml:space="preserve"> </w:t>
      </w:r>
      <w:r>
        <w:t xml:space="preserve">(</w:t>
      </w:r>
      <w:hyperlink w:anchor="ref_CE2015EDIS">
        <w:r>
          <w:rPr>
            <w:rStyle w:val="Hyperlink"/>
            <w:smallCaps/>
          </w:rPr>
          <w:t xml:space="preserve">Comisión Europea</w:t>
        </w:r>
        <w:r>
          <w:rPr>
            <w:rStyle w:val="Hyperlink"/>
          </w:rPr>
          <w:t xml:space="preserve">, 2015</w:t>
        </w:r>
      </w:hyperlink>
      <w:r>
        <w:t xml:space="preserve">)</w:t>
      </w:r>
      <w:r>
        <w:t xml:space="preserve">.</w:t>
      </w:r>
    </w:p>
    <w:p>
      <w:pPr>
        <w:numPr>
          <w:ilvl w:val="0"/>
          <w:numId w:val="1108"/>
        </w:numPr>
      </w:pPr>
      <w:r>
        <w:rPr>
          <w:i/>
          <w:iCs/>
        </w:rPr>
        <w:t xml:space="preserve">Cómo se lee</w:t>
      </w:r>
      <w:r>
        <w:t xml:space="preserve">: en un país del euro, la supervisión y la resolución son europeas; la política macroprudencial sigue siendo sobre todo nacional, con el BCE como garante.</w:t>
      </w:r>
    </w:p>
    <w:bookmarkEnd w:id="168"/>
    <w:bookmarkStart w:id="169" w:name="pol__tica_macroprudencial"/>
    <w:p>
      <w:pPr>
        <w:pStyle w:val="Heading4"/>
      </w:pPr>
      <w:r>
        <w:t xml:space="preserve">Política macroprudencial</w:t>
      </w:r>
    </w:p>
    <w:p>
      <w:pPr>
        <w:numPr>
          <w:ilvl w:val="0"/>
          <w:numId w:val="1110"/>
        </w:numPr>
      </w:pPr>
      <w:r>
        <w:rPr>
          <w:i/>
          <w:iCs/>
        </w:rPr>
        <w:t xml:space="preserve">Objetivo</w:t>
      </w:r>
      <w:r>
        <w:t xml:space="preserve">: limitar el riesgo</w:t>
      </w:r>
      <w:r>
        <w:t xml:space="preserve"> </w:t>
      </w:r>
      <w:r>
        <w:rPr>
          <w:i/>
          <w:iCs/>
        </w:rPr>
        <w:t xml:space="preserve">sistémico</w:t>
      </w:r>
      <w:r>
        <w:t xml:space="preserve">, el del conjunto del sistema, que la supervisión de cada banco no ve. Tiene una dimensión temporal (el ciclo financiero: el crédito y los precios de los activos se alimentan mutuamente) y otra estructural (bancos grandes e interconectados)</w:t>
      </w:r>
      <w:r>
        <w:t xml:space="preserve"> </w:t>
      </w:r>
      <w:r>
        <w:t xml:space="preserve">(</w:t>
      </w:r>
      <w:hyperlink w:anchor="ref_CERS2014Manual">
        <w:r>
          <w:rPr>
            <w:rStyle w:val="Hyperlink"/>
            <w:smallCaps/>
          </w:rPr>
          <w:t xml:space="preserve">Junta Europea de Riesgo Sistémico</w:t>
        </w:r>
        <w:r>
          <w:rPr>
            <w:rStyle w:val="Hyperlink"/>
          </w:rPr>
          <w:t xml:space="preserve">, 2014</w:t>
        </w:r>
      </w:hyperlink>
      <w:r>
        <w:t xml:space="preserve">)</w:t>
      </w:r>
      <w:r>
        <w:t xml:space="preserve">.</w:t>
      </w:r>
    </w:p>
    <w:p>
      <w:pPr>
        <w:keepNext/>
        <w:numPr>
          <w:ilvl w:val="0"/>
          <w:numId w:val="1110"/>
        </w:numPr>
      </w:pPr>
      <w:r>
        <w:rPr>
          <w:i/>
          <w:iCs/>
        </w:rPr>
        <w:t xml:space="preserve">Instrumentos</w:t>
      </w:r>
      <w:r>
        <w:t xml:space="preserve">:</w:t>
      </w:r>
    </w:p>
    <w:p>
      <w:pPr>
        <w:numPr>
          <w:ilvl w:val="1"/>
          <w:numId w:val="1111"/>
        </w:numPr>
      </w:pPr>
      <w:r>
        <w:rPr>
          <w:i/>
          <w:iCs/>
        </w:rPr>
        <w:t xml:space="preserve">colchones de capital</w:t>
      </w:r>
      <w:r>
        <w:t xml:space="preserve">: de conservación (2,5 %); anticíclico (0-2,5 %, se acumula en el auge y se libera en la crisis); para entidades sistémicas, mundiales u otras; y de riesgo sistémico, que puede aplicarse a un sector (por ejemplo, las hipotecas);</w:t>
      </w:r>
    </w:p>
    <w:p>
      <w:pPr>
        <w:numPr>
          <w:ilvl w:val="1"/>
          <w:numId w:val="1111"/>
        </w:numPr>
      </w:pPr>
      <w:r>
        <w:rPr>
          <w:i/>
          <w:iCs/>
        </w:rPr>
        <w:t xml:space="preserve">medidas sobre los prestatarios</w:t>
      </w:r>
      <w:r>
        <w:t xml:space="preserve">: límites al préstamo sobre el valor de la garantía (</w:t>
      </w:r>
      <w:r>
        <w:rPr>
          <w:b/>
          <w:bCs/>
        </w:rPr>
        <w:t xml:space="preserve">LTV</w:t>
      </w:r>
      <w:r>
        <w:t xml:space="preserve">,</w:t>
      </w:r>
      <w:r>
        <w:t xml:space="preserve"> </w:t>
      </w:r>
      <w:r>
        <w:rPr>
          <w:i/>
          <w:iCs/>
        </w:rPr>
        <w:t xml:space="preserve">loan to value</w:t>
      </w:r>
      <w:r>
        <w:t xml:space="preserve">), al préstamo sobre la renta (</w:t>
      </w:r>
      <w:r>
        <w:rPr>
          <w:b/>
          <w:bCs/>
        </w:rPr>
        <w:t xml:space="preserve">LTI</w:t>
      </w:r>
      <w:r>
        <w:t xml:space="preserve">,</w:t>
      </w:r>
      <w:r>
        <w:t xml:space="preserve"> </w:t>
      </w:r>
      <w:r>
        <w:rPr>
          <w:i/>
          <w:iCs/>
        </w:rPr>
        <w:t xml:space="preserve">loan to income</w:t>
      </w:r>
      <w:r>
        <w:t xml:space="preserve">) y al servicio de la deuda sobre la renta (</w:t>
      </w:r>
      <w:r>
        <w:rPr>
          <w:b/>
          <w:bCs/>
        </w:rPr>
        <w:t xml:space="preserve">DSTI</w:t>
      </w:r>
      <w:r>
        <w:t xml:space="preserve">,</w:t>
      </w:r>
      <w:r>
        <w:t xml:space="preserve"> </w:t>
      </w:r>
      <w:r>
        <w:rPr>
          <w:i/>
          <w:iCs/>
        </w:rPr>
        <w:t xml:space="preserve">debt service to income</w:t>
      </w:r>
      <w:r>
        <w:t xml:space="preserve">), y plazos máximos;</w:t>
      </w:r>
    </w:p>
    <w:p>
      <w:pPr>
        <w:numPr>
          <w:ilvl w:val="1"/>
          <w:numId w:val="1111"/>
        </w:numPr>
      </w:pPr>
      <w:r>
        <w:t xml:space="preserve">límites a la concentración y a las exposiciones a un sector.</w:t>
      </w:r>
    </w:p>
    <w:p>
      <w:pPr>
        <w:numPr>
          <w:ilvl w:val="0"/>
          <w:numId w:val="1110"/>
        </w:numPr>
      </w:pPr>
      <w:r>
        <w:rPr>
          <w:i/>
          <w:iCs/>
        </w:rPr>
        <w:t xml:space="preserve">En la fase alcista</w:t>
      </w:r>
      <w:r>
        <w:t xml:space="preserve"> </w:t>
      </w:r>
      <w:r>
        <w:t xml:space="preserve">(crédito y vivienda muy dinámicos, brecha crédito-PIB positiva): activar el colchón anticíclico o uno de riesgo sistémico sectorial, y limitar a los prestatarios (LTV, LTI, DSTI).</w:t>
      </w:r>
    </w:p>
    <w:p>
      <w:pPr>
        <w:numPr>
          <w:ilvl w:val="0"/>
          <w:numId w:val="1110"/>
        </w:numPr>
      </w:pPr>
      <w:r>
        <w:rPr>
          <w:i/>
          <w:iCs/>
        </w:rPr>
        <w:t xml:space="preserve">En la fase bajista o en una crisis</w:t>
      </w:r>
      <w:r>
        <w:t xml:space="preserve">: permitir operar temporalmente por debajo de los colchones y del mínimo de liquidez (LCR), liberar el colchón anticíclico para que el capital absorba pérdidas sin cortar el crédito, suavizar los límites de LTV y LTI, dar flexibilidad supervisora y limitar el reparto de dividendos para retener capital, como en 2020</w:t>
      </w:r>
      <w:r>
        <w:t xml:space="preserve"> </w:t>
      </w:r>
      <w:r>
        <w:t xml:space="preserve">(</w:t>
      </w:r>
      <w:hyperlink w:anchor="ref_BCE2020Dividendos">
        <w:r>
          <w:rPr>
            <w:rStyle w:val="Hyperlink"/>
            <w:smallCaps/>
          </w:rPr>
          <w:t xml:space="preserve">Banco Central Europeo</w:t>
        </w:r>
        <w:r>
          <w:rPr>
            <w:rStyle w:val="Hyperlink"/>
          </w:rPr>
          <w:t xml:space="preserve">, 2020b</w:t>
        </w:r>
      </w:hyperlink>
      <w:r>
        <w:t xml:space="preserve">)</w:t>
      </w:r>
      <w:r>
        <w:t xml:space="preserve">. Hay que vigilar, a la vez, el precio de los activos. Un ejemplo de redacción con tipos muy bajos durante años está en el anexo </w:t>
      </w:r>
      <w:hyperlink w:anchor="anexo_parrafos">
        <w:r>
          <w:rPr>
            <w:rStyle w:val="Hyperlink"/>
          </w:rPr>
          <w:t xml:space="preserve">K.1</w:t>
        </w:r>
      </w:hyperlink>
      <w:r>
        <w:t xml:space="preserve">.</w:t>
      </w:r>
    </w:p>
    <w:p>
      <w:pPr>
        <w:numPr>
          <w:ilvl w:val="0"/>
          <w:numId w:val="1110"/>
        </w:numPr>
      </w:pPr>
      <w:r>
        <w:rPr>
          <w:i/>
          <w:iCs/>
        </w:rPr>
        <w:t xml:space="preserve">Tema</w:t>
      </w:r>
      <w:r>
        <w:t xml:space="preserve">:</w:t>
      </w:r>
      <w:r>
        <w:t xml:space="preserve"> </w:t>
      </w:r>
      <w:hyperlink r:id="rId108">
        <w:r>
          <w:rPr>
            <w:rStyle w:val="Referenciaatema"/>
          </w:rPr>
          <w:t xml:space="preserve">[ver tema 3.B.27]</w:t>
        </w:r>
      </w:hyperlink>
      <w:r>
        <w:t xml:space="preserve"> </w:t>
      </w:r>
      <w:hyperlink r:id="rId158">
        <w:r>
          <w:rPr>
            <w:rStyle w:val="Referenciaatema"/>
          </w:rPr>
          <w:t xml:space="preserve">[ver tema 3.B.44]</w:t>
        </w:r>
      </w:hyperlink>
      <w:r>
        <w:t xml:space="preserve"> </w:t>
      </w:r>
      <w:hyperlink r:id="rId109">
        <w:r>
          <w:rPr>
            <w:rStyle w:val="Referenciaatema"/>
          </w:rPr>
          <w:t xml:space="preserve">[ver tema 4.A.19]</w:t>
        </w:r>
      </w:hyperlink>
      <w:r>
        <w:t xml:space="preserve">.</w:t>
      </w:r>
    </w:p>
    <w:bookmarkEnd w:id="169"/>
    <w:bookmarkEnd w:id="170"/>
    <w:bookmarkStart w:id="187" w:name="sec_fiscal"/>
    <w:p>
      <w:pPr>
        <w:pStyle w:val="Heading2"/>
      </w:pPr>
      <w:r>
        <w:t xml:space="preserve">V.3.</w:t>
      </w:r>
      <w:r>
        <w:t xml:space="preserve"> </w:t>
      </w:r>
      <w:r>
        <w:t xml:space="preserve">Política fiscal y deuda pública</w:t>
      </w:r>
    </w:p>
    <w:p>
      <w:pPr>
        <w:pStyle w:val="Ideaclave"/>
        <w:keepLines/>
      </w:pPr>
      <w:r>
        <w:rPr>
          <w:b/>
          <w:bCs/>
        </w:rPr>
        <w:t xml:space="preserve">Qué hay que contestar</w:t>
      </w:r>
      <w:r>
        <w:t xml:space="preserve">: ¿qué tono tiene la política fiscal y es adecuado al ciclo? ¿Es sostenible la deuda? ¿Qué riesgos tiene y cómo se reducen? ¿Qué exigen las reglas fiscales?</w:t>
      </w:r>
    </w:p>
    <w:p>
      <w:pPr>
        <w:pStyle w:val="Notaalopositor"/>
        <w:keepLines/>
      </w:pPr>
      <w:r>
        <w:rPr>
          <w:b/>
          <w:bCs/>
        </w:rPr>
        <w:t xml:space="preserve">Nota al opositor. </w:t>
      </w:r>
      <w:r>
        <w:t xml:space="preserve">La política fiscal ha caído en todos los dictámenes, casi siempre con el tono</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Además, el tribunal ha pedido calcular el esfuerzo estructural (2011, 2016, 2018 y 2019), decir si el saldo primario estructural debía ser mayor o menor según el ciclo (2021), valorar los efectos no keynesianos y los ingresos bajos (2022), el efecto de las nuevas reglas fiscales (2023), la sostenibilidad y la eficiencia de las finanzas públicas (2024), el tamaño del sector público y la gestión de la deuda (2025), los riesgos para la sostenibilidad de la deuda y cómo mitigarlos (2026) y una expansión de la inversión en infraestructuras y vivienda (2020).</w:t>
      </w:r>
    </w:p>
    <w:p>
      <w:pPr>
        <w:numPr>
          <w:ilvl w:val="0"/>
          <w:numId w:val="1112"/>
        </w:numPr>
      </w:pPr>
      <w:r>
        <w:rPr>
          <w:i/>
          <w:iCs/>
        </w:rPr>
        <w:t xml:space="preserve">El punto de partida</w:t>
      </w:r>
      <w:r>
        <w:t xml:space="preserve">: hay cierto consenso en que una política fiscal expansiva no cambia la producción ni el empleo a largo plazo.</w:t>
      </w:r>
      <w:r>
        <w:rPr>
          <w:rStyle w:val="FootnoteReference"/>
        </w:rPr>
        <w:footnoteReference w:id="171"/>
      </w:r>
      <w:r>
        <w:t xml:space="preserve"> </w:t>
      </w:r>
      <w:r>
        <w:t xml:space="preserve">Por eso la mayoría de los economistas recomienda una política fiscal</w:t>
      </w:r>
      <w:r>
        <w:t xml:space="preserve"> </w:t>
      </w:r>
      <w:r>
        <w:rPr>
          <w:i/>
          <w:iCs/>
        </w:rPr>
        <w:t xml:space="preserve">neutral</w:t>
      </w:r>
      <w:r>
        <w:t xml:space="preserve">, que deje actuar a los estabilizadores automáticos: superávits en las expansiones y déficits en las recesiones, de modo que la deuda pública absorba los choques que golpean a la economía. Solo ante una recesión grave o un sobrecalentamiento debería el Gobierno aplicar una política</w:t>
      </w:r>
      <w:r>
        <w:t xml:space="preserve"> </w:t>
      </w:r>
      <w:r>
        <w:rPr>
          <w:i/>
          <w:iCs/>
        </w:rPr>
        <w:t xml:space="preserve">discrecional</w:t>
      </w:r>
      <w:r>
        <w:t xml:space="preserve"> </w:t>
      </w:r>
      <w:r>
        <w:t xml:space="preserve">contracíclica a corto plazo</w:t>
      </w:r>
      <w:r>
        <w:t xml:space="preserve"> </w:t>
      </w:r>
      <w:hyperlink r:id="rId172">
        <w:r>
          <w:rPr>
            <w:rStyle w:val="Referenciaatema"/>
          </w:rPr>
          <w:t xml:space="preserve">[ver tema 3.A.38]</w:t>
        </w:r>
      </w:hyperlink>
      <w:r>
        <w:t xml:space="preserve">.</w:t>
      </w:r>
    </w:p>
    <w:bookmarkStart w:id="174" w:name="saldos_y_tono"/>
    <w:p>
      <w:pPr>
        <w:pStyle w:val="Heading4"/>
      </w:pPr>
      <w:r>
        <w:t xml:space="preserve">Saldos y tono</w:t>
      </w:r>
    </w:p>
    <w:p>
      <w:pPr>
        <w:keepNext/>
        <w:numPr>
          <w:ilvl w:val="0"/>
          <w:numId w:val="1113"/>
        </w:numPr>
      </w:pPr>
      <w:r>
        <w:rPr>
          <w:i/>
          <w:iCs/>
        </w:rPr>
        <w:t xml:space="preserve">Las 5 variables del saldo</w:t>
      </w:r>
      <w:r>
        <w:t xml:space="preserve">, en porcentaje del PIB y con la notación del temario</w:t>
      </w:r>
      <w:r>
        <w:t xml:space="preserve"> </w:t>
      </w:r>
      <w:hyperlink r:id="rId38">
        <w:r>
          <w:rPr>
            <w:rStyle w:val="Referenciaatema"/>
          </w:rPr>
          <w:t xml:space="preserve">[ver tema 4.B.4]</w:t>
        </w:r>
      </w:hyperlink>
      <w:r>
        <w:t xml:space="preserve">:</w:t>
      </w:r>
    </w:p>
    <w:p>
      <w:pPr>
        <w:numPr>
          <w:ilvl w:val="1"/>
          <w:numId w:val="1114"/>
        </w:numPr>
      </w:pPr>
      <w:r>
        <w:t xml:space="preserve">el</w:t>
      </w:r>
      <w:r>
        <w:t xml:space="preserve"> </w:t>
      </w:r>
      <w:r>
        <w:rPr>
          <w:b/>
          <w:bCs/>
        </w:rPr>
        <w:t xml:space="preserve">saldo público</w:t>
      </w:r>
      <w:r>
        <w:t xml:space="preserve"> </w:t>
      </w:r>
      <m:oMath>
        <m:r>
          <m:t>b</m:t>
        </m:r>
      </m:oMath>
      <w:r>
        <w:t xml:space="preserve"> </w:t>
      </w:r>
      <w:r>
        <w:t xml:space="preserve">(capacidad o necesidad de financiación de las administraciones públicas): ingresos totales menos gastos totales;</w:t>
      </w:r>
    </w:p>
    <w:p>
      <w:pPr>
        <w:numPr>
          <w:ilvl w:val="1"/>
          <w:numId w:val="1114"/>
        </w:numPr>
      </w:pPr>
      <w:r>
        <w:t xml:space="preserve">el</w:t>
      </w:r>
      <w:r>
        <w:t xml:space="preserve"> </w:t>
      </w:r>
      <w:r>
        <w:rPr>
          <w:b/>
          <w:bCs/>
        </w:rPr>
        <w:t xml:space="preserve">saldo primario</w:t>
      </w:r>
      <w:r>
        <w:t xml:space="preserve"> </w:t>
      </w:r>
      <m:oMath>
        <m:sSup>
          <m:e>
            <m:r>
              <m:t>b</m:t>
            </m:r>
          </m:e>
          <m:sup>
            <m:r>
              <m:t>p</m:t>
            </m:r>
          </m:sup>
        </m:sSup>
      </m:oMath>
      <w:r>
        <w:t xml:space="preserve">: el saldo sin los intereses de la deuda;</w:t>
      </w:r>
    </w:p>
    <w:p>
      <w:pPr>
        <w:numPr>
          <w:ilvl w:val="1"/>
          <w:numId w:val="1114"/>
        </w:numPr>
      </w:pPr>
      <w:r>
        <w:t xml:space="preserve">el</w:t>
      </w:r>
      <w:r>
        <w:t xml:space="preserve"> </w:t>
      </w:r>
      <w:r>
        <w:rPr>
          <w:b/>
          <w:bCs/>
        </w:rPr>
        <w:t xml:space="preserve">saldo ajustado por el ciclo</w:t>
      </w:r>
      <w:r>
        <w:t xml:space="preserve"> </w:t>
      </w:r>
      <m:oMath>
        <m:sSup>
          <m:e>
            <m:r>
              <m:t>b</m:t>
            </m:r>
          </m:e>
          <m:sup>
            <m:r>
              <m:t>c</m:t>
            </m:r>
            <m:r>
              <m:t>a</m:t>
            </m:r>
          </m:sup>
        </m:sSup>
        <m:r>
          <m:rPr>
            <m:sty m:val="p"/>
          </m:rPr>
          <m:t>=</m:t>
        </m:r>
        <m:r>
          <m:t>b</m:t>
        </m:r>
        <m:r>
          <m:rPr>
            <m:sty m:val="p"/>
          </m:rPr>
          <m:t>−</m:t>
        </m:r>
        <m:r>
          <m:t>ε</m:t>
        </m:r>
        <m:r>
          <m:rPr>
            <m:sty m:val="p"/>
          </m:rPr>
          <m:t>⋅</m:t>
        </m:r>
        <m:r>
          <m:rPr>
            <m:sty m:val="p"/>
          </m:rPr>
          <m:t>O</m:t>
        </m:r>
        <m:r>
          <m:rPr>
            <m:sty m:val="p"/>
          </m:rPr>
          <m:t>G</m:t>
        </m:r>
      </m:oMath>
      <w:r>
        <w:t xml:space="preserve">: el que habría si la economía estuviera en una posición neutral del ciclo (con la brecha cerrada, ni en expansión ni en recesión), con</w:t>
      </w:r>
      <w:r>
        <w:t xml:space="preserve"> </w:t>
      </w:r>
      <m:oMath>
        <m:r>
          <m:t>ε</m:t>
        </m:r>
      </m:oMath>
      <w:r>
        <w:t xml:space="preserve"> </w:t>
      </w:r>
      <w:r>
        <w:t xml:space="preserve">la semielasticidad del saldo a la brecha (en torno a 0,5-0,6 en la UE);</w:t>
      </w:r>
    </w:p>
    <w:p>
      <w:pPr>
        <w:numPr>
          <w:ilvl w:val="1"/>
          <w:numId w:val="1114"/>
        </w:numPr>
      </w:pPr>
      <w:r>
        <w:t xml:space="preserve">el</w:t>
      </w:r>
      <w:r>
        <w:t xml:space="preserve"> </w:t>
      </w:r>
      <w:r>
        <w:rPr>
          <w:b/>
          <w:bCs/>
        </w:rPr>
        <w:t xml:space="preserve">saldo estructural</w:t>
      </w:r>
      <w:r>
        <w:t xml:space="preserve"> </w:t>
      </w:r>
      <m:oMath>
        <m:sSup>
          <m:e>
            <m:r>
              <m:t>b</m:t>
            </m:r>
          </m:e>
          <m:sup>
            <m:r>
              <m:t>e</m:t>
            </m:r>
          </m:sup>
        </m:sSup>
      </m:oMath>
      <w:r>
        <w:t xml:space="preserve">: el ajustado por el ciclo sin las medidas puntuales de ingreso o de gasto (temporales);</w:t>
      </w:r>
      <w:r>
        <w:rPr>
          <w:rStyle w:val="FootnoteReference"/>
        </w:rPr>
        <w:footnoteReference w:id="173"/>
      </w:r>
    </w:p>
    <w:p>
      <w:pPr>
        <w:numPr>
          <w:ilvl w:val="1"/>
          <w:numId w:val="1114"/>
        </w:numPr>
      </w:pPr>
      <w:r>
        <w:t xml:space="preserve">el</w:t>
      </w:r>
      <w:r>
        <w:t xml:space="preserve"> </w:t>
      </w:r>
      <w:r>
        <w:rPr>
          <w:b/>
          <w:bCs/>
        </w:rPr>
        <w:t xml:space="preserve">saldo estructural primario</w:t>
      </w:r>
      <w:r>
        <w:t xml:space="preserve"> </w:t>
      </w:r>
      <m:oMath>
        <m:sSup>
          <m:e>
            <m:r>
              <m:t>b</m:t>
            </m:r>
          </m:e>
          <m:sup>
            <m:r>
              <m:t>p</m:t>
            </m:r>
            <m:r>
              <m:t>e</m:t>
            </m:r>
          </m:sup>
        </m:sSup>
      </m:oMath>
      <w:r>
        <w:t xml:space="preserve">: el estructural sin los intereses de la deuda.</w:t>
      </w:r>
    </w:p>
    <w:p>
      <w:pPr>
        <w:numPr>
          <w:ilvl w:val="0"/>
          <w:numId w:val="1113"/>
        </w:numPr>
      </w:pPr>
      <w:r>
        <w:rPr>
          <w:i/>
          <w:iCs/>
        </w:rPr>
        <w:t xml:space="preserve">Tono</w:t>
      </w:r>
      <w:r>
        <w:t xml:space="preserve">: el</w:t>
      </w:r>
      <w:r>
        <w:t xml:space="preserve"> </w:t>
      </w:r>
      <w:r>
        <w:rPr>
          <w:b/>
          <w:bCs/>
        </w:rPr>
        <w:t xml:space="preserve">esfuerzo fiscal</w:t>
      </w:r>
      <w:r>
        <w:t xml:space="preserve"> </w:t>
      </w:r>
      <w:r>
        <w:t xml:space="preserve">es la variación del saldo estructural primario,</w:t>
      </w:r>
      <w:r>
        <w:t xml:space="preserve"> </w:t>
      </w:r>
      <m:oMath>
        <m:r>
          <m:t>Δ</m:t>
        </m:r>
        <m:sSubSup>
          <m:e>
            <m:r>
              <m:t>b</m:t>
            </m:r>
          </m:e>
          <m:sub>
            <m:r>
              <m:t>t</m:t>
            </m:r>
          </m:sub>
          <m:sup>
            <m:r>
              <m:t>p</m:t>
            </m:r>
            <m:r>
              <m:t>e</m:t>
            </m:r>
          </m:sup>
        </m:sSubSup>
      </m:oMath>
      <w:r>
        <w:t xml:space="preserve">: positivo, contractivo; negativo, expansivo; en torno a 0,</w:t>
      </w:r>
      <w:r>
        <w:t xml:space="preserve"> </w:t>
      </w:r>
      <w:r>
        <w:rPr>
          <w:b/>
          <w:bCs/>
        </w:rPr>
        <w:t xml:space="preserve">neutral</w:t>
      </w:r>
      <w:r>
        <w:t xml:space="preserve"> </w:t>
      </w:r>
      <w:r>
        <w:t xml:space="preserve">(deja actuar a los estabilizadores automáticos, sea cual sea el nivel del saldo). El FMI llama</w:t>
      </w:r>
      <w:r>
        <w:t xml:space="preserve"> </w:t>
      </w:r>
      <w:r>
        <w:rPr>
          <w:i/>
          <w:iCs/>
        </w:rPr>
        <w:t xml:space="preserve">impulso fiscal</w:t>
      </w:r>
      <w:r>
        <w:t xml:space="preserve"> </w:t>
      </w:r>
      <w:r>
        <w:t xml:space="preserve">a</w:t>
      </w:r>
      <w:r>
        <w:t xml:space="preserve"> </w:t>
      </w:r>
      <m:oMath>
        <m:r>
          <m:rPr>
            <m:sty m:val="p"/>
          </m:rPr>
          <m:t>−</m:t>
        </m:r>
        <m:r>
          <m:t>Δ</m:t>
        </m:r>
        <m:sSubSup>
          <m:e>
            <m:r>
              <m:t>b</m:t>
            </m:r>
          </m:e>
          <m:sub>
            <m:r>
              <m:t>t</m:t>
            </m:r>
          </m:sub>
          <m:sup>
            <m:r>
              <m:t>p</m:t>
            </m:r>
            <m:r>
              <m:t>e</m:t>
            </m:r>
          </m:sup>
        </m:sSubSup>
      </m:oMath>
      <w:r>
        <w:t xml:space="preserve"> </w:t>
      </w:r>
      <w:r>
        <w:t xml:space="preserve">(gráfico </w:t>
      </w:r>
      <w:hyperlink w:anchor="fig_impulso_fiscal">
        <w:r>
          <w:rPr>
            <w:rStyle w:val="Hyperlink"/>
          </w:rPr>
          <w:t xml:space="preserve">12</w:t>
        </w:r>
      </w:hyperlink>
      <w:r>
        <w:t xml:space="preserve">, en los anexos). Cuidado con el signo: si el saldo era negativo y se hace más negativo, ha</w:t>
      </w:r>
      <w:r>
        <w:t xml:space="preserve"> </w:t>
      </w:r>
      <w:r>
        <w:rPr>
          <w:i/>
          <w:iCs/>
        </w:rPr>
        <w:t xml:space="preserve">bajado</w:t>
      </w:r>
      <w:r>
        <w:t xml:space="preserve"> </w:t>
      </w:r>
      <w:r>
        <w:t xml:space="preserve">y el tono es expansivo.</w:t>
      </w:r>
    </w:p>
    <w:p>
      <w:pPr>
        <w:numPr>
          <w:ilvl w:val="0"/>
          <w:numId w:val="1113"/>
        </w:numPr>
      </w:pPr>
      <w:r>
        <w:rPr>
          <w:i/>
          <w:iCs/>
        </w:rPr>
        <w:t xml:space="preserve">Con déficits muy altos</w:t>
      </w:r>
      <w:r>
        <w:t xml:space="preserve">, el Consejo Fiscal Europeo propuso mirar también el nivel: un déficit estructural primario alto que se reduce algo sigue siendo una política expansiva</w:t>
      </w:r>
      <w:r>
        <w:t xml:space="preserve"> </w:t>
      </w:r>
      <w:r>
        <w:t xml:space="preserve">(</w:t>
      </w:r>
      <w:hyperlink w:anchor="ref_EFB2021FiscalStance">
        <w:r>
          <w:rPr>
            <w:rStyle w:val="Hyperlink"/>
            <w:smallCaps/>
          </w:rPr>
          <w:t xml:space="preserve">European Fiscal Board</w:t>
        </w:r>
        <w:r>
          <w:rPr>
            <w:rStyle w:val="Hyperlink"/>
          </w:rPr>
          <w:t xml:space="preserve">, 2021</w:t>
        </w:r>
      </w:hyperlink>
      <w:r>
        <w:t xml:space="preserve">)</w:t>
      </w:r>
      <w:r>
        <w:t xml:space="preserve"> </w:t>
      </w:r>
      <w:r>
        <w:t xml:space="preserve">(ejemplo de redacción en el anexo </w:t>
      </w:r>
      <w:hyperlink w:anchor="anexo_parrafos">
        <w:r>
          <w:rPr>
            <w:rStyle w:val="Hyperlink"/>
          </w:rPr>
          <w:t xml:space="preserve">K.1</w:t>
        </w:r>
      </w:hyperlink>
      <w:r>
        <w:t xml:space="preserve">). Desde 2024 la Comisión mide la orientación con el crecimiento del gasto primario neto frente al potencial.</w:t>
      </w:r>
    </w:p>
    <w:p>
      <w:pPr>
        <w:numPr>
          <w:ilvl w:val="0"/>
          <w:numId w:val="1113"/>
        </w:numPr>
      </w:pPr>
      <w:r>
        <w:rPr>
          <w:i/>
          <w:iCs/>
        </w:rPr>
        <w:t xml:space="preserve">Relación con el ciclo</w:t>
      </w:r>
      <w:r>
        <w:t xml:space="preserve">: contracíclica si el saldo estructural primario sube con la brecha positiva y baja con la negativa (lo ideal); procíclica si al revés. Con histéresis, una política fiscal expansiva en una recesión puede tener efectos duraderos.</w:t>
      </w:r>
    </w:p>
    <w:bookmarkEnd w:id="174"/>
    <w:bookmarkStart w:id="175" w:name="efectos_no_keynesianos"/>
    <w:p>
      <w:pPr>
        <w:pStyle w:val="Heading4"/>
      </w:pPr>
      <w:r>
        <w:t xml:space="preserve">Efectos no keynesianos</w:t>
      </w:r>
    </w:p>
    <w:p>
      <w:pPr>
        <w:numPr>
          <w:ilvl w:val="0"/>
          <w:numId w:val="1115"/>
        </w:numPr>
      </w:pPr>
      <w:r>
        <w:rPr>
          <w:i/>
          <w:iCs/>
        </w:rPr>
        <w:t xml:space="preserve">Qué son</w:t>
      </w:r>
      <w:r>
        <w:t xml:space="preserve">: cuando hay dudas sobre la sostenibilidad de las finanzas públicas, una consolidación fiscal creíble hoy podría despejar la incertidumbre y generar confianza en el futuro, de modo que los agentes, esperando una recuperación (y menos impuestos futuros), desahorren y consuman más hoy. Es tanto como suponer un</w:t>
      </w:r>
      <w:r>
        <w:t xml:space="preserve"> </w:t>
      </w:r>
      <w:r>
        <w:rPr>
          <w:i/>
          <w:iCs/>
        </w:rPr>
        <w:t xml:space="preserve">multiplicador keynesiano negativo</w:t>
      </w:r>
      <w:r>
        <w:t xml:space="preserve">.</w:t>
      </w:r>
    </w:p>
    <w:p>
      <w:pPr>
        <w:numPr>
          <w:ilvl w:val="0"/>
          <w:numId w:val="1115"/>
        </w:numPr>
      </w:pPr>
      <w:r>
        <w:rPr>
          <w:i/>
          <w:iCs/>
        </w:rPr>
        <w:t xml:space="preserve">Evidencia</w:t>
      </w:r>
      <w:r>
        <w:t xml:space="preserve">: el argumento nació de las consolidaciones de Dinamarca e Irlanda en los años 80</w:t>
      </w:r>
      <w:r>
        <w:t xml:space="preserve"> </w:t>
      </w:r>
      <w:r>
        <w:t xml:space="preserve">(</w:t>
      </w:r>
      <w:hyperlink w:anchor="ref_GiavazziPagano1990">
        <w:r>
          <w:rPr>
            <w:rStyle w:val="Hyperlink"/>
            <w:smallCaps/>
          </w:rPr>
          <w:t xml:space="preserve">Giavazzi</w:t>
        </w:r>
        <w:r>
          <w:rPr>
            <w:rStyle w:val="Hyperlink"/>
          </w:rPr>
          <w:t xml:space="preserve"> </w:t>
        </w:r>
        <w:r>
          <w:rPr>
            <w:rStyle w:val="Hyperlink"/>
          </w:rPr>
          <w:t xml:space="preserve">y</w:t>
        </w:r>
        <w:r>
          <w:rPr>
            <w:rStyle w:val="Hyperlink"/>
          </w:rPr>
          <w:t xml:space="preserve"> </w:t>
        </w:r>
        <w:r>
          <w:rPr>
            <w:rStyle w:val="Hyperlink"/>
            <w:smallCaps/>
          </w:rPr>
          <w:t xml:space="preserve">Pagano</w:t>
        </w:r>
        <w:r>
          <w:rPr>
            <w:rStyle w:val="Hyperlink"/>
          </w:rPr>
          <w:t xml:space="preserve">, 1990</w:t>
        </w:r>
      </w:hyperlink>
      <w:r>
        <w:t xml:space="preserve">)</w:t>
      </w:r>
      <w:r>
        <w:t xml:space="preserve">; la evidencia posterior indica que, en la mayoría de los casos, las consolidaciones fiscales reducen la actividad a corto plazo</w:t>
      </w:r>
      <w:r>
        <w:t xml:space="preserve"> </w:t>
      </w:r>
      <w:r>
        <w:t xml:space="preserve">(</w:t>
      </w:r>
      <w:hyperlink w:anchor="ref_Guajardo2014Austeridad">
        <w:r>
          <w:rPr>
            <w:rStyle w:val="Hyperlink"/>
            <w:smallCaps/>
          </w:rPr>
          <w:t xml:space="preserve">Guajardo</w:t>
        </w:r>
        <w:r>
          <w:rPr>
            <w:rStyle w:val="Hyperlink"/>
          </w:rPr>
          <w:t xml:space="preserve">,</w:t>
        </w:r>
        <w:r>
          <w:rPr>
            <w:rStyle w:val="Hyperlink"/>
          </w:rPr>
          <w:t xml:space="preserve"> </w:t>
        </w:r>
        <w:r>
          <w:rPr>
            <w:rStyle w:val="Hyperlink"/>
            <w:smallCaps/>
          </w:rPr>
          <w:t xml:space="preserve">Leigh</w:t>
        </w:r>
        <w:r>
          <w:rPr>
            <w:rStyle w:val="Hyperlink"/>
          </w:rPr>
          <w:t xml:space="preserve"> </w:t>
        </w:r>
        <w:r>
          <w:rPr>
            <w:rStyle w:val="Hyperlink"/>
          </w:rPr>
          <w:t xml:space="preserve">y</w:t>
        </w:r>
        <w:r>
          <w:rPr>
            <w:rStyle w:val="Hyperlink"/>
          </w:rPr>
          <w:t xml:space="preserve"> </w:t>
        </w:r>
        <w:r>
          <w:rPr>
            <w:rStyle w:val="Hyperlink"/>
            <w:smallCaps/>
          </w:rPr>
          <w:t xml:space="preserve">Pescatori</w:t>
        </w:r>
        <w:r>
          <w:rPr>
            <w:rStyle w:val="Hyperlink"/>
          </w:rPr>
          <w:t xml:space="preserve">, 2014</w:t>
        </w:r>
      </w:hyperlink>
      <w:r>
        <w:t xml:space="preserve">)</w:t>
      </w:r>
      <w:r>
        <w:t xml:space="preserve"> </w:t>
      </w:r>
      <w:hyperlink r:id="rId172">
        <w:r>
          <w:rPr>
            <w:rStyle w:val="Referenciaatema"/>
          </w:rPr>
          <w:t xml:space="preserve">[ver tema 3.A.38]</w:t>
        </w:r>
      </w:hyperlink>
      <w:r>
        <w:t xml:space="preserve">.</w:t>
      </w:r>
    </w:p>
    <w:p>
      <w:pPr>
        <w:numPr>
          <w:ilvl w:val="0"/>
          <w:numId w:val="1115"/>
        </w:numPr>
      </w:pPr>
      <w:r>
        <w:rPr>
          <w:i/>
          <w:iCs/>
        </w:rPr>
        <w:t xml:space="preserve">Cómo se ve en el cuadro</w:t>
      </w:r>
      <w:r>
        <w:t xml:space="preserve">: consumo e inversión privados que se aceleran justo cuando el saldo estructural primario mejora con fuerza, con una prima de riesgo o unos tipos a largo que bajan. Con prudencia: puede haber otras causas (depreciación, demanda externa, política monetaria).</w:t>
      </w:r>
    </w:p>
    <w:bookmarkEnd w:id="175"/>
    <w:bookmarkStart w:id="177" w:name="las_reglas_fiscales_de_la_ue"/>
    <w:p>
      <w:pPr>
        <w:pStyle w:val="Heading4"/>
      </w:pPr>
      <w:r>
        <w:t xml:space="preserve">Las reglas fiscales de la UE</w:t>
      </w:r>
    </w:p>
    <w:p>
      <w:pPr>
        <w:numPr>
          <w:ilvl w:val="0"/>
          <w:numId w:val="1116"/>
        </w:numPr>
      </w:pPr>
      <w:r>
        <w:t xml:space="preserve">Se mantienen los valores de referencia del Tratado (déficit del 3 % y deuda del 60 % del PIB) y el procedimiento de déficit excesivo; desde 2024 el indicador operativo es una senda de gasto primario neto, dentro de un plan fiscal-estructural a 4 años (ampliable a 7 con reformas e inversiones)</w:t>
      </w:r>
      <w:r>
        <w:t xml:space="preserve"> </w:t>
      </w:r>
      <w:r>
        <w:t xml:space="preserve">(</w:t>
      </w:r>
      <w:hyperlink w:anchor="ref_TFUE2012Protocolo12">
        <w:r>
          <w:rPr>
            <w:rStyle w:val="Hyperlink"/>
            <w:smallCaps/>
          </w:rPr>
          <w:t xml:space="preserve">Unión Europea</w:t>
        </w:r>
        <w:r>
          <w:rPr>
            <w:rStyle w:val="Hyperlink"/>
          </w:rPr>
          <w:t xml:space="preserve">, 2012</w:t>
        </w:r>
      </w:hyperlink>
      <w:r>
        <w:t xml:space="preserve">;</w:t>
      </w:r>
      <w:r>
        <w:t xml:space="preserve"> </w:t>
      </w:r>
      <w:hyperlink w:anchor="ref_RegUE2024Preventivo">
        <w:r>
          <w:rPr>
            <w:rStyle w:val="Hyperlink"/>
            <w:smallCaps/>
          </w:rPr>
          <w:t xml:space="preserve">Parlamento Europeo y Consejo de la Unión Europea</w:t>
        </w:r>
        <w:r>
          <w:rPr>
            <w:rStyle w:val="Hyperlink"/>
          </w:rPr>
          <w:t xml:space="preserve">, 2024a</w:t>
        </w:r>
      </w:hyperlink>
      <w:r>
        <w:t xml:space="preserve">;</w:t>
      </w:r>
      <w:r>
        <w:t xml:space="preserve"> </w:t>
      </w:r>
      <w:hyperlink w:anchor="ref_RegUE2024Correctivo">
        <w:r>
          <w:rPr>
            <w:rStyle w:val="Hyperlink"/>
            <w:smallCaps/>
          </w:rPr>
          <w:t xml:space="preserve">Consejo de la Unión Europea</w:t>
        </w:r>
        <w:r>
          <w:rPr>
            <w:rStyle w:val="Hyperlink"/>
          </w:rPr>
          <w:t xml:space="preserve">, 2024</w:t>
        </w:r>
      </w:hyperlink>
      <w:r>
        <w:t xml:space="preserve">)</w:t>
      </w:r>
      <w:r>
        <w:t xml:space="preserve"> </w:t>
      </w:r>
      <w:hyperlink r:id="rId176">
        <w:r>
          <w:rPr>
            <w:rStyle w:val="Referenciaatema"/>
          </w:rPr>
          <w:t xml:space="preserve">[ver tema 3.B.45]</w:t>
        </w:r>
      </w:hyperlink>
      <w:r>
        <w:t xml:space="preserve">. Las salvaguardas y cómo se aplica a un país con déficit y deuda altos están en el anexo </w:t>
      </w:r>
      <w:hyperlink w:anchor="anexo_casos">
        <w:r>
          <w:rPr>
            <w:rStyle w:val="Hyperlink"/>
          </w:rPr>
          <w:t xml:space="preserve">E</w:t>
        </w:r>
      </w:hyperlink>
      <w:r>
        <w:t xml:space="preserve">.</w:t>
      </w:r>
    </w:p>
    <w:bookmarkEnd w:id="177"/>
    <w:bookmarkStart w:id="180" w:name="din__mica_y_sostenibilidad_de_la_d_76756"/>
    <w:p>
      <w:pPr>
        <w:pStyle w:val="Heading4"/>
      </w:pPr>
      <w:r>
        <w:t xml:space="preserve">Dinámica y sostenibilidad de la deuda pública</w:t>
      </w:r>
    </w:p>
    <w:p>
      <w:pPr>
        <w:numPr>
          <w:ilvl w:val="0"/>
          <w:numId w:val="1117"/>
        </w:numPr>
      </w:pPr>
      <w:r>
        <w:rPr>
          <w:i/>
          <w:iCs/>
        </w:rPr>
        <w:t xml:space="preserve">Cómo se calcula</w:t>
      </w:r>
      <w:r>
        <w:t xml:space="preserve">: con</w:t>
      </w:r>
      <w:r>
        <w:t xml:space="preserve"> </w:t>
      </w:r>
      <m:oMath>
        <m:sSub>
          <m:e>
            <m:r>
              <m:t>d</m:t>
            </m:r>
          </m:e>
          <m:sub>
            <m:r>
              <m:t>t</m:t>
            </m:r>
          </m:sub>
        </m:sSub>
      </m:oMath>
      <w:r>
        <w:t xml:space="preserve"> </w:t>
      </w:r>
      <w:r>
        <w:t xml:space="preserve">la deuda sobre el PIB,</w:t>
      </w:r>
      <w:r>
        <w:t xml:space="preserve"> </w:t>
      </w:r>
      <m:oMath>
        <m:sSub>
          <m:e>
            <m:r>
              <m:t>g</m:t>
            </m:r>
          </m:e>
          <m:sub>
            <m:r>
              <m:t>t</m:t>
            </m:r>
          </m:sub>
        </m:sSub>
        <m:r>
          <m:rPr>
            <m:sty m:val="p"/>
          </m:rPr>
          <m:t>−</m:t>
        </m:r>
        <m:sSub>
          <m:e>
            <m:r>
              <m:t>τ</m:t>
            </m:r>
          </m:e>
          <m:sub>
            <m:r>
              <m:t>t</m:t>
            </m:r>
          </m:sub>
        </m:sSub>
      </m:oMath>
      <w:r>
        <w:t xml:space="preserve"> </w:t>
      </w:r>
      <w:r>
        <w:t xml:space="preserve">el déficit primario,</w:t>
      </w:r>
      <w:r>
        <w:t xml:space="preserve"> </w:t>
      </w:r>
      <m:oMath>
        <m:r>
          <m:t>i</m:t>
        </m:r>
      </m:oMath>
      <w:r>
        <w:t xml:space="preserve"> </w:t>
      </w:r>
      <w:r>
        <w:t xml:space="preserve">el tipo implícito de la deuda y</w:t>
      </w:r>
      <w:r>
        <w:t xml:space="preserve"> </w:t>
      </w:r>
      <m:oMath>
        <m:sSup>
          <m:e>
            <m:r>
              <m:t>γ</m:t>
            </m:r>
          </m:e>
          <m:sup>
            <m:r>
              <m:t>N</m:t>
            </m:r>
          </m:sup>
        </m:sSup>
      </m:oMath>
      <w:r>
        <w:t xml:space="preserve"> </w:t>
      </w:r>
      <w:r>
        <w:t xml:space="preserve">el crecimiento del PIB nominal</w:t>
      </w:r>
      <w:r>
        <w:t xml:space="preserve"> </w:t>
      </w:r>
      <w:hyperlink r:id="rId59">
        <w:r>
          <w:rPr>
            <w:rStyle w:val="Referenciaatema"/>
          </w:rPr>
          <w:t xml:space="preserve">[ver tema 3.A.39]</w:t>
        </w:r>
      </w:hyperlink>
      <w:r>
        <w:t xml:space="preserve">,</w:t>
      </w:r>
      <w:r>
        <w:t xml:space="preserve"> </w:t>
      </w:r>
      <w:bookmarkStart w:id="178" w:name="eq_dinamica_deuda"/>
      <w:bookmarkEnd w:id="178"/>
    </w:p>
    <w:p>
      <w:pPr>
        <w:pStyle w:val="BodyText"/>
        <w:keepNext/>
      </w:pPr>
      <m:oMathPara>
        <m:oMathParaPr>
          <m:jc m:val="center"/>
        </m:oMathParaPr>
        <m:oMath>
          <m:sSub>
            <m:e>
              <m:r>
                <m:t>d</m:t>
              </m:r>
            </m:e>
            <m:sub>
              <m:r>
                <m:t>t</m:t>
              </m:r>
            </m:sub>
          </m:sSub>
          <m:r>
            <m:rPr>
              <m:sty m:val="p"/>
            </m:rPr>
            <m:t>−</m:t>
          </m:r>
          <m:sSub>
            <m:e>
              <m:r>
                <m:t>d</m:t>
              </m:r>
            </m:e>
            <m:sub>
              <m:r>
                <m:t>t</m:t>
              </m:r>
              <m:r>
                <m:rPr>
                  <m:sty m:val="p"/>
                </m:rPr>
                <m:t>−</m:t>
              </m:r>
              <m:r>
                <m:t>1</m:t>
              </m:r>
            </m:sub>
          </m:sSub>
          <m:r>
            <m:rPr>
              <m:sty m:val="p"/>
            </m:rPr>
            <m:t>=</m:t>
          </m:r>
          <m:d>
            <m:dPr>
              <m:begChr m:val="("/>
              <m:sepChr m:val=""/>
              <m:endChr m:val=")"/>
              <m:grow/>
            </m:dPr>
            <m:e>
              <m:sSub>
                <m:e>
                  <m:r>
                    <m:t>g</m:t>
                  </m:r>
                </m:e>
                <m:sub>
                  <m:r>
                    <m:t>t</m:t>
                  </m:r>
                </m:sub>
              </m:sSub>
              <m:r>
                <m:rPr>
                  <m:sty m:val="p"/>
                </m:rPr>
                <m:t>−</m:t>
              </m:r>
              <m:sSub>
                <m:e>
                  <m:r>
                    <m:t>τ</m:t>
                  </m:r>
                </m:e>
                <m:sub>
                  <m:r>
                    <m:t>t</m:t>
                  </m:r>
                </m:sub>
              </m:sSub>
            </m:e>
          </m:d>
          <m:r>
            <m:rPr>
              <m:sty m:val="p"/>
            </m:rPr>
            <m:t>+</m:t>
          </m:r>
          <m:f>
            <m:fPr>
              <m:type m:val="bar"/>
            </m:fPr>
            <m:num>
              <m:sSub>
                <m:e>
                  <m:r>
                    <m:t>i</m:t>
                  </m:r>
                </m:e>
                <m:sub>
                  <m:r>
                    <m:t>t</m:t>
                  </m:r>
                </m:sub>
              </m:sSub>
              <m:r>
                <m:rPr>
                  <m:sty m:val="p"/>
                </m:rPr>
                <m:t>−</m:t>
              </m:r>
              <m:sSubSup>
                <m:e>
                  <m:r>
                    <m:t>γ</m:t>
                  </m:r>
                </m:e>
                <m:sub>
                  <m:r>
                    <m:t>t</m:t>
                  </m:r>
                </m:sub>
                <m:sup>
                  <m:r>
                    <m:t>N</m:t>
                  </m:r>
                </m:sup>
              </m:sSubSup>
            </m:num>
            <m:den>
              <m:r>
                <m:t>1</m:t>
              </m:r>
              <m:r>
                <m:rPr>
                  <m:sty m:val="p"/>
                </m:rPr>
                <m:t>+</m:t>
              </m:r>
              <m:sSubSup>
                <m:e>
                  <m:r>
                    <m:t>γ</m:t>
                  </m:r>
                </m:e>
                <m:sub>
                  <m:r>
                    <m:t>t</m:t>
                  </m:r>
                </m:sub>
                <m:sup>
                  <m:r>
                    <m:t>N</m:t>
                  </m:r>
                </m:sup>
              </m:sSubSup>
            </m:den>
          </m:f>
          <m:r>
            <m:t> </m:t>
          </m:r>
          <m:sSub>
            <m:e>
              <m:r>
                <m:t>d</m:t>
              </m:r>
            </m:e>
            <m:sub>
              <m:r>
                <m:t>t</m:t>
              </m:r>
              <m:r>
                <m:rPr>
                  <m:sty m:val="p"/>
                </m:rPr>
                <m:t>−</m:t>
              </m:r>
              <m:r>
                <m:t>1</m:t>
              </m:r>
            </m:sub>
          </m:sSub>
          <m:r>
            <m:rPr>
              <m:sty m:val="p"/>
            </m:rPr>
            <m:t>+</m:t>
          </m:r>
          <m:sSub>
            <m:e>
              <m:r>
                <m:rPr>
                  <m:sty m:val="p"/>
                </m:rPr>
                <m:t>A</m:t>
              </m:r>
              <m:r>
                <m:rPr>
                  <m:sty m:val="p"/>
                </m:rPr>
                <m:t>D</m:t>
              </m:r>
              <m:r>
                <m:rPr>
                  <m:sty m:val="p"/>
                </m:rPr>
                <m:t>D</m:t>
              </m:r>
            </m:e>
            <m:sub>
              <m:r>
                <m:t>t</m:t>
              </m:r>
            </m:sub>
          </m:sSub>
          <m:r>
            <m:t> </m:t>
          </m:r>
          <m:r>
            <m:rPr>
              <m:sty m:val="p"/>
            </m:rPr>
            <m:t>≈</m:t>
          </m:r>
          <m:r>
            <m:t> </m:t>
          </m:r>
          <m:d>
            <m:dPr>
              <m:begChr m:val="("/>
              <m:sepChr m:val=""/>
              <m:endChr m:val=")"/>
              <m:grow/>
            </m:dPr>
            <m:e>
              <m:sSub>
                <m:e>
                  <m:r>
                    <m:t>g</m:t>
                  </m:r>
                </m:e>
                <m:sub>
                  <m:r>
                    <m:t>t</m:t>
                  </m:r>
                </m:sub>
              </m:sSub>
              <m:r>
                <m:rPr>
                  <m:sty m:val="p"/>
                </m:rPr>
                <m:t>−</m:t>
              </m:r>
              <m:sSub>
                <m:e>
                  <m:r>
                    <m:t>τ</m:t>
                  </m:r>
                </m:e>
                <m:sub>
                  <m:r>
                    <m:t>t</m:t>
                  </m:r>
                </m:sub>
              </m:sSub>
            </m:e>
          </m:d>
          <m:r>
            <m:rPr>
              <m:sty m:val="p"/>
            </m:rPr>
            <m:t>+</m:t>
          </m:r>
          <m:f>
            <m:fPr>
              <m:type m:val="bar"/>
            </m:fPr>
            <m:num>
              <m:sSub>
                <m:e>
                  <m:r>
                    <m:t>r</m:t>
                  </m:r>
                </m:e>
                <m:sub>
                  <m:r>
                    <m:t>t</m:t>
                  </m:r>
                </m:sub>
              </m:sSub>
              <m:r>
                <m:rPr>
                  <m:sty m:val="p"/>
                </m:rPr>
                <m:t>−</m:t>
              </m:r>
              <m:sSub>
                <m:e>
                  <m:r>
                    <m:t>γ</m:t>
                  </m:r>
                </m:e>
                <m:sub>
                  <m:r>
                    <m:t>Y</m:t>
                  </m:r>
                  <m:r>
                    <m:rPr>
                      <m:sty m:val="p"/>
                    </m:rPr>
                    <m:t>,</m:t>
                  </m:r>
                  <m:r>
                    <m:t>t</m:t>
                  </m:r>
                </m:sub>
              </m:sSub>
            </m:num>
            <m:den>
              <m:r>
                <m:t>1</m:t>
              </m:r>
              <m:r>
                <m:rPr>
                  <m:sty m:val="p"/>
                </m:rPr>
                <m:t>+</m:t>
              </m:r>
              <m:sSub>
                <m:e>
                  <m:r>
                    <m:t>γ</m:t>
                  </m:r>
                </m:e>
                <m:sub>
                  <m:r>
                    <m:t>Y</m:t>
                  </m:r>
                  <m:r>
                    <m:rPr>
                      <m:sty m:val="p"/>
                    </m:rPr>
                    <m:t>,</m:t>
                  </m:r>
                  <m:r>
                    <m:t>t</m:t>
                  </m:r>
                </m:sub>
              </m:sSub>
            </m:den>
          </m:f>
          <m:r>
            <m:t> </m:t>
          </m:r>
          <m:sSub>
            <m:e>
              <m:r>
                <m:t>d</m:t>
              </m:r>
            </m:e>
            <m:sub>
              <m:r>
                <m:t>t</m:t>
              </m:r>
              <m:r>
                <m:rPr>
                  <m:sty m:val="p"/>
                </m:rPr>
                <m:t>−</m:t>
              </m:r>
              <m:r>
                <m:t>1</m:t>
              </m:r>
            </m:sub>
          </m:sSub>
          <m:r>
            <m:rPr>
              <m:sty m:val="p"/>
            </m:rPr>
            <m:t>+</m:t>
          </m:r>
          <m:sSub>
            <m:e>
              <m:r>
                <m:rPr>
                  <m:sty m:val="p"/>
                </m:rPr>
                <m:t>A</m:t>
              </m:r>
              <m:r>
                <m:rPr>
                  <m:sty m:val="p"/>
                </m:rPr>
                <m:t>D</m:t>
              </m:r>
              <m:r>
                <m:rPr>
                  <m:sty m:val="p"/>
                </m:rPr>
                <m:t>D</m:t>
              </m:r>
            </m:e>
            <m:sub>
              <m:r>
                <m:t>t</m:t>
              </m:r>
            </m:sub>
          </m:sSub>
          <m:r>
            <m:rPr>
              <m:sty m:val="p"/>
            </m:rPr>
            <m:t>,</m:t>
          </m:r>
        </m:oMath>
      </m:oMathPara>
    </w:p>
    <w:p>
      <w:pPr>
        <w:numPr>
          <w:ilvl w:val="0"/>
          <w:numId w:val="1000"/>
        </w:numPr>
      </w:pPr>
      <w:r>
        <w:t xml:space="preserve">donde el segundo término es el</w:t>
      </w:r>
      <w:r>
        <w:t xml:space="preserve"> </w:t>
      </w:r>
      <w:r>
        <w:rPr>
          <w:b/>
          <w:bCs/>
        </w:rPr>
        <w:t xml:space="preserve">efecto bola de nieve</w:t>
      </w:r>
      <w:r>
        <w:t xml:space="preserve"> </w:t>
      </w:r>
      <w:r>
        <w:t xml:space="preserve">y ADD el ajuste déficit-deuda (privatizaciones, ayudas financieras, depósitos del Tesoro, efecto del tipo de cambio en la deuda en divisas).</w:t>
      </w:r>
    </w:p>
    <w:p>
      <w:pPr>
        <w:numPr>
          <w:ilvl w:val="0"/>
          <w:numId w:val="1117"/>
        </w:numPr>
      </w:pPr>
      <w:r>
        <w:rPr>
          <w:i/>
          <w:iCs/>
        </w:rPr>
        <w:t xml:space="preserve">Saldo primario que estabiliza la deuda</w:t>
      </w:r>
      <w:r>
        <w:t xml:space="preserve">:</w:t>
      </w:r>
      <w:r>
        <w:t xml:space="preserve"> </w:t>
      </w:r>
      <m:oMath>
        <m:r>
          <m:t>τ</m:t>
        </m:r>
        <m:r>
          <m:rPr>
            <m:sty m:val="p"/>
          </m:rPr>
          <m:t>−</m:t>
        </m:r>
        <m:r>
          <m:t>g</m:t>
        </m:r>
        <m:r>
          <m:rPr>
            <m:sty m:val="p"/>
          </m:rPr>
          <m:t>=</m:t>
        </m:r>
        <m:f>
          <m:fPr>
            <m:type m:val="bar"/>
          </m:fPr>
          <m:num>
            <m:r>
              <m:t>i</m:t>
            </m:r>
            <m:r>
              <m:rPr>
                <m:sty m:val="p"/>
              </m:rPr>
              <m:t>−</m:t>
            </m:r>
            <m:sSup>
              <m:e>
                <m:r>
                  <m:t>γ</m:t>
                </m:r>
              </m:e>
              <m:sup>
                <m:r>
                  <m:t>N</m:t>
                </m:r>
              </m:sup>
            </m:sSup>
          </m:num>
          <m:den>
            <m:r>
              <m:t>1</m:t>
            </m:r>
            <m:r>
              <m:rPr>
                <m:sty m:val="p"/>
              </m:rPr>
              <m:t>+</m:t>
            </m:r>
            <m:sSup>
              <m:e>
                <m:r>
                  <m:t>γ</m:t>
                </m:r>
              </m:e>
              <m:sup>
                <m:r>
                  <m:t>N</m:t>
                </m:r>
              </m:sup>
            </m:sSup>
          </m:den>
        </m:f>
        <m:r>
          <m:t> </m:t>
        </m:r>
        <m:r>
          <m:t>d</m:t>
        </m:r>
      </m:oMath>
      <w:r>
        <w:t xml:space="preserve">. Si</w:t>
      </w:r>
      <w:r>
        <w:t xml:space="preserve"> </w:t>
      </w:r>
      <m:oMath>
        <m:r>
          <m:t>i</m:t>
        </m:r>
        <m:r>
          <m:rPr>
            <m:sty m:val="p"/>
          </m:rPr>
          <m:t>&lt;</m:t>
        </m:r>
        <m:sSup>
          <m:e>
            <m:r>
              <m:t>γ</m:t>
            </m:r>
          </m:e>
          <m:sup>
            <m:r>
              <m:t>N</m:t>
            </m:r>
          </m:sup>
        </m:sSup>
      </m:oMath>
      <w:r>
        <w:t xml:space="preserve"> </w:t>
      </w:r>
      <w:r>
        <w:t xml:space="preserve">(o</w:t>
      </w:r>
      <w:r>
        <w:t xml:space="preserve"> </w:t>
      </w:r>
      <m:oMath>
        <m:r>
          <m:t>r</m:t>
        </m:r>
        <m:r>
          <m:rPr>
            <m:sty m:val="p"/>
          </m:rPr>
          <m:t>&lt;</m:t>
        </m:r>
        <m:sSub>
          <m:e>
            <m:r>
              <m:t>γ</m:t>
            </m:r>
          </m:e>
          <m:sub>
            <m:r>
              <m:t>Y</m:t>
            </m:r>
          </m:sub>
        </m:sSub>
      </m:oMath>
      <w:r>
        <w:t xml:space="preserve">), el crecimiento reduce la ratio por sí solo y basta un déficit primario pequeño</w:t>
      </w:r>
      <w:r>
        <w:t xml:space="preserve"> </w:t>
      </w:r>
      <w:r>
        <w:t xml:space="preserve">(</w:t>
      </w:r>
      <w:hyperlink w:anchor="ref_Blanchard2019Deuda">
        <w:r>
          <w:rPr>
            <w:rStyle w:val="Hyperlink"/>
          </w:rPr>
          <w:t xml:space="preserve">O.</w:t>
        </w:r>
        <w:r>
          <w:rPr>
            <w:rStyle w:val="Hyperlink"/>
          </w:rPr>
          <w:t xml:space="preserve"> </w:t>
        </w:r>
        <w:r>
          <w:rPr>
            <w:rStyle w:val="Hyperlink"/>
            <w:smallCaps/>
          </w:rPr>
          <w:t xml:space="preserve">Blanchard</w:t>
        </w:r>
        <w:r>
          <w:rPr>
            <w:rStyle w:val="Hyperlink"/>
          </w:rPr>
          <w:t xml:space="preserve">, 2019</w:t>
        </w:r>
      </w:hyperlink>
      <w:r>
        <w:t xml:space="preserve">)</w:t>
      </w:r>
      <w:r>
        <w:t xml:space="preserve">; si</w:t>
      </w:r>
      <w:r>
        <w:t xml:space="preserve"> </w:t>
      </w:r>
      <m:oMath>
        <m:r>
          <m:t>i</m:t>
        </m:r>
        <m:r>
          <m:rPr>
            <m:sty m:val="p"/>
          </m:rPr>
          <m:t>&gt;</m:t>
        </m:r>
        <m:sSup>
          <m:e>
            <m:r>
              <m:t>γ</m:t>
            </m:r>
          </m:e>
          <m:sup>
            <m:r>
              <m:t>N</m:t>
            </m:r>
          </m:sup>
        </m:sSup>
      </m:oMath>
      <w:r>
        <w:t xml:space="preserve">, hacen falta superávits primarios, mayores cuanto más deuda. Ejemplo: con una deuda del 100 % del PIB, un tipo implícito del 3 % y un crecimiento nominal del 4 %, la deuda se estabiliza con un déficit primario de casi 1 punto.</w:t>
      </w:r>
    </w:p>
    <w:p>
      <w:pPr>
        <w:keepNext/>
        <w:numPr>
          <w:ilvl w:val="0"/>
          <w:numId w:val="1117"/>
        </w:numPr>
      </w:pPr>
      <w:r>
        <w:rPr>
          <w:i/>
          <w:iCs/>
        </w:rPr>
        <w:t xml:space="preserve">Riesgos para la sostenibilidad</w:t>
      </w:r>
      <w:r>
        <w:t xml:space="preserve">:</w:t>
      </w:r>
    </w:p>
    <w:p>
      <w:pPr>
        <w:numPr>
          <w:ilvl w:val="1"/>
          <w:numId w:val="1118"/>
        </w:numPr>
      </w:pPr>
      <w:r>
        <w:rPr>
          <w:i/>
          <w:iCs/>
        </w:rPr>
        <w:t xml:space="preserve">macroeconómicos</w:t>
      </w:r>
      <w:r>
        <w:t xml:space="preserve">: menos crecimiento, deflación, subidas de tipos, pasivos contingentes (avales, empresas públicas, banca) y envejecimiento</w:t>
      </w:r>
      <w:r>
        <w:t xml:space="preserve"> </w:t>
      </w:r>
      <w:r>
        <w:t xml:space="preserve">(</w:t>
      </w:r>
      <w:hyperlink w:anchor="ref_CE2024Envejecimiento">
        <w:r>
          <w:rPr>
            <w:rStyle w:val="Hyperlink"/>
            <w:smallCaps/>
          </w:rPr>
          <w:t xml:space="preserve">Comisión Europea</w:t>
        </w:r>
        <w:r>
          <w:rPr>
            <w:rStyle w:val="Hyperlink"/>
          </w:rPr>
          <w:t xml:space="preserve">, 2024</w:t>
        </w:r>
      </w:hyperlink>
      <w:r>
        <w:t xml:space="preserve">)</w:t>
      </w:r>
      <w:r>
        <w:t xml:space="preserve">;</w:t>
      </w:r>
    </w:p>
    <w:p>
      <w:pPr>
        <w:numPr>
          <w:ilvl w:val="1"/>
          <w:numId w:val="1118"/>
        </w:numPr>
      </w:pPr>
      <w:r>
        <w:rPr>
          <w:i/>
          <w:iCs/>
        </w:rPr>
        <w:t xml:space="preserve">financieros</w:t>
      </w:r>
      <w:r>
        <w:t xml:space="preserve">: deuda en divisas, mucho vencimiento a corto plazo, tenedores no residentes, concentración en la banca nacional (bucle bancario-soberano, apartado </w:t>
      </w:r>
      <w:hyperlink w:anchor="sec_estabilidad">
        <w:r>
          <w:rPr>
            <w:rStyle w:val="Hyperlink"/>
          </w:rPr>
          <w:t xml:space="preserve">V.2</w:t>
        </w:r>
      </w:hyperlink>
      <w:r>
        <w:t xml:space="preserve">) y calificación cerca del grado especulativo (por debajo de BBB</w:t>
      </w:r>
      <m:oMath>
        <m:r>
          <m:rPr>
            <m:sty m:val="p"/>
          </m:rPr>
          <m:t>−</m:t>
        </m:r>
      </m:oMath>
      <w:r>
        <w:t xml:space="preserve">/Baa3 la deuda deja de ser admisible como garantía en el Eurosistema</w:t>
      </w:r>
      <w:r>
        <w:t xml:space="preserve"> </w:t>
      </w:r>
      <w:r>
        <w:t xml:space="preserve">(</w:t>
      </w:r>
      <w:hyperlink w:anchor="ref_BCE2026ECAF">
        <w:r>
          <w:rPr>
            <w:rStyle w:val="Hyperlink"/>
            <w:smallCaps/>
          </w:rPr>
          <w:t xml:space="preserve">Banco Central Europeo</w:t>
        </w:r>
        <w:r>
          <w:rPr>
            <w:rStyle w:val="Hyperlink"/>
          </w:rPr>
          <w:t xml:space="preserve">, 2026e</w:t>
        </w:r>
      </w:hyperlink>
      <w:r>
        <w:t xml:space="preserve">)</w:t>
      </w:r>
      <w:r>
        <w:t xml:space="preserve">).</w:t>
      </w:r>
    </w:p>
    <w:p>
      <w:pPr>
        <w:numPr>
          <w:ilvl w:val="0"/>
          <w:numId w:val="1117"/>
        </w:numPr>
      </w:pPr>
      <w:r>
        <w:rPr>
          <w:i/>
          <w:iCs/>
        </w:rPr>
        <w:t xml:space="preserve">Estrategias para reducir los riesgos</w:t>
      </w:r>
      <w:r>
        <w:t xml:space="preserve">: consolidación gradual y creíble, anunciada pronto (mejor por el gasto corriente y ampliando bases), alargar la vida media y emitir en moneda nacional, diversificar los inversores, reformas que eleven el crecimiento potencial y, en la UE, un plan fiscal-estructural creíble</w:t>
      </w:r>
      <w:r>
        <w:t xml:space="preserve"> </w:t>
      </w:r>
      <w:hyperlink r:id="rId179">
        <w:r>
          <w:rPr>
            <w:rStyle w:val="Referenciaatema"/>
          </w:rPr>
          <w:t xml:space="preserve">[ver tema 4.B.26]</w:t>
        </w:r>
      </w:hyperlink>
      <w:r>
        <w:t xml:space="preserve">.</w:t>
      </w:r>
    </w:p>
    <w:bookmarkEnd w:id="180"/>
    <w:bookmarkStart w:id="182" w:name="la_inflaci__n_y_las_cuentas_p__blicas"/>
    <w:p>
      <w:pPr>
        <w:pStyle w:val="Heading4"/>
      </w:pPr>
      <w:r>
        <w:t xml:space="preserve">La inflación y las cuentas públicas</w:t>
      </w:r>
    </w:p>
    <w:p>
      <w:pPr>
        <w:numPr>
          <w:ilvl w:val="0"/>
          <w:numId w:val="1119"/>
        </w:numPr>
      </w:pPr>
      <w:r>
        <w:rPr>
          <w:i/>
          <w:iCs/>
        </w:rPr>
        <w:t xml:space="preserve">La idea</w:t>
      </w:r>
      <w:r>
        <w:t xml:space="preserve">: la inflación aumenta los ingresos y los gastos públicos, pero con distinto retraso. A corto plazo mejora el déficit y la ratio de deuda; a medio plazo el efecto se invierte</w:t>
      </w:r>
      <w:r>
        <w:t xml:space="preserve"> </w:t>
      </w:r>
      <w:r>
        <w:t xml:space="preserve">(</w:t>
      </w:r>
      <w:hyperlink w:anchor="ref_FMI2023FiscalMonitor">
        <w:r>
          <w:rPr>
            <w:rStyle w:val="Hyperlink"/>
            <w:smallCaps/>
          </w:rPr>
          <w:t xml:space="preserve">Fondo Monetario Internacional</w:t>
        </w:r>
        <w:r>
          <w:rPr>
            <w:rStyle w:val="Hyperlink"/>
          </w:rPr>
          <w:t xml:space="preserve">, 2023a</w:t>
        </w:r>
      </w:hyperlink>
      <w:r>
        <w:t xml:space="preserve">)</w:t>
      </w:r>
      <w:r>
        <w:t xml:space="preserve">.</w:t>
      </w:r>
    </w:p>
    <w:p>
      <w:pPr>
        <w:keepNext/>
        <w:numPr>
          <w:ilvl w:val="0"/>
          <w:numId w:val="1119"/>
        </w:numPr>
      </w:pPr>
      <w:r>
        <w:rPr>
          <w:i/>
          <w:iCs/>
        </w:rPr>
        <w:t xml:space="preserve">Los ingresos suben deprisa</w:t>
      </w:r>
      <w:r>
        <w:t xml:space="preserve">:</w:t>
      </w:r>
    </w:p>
    <w:p>
      <w:pPr>
        <w:numPr>
          <w:ilvl w:val="1"/>
          <w:numId w:val="1120"/>
        </w:numPr>
      </w:pPr>
      <w:r>
        <w:t xml:space="preserve">las bases tributarias (consumo, beneficios, masa salarial) son variables nominales y crecen con la inflación;</w:t>
      </w:r>
    </w:p>
    <w:p>
      <w:pPr>
        <w:numPr>
          <w:ilvl w:val="1"/>
          <w:numId w:val="1120"/>
        </w:numPr>
      </w:pPr>
      <w:r>
        <w:t xml:space="preserve">la</w:t>
      </w:r>
      <w:r>
        <w:t xml:space="preserve"> </w:t>
      </w:r>
      <w:r>
        <w:rPr>
          <w:i/>
          <w:iCs/>
        </w:rPr>
        <w:t xml:space="preserve">progresividad en frío</w:t>
      </w:r>
      <w:r>
        <w:t xml:space="preserve"> </w:t>
      </w:r>
      <w:r>
        <w:t xml:space="preserve">(rémora fiscal): si los tramos del impuesto sobre la renta no se actualizan, los contribuyentes pasan a tramos más altos aunque su renta real no suba.</w:t>
      </w:r>
    </w:p>
    <w:p>
      <w:pPr>
        <w:keepNext/>
        <w:numPr>
          <w:ilvl w:val="0"/>
          <w:numId w:val="1119"/>
        </w:numPr>
      </w:pPr>
      <w:r>
        <w:rPr>
          <w:i/>
          <w:iCs/>
        </w:rPr>
        <w:t xml:space="preserve">Los gastos suben más despacio</w:t>
      </w:r>
      <w:r>
        <w:t xml:space="preserve">:</w:t>
      </w:r>
    </w:p>
    <w:p>
      <w:pPr>
        <w:numPr>
          <w:ilvl w:val="1"/>
          <w:numId w:val="1121"/>
        </w:numPr>
      </w:pPr>
      <w:r>
        <w:rPr>
          <w:i/>
          <w:iCs/>
        </w:rPr>
        <w:t xml:space="preserve">intereses</w:t>
      </w:r>
      <w:r>
        <w:t xml:space="preserve">: suben a medida que se amortiza la deuda antigua, emitida a tipos bajos, y se emite deuda nueva a tipos más altos; como la deuda viva se amortiza poco a poco, suben lentamente (más deprisa con mucha deuda a corto plazo o indexada a la inflación);</w:t>
      </w:r>
    </w:p>
    <w:p>
      <w:pPr>
        <w:numPr>
          <w:ilvl w:val="1"/>
          <w:numId w:val="1121"/>
        </w:numPr>
      </w:pPr>
      <w:r>
        <w:rPr>
          <w:i/>
          <w:iCs/>
        </w:rPr>
        <w:t xml:space="preserve">gastos indexados</w:t>
      </w:r>
      <w:r>
        <w:t xml:space="preserve"> </w:t>
      </w:r>
      <w:r>
        <w:t xml:space="preserve">(pensiones y salarios públicos): suben con retraso, porque suelen actualizarse con la inflación del año anterior. Cuidado con los salarios públicos: a veces son la referencia de los privados (efectos de segunda ronda);</w:t>
      </w:r>
    </w:p>
    <w:p>
      <w:pPr>
        <w:numPr>
          <w:ilvl w:val="1"/>
          <w:numId w:val="1121"/>
        </w:numPr>
      </w:pPr>
      <w:r>
        <w:rPr>
          <w:i/>
          <w:iCs/>
        </w:rPr>
        <w:t xml:space="preserve">compras y suministros</w:t>
      </w:r>
      <w:r>
        <w:t xml:space="preserve"> </w:t>
      </w:r>
      <w:r>
        <w:t xml:space="preserve">(alquileres, contratos): suben a medida que vencen los contratos y se licitan a precios más altos.</w:t>
      </w:r>
    </w:p>
    <w:p>
      <w:pPr>
        <w:numPr>
          <w:ilvl w:val="0"/>
          <w:numId w:val="1119"/>
        </w:numPr>
      </w:pPr>
      <w:r>
        <w:rPr>
          <w:i/>
          <w:iCs/>
        </w:rPr>
        <w:t xml:space="preserve">El denominador</w:t>
      </w:r>
      <w:r>
        <w:t xml:space="preserve">: el PIB nominal sube con la inflación, y con él bajan el déficit y la deuda en porcentaje del PIB. La tabla </w:t>
      </w:r>
      <w:hyperlink w:anchor="tab_inflacion_cuentas">
        <w:r>
          <w:rPr>
            <w:rStyle w:val="Hyperlink"/>
          </w:rPr>
          <w:t xml:space="preserve">1</w:t>
        </w:r>
      </w:hyperlink>
      <w:r>
        <w:t xml:space="preserve"> </w:t>
      </w:r>
      <w:r>
        <w:t xml:space="preserve">ordena los canales, y el gráfico </w:t>
      </w:r>
      <w:hyperlink w:anchor="fig_inflacion_cuentas">
        <w:r>
          <w:rPr>
            <w:rStyle w:val="Hyperlink"/>
          </w:rPr>
          <w:t xml:space="preserve">13</w:t>
        </w:r>
      </w:hyperlink>
      <w:r>
        <w:t xml:space="preserve">, en los anexos, su calendario.</w:t>
      </w:r>
    </w:p>
    <w:bookmarkStart w:id="181" w:name="tab_inflacion_cuentas"/>
    <w:p>
      <w:pPr>
        <w:pStyle w:val="TableCaption"/>
      </w:pPr>
      <w:r>
        <w:t xml:space="preserve">Tabla 1.–</w:t>
      </w:r>
      <w:r>
        <w:t xml:space="preserve"> </w:t>
      </w:r>
      <w:r>
        <w:t xml:space="preserve">Repercusiones inmediatas de la inflación en las finanzas públicas</w:t>
      </w:r>
    </w:p>
    <w:tbl>
      <w:tblPr>
        <w:tblStyle w:val="Table"/>
        <w:tblW w:type="auto" w:w="0"/>
        <w:tblLook w:firstRow="1" w:lastRow="0" w:firstColumn="0" w:lastColumn="0" w:noHBand="0" w:noVBand="0" w:val="0020"/>
        <w:tblCaption w:val="Tabla 1.– Repercusiones inmediatas de la inflación en las finanzas públicas"/>
      </w:tblPr>
      <w:tblGrid>
        <w:gridCol w:w="2640"/>
        <w:gridCol w:w="2640"/>
        <w:gridCol w:w="2640"/>
      </w:tblGrid>
      <w:tr>
        <w:trPr>
          <w:cantSplit/>
          <w:tblHeader w:val="on"/>
        </w:trPr>
        <w:tc>
          <w:tcPr>
            <w:shd w:val="clear" w:color="auto" w:fill="DDEBF7"/>
          </w:tcPr>
          <w:tcPr/>
          <w:p>
            <w:pPr>
              <w:pStyle w:val="Celdatceeazulpalido"/>
              <w:keepNext/>
              <w:jc w:val="left"/>
            </w:pPr>
            <w:r>
              <w:t xml:space="preserve"> </w:t>
            </w:r>
            <w:r>
              <w:rPr>
                <w:b/>
                <w:bCs/>
              </w:rPr>
              <w:t xml:space="preserve">Canal</w:t>
            </w:r>
          </w:p>
        </w:tc>
        <w:tc>
          <w:tcPr>
            <w:shd w:val="clear" w:color="auto" w:fill="DDEBF7"/>
          </w:tcPr>
          <w:tcPr/>
          <w:p>
            <w:pPr>
              <w:pStyle w:val="Celdatceeazulpalido"/>
              <w:keepNext/>
              <w:jc w:val="left"/>
            </w:pPr>
            <w:r>
              <w:rPr>
                <w:b/>
                <w:bCs/>
              </w:rPr>
              <w:t xml:space="preserve">Efecto en</w:t>
            </w:r>
          </w:p>
        </w:tc>
        <w:tc>
          <w:tcPr>
            <w:shd w:val="clear" w:color="auto" w:fill="DDEBF7"/>
          </w:tcPr>
          <w:tcPr/>
          <w:p>
            <w:pPr>
              <w:pStyle w:val="Celdatceeazulpalido"/>
              <w:keepNext/>
              <w:jc w:val="left"/>
            </w:pPr>
            <w:r>
              <w:rPr>
                <w:b/>
                <w:bCs/>
              </w:rPr>
              <w:t xml:space="preserve">Qué ocurre</w:t>
            </w:r>
          </w:p>
        </w:tc>
      </w:tr>
      <w:tr>
        <w:trPr>
          <w:cantSplit/>
        </w:trPr>
        <w:tc>
          <w:tcPr>
            <w:shd w:val="clear" w:color="auto" w:fill="E2EFD9"/>
          </w:tcPr>
          <w:tcPr/>
          <w:p>
            <w:pPr>
              <w:pStyle w:val="Celdatceesalvia"/>
              <w:jc w:val="left"/>
            </w:pPr>
            <w:r>
              <w:t xml:space="preserve"> </w:t>
            </w:r>
            <w:r>
              <w:t xml:space="preserve">Valores nominales inflados</w:t>
            </w:r>
          </w:p>
        </w:tc>
        <w:tc>
          <w:tcPr>
            <w:shd w:val="clear" w:color="auto" w:fill="E2EFD9"/>
          </w:tcPr>
          <w:tcPr/>
          <w:p>
            <w:pPr>
              <w:pStyle w:val="Celdatceesalvia"/>
              <w:jc w:val="left"/>
            </w:pPr>
            <w:r>
              <w:t xml:space="preserve">Denominador (PIB)</w:t>
            </w:r>
          </w:p>
        </w:tc>
        <w:tc>
          <w:tcPr>
            <w:shd w:val="clear" w:color="auto" w:fill="E2EFD9"/>
          </w:tcPr>
          <w:tcPr/>
          <w:p>
            <w:pPr>
              <w:pStyle w:val="Celdatceesalvia"/>
              <w:jc w:val="left"/>
            </w:pPr>
            <w:r>
              <w:t xml:space="preserve">El PIB nominal sube con la inflación: bajan el déficit y la deuda en porcentaje del PIB</w:t>
            </w:r>
          </w:p>
        </w:tc>
      </w:tr>
      <w:tr>
        <w:trPr>
          <w:cantSplit/>
        </w:trPr>
        <w:tc>
          <w:tcPr/>
          <w:p>
            <w:pPr>
              <w:pStyle w:val="Compact"/>
              <w:jc w:val="left"/>
            </w:pPr>
            <w:r>
              <w:t xml:space="preserve">Valores nominales inflados e indexación</w:t>
            </w:r>
          </w:p>
        </w:tc>
        <w:tc>
          <w:tcPr/>
          <w:p>
            <w:pPr>
              <w:pStyle w:val="Compact"/>
              <w:jc w:val="left"/>
            </w:pPr>
            <w:r>
              <w:t xml:space="preserve">Ingresos</w:t>
            </w:r>
          </w:p>
        </w:tc>
        <w:tc>
          <w:tcPr/>
          <w:p>
            <w:pPr>
              <w:pStyle w:val="Compact"/>
              <w:jc w:val="left"/>
            </w:pPr>
            <w:r>
              <w:t xml:space="preserve">La base imponible nominal sube (IVA, impuesto sobre los beneficios); si los tramos del impuesto sobre la renta no se indexan, los contribuyentes pasan a tramos más altos</w:t>
            </w:r>
          </w:p>
        </w:tc>
      </w:tr>
      <w:tr>
        <w:trPr>
          <w:cantSplit/>
        </w:trPr>
        <w:tc>
          <w:tcPr>
            <w:shd w:val="clear" w:color="auto" w:fill="E2EFD9"/>
          </w:tcPr>
          <w:tcPr/>
          <w:p>
            <w:pPr>
              <w:pStyle w:val="Celdatceesalvia"/>
              <w:jc w:val="left"/>
            </w:pPr>
            <w:r>
              <w:t xml:space="preserve"> </w:t>
            </w:r>
            <w:r>
              <w:t xml:space="preserve">Indexación</w:t>
            </w:r>
          </w:p>
        </w:tc>
        <w:tc>
          <w:tcPr>
            <w:shd w:val="clear" w:color="auto" w:fill="E2EFD9"/>
          </w:tcPr>
          <w:tcPr/>
          <w:p>
            <w:pPr>
              <w:pStyle w:val="Celdatceesalvia"/>
              <w:jc w:val="left"/>
            </w:pPr>
            <w:r>
              <w:t xml:space="preserve">Gasto primario</w:t>
            </w:r>
          </w:p>
        </w:tc>
        <w:tc>
          <w:tcPr>
            <w:shd w:val="clear" w:color="auto" w:fill="E2EFD9"/>
          </w:tcPr>
          <w:tcPr/>
          <w:p>
            <w:pPr>
              <w:pStyle w:val="Celdatceesalvia"/>
              <w:jc w:val="left"/>
            </w:pPr>
            <w:r>
              <w:t xml:space="preserve">No varía de inmediato, pero sube con un corto retraso por la indexación de salarios públicos, prestaciones sociales, subvenciones, pensiones y gasto sanitario</w:t>
            </w:r>
          </w:p>
        </w:tc>
      </w:tr>
      <w:tr>
        <w:trPr>
          <w:cantSplit/>
        </w:trPr>
        <w:tc>
          <w:tcPr/>
          <w:p>
            <w:pPr>
              <w:pStyle w:val="Compact"/>
              <w:jc w:val="left"/>
            </w:pPr>
            <w:r>
              <w:t xml:space="preserve">Indexación, estructura de la deuda y expectativas del mercado</w:t>
            </w:r>
          </w:p>
        </w:tc>
        <w:tc>
          <w:tcPr/>
          <w:p>
            <w:pPr>
              <w:pStyle w:val="Compact"/>
              <w:jc w:val="left"/>
            </w:pPr>
            <w:r>
              <w:t xml:space="preserve">Intereses y servicio de la deuda</w:t>
            </w:r>
          </w:p>
        </w:tc>
        <w:tc>
          <w:tcPr/>
          <w:p>
            <w:pPr>
              <w:pStyle w:val="Compact"/>
              <w:jc w:val="left"/>
            </w:pPr>
            <w:r>
              <w:t xml:space="preserve">Suben los intereses de los bonos indexados; con más deuda a corto plazo, refinanciar cuesta más porque los inversores piden más rentabilidad ante la inflación esperada; si la moneda se deprecia, se encarece la deuda en divisas</w:t>
            </w:r>
          </w:p>
        </w:tc>
      </w:tr>
    </w:tbl>
    <w:bookmarkEnd w:id="181"/>
    <w:p>
      <w:pPr>
        <w:pStyle w:val="BodyText"/>
      </w:pPr>
      <w:r>
        <w:rPr>
          <w:i/>
          <w:iCs/>
        </w:rPr>
        <w:t xml:space="preserve">Fuente: Elaboración propia a partir de</w:t>
      </w:r>
      <w:r>
        <w:rPr>
          <w:i/>
          <w:iCs/>
        </w:rPr>
        <w:t xml:space="preserve"> </w:t>
      </w:r>
      <w:r>
        <w:rPr>
          <w:i/>
          <w:iCs/>
          <w:smallCaps/>
        </w:rPr>
        <w:t xml:space="preserve">Fondo Monetario Internacional</w:t>
      </w:r>
      <w:r>
        <w:rPr>
          <w:i/>
          <w:iCs/>
        </w:rPr>
        <w:t xml:space="preserve"> </w:t>
      </w:r>
      <w:r>
        <w:rPr>
          <w:i/>
          <w:iCs/>
        </w:rPr>
        <w:t xml:space="preserve">(</w:t>
      </w:r>
      <w:hyperlink w:anchor="ref_FMI2023FiscalMonitor">
        <w:r>
          <w:rPr>
            <w:rStyle w:val="Hyperlink"/>
            <w:i/>
            <w:iCs/>
          </w:rPr>
          <w:t xml:space="preserve">2023a</w:t>
        </w:r>
      </w:hyperlink>
      <w:r>
        <w:rPr>
          <w:i/>
          <w:iCs/>
        </w:rPr>
        <w:t xml:space="preserve">)</w:t>
      </w:r>
      <w:r>
        <w:rPr>
          <w:i/>
          <w:iCs/>
        </w:rPr>
        <w:t xml:space="preserve">. Qué hay que ver: son los canales directos, antes de cualquier respuesta de política; los 2 primeros mejoran las cuentas enseguida y los 2 últimos las empeoran con retraso.</w:t>
      </w:r>
    </w:p>
    <w:bookmarkEnd w:id="182"/>
    <w:bookmarkStart w:id="186" w:name="otros_an__lisis_de_las_cuentas_p__blicas"/>
    <w:p>
      <w:pPr>
        <w:pStyle w:val="Heading4"/>
      </w:pPr>
      <w:r>
        <w:t xml:space="preserve">Otros análisis de las cuentas públicas</w:t>
      </w:r>
    </w:p>
    <w:p>
      <w:pPr>
        <w:keepNext/>
        <w:numPr>
          <w:ilvl w:val="0"/>
          <w:numId w:val="1122"/>
        </w:numPr>
      </w:pPr>
      <w:r>
        <w:rPr>
          <w:i/>
          <w:iCs/>
        </w:rPr>
        <w:t xml:space="preserve">Nivel de ingresos y gastos sobre el PIB</w:t>
      </w:r>
      <w:r>
        <w:t xml:space="preserve">: se comparan con los de países de renta parecida; la pregunta no es el tamaño, sino si los ingresos financian el gasto de forma sostenible y si el gasto es eficiente</w:t>
      </w:r>
      <w:r>
        <w:t xml:space="preserve"> </w:t>
      </w:r>
      <w:hyperlink r:id="rId183">
        <w:r>
          <w:rPr>
            <w:rStyle w:val="Referenciaatema"/>
          </w:rPr>
          <w:t xml:space="preserve">[ver tema 4.B.5]</w:t>
        </w:r>
      </w:hyperlink>
      <w:r>
        <w:t xml:space="preserve"> </w:t>
      </w:r>
      <w:hyperlink r:id="rId184">
        <w:r>
          <w:rPr>
            <w:rStyle w:val="Referenciaatema"/>
          </w:rPr>
          <w:t xml:space="preserve">[ver tema 4.B.7]</w:t>
        </w:r>
      </w:hyperlink>
      <w:r>
        <w:t xml:space="preserve">. Con ingresos bajos hay 2 vías para subirlos sin dañar el crecimiento:</w:t>
      </w:r>
    </w:p>
    <w:p>
      <w:pPr>
        <w:numPr>
          <w:ilvl w:val="1"/>
          <w:numId w:val="1123"/>
        </w:numPr>
      </w:pPr>
      <w:r>
        <w:rPr>
          <w:i/>
          <w:iCs/>
        </w:rPr>
        <w:t xml:space="preserve">más impuestos</w:t>
      </w:r>
      <w:r>
        <w:t xml:space="preserve">: actuar sobre los tipos (subirlos o reordenarlos hacia impuestos menos distorsionadores) o sobre las bases: nuevos impuestos, menos exenciones y bonificaciones, políticas estructurales que aumenten la producción, lucha contra el fraude y la economía sumergida (por ejemplo, más pagos electrónicos para reducir el uso del efectivo) y políticas que suban la tasa de actividad (más recaudación por la renta);</w:t>
      </w:r>
    </w:p>
    <w:p>
      <w:pPr>
        <w:numPr>
          <w:ilvl w:val="1"/>
          <w:numId w:val="1123"/>
        </w:numPr>
      </w:pPr>
      <w:r>
        <w:rPr>
          <w:i/>
          <w:iCs/>
        </w:rPr>
        <w:t xml:space="preserve">más ingresos no tributarios</w:t>
      </w:r>
      <w:r>
        <w:t xml:space="preserve">: tasas, contribuciones especiales, cotizaciones sociales y sanciones.</w:t>
      </w:r>
    </w:p>
    <w:p>
      <w:pPr>
        <w:numPr>
          <w:ilvl w:val="0"/>
          <w:numId w:val="1122"/>
        </w:numPr>
      </w:pPr>
      <w:r>
        <w:rPr>
          <w:i/>
          <w:iCs/>
        </w:rPr>
        <w:t xml:space="preserve">Efectividad de los estabilizadores automáticos</w:t>
      </w:r>
      <w:r>
        <w:t xml:space="preserve">: la diferencia entre el saldo total y el ajustado por el ciclo,</w:t>
      </w:r>
      <w:r>
        <w:t xml:space="preserve"> </w:t>
      </w:r>
      <m:oMath>
        <m:r>
          <m:t>b</m:t>
        </m:r>
        <m:r>
          <m:rPr>
            <m:sty m:val="p"/>
          </m:rPr>
          <m:t>−</m:t>
        </m:r>
        <m:sSup>
          <m:e>
            <m:r>
              <m:t>b</m:t>
            </m:r>
          </m:e>
          <m:sup>
            <m:r>
              <m:t>c</m:t>
            </m:r>
            <m:r>
              <m:t>a</m:t>
            </m:r>
          </m:sup>
        </m:sSup>
        <m:r>
          <m:rPr>
            <m:sty m:val="p"/>
          </m:rPr>
          <m:t>=</m:t>
        </m:r>
        <m:r>
          <m:t>ε</m:t>
        </m:r>
        <m:r>
          <m:rPr>
            <m:sty m:val="p"/>
          </m:rPr>
          <m:t>⋅</m:t>
        </m:r>
        <m:r>
          <m:rPr>
            <m:sty m:val="p"/>
          </m:rPr>
          <m:t>O</m:t>
        </m:r>
        <m:r>
          <m:rPr>
            <m:sty m:val="p"/>
          </m:rPr>
          <m:t>G</m:t>
        </m:r>
      </m:oMath>
      <w:r>
        <w:t xml:space="preserve">, mide cuánto del saldo explica el ciclo. Si en una recesión el saldo total empeora mucho más que el ajustado, los estabilizadores actúan con fuerza; si apenas se separan, son débiles (algo típico de los países con poco gasto social y muchos ingresos ligados a materias primas).</w:t>
      </w:r>
    </w:p>
    <w:p>
      <w:pPr>
        <w:numPr>
          <w:ilvl w:val="0"/>
          <w:numId w:val="1122"/>
        </w:numPr>
      </w:pPr>
      <w:r>
        <w:rPr>
          <w:i/>
          <w:iCs/>
        </w:rPr>
        <w:t xml:space="preserve">Peso de la deuda a corto plazo</w:t>
      </w:r>
      <w:r>
        <w:t xml:space="preserve">: cuanto más concentrados los vencimientos, mayor el riesgo de refinanciación; mejor un calendario escalonado.</w:t>
      </w:r>
    </w:p>
    <w:p>
      <w:pPr>
        <w:numPr>
          <w:ilvl w:val="0"/>
          <w:numId w:val="1122"/>
        </w:numPr>
      </w:pPr>
      <w:r>
        <w:rPr>
          <w:i/>
          <w:iCs/>
        </w:rPr>
        <w:t xml:space="preserve">Vida media de la deuda</w:t>
      </w:r>
      <w:r>
        <w:t xml:space="preserve">: cuanto más larga, más despacio se traslada una subida de tipos al coste medio (solo se paga el tipo nuevo por lo que se refinancia) y menor es el riesgo de refinanciación</w:t>
      </w:r>
      <w:r>
        <w:t xml:space="preserve"> </w:t>
      </w:r>
      <w:r>
        <w:t xml:space="preserve">(</w:t>
      </w:r>
      <w:hyperlink w:anchor="ref_Sahuquillo2023">
        <w:r>
          <w:rPr>
            <w:rStyle w:val="Hyperlink"/>
            <w:smallCaps/>
          </w:rPr>
          <w:t xml:space="preserve">Sahuquillo</w:t>
        </w:r>
        <w:r>
          <w:rPr>
            <w:rStyle w:val="Hyperlink"/>
          </w:rPr>
          <w:t xml:space="preserve">, 2023</w:t>
        </w:r>
      </w:hyperlink>
      <w:r>
        <w:t xml:space="preserve">)</w:t>
      </w:r>
      <w:r>
        <w:t xml:space="preserve">.</w:t>
      </w:r>
    </w:p>
    <w:p>
      <w:pPr>
        <w:numPr>
          <w:ilvl w:val="0"/>
          <w:numId w:val="1122"/>
        </w:numPr>
      </w:pPr>
      <w:r>
        <w:rPr>
          <w:i/>
          <w:iCs/>
        </w:rPr>
        <w:t xml:space="preserve">Peso de la deuda regional</w:t>
      </w:r>
      <w:r>
        <w:t xml:space="preserve">: en los Estados descentralizados importa quién se endeuda; sin</w:t>
      </w:r>
      <w:r>
        <w:t xml:space="preserve"> </w:t>
      </w:r>
      <w:r>
        <w:rPr>
          <w:i/>
          <w:iCs/>
        </w:rPr>
        <w:t xml:space="preserve">corresponsabilidad fiscal</w:t>
      </w:r>
      <w:r>
        <w:t xml:space="preserve"> </w:t>
      </w:r>
      <w:r>
        <w:t xml:space="preserve">(que quien decide el gasto responda también de los ingresos), los gobiernos regionales tienden a gastar más y a confiar en un rescate del central.</w:t>
      </w:r>
    </w:p>
    <w:p>
      <w:pPr>
        <w:numPr>
          <w:ilvl w:val="0"/>
          <w:numId w:val="1122"/>
        </w:numPr>
      </w:pPr>
      <w:r>
        <w:rPr>
          <w:i/>
          <w:iCs/>
        </w:rPr>
        <w:t xml:space="preserve">Calidad crediticia de la deuda</w:t>
      </w:r>
      <w:r>
        <w:t xml:space="preserve">: la calificación de las agencias resume el riesgo de impago y condiciona el coste de la deuda y quién puede comprarla. Por debajo de BBB</w:t>
      </w:r>
      <m:oMath>
        <m:r>
          <m:rPr>
            <m:sty m:val="p"/>
          </m:rPr>
          <m:t>−</m:t>
        </m:r>
      </m:oMath>
      <w:r>
        <w:t xml:space="preserve">/Baa3 la deuda pasa a grado especulativo: muchos inversores institucionales no pueden mantenerla y deja de ser admisible como garantía en el Eurosistema (tabla </w:t>
      </w:r>
      <w:hyperlink w:anchor="tab_calificaciones">
        <w:r>
          <w:rPr>
            <w:rStyle w:val="Hyperlink"/>
          </w:rPr>
          <w:t xml:space="preserve">2</w:t>
        </w:r>
      </w:hyperlink>
      <w:r>
        <w:t xml:space="preserve">)</w:t>
      </w:r>
      <w:r>
        <w:t xml:space="preserve"> </w:t>
      </w:r>
      <w:r>
        <w:t xml:space="preserve">(</w:t>
      </w:r>
      <w:hyperlink w:anchor="ref_BCE2026ECAF">
        <w:r>
          <w:rPr>
            <w:rStyle w:val="Hyperlink"/>
            <w:smallCaps/>
          </w:rPr>
          <w:t xml:space="preserve">Banco Central Europeo</w:t>
        </w:r>
        <w:r>
          <w:rPr>
            <w:rStyle w:val="Hyperlink"/>
          </w:rPr>
          <w:t xml:space="preserve">, 2026e</w:t>
        </w:r>
      </w:hyperlink>
      <w:r>
        <w:t xml:space="preserve">)</w:t>
      </w:r>
      <w:r>
        <w:t xml:space="preserve">.</w:t>
      </w:r>
    </w:p>
    <w:bookmarkStart w:id="185" w:name="tab_calificaciones"/>
    <w:p>
      <w:pPr>
        <w:pStyle w:val="TableCaption"/>
      </w:pPr>
      <w:r>
        <w:t xml:space="preserve">Tabla 2.–</w:t>
      </w:r>
      <w:r>
        <w:t xml:space="preserve"> </w:t>
      </w:r>
      <w:r>
        <w:t xml:space="preserve">Escala de calificaciones de la deuda a largo plazo de las principales agencias</w:t>
      </w:r>
    </w:p>
    <w:tbl>
      <w:tblPr>
        <w:tblStyle w:val="Table"/>
        <w:tblW w:type="auto" w:w="0"/>
        <w:tblLook w:firstRow="1" w:lastRow="0" w:firstColumn="0" w:lastColumn="0" w:noHBand="0" w:noVBand="0" w:val="0020"/>
        <w:tblCaption w:val="Tabla 2.– Escala de calificaciones de la deuda a largo plazo de las principales agencias"/>
      </w:tblPr>
      <w:tblGrid>
        <w:gridCol w:w="1320"/>
        <w:gridCol w:w="1320"/>
        <w:gridCol w:w="1320"/>
        <w:gridCol w:w="1320"/>
        <w:gridCol w:w="1320"/>
        <w:gridCol w:w="1320"/>
      </w:tblGrid>
      <w:tr>
        <w:trPr>
          <w:cantSplit/>
          <w:tblHeader w:val="on"/>
        </w:trPr>
        <w:tc>
          <w:tcPr>
            <w:shd w:val="clear" w:color="auto" w:fill="DDEBF7"/>
            <w:vAlign w:val="center"/>
          </w:tcPr>
          <w:p>
            <w:pPr>
              <w:pStyle w:val="Celdatceeazulpalido"/>
              <w:keepNext/>
              <w:jc w:val="left"/>
            </w:pPr>
            <w:r>
              <w:t xml:space="preserve"> </w:t>
            </w:r>
            <w:r>
              <w:rPr>
                <w:b/>
                <w:bCs/>
              </w:rPr>
              <w:t xml:space="preserve">Bloque</w:t>
            </w:r>
          </w:p>
        </w:tc>
        <w:tc>
          <w:tcPr>
            <w:shd w:val="clear" w:color="auto" w:fill="DDEBF7"/>
            <w:vAlign w:val="center"/>
          </w:tcPr>
          <w:p>
            <w:pPr>
              <w:pStyle w:val="Celdatceeazulpalido"/>
              <w:keepNext/>
              <w:jc w:val="center"/>
            </w:pPr>
            <w:r>
              <w:rPr>
                <w:b/>
                <w:bCs/>
              </w:rPr>
              <w:t xml:space="preserve">S&amp;P</w:t>
            </w:r>
          </w:p>
        </w:tc>
        <w:tc>
          <w:tcPr>
            <w:shd w:val="clear" w:color="auto" w:fill="DDEBF7"/>
            <w:vAlign w:val="center"/>
          </w:tcPr>
          <w:p>
            <w:pPr>
              <w:pStyle w:val="Celdatceeazulpalido"/>
              <w:keepNext/>
              <w:jc w:val="center"/>
            </w:pPr>
            <w:r>
              <w:rPr>
                <w:b/>
                <w:bCs/>
              </w:rPr>
              <w:t xml:space="preserve">Moody’s</w:t>
            </w:r>
          </w:p>
        </w:tc>
        <w:tc>
          <w:tcPr>
            <w:shd w:val="clear" w:color="auto" w:fill="DDEBF7"/>
            <w:vAlign w:val="center"/>
          </w:tcPr>
          <w:p>
            <w:pPr>
              <w:pStyle w:val="Celdatceeazulpalido"/>
              <w:keepNext/>
              <w:jc w:val="center"/>
            </w:pPr>
            <w:r>
              <w:rPr>
                <w:b/>
                <w:bCs/>
              </w:rPr>
              <w:t xml:space="preserve">Fitch</w:t>
            </w:r>
          </w:p>
        </w:tc>
        <w:tc>
          <w:tcPr>
            <w:shd w:val="clear" w:color="auto" w:fill="DDEBF7"/>
            <w:vAlign w:val="center"/>
          </w:tcPr>
          <w:p>
            <w:pPr>
              <w:pStyle w:val="Celdatceeazulpalido"/>
              <w:keepNext/>
              <w:jc w:val="center"/>
            </w:pPr>
            <w:r>
              <w:rPr>
                <w:b/>
                <w:bCs/>
                <w:i/>
                <w:iCs/>
              </w:rPr>
              <w:t xml:space="preserve">DBRS</w:t>
            </w:r>
          </w:p>
        </w:tc>
        <w:tc>
          <w:tcPr>
            <w:shd w:val="clear" w:color="auto" w:fill="DDEBF7"/>
            <w:vAlign w:val="center"/>
          </w:tcPr>
          <w:p>
            <w:pPr>
              <w:pStyle w:val="Celdatceeazulpalido"/>
              <w:keepNext/>
              <w:jc w:val="center"/>
            </w:pPr>
            <w:r>
              <w:rPr>
                <w:b/>
                <w:bCs/>
              </w:rPr>
              <w:t xml:space="preserve">Eurosistema</w:t>
            </w:r>
          </w:p>
        </w:tc>
      </w:tr>
      <w:tr>
        <w:trPr>
          <w:cantSplit/>
        </w:trPr>
        <w:tc>
          <w:tcPr>
            <w:shd w:val="clear" w:color="auto" w:fill="E2EFD9"/>
            <w:vAlign w:val="center"/>
          </w:tcPr>
          <w:p>
            <w:pPr>
              <w:pStyle w:val="Celdatceesalvia"/>
              <w:jc w:val="left"/>
            </w:pPr>
            <w:r>
              <w:t xml:space="preserve"> </w:t>
            </w:r>
            <w:r>
              <w:t xml:space="preserve">Grado de inversión</w:t>
            </w:r>
          </w:p>
        </w:tc>
        <w:tc>
          <w:tcPr>
            <w:shd w:val="clear" w:color="auto" w:fill="E2EFD9"/>
            <w:vAlign w:val="center"/>
          </w:tcPr>
          <w:p>
            <w:pPr>
              <w:pStyle w:val="Celdatceesalvia"/>
              <w:jc w:val="center"/>
            </w:pPr>
            <w:r>
              <w:t xml:space="preserve">AAA</w:t>
            </w:r>
          </w:p>
        </w:tc>
        <w:tc>
          <w:tcPr>
            <w:shd w:val="clear" w:color="auto" w:fill="E2EFD9"/>
            <w:vAlign w:val="center"/>
          </w:tcPr>
          <w:p>
            <w:pPr>
              <w:pStyle w:val="Celdatceesalvia"/>
              <w:jc w:val="center"/>
            </w:pPr>
            <w:r>
              <w:t xml:space="preserve">Aaa</w:t>
            </w:r>
          </w:p>
        </w:tc>
        <w:tc>
          <w:tcPr>
            <w:shd w:val="clear" w:color="auto" w:fill="E2EFD9"/>
            <w:vAlign w:val="center"/>
          </w:tcPr>
          <w:p>
            <w:pPr>
              <w:pStyle w:val="Celdatceesalvia"/>
              <w:jc w:val="center"/>
            </w:pPr>
            <w:r>
              <w:t xml:space="preserve">AAA</w:t>
            </w:r>
          </w:p>
        </w:tc>
        <w:tc>
          <w:tcPr>
            <w:shd w:val="clear" w:color="auto" w:fill="E2EFD9"/>
            <w:vAlign w:val="center"/>
          </w:tcPr>
          <w:p>
            <w:pPr>
              <w:pStyle w:val="Celdatceesalvia"/>
              <w:jc w:val="center"/>
            </w:pPr>
            <w:r>
              <w:rPr>
                <w:i/>
                <w:iCs/>
              </w:rPr>
              <w:t xml:space="preserve">AAA</w:t>
            </w:r>
          </w:p>
        </w:tc>
        <w:tc>
          <w:tcPr>
            <w:shd w:val="clear" w:color="auto" w:fill="E2EFD9"/>
            <w:vAlign w:val="center"/>
          </w:tcPr>
          <w:p>
            <w:pPr>
              <w:pStyle w:val="Celdatceesalvia"/>
              <w:jc w:val="center"/>
            </w:pPr>
            <w:r>
              <w:t xml:space="preserve">1</w:t>
            </w:r>
          </w:p>
        </w:tc>
      </w:tr>
      <w:tr>
        <w:trPr>
          <w:cantSplit/>
        </w:trPr>
        <w:tc>
          <w:tcPr>
            <w:shd w:val="clear" w:color="auto" w:fill="E2EFD9"/>
            <w:vAlign w:val="center"/>
          </w:tcPr>
          <w:p>
            <w:pPr>
              <w:pStyle w:val="Celdatceesalvia"/>
              <w:jc w:val="left"/>
            </w:pPr>
            <w:r>
              <w:t/>
            </w:r>
          </w:p>
        </w:tc>
        <w:tc>
          <w:tcPr>
            <w:shd w:val="clear" w:color="auto" w:fill="E2EFD9"/>
            <w:vAlign w:val="center"/>
          </w:tcPr>
          <w:p>
            <w:pPr>
              <w:pStyle w:val="Celdatceesalvia"/>
              <w:jc w:val="center"/>
            </w:pPr>
            <w:r>
              <w:t xml:space="preserve">AA+</w:t>
            </w:r>
          </w:p>
        </w:tc>
        <w:tc>
          <w:tcPr>
            <w:shd w:val="clear" w:color="auto" w:fill="E2EFD9"/>
            <w:vAlign w:val="center"/>
          </w:tcPr>
          <w:p>
            <w:pPr>
              <w:pStyle w:val="Celdatceesalvia"/>
              <w:jc w:val="center"/>
            </w:pPr>
            <w:r>
              <w:t xml:space="preserve">Aa1</w:t>
            </w:r>
          </w:p>
        </w:tc>
        <w:tc>
          <w:tcPr>
            <w:shd w:val="clear" w:color="auto" w:fill="E2EFD9"/>
            <w:vAlign w:val="center"/>
          </w:tcPr>
          <w:p>
            <w:pPr>
              <w:pStyle w:val="Celdatceesalvia"/>
              <w:jc w:val="center"/>
            </w:pPr>
            <w:r>
              <w:t xml:space="preserve">AA+</w:t>
            </w:r>
          </w:p>
        </w:tc>
        <w:tc>
          <w:tcPr>
            <w:shd w:val="clear" w:color="auto" w:fill="E2EFD9"/>
            <w:vAlign w:val="center"/>
          </w:tcPr>
          <w:p>
            <w:pPr>
              <w:pStyle w:val="Celdatceesalvia"/>
              <w:jc w:val="center"/>
            </w:pPr>
            <w:r>
              <w:rPr>
                <w:i/>
                <w:iCs/>
              </w:rPr>
              <w:t xml:space="preserve">AA (high)</w:t>
            </w:r>
          </w:p>
        </w:tc>
        <w:tc>
          <w:tcPr>
            <w:shd w:val="clear" w:color="auto" w:fill="E2EFD9"/>
            <w:vAlign w:val="center"/>
          </w:tcPr>
          <w:p>
            <w:pPr>
              <w:pStyle w:val="Celdatceesalvia"/>
              <w:jc w:val="center"/>
            </w:pPr>
            <w:r>
              <w:t xml:space="preserve">1</w:t>
            </w:r>
          </w:p>
        </w:tc>
      </w:tr>
      <w:tr>
        <w:trPr>
          <w:cantSplit/>
        </w:trPr>
        <w:tc>
          <w:tcPr>
            <w:shd w:val="clear" w:color="auto" w:fill="E2EFD9"/>
            <w:vAlign w:val="center"/>
          </w:tcPr>
          <w:p>
            <w:pPr>
              <w:pStyle w:val="Celdatceesalvia"/>
              <w:jc w:val="left"/>
            </w:pPr>
            <w:r>
              <w:t/>
            </w:r>
          </w:p>
        </w:tc>
        <w:tc>
          <w:tcPr>
            <w:shd w:val="clear" w:color="auto" w:fill="E2EFD9"/>
            <w:vAlign w:val="center"/>
          </w:tcPr>
          <w:p>
            <w:pPr>
              <w:pStyle w:val="Celdatceesalvia"/>
              <w:jc w:val="center"/>
            </w:pPr>
            <w:r>
              <w:t xml:space="preserve">AA</w:t>
            </w:r>
          </w:p>
        </w:tc>
        <w:tc>
          <w:tcPr>
            <w:shd w:val="clear" w:color="auto" w:fill="E2EFD9"/>
            <w:vAlign w:val="center"/>
          </w:tcPr>
          <w:p>
            <w:pPr>
              <w:pStyle w:val="Celdatceesalvia"/>
              <w:jc w:val="center"/>
            </w:pPr>
            <w:r>
              <w:t xml:space="preserve">Aa2</w:t>
            </w:r>
          </w:p>
        </w:tc>
        <w:tc>
          <w:tcPr>
            <w:shd w:val="clear" w:color="auto" w:fill="E2EFD9"/>
            <w:vAlign w:val="center"/>
          </w:tcPr>
          <w:p>
            <w:pPr>
              <w:pStyle w:val="Celdatceesalvia"/>
              <w:jc w:val="center"/>
            </w:pPr>
            <w:r>
              <w:t xml:space="preserve">AA</w:t>
            </w:r>
          </w:p>
        </w:tc>
        <w:tc>
          <w:tcPr>
            <w:shd w:val="clear" w:color="auto" w:fill="E2EFD9"/>
            <w:vAlign w:val="center"/>
          </w:tcPr>
          <w:p>
            <w:pPr>
              <w:pStyle w:val="Celdatceesalvia"/>
              <w:jc w:val="center"/>
            </w:pPr>
            <w:r>
              <w:rPr>
                <w:i/>
                <w:iCs/>
              </w:rPr>
              <w:t xml:space="preserve">AA</w:t>
            </w:r>
          </w:p>
        </w:tc>
        <w:tc>
          <w:tcPr>
            <w:shd w:val="clear" w:color="auto" w:fill="E2EFD9"/>
            <w:vAlign w:val="center"/>
          </w:tcPr>
          <w:p>
            <w:pPr>
              <w:pStyle w:val="Celdatceesalvia"/>
              <w:jc w:val="center"/>
            </w:pPr>
            <w:r>
              <w:t xml:space="preserve">1</w:t>
            </w:r>
          </w:p>
        </w:tc>
      </w:tr>
      <w:tr>
        <w:trPr>
          <w:cantSplit/>
        </w:trPr>
        <w:tc>
          <w:tcPr>
            <w:shd w:val="clear" w:color="auto" w:fill="E2EFD9"/>
            <w:vAlign w:val="center"/>
          </w:tcPr>
          <w:p>
            <w:pPr>
              <w:pStyle w:val="Celdatceesalvia"/>
              <w:jc w:val="left"/>
            </w:pPr>
            <w:r>
              <w:t/>
            </w:r>
          </w:p>
        </w:tc>
        <w:tc>
          <w:tcPr>
            <w:shd w:val="clear" w:color="auto" w:fill="E2EFD9"/>
            <w:vAlign w:val="center"/>
          </w:tcPr>
          <w:p>
            <w:pPr>
              <w:pStyle w:val="Celdatceesalvia"/>
              <w:jc w:val="center"/>
            </w:pPr>
            <w:r>
              <w:t xml:space="preserve">AA</w:t>
            </w:r>
            <m:oMath>
              <m:r>
                <m:rPr>
                  <m:sty m:val="p"/>
                </m:rPr>
                <m:t>−</m:t>
              </m:r>
            </m:oMath>
          </w:p>
        </w:tc>
        <w:tc>
          <w:tcPr>
            <w:shd w:val="clear" w:color="auto" w:fill="E2EFD9"/>
            <w:vAlign w:val="center"/>
          </w:tcPr>
          <w:p>
            <w:pPr>
              <w:pStyle w:val="Celdatceesalvia"/>
              <w:jc w:val="center"/>
            </w:pPr>
            <w:r>
              <w:t xml:space="preserve">Aa3</w:t>
            </w:r>
          </w:p>
        </w:tc>
        <w:tc>
          <w:tcPr>
            <w:shd w:val="clear" w:color="auto" w:fill="E2EFD9"/>
            <w:vAlign w:val="center"/>
          </w:tcPr>
          <w:p>
            <w:pPr>
              <w:pStyle w:val="Celdatceesalvia"/>
              <w:jc w:val="center"/>
            </w:pPr>
            <w:r>
              <w:t xml:space="preserve">AA</w:t>
            </w:r>
            <m:oMath>
              <m:r>
                <m:rPr>
                  <m:sty m:val="p"/>
                </m:rPr>
                <m:t>−</m:t>
              </m:r>
            </m:oMath>
          </w:p>
        </w:tc>
        <w:tc>
          <w:tcPr>
            <w:shd w:val="clear" w:color="auto" w:fill="E2EFD9"/>
            <w:vAlign w:val="center"/>
          </w:tcPr>
          <w:p>
            <w:pPr>
              <w:pStyle w:val="Celdatceesalvia"/>
              <w:jc w:val="center"/>
            </w:pPr>
            <w:r>
              <w:rPr>
                <w:i/>
                <w:iCs/>
              </w:rPr>
              <w:t xml:space="preserve">AA (low)</w:t>
            </w:r>
          </w:p>
        </w:tc>
        <w:tc>
          <w:tcPr>
            <w:shd w:val="clear" w:color="auto" w:fill="E2EFD9"/>
            <w:vAlign w:val="center"/>
          </w:tcPr>
          <w:p>
            <w:pPr>
              <w:pStyle w:val="Celdatceesalvia"/>
              <w:jc w:val="center"/>
            </w:pPr>
            <w:r>
              <w:t xml:space="preserve">1</w:t>
            </w:r>
          </w:p>
        </w:tc>
      </w:tr>
      <w:tr>
        <w:trPr>
          <w:cantSplit/>
        </w:trPr>
        <w:tc>
          <w:tcPr>
            <w:shd w:val="clear" w:color="auto" w:fill="E2EFD9"/>
            <w:vAlign w:val="center"/>
          </w:tcPr>
          <w:p>
            <w:pPr>
              <w:pStyle w:val="Celdatceesalvia"/>
              <w:jc w:val="left"/>
            </w:pPr>
            <w:r>
              <w:t/>
            </w:r>
          </w:p>
        </w:tc>
        <w:tc>
          <w:tcPr>
            <w:shd w:val="clear" w:color="auto" w:fill="E2EFD9"/>
            <w:vAlign w:val="center"/>
          </w:tcPr>
          <w:p>
            <w:pPr>
              <w:pStyle w:val="Celdatceesalvia"/>
              <w:jc w:val="center"/>
            </w:pPr>
            <w:r>
              <w:t xml:space="preserve">A+</w:t>
            </w:r>
          </w:p>
        </w:tc>
        <w:tc>
          <w:tcPr>
            <w:shd w:val="clear" w:color="auto" w:fill="E2EFD9"/>
            <w:vAlign w:val="center"/>
          </w:tcPr>
          <w:p>
            <w:pPr>
              <w:pStyle w:val="Celdatceesalvia"/>
              <w:jc w:val="center"/>
            </w:pPr>
            <w:r>
              <w:t xml:space="preserve">A1</w:t>
            </w:r>
          </w:p>
        </w:tc>
        <w:tc>
          <w:tcPr>
            <w:shd w:val="clear" w:color="auto" w:fill="E2EFD9"/>
            <w:vAlign w:val="center"/>
          </w:tcPr>
          <w:p>
            <w:pPr>
              <w:pStyle w:val="Celdatceesalvia"/>
              <w:jc w:val="center"/>
            </w:pPr>
            <w:r>
              <w:t xml:space="preserve">A+</w:t>
            </w:r>
          </w:p>
        </w:tc>
        <w:tc>
          <w:tcPr>
            <w:shd w:val="clear" w:color="auto" w:fill="E2EFD9"/>
            <w:vAlign w:val="center"/>
          </w:tcPr>
          <w:p>
            <w:pPr>
              <w:pStyle w:val="Celdatceesalvia"/>
              <w:jc w:val="center"/>
            </w:pPr>
            <w:r>
              <w:rPr>
                <w:i/>
                <w:iCs/>
              </w:rPr>
              <w:t xml:space="preserve">A (high)</w:t>
            </w:r>
          </w:p>
        </w:tc>
        <w:tc>
          <w:tcPr>
            <w:shd w:val="clear" w:color="auto" w:fill="E2EFD9"/>
            <w:vAlign w:val="center"/>
          </w:tcPr>
          <w:p>
            <w:pPr>
              <w:pStyle w:val="Celdatceesalvia"/>
              <w:jc w:val="center"/>
            </w:pPr>
            <w:r>
              <w:t xml:space="preserve">2</w:t>
            </w:r>
          </w:p>
        </w:tc>
      </w:tr>
      <w:tr>
        <w:trPr>
          <w:cantSplit/>
        </w:trPr>
        <w:tc>
          <w:tcPr>
            <w:shd w:val="clear" w:color="auto" w:fill="E2EFD9"/>
            <w:vAlign w:val="center"/>
          </w:tcPr>
          <w:p>
            <w:pPr>
              <w:pStyle w:val="Celdatceesalvia"/>
              <w:jc w:val="left"/>
            </w:pPr>
            <w:r>
              <w:t/>
            </w:r>
          </w:p>
        </w:tc>
        <w:tc>
          <w:tcPr>
            <w:shd w:val="clear" w:color="auto" w:fill="E2EFD9"/>
            <w:vAlign w:val="center"/>
          </w:tcPr>
          <w:p>
            <w:pPr>
              <w:pStyle w:val="Celdatceesalvia"/>
              <w:jc w:val="center"/>
            </w:pPr>
            <w:r>
              <w:t xml:space="preserve">A</w:t>
            </w:r>
          </w:p>
        </w:tc>
        <w:tc>
          <w:tcPr>
            <w:shd w:val="clear" w:color="auto" w:fill="E2EFD9"/>
            <w:vAlign w:val="center"/>
          </w:tcPr>
          <w:p>
            <w:pPr>
              <w:pStyle w:val="Celdatceesalvia"/>
              <w:jc w:val="center"/>
            </w:pPr>
            <w:r>
              <w:t xml:space="preserve">A2</w:t>
            </w:r>
          </w:p>
        </w:tc>
        <w:tc>
          <w:tcPr>
            <w:shd w:val="clear" w:color="auto" w:fill="E2EFD9"/>
            <w:vAlign w:val="center"/>
          </w:tcPr>
          <w:p>
            <w:pPr>
              <w:pStyle w:val="Celdatceesalvia"/>
              <w:jc w:val="center"/>
            </w:pPr>
            <w:r>
              <w:t xml:space="preserve">A</w:t>
            </w:r>
          </w:p>
        </w:tc>
        <w:tc>
          <w:tcPr>
            <w:shd w:val="clear" w:color="auto" w:fill="E2EFD9"/>
            <w:vAlign w:val="center"/>
          </w:tcPr>
          <w:p>
            <w:pPr>
              <w:pStyle w:val="Celdatceesalvia"/>
              <w:jc w:val="center"/>
            </w:pPr>
            <w:r>
              <w:rPr>
                <w:i/>
                <w:iCs/>
              </w:rPr>
              <w:t xml:space="preserve">A</w:t>
            </w:r>
          </w:p>
        </w:tc>
        <w:tc>
          <w:tcPr>
            <w:shd w:val="clear" w:color="auto" w:fill="E2EFD9"/>
            <w:vAlign w:val="center"/>
          </w:tcPr>
          <w:p>
            <w:pPr>
              <w:pStyle w:val="Celdatceesalvia"/>
              <w:jc w:val="center"/>
            </w:pPr>
            <w:r>
              <w:t xml:space="preserve">2</w:t>
            </w:r>
          </w:p>
        </w:tc>
      </w:tr>
      <w:tr>
        <w:trPr>
          <w:cantSplit/>
        </w:trPr>
        <w:tc>
          <w:tcPr>
            <w:shd w:val="clear" w:color="auto" w:fill="E2EFD9"/>
            <w:vAlign w:val="center"/>
          </w:tcPr>
          <w:p>
            <w:pPr>
              <w:pStyle w:val="Celdatceesalvia"/>
              <w:jc w:val="left"/>
            </w:pPr>
            <w:r>
              <w:t/>
            </w:r>
          </w:p>
        </w:tc>
        <w:tc>
          <w:tcPr>
            <w:shd w:val="clear" w:color="auto" w:fill="E2EFD9"/>
            <w:vAlign w:val="center"/>
          </w:tcPr>
          <w:p>
            <w:pPr>
              <w:pStyle w:val="Celdatceesalvia"/>
              <w:jc w:val="center"/>
            </w:pPr>
            <w:r>
              <w:t xml:space="preserve">A</w:t>
            </w:r>
            <m:oMath>
              <m:r>
                <m:rPr>
                  <m:sty m:val="p"/>
                </m:rPr>
                <m:t>−</m:t>
              </m:r>
            </m:oMath>
          </w:p>
        </w:tc>
        <w:tc>
          <w:tcPr>
            <w:shd w:val="clear" w:color="auto" w:fill="E2EFD9"/>
            <w:vAlign w:val="center"/>
          </w:tcPr>
          <w:p>
            <w:pPr>
              <w:pStyle w:val="Celdatceesalvia"/>
              <w:jc w:val="center"/>
            </w:pPr>
            <w:r>
              <w:t xml:space="preserve">A3</w:t>
            </w:r>
          </w:p>
        </w:tc>
        <w:tc>
          <w:tcPr>
            <w:shd w:val="clear" w:color="auto" w:fill="E2EFD9"/>
            <w:vAlign w:val="center"/>
          </w:tcPr>
          <w:p>
            <w:pPr>
              <w:pStyle w:val="Celdatceesalvia"/>
              <w:jc w:val="center"/>
            </w:pPr>
            <w:r>
              <w:t xml:space="preserve">A</w:t>
            </w:r>
            <m:oMath>
              <m:r>
                <m:rPr>
                  <m:sty m:val="p"/>
                </m:rPr>
                <m:t>−</m:t>
              </m:r>
            </m:oMath>
          </w:p>
        </w:tc>
        <w:tc>
          <w:tcPr>
            <w:shd w:val="clear" w:color="auto" w:fill="E2EFD9"/>
            <w:vAlign w:val="center"/>
          </w:tcPr>
          <w:p>
            <w:pPr>
              <w:pStyle w:val="Celdatceesalvia"/>
              <w:jc w:val="center"/>
            </w:pPr>
            <w:r>
              <w:rPr>
                <w:i/>
                <w:iCs/>
              </w:rPr>
              <w:t xml:space="preserve">A (low)</w:t>
            </w:r>
          </w:p>
        </w:tc>
        <w:tc>
          <w:tcPr>
            <w:shd w:val="clear" w:color="auto" w:fill="E2EFD9"/>
            <w:vAlign w:val="center"/>
          </w:tcPr>
          <w:p>
            <w:pPr>
              <w:pStyle w:val="Celdatceesalvia"/>
              <w:jc w:val="center"/>
            </w:pPr>
            <w:r>
              <w:t xml:space="preserve">2</w:t>
            </w:r>
          </w:p>
        </w:tc>
      </w:tr>
      <w:tr>
        <w:trPr>
          <w:cantSplit/>
        </w:trPr>
        <w:tc>
          <w:tcPr>
            <w:shd w:val="clear" w:color="auto" w:fill="E2EFD9"/>
            <w:vAlign w:val="center"/>
          </w:tcPr>
          <w:p>
            <w:pPr>
              <w:pStyle w:val="Celdatceesalvia"/>
              <w:jc w:val="left"/>
            </w:pPr>
            <w:r>
              <w:t/>
            </w:r>
          </w:p>
        </w:tc>
        <w:tc>
          <w:tcPr>
            <w:shd w:val="clear" w:color="auto" w:fill="E2EFD9"/>
            <w:vAlign w:val="center"/>
          </w:tcPr>
          <w:p>
            <w:pPr>
              <w:pStyle w:val="Celdatceesalvia"/>
              <w:jc w:val="center"/>
            </w:pPr>
            <w:r>
              <w:t xml:space="preserve">BBB+</w:t>
            </w:r>
          </w:p>
        </w:tc>
        <w:tc>
          <w:tcPr>
            <w:shd w:val="clear" w:color="auto" w:fill="E2EFD9"/>
            <w:vAlign w:val="center"/>
          </w:tcPr>
          <w:p>
            <w:pPr>
              <w:pStyle w:val="Celdatceesalvia"/>
              <w:jc w:val="center"/>
            </w:pPr>
            <w:r>
              <w:t xml:space="preserve">Baa1</w:t>
            </w:r>
          </w:p>
        </w:tc>
        <w:tc>
          <w:tcPr>
            <w:shd w:val="clear" w:color="auto" w:fill="E2EFD9"/>
            <w:vAlign w:val="center"/>
          </w:tcPr>
          <w:p>
            <w:pPr>
              <w:pStyle w:val="Celdatceesalvia"/>
              <w:jc w:val="center"/>
            </w:pPr>
            <w:r>
              <w:t xml:space="preserve">BBB+</w:t>
            </w:r>
          </w:p>
        </w:tc>
        <w:tc>
          <w:tcPr>
            <w:shd w:val="clear" w:color="auto" w:fill="E2EFD9"/>
            <w:vAlign w:val="center"/>
          </w:tcPr>
          <w:p>
            <w:pPr>
              <w:pStyle w:val="Celdatceesalvia"/>
              <w:jc w:val="center"/>
            </w:pPr>
            <w:r>
              <w:rPr>
                <w:i/>
                <w:iCs/>
              </w:rPr>
              <w:t xml:space="preserve">BBB (high)</w:t>
            </w:r>
          </w:p>
        </w:tc>
        <w:tc>
          <w:tcPr>
            <w:shd w:val="clear" w:color="auto" w:fill="E2EFD9"/>
            <w:vAlign w:val="center"/>
          </w:tcPr>
          <w:p>
            <w:pPr>
              <w:pStyle w:val="Celdatceesalvia"/>
              <w:jc w:val="center"/>
            </w:pPr>
            <w:r>
              <w:t xml:space="preserve">3</w:t>
            </w:r>
          </w:p>
        </w:tc>
      </w:tr>
      <w:tr>
        <w:trPr>
          <w:cantSplit/>
        </w:trPr>
        <w:tc>
          <w:tcPr>
            <w:shd w:val="clear" w:color="auto" w:fill="E2EFD9"/>
            <w:vAlign w:val="center"/>
          </w:tcPr>
          <w:p>
            <w:pPr>
              <w:pStyle w:val="Celdatceesalvia"/>
              <w:jc w:val="left"/>
            </w:pPr>
            <w:r>
              <w:t/>
            </w:r>
          </w:p>
        </w:tc>
        <w:tc>
          <w:tcPr>
            <w:shd w:val="clear" w:color="auto" w:fill="E2EFD9"/>
            <w:vAlign w:val="center"/>
          </w:tcPr>
          <w:p>
            <w:pPr>
              <w:pStyle w:val="Celdatceesalvia"/>
              <w:jc w:val="center"/>
            </w:pPr>
            <w:r>
              <w:t xml:space="preserve">BBB</w:t>
            </w:r>
          </w:p>
        </w:tc>
        <w:tc>
          <w:tcPr>
            <w:shd w:val="clear" w:color="auto" w:fill="E2EFD9"/>
            <w:vAlign w:val="center"/>
          </w:tcPr>
          <w:p>
            <w:pPr>
              <w:pStyle w:val="Celdatceesalvia"/>
              <w:jc w:val="center"/>
            </w:pPr>
            <w:r>
              <w:t xml:space="preserve">Baa2</w:t>
            </w:r>
          </w:p>
        </w:tc>
        <w:tc>
          <w:tcPr>
            <w:shd w:val="clear" w:color="auto" w:fill="E2EFD9"/>
            <w:vAlign w:val="center"/>
          </w:tcPr>
          <w:p>
            <w:pPr>
              <w:pStyle w:val="Celdatceesalvia"/>
              <w:jc w:val="center"/>
            </w:pPr>
            <w:r>
              <w:t xml:space="preserve">BBB</w:t>
            </w:r>
          </w:p>
        </w:tc>
        <w:tc>
          <w:tcPr>
            <w:shd w:val="clear" w:color="auto" w:fill="E2EFD9"/>
            <w:vAlign w:val="center"/>
          </w:tcPr>
          <w:p>
            <w:pPr>
              <w:pStyle w:val="Celdatceesalvia"/>
              <w:jc w:val="center"/>
            </w:pPr>
            <w:r>
              <w:rPr>
                <w:i/>
                <w:iCs/>
              </w:rPr>
              <w:t xml:space="preserve">BBB</w:t>
            </w:r>
          </w:p>
        </w:tc>
        <w:tc>
          <w:tcPr>
            <w:shd w:val="clear" w:color="auto" w:fill="E2EFD9"/>
            <w:vAlign w:val="center"/>
          </w:tcPr>
          <w:p>
            <w:pPr>
              <w:pStyle w:val="Celdatceesalvia"/>
              <w:jc w:val="center"/>
            </w:pPr>
            <w:r>
              <w:t xml:space="preserve">3</w:t>
            </w:r>
          </w:p>
        </w:tc>
      </w:tr>
      <w:tr>
        <w:trPr>
          <w:cantSplit/>
        </w:trPr>
        <w:tc>
          <w:tcPr>
            <w:shd w:val="clear" w:color="auto" w:fill="E2EFD9"/>
            <w:vAlign w:val="center"/>
          </w:tcPr>
          <w:p>
            <w:pPr>
              <w:pStyle w:val="Celdatceesalvia"/>
              <w:jc w:val="left"/>
            </w:pPr>
            <w:r>
              <w:t/>
            </w:r>
          </w:p>
        </w:tc>
        <w:tc>
          <w:tcPr>
            <w:shd w:val="clear" w:color="auto" w:fill="E2EFD9"/>
            <w:vAlign w:val="center"/>
          </w:tcPr>
          <w:p>
            <w:pPr>
              <w:pStyle w:val="Celdatceesalvia"/>
              <w:jc w:val="center"/>
            </w:pPr>
            <w:r>
              <w:t xml:space="preserve">BBB</w:t>
            </w:r>
            <m:oMath>
              <m:r>
                <m:rPr>
                  <m:sty m:val="p"/>
                </m:rPr>
                <m:t>−</m:t>
              </m:r>
            </m:oMath>
          </w:p>
        </w:tc>
        <w:tc>
          <w:tcPr>
            <w:shd w:val="clear" w:color="auto" w:fill="E2EFD9"/>
            <w:vAlign w:val="center"/>
          </w:tcPr>
          <w:p>
            <w:pPr>
              <w:pStyle w:val="Celdatceesalvia"/>
              <w:jc w:val="center"/>
            </w:pPr>
            <w:r>
              <w:t xml:space="preserve">Baa3</w:t>
            </w:r>
          </w:p>
        </w:tc>
        <w:tc>
          <w:tcPr>
            <w:shd w:val="clear" w:color="auto" w:fill="E2EFD9"/>
            <w:vAlign w:val="center"/>
          </w:tcPr>
          <w:p>
            <w:pPr>
              <w:pStyle w:val="Celdatceesalvia"/>
              <w:jc w:val="center"/>
            </w:pPr>
            <w:r>
              <w:t xml:space="preserve">BBB</w:t>
            </w:r>
            <m:oMath>
              <m:r>
                <m:rPr>
                  <m:sty m:val="p"/>
                </m:rPr>
                <m:t>−</m:t>
              </m:r>
            </m:oMath>
          </w:p>
        </w:tc>
        <w:tc>
          <w:tcPr>
            <w:shd w:val="clear" w:color="auto" w:fill="E2EFD9"/>
            <w:vAlign w:val="center"/>
          </w:tcPr>
          <w:p>
            <w:pPr>
              <w:pStyle w:val="Celdatceesalvia"/>
              <w:jc w:val="center"/>
            </w:pPr>
            <w:r>
              <w:rPr>
                <w:i/>
                <w:iCs/>
              </w:rPr>
              <w:t xml:space="preserve">BBB (low)</w:t>
            </w:r>
          </w:p>
        </w:tc>
        <w:tc>
          <w:tcPr>
            <w:shd w:val="clear" w:color="auto" w:fill="E2EFD9"/>
            <w:vAlign w:val="center"/>
          </w:tcPr>
          <w:p>
            <w:pPr>
              <w:pStyle w:val="Celdatceesalvia"/>
              <w:jc w:val="center"/>
            </w:pPr>
            <w:r>
              <w:t xml:space="preserve">3</w:t>
            </w:r>
          </w:p>
        </w:tc>
      </w:tr>
      <w:tr>
        <w:trPr>
          <w:cantSplit/>
        </w:trPr>
        <w:tc>
          <w:tcPr>
            <w:vAlign w:val="center"/>
          </w:tcPr>
          <w:p>
            <w:pPr>
              <w:pStyle w:val="Compact"/>
              <w:jc w:val="left"/>
            </w:pPr>
            <w:r>
              <w:t xml:space="preserve">Grado especulativo</w:t>
            </w:r>
          </w:p>
        </w:tc>
        <w:tc>
          <w:tcPr>
            <w:vAlign w:val="center"/>
          </w:tcPr>
          <w:p>
            <w:pPr>
              <w:pStyle w:val="Compact"/>
              <w:jc w:val="center"/>
            </w:pPr>
            <w:r>
              <w:t xml:space="preserve">BB+</w:t>
            </w:r>
          </w:p>
        </w:tc>
        <w:tc>
          <w:tcPr>
            <w:vAlign w:val="center"/>
          </w:tcPr>
          <w:p>
            <w:pPr>
              <w:pStyle w:val="Compact"/>
              <w:jc w:val="center"/>
            </w:pPr>
            <w:r>
              <w:t xml:space="preserve">Ba1</w:t>
            </w:r>
          </w:p>
        </w:tc>
        <w:tc>
          <w:tcPr>
            <w:vAlign w:val="center"/>
          </w:tcPr>
          <w:p>
            <w:pPr>
              <w:pStyle w:val="Compact"/>
              <w:jc w:val="center"/>
            </w:pPr>
            <w:r>
              <w:t xml:space="preserve">BB+</w:t>
            </w:r>
          </w:p>
        </w:tc>
        <w:tc>
          <w:tcPr>
            <w:vAlign w:val="center"/>
          </w:tcPr>
          <w:p>
            <w:pPr>
              <w:pStyle w:val="Compact"/>
              <w:jc w:val="center"/>
            </w:pPr>
            <w:r>
              <w:rPr>
                <w:i/>
                <w:iCs/>
              </w:rPr>
              <w:t xml:space="preserve">BB (high)</w:t>
            </w:r>
          </w:p>
        </w:tc>
        <w:tc>
          <w:tcPr>
            <w:vAlign w:val="center"/>
          </w:tcPr>
          <w:p>
            <w:pPr>
              <w:pStyle w:val="Compact"/>
              <w:jc w:val="center"/>
            </w:pPr>
            <w:r>
              <w:t xml:space="preserve">4</w:t>
            </w:r>
          </w:p>
        </w:tc>
      </w:tr>
      <w:tr>
        <w:trPr>
          <w:cantSplit/>
        </w:trPr>
        <w:tc>
          <w:tcPr>
            <w:vAlign w:val="center"/>
          </w:tcPr>
          <w:p>
            <w:pPr>
              <w:pStyle w:val="Compact"/>
            </w:pPr>
          </w:p>
        </w:tc>
        <w:tc>
          <w:tcPr>
            <w:vAlign w:val="center"/>
          </w:tcPr>
          <w:p>
            <w:pPr>
              <w:pStyle w:val="Compact"/>
              <w:jc w:val="center"/>
            </w:pPr>
            <w:r>
              <w:t xml:space="preserve">BB</w:t>
            </w:r>
          </w:p>
        </w:tc>
        <w:tc>
          <w:tcPr>
            <w:vAlign w:val="center"/>
          </w:tcPr>
          <w:p>
            <w:pPr>
              <w:pStyle w:val="Compact"/>
              <w:jc w:val="center"/>
            </w:pPr>
            <w:r>
              <w:t xml:space="preserve">Ba2</w:t>
            </w:r>
          </w:p>
        </w:tc>
        <w:tc>
          <w:tcPr>
            <w:vAlign w:val="center"/>
          </w:tcPr>
          <w:p>
            <w:pPr>
              <w:pStyle w:val="Compact"/>
              <w:jc w:val="center"/>
            </w:pPr>
            <w:r>
              <w:t xml:space="preserve">BB</w:t>
            </w:r>
          </w:p>
        </w:tc>
        <w:tc>
          <w:tcPr>
            <w:vAlign w:val="center"/>
          </w:tcPr>
          <w:p>
            <w:pPr>
              <w:pStyle w:val="Compact"/>
              <w:jc w:val="center"/>
            </w:pPr>
            <w:r>
              <w:rPr>
                <w:i/>
                <w:iCs/>
              </w:rPr>
              <w:t xml:space="preserve">BB</w:t>
            </w:r>
          </w:p>
        </w:tc>
        <w:tc>
          <w:tcPr>
            <w:vAlign w:val="center"/>
          </w:tcPr>
          <w:p>
            <w:pPr>
              <w:pStyle w:val="Compact"/>
              <w:jc w:val="center"/>
            </w:pPr>
            <w:r>
              <w:t xml:space="preserve">5</w:t>
            </w:r>
          </w:p>
        </w:tc>
      </w:tr>
      <w:tr>
        <w:trPr>
          <w:cantSplit/>
        </w:trPr>
        <w:tc>
          <w:tcPr>
            <w:vAlign w:val="center"/>
          </w:tcPr>
          <w:p>
            <w:pPr>
              <w:pStyle w:val="Compact"/>
            </w:pPr>
          </w:p>
        </w:tc>
        <w:tc>
          <w:tcPr>
            <w:vAlign w:val="center"/>
          </w:tcPr>
          <w:p>
            <w:pPr>
              <w:pStyle w:val="Compact"/>
              <w:jc w:val="center"/>
            </w:pPr>
            <w:r>
              <w:t xml:space="preserve">BB</w:t>
            </w:r>
            <m:oMath>
              <m:r>
                <m:rPr>
                  <m:sty m:val="p"/>
                </m:rPr>
                <m:t>−</m:t>
              </m:r>
            </m:oMath>
          </w:p>
        </w:tc>
        <w:tc>
          <w:tcPr>
            <w:vAlign w:val="center"/>
          </w:tcPr>
          <w:p>
            <w:pPr>
              <w:pStyle w:val="Compact"/>
              <w:jc w:val="center"/>
            </w:pPr>
            <w:r>
              <w:t xml:space="preserve">Ba3</w:t>
            </w:r>
          </w:p>
        </w:tc>
        <w:tc>
          <w:tcPr>
            <w:vAlign w:val="center"/>
          </w:tcPr>
          <w:p>
            <w:pPr>
              <w:pStyle w:val="Compact"/>
              <w:jc w:val="center"/>
            </w:pPr>
            <w:r>
              <w:t xml:space="preserve">BB</w:t>
            </w:r>
            <m:oMath>
              <m:r>
                <m:rPr>
                  <m:sty m:val="p"/>
                </m:rPr>
                <m:t>−</m:t>
              </m:r>
            </m:oMath>
          </w:p>
        </w:tc>
        <w:tc>
          <w:tcPr>
            <w:vAlign w:val="center"/>
          </w:tcPr>
          <w:p>
            <w:pPr>
              <w:pStyle w:val="Compact"/>
              <w:jc w:val="center"/>
            </w:pPr>
            <w:r>
              <w:rPr>
                <w:i/>
                <w:iCs/>
              </w:rPr>
              <w:t xml:space="preserve">BB (low)</w:t>
            </w:r>
          </w:p>
        </w:tc>
        <w:tc>
          <w:tcPr>
            <w:vAlign w:val="center"/>
          </w:tcPr>
          <w:p>
            <w:pPr>
              <w:pStyle w:val="Compact"/>
              <w:jc w:val="center"/>
            </w:pPr>
            <w:r>
              <w:t xml:space="preserve">—</w:t>
            </w:r>
          </w:p>
        </w:tc>
      </w:tr>
      <w:tr>
        <w:trPr>
          <w:cantSplit/>
        </w:trPr>
        <w:tc>
          <w:tcPr>
            <w:vAlign w:val="center"/>
          </w:tcPr>
          <w:p>
            <w:pPr>
              <w:pStyle w:val="Compact"/>
            </w:pPr>
          </w:p>
        </w:tc>
        <w:tc>
          <w:tcPr>
            <w:vAlign w:val="center"/>
          </w:tcPr>
          <w:p>
            <w:pPr>
              <w:pStyle w:val="Compact"/>
              <w:jc w:val="center"/>
            </w:pPr>
            <w:r>
              <w:t xml:space="preserve">B+</w:t>
            </w:r>
          </w:p>
        </w:tc>
        <w:tc>
          <w:tcPr>
            <w:vAlign w:val="center"/>
          </w:tcPr>
          <w:p>
            <w:pPr>
              <w:pStyle w:val="Compact"/>
              <w:jc w:val="center"/>
            </w:pPr>
            <w:r>
              <w:t xml:space="preserve">B1</w:t>
            </w:r>
          </w:p>
        </w:tc>
        <w:tc>
          <w:tcPr>
            <w:vAlign w:val="center"/>
          </w:tcPr>
          <w:p>
            <w:pPr>
              <w:pStyle w:val="Compact"/>
              <w:jc w:val="center"/>
            </w:pPr>
            <w:r>
              <w:t xml:space="preserve">B+</w:t>
            </w:r>
          </w:p>
        </w:tc>
        <w:tc>
          <w:tcPr>
            <w:vAlign w:val="center"/>
          </w:tcPr>
          <w:p>
            <w:pPr>
              <w:pStyle w:val="Compact"/>
              <w:jc w:val="center"/>
            </w:pPr>
            <w:r>
              <w:rPr>
                <w:i/>
                <w:iCs/>
              </w:rPr>
              <w:t xml:space="preserve">B (high)</w:t>
            </w:r>
          </w:p>
        </w:tc>
        <w:tc>
          <w:tcPr>
            <w:vAlign w:val="center"/>
          </w:tcPr>
          <w:p>
            <w:pPr>
              <w:pStyle w:val="Compact"/>
              <w:jc w:val="center"/>
            </w:pPr>
            <w:r>
              <w:t xml:space="preserve">—</w:t>
            </w:r>
          </w:p>
        </w:tc>
      </w:tr>
      <w:tr>
        <w:trPr>
          <w:cantSplit/>
        </w:trPr>
        <w:tc>
          <w:tcPr>
            <w:vAlign w:val="center"/>
          </w:tcPr>
          <w:p>
            <w:pPr>
              <w:pStyle w:val="Compact"/>
            </w:pPr>
          </w:p>
        </w:tc>
        <w:tc>
          <w:tcPr>
            <w:vAlign w:val="center"/>
          </w:tcPr>
          <w:p>
            <w:pPr>
              <w:pStyle w:val="Compact"/>
              <w:jc w:val="center"/>
            </w:pPr>
            <w:r>
              <w:t xml:space="preserve">B</w:t>
            </w:r>
          </w:p>
        </w:tc>
        <w:tc>
          <w:tcPr>
            <w:vAlign w:val="center"/>
          </w:tcPr>
          <w:p>
            <w:pPr>
              <w:pStyle w:val="Compact"/>
              <w:jc w:val="center"/>
            </w:pPr>
            <w:r>
              <w:t xml:space="preserve">B2</w:t>
            </w:r>
          </w:p>
        </w:tc>
        <w:tc>
          <w:tcPr>
            <w:vAlign w:val="center"/>
          </w:tcPr>
          <w:p>
            <w:pPr>
              <w:pStyle w:val="Compact"/>
              <w:jc w:val="center"/>
            </w:pPr>
            <w:r>
              <w:t xml:space="preserve">B</w:t>
            </w:r>
          </w:p>
        </w:tc>
        <w:tc>
          <w:tcPr>
            <w:vAlign w:val="center"/>
          </w:tcPr>
          <w:p>
            <w:pPr>
              <w:pStyle w:val="Compact"/>
              <w:jc w:val="center"/>
            </w:pPr>
            <w:r>
              <w:rPr>
                <w:i/>
                <w:iCs/>
              </w:rPr>
              <w:t xml:space="preserve">B</w:t>
            </w:r>
          </w:p>
        </w:tc>
        <w:tc>
          <w:tcPr>
            <w:vAlign w:val="center"/>
          </w:tcPr>
          <w:p>
            <w:pPr>
              <w:pStyle w:val="Compact"/>
              <w:jc w:val="center"/>
            </w:pPr>
            <w:r>
              <w:t xml:space="preserve">—</w:t>
            </w:r>
          </w:p>
        </w:tc>
      </w:tr>
      <w:tr>
        <w:trPr>
          <w:cantSplit/>
        </w:trPr>
        <w:tc>
          <w:tcPr>
            <w:vAlign w:val="center"/>
          </w:tcPr>
          <w:p>
            <w:pPr>
              <w:pStyle w:val="Compact"/>
            </w:pPr>
          </w:p>
        </w:tc>
        <w:tc>
          <w:tcPr>
            <w:vAlign w:val="center"/>
          </w:tcPr>
          <w:p>
            <w:pPr>
              <w:pStyle w:val="Compact"/>
              <w:jc w:val="center"/>
            </w:pPr>
            <w:r>
              <w:t xml:space="preserve">B</w:t>
            </w:r>
            <m:oMath>
              <m:r>
                <m:rPr>
                  <m:sty m:val="p"/>
                </m:rPr>
                <m:t>−</m:t>
              </m:r>
            </m:oMath>
          </w:p>
        </w:tc>
        <w:tc>
          <w:tcPr>
            <w:vAlign w:val="center"/>
          </w:tcPr>
          <w:p>
            <w:pPr>
              <w:pStyle w:val="Compact"/>
              <w:jc w:val="center"/>
            </w:pPr>
            <w:r>
              <w:t xml:space="preserve">B3</w:t>
            </w:r>
          </w:p>
        </w:tc>
        <w:tc>
          <w:tcPr>
            <w:vAlign w:val="center"/>
          </w:tcPr>
          <w:p>
            <w:pPr>
              <w:pStyle w:val="Compact"/>
              <w:jc w:val="center"/>
            </w:pPr>
            <w:r>
              <w:t xml:space="preserve">B</w:t>
            </w:r>
            <m:oMath>
              <m:r>
                <m:rPr>
                  <m:sty m:val="p"/>
                </m:rPr>
                <m:t>−</m:t>
              </m:r>
            </m:oMath>
          </w:p>
        </w:tc>
        <w:tc>
          <w:tcPr>
            <w:vAlign w:val="center"/>
          </w:tcPr>
          <w:p>
            <w:pPr>
              <w:pStyle w:val="Compact"/>
              <w:jc w:val="center"/>
            </w:pPr>
            <w:r>
              <w:rPr>
                <w:i/>
                <w:iCs/>
              </w:rPr>
              <w:t xml:space="preserve">B (low)</w:t>
            </w:r>
          </w:p>
        </w:tc>
        <w:tc>
          <w:tcPr>
            <w:vAlign w:val="center"/>
          </w:tcPr>
          <w:p>
            <w:pPr>
              <w:pStyle w:val="Compact"/>
              <w:jc w:val="center"/>
            </w:pPr>
            <w:r>
              <w:t xml:space="preserve">—</w:t>
            </w:r>
          </w:p>
        </w:tc>
      </w:tr>
      <w:tr>
        <w:trPr>
          <w:cantSplit/>
        </w:trPr>
        <w:tc>
          <w:tcPr>
            <w:vAlign w:val="center"/>
          </w:tcPr>
          <w:p>
            <w:pPr>
              <w:pStyle w:val="Compact"/>
            </w:pPr>
          </w:p>
        </w:tc>
        <w:tc>
          <w:tcPr>
            <w:vAlign w:val="center"/>
          </w:tcPr>
          <w:p>
            <w:pPr>
              <w:pStyle w:val="Compact"/>
              <w:jc w:val="center"/>
            </w:pPr>
            <w:r>
              <w:t xml:space="preserve">CCC+</w:t>
            </w:r>
          </w:p>
        </w:tc>
        <w:tc>
          <w:tcPr>
            <w:vAlign w:val="center"/>
          </w:tcPr>
          <w:p>
            <w:pPr>
              <w:pStyle w:val="Compact"/>
              <w:jc w:val="center"/>
            </w:pPr>
            <w:r>
              <w:t xml:space="preserve">Caa1</w:t>
            </w:r>
          </w:p>
        </w:tc>
        <w:tc>
          <w:tcPr>
            <w:vAlign w:val="center"/>
          </w:tcPr>
          <w:p>
            <w:pPr>
              <w:pStyle w:val="Compact"/>
              <w:jc w:val="center"/>
            </w:pPr>
            <w:r>
              <w:t xml:space="preserve">CCC+</w:t>
            </w:r>
          </w:p>
        </w:tc>
        <w:tc>
          <w:tcPr>
            <w:vAlign w:val="center"/>
          </w:tcPr>
          <w:p>
            <w:pPr>
              <w:pStyle w:val="Compact"/>
              <w:jc w:val="center"/>
            </w:pPr>
            <w:r>
              <w:rPr>
                <w:i/>
                <w:iCs/>
              </w:rPr>
              <w:t xml:space="preserve">CCC (high)</w:t>
            </w:r>
          </w:p>
        </w:tc>
        <w:tc>
          <w:tcPr>
            <w:vAlign w:val="center"/>
          </w:tcPr>
          <w:p>
            <w:pPr>
              <w:pStyle w:val="Compact"/>
              <w:jc w:val="center"/>
            </w:pPr>
            <w:r>
              <w:t xml:space="preserve">—</w:t>
            </w:r>
          </w:p>
        </w:tc>
      </w:tr>
      <w:tr>
        <w:trPr>
          <w:cantSplit/>
        </w:trPr>
        <w:tc>
          <w:tcPr>
            <w:vAlign w:val="center"/>
          </w:tcPr>
          <w:p>
            <w:pPr>
              <w:pStyle w:val="Compact"/>
            </w:pPr>
          </w:p>
        </w:tc>
        <w:tc>
          <w:tcPr>
            <w:vAlign w:val="center"/>
          </w:tcPr>
          <w:p>
            <w:pPr>
              <w:pStyle w:val="Compact"/>
              <w:jc w:val="center"/>
            </w:pPr>
            <w:r>
              <w:t xml:space="preserve">CCC</w:t>
            </w:r>
          </w:p>
        </w:tc>
        <w:tc>
          <w:tcPr>
            <w:vAlign w:val="center"/>
          </w:tcPr>
          <w:p>
            <w:pPr>
              <w:pStyle w:val="Compact"/>
              <w:jc w:val="center"/>
            </w:pPr>
            <w:r>
              <w:t xml:space="preserve">Caa2</w:t>
            </w:r>
          </w:p>
        </w:tc>
        <w:tc>
          <w:tcPr>
            <w:vAlign w:val="center"/>
          </w:tcPr>
          <w:p>
            <w:pPr>
              <w:pStyle w:val="Compact"/>
              <w:jc w:val="center"/>
            </w:pPr>
            <w:r>
              <w:t xml:space="preserve">CCC</w:t>
            </w:r>
          </w:p>
        </w:tc>
        <w:tc>
          <w:tcPr>
            <w:vAlign w:val="center"/>
          </w:tcPr>
          <w:p>
            <w:pPr>
              <w:pStyle w:val="Compact"/>
              <w:jc w:val="center"/>
            </w:pPr>
            <w:r>
              <w:rPr>
                <w:i/>
                <w:iCs/>
              </w:rPr>
              <w:t xml:space="preserve">CCC</w:t>
            </w:r>
          </w:p>
        </w:tc>
        <w:tc>
          <w:tcPr>
            <w:vAlign w:val="center"/>
          </w:tcPr>
          <w:p>
            <w:pPr>
              <w:pStyle w:val="Compact"/>
              <w:jc w:val="center"/>
            </w:pPr>
            <w:r>
              <w:t xml:space="preserve">—</w:t>
            </w:r>
          </w:p>
        </w:tc>
      </w:tr>
      <w:tr>
        <w:trPr>
          <w:cantSplit/>
        </w:trPr>
        <w:tc>
          <w:tcPr>
            <w:vAlign w:val="center"/>
          </w:tcPr>
          <w:p>
            <w:pPr>
              <w:pStyle w:val="Compact"/>
            </w:pPr>
          </w:p>
        </w:tc>
        <w:tc>
          <w:tcPr>
            <w:vAlign w:val="center"/>
          </w:tcPr>
          <w:p>
            <w:pPr>
              <w:pStyle w:val="Compact"/>
              <w:jc w:val="center"/>
            </w:pPr>
            <w:r>
              <w:t xml:space="preserve">CCC</w:t>
            </w:r>
            <m:oMath>
              <m:r>
                <m:rPr>
                  <m:sty m:val="p"/>
                </m:rPr>
                <m:t>−</m:t>
              </m:r>
            </m:oMath>
          </w:p>
        </w:tc>
        <w:tc>
          <w:tcPr>
            <w:vAlign w:val="center"/>
          </w:tcPr>
          <w:p>
            <w:pPr>
              <w:pStyle w:val="Compact"/>
              <w:jc w:val="center"/>
            </w:pPr>
            <w:r>
              <w:t xml:space="preserve">Caa3</w:t>
            </w:r>
          </w:p>
        </w:tc>
        <w:tc>
          <w:tcPr>
            <w:vAlign w:val="center"/>
          </w:tcPr>
          <w:p>
            <w:pPr>
              <w:pStyle w:val="Compact"/>
              <w:jc w:val="center"/>
            </w:pPr>
            <w:r>
              <w:t xml:space="preserve">CCC</w:t>
            </w:r>
            <m:oMath>
              <m:r>
                <m:rPr>
                  <m:sty m:val="p"/>
                </m:rPr>
                <m:t>−</m:t>
              </m:r>
            </m:oMath>
          </w:p>
        </w:tc>
        <w:tc>
          <w:tcPr>
            <w:vAlign w:val="center"/>
          </w:tcPr>
          <w:p>
            <w:pPr>
              <w:pStyle w:val="Compact"/>
              <w:jc w:val="center"/>
            </w:pPr>
            <w:r>
              <w:rPr>
                <w:i/>
                <w:iCs/>
              </w:rPr>
              <w:t xml:space="preserve">CCC (low)</w:t>
            </w:r>
          </w:p>
        </w:tc>
        <w:tc>
          <w:tcPr>
            <w:vAlign w:val="center"/>
          </w:tcPr>
          <w:p>
            <w:pPr>
              <w:pStyle w:val="Compact"/>
              <w:jc w:val="center"/>
            </w:pPr>
            <w:r>
              <w:t xml:space="preserve">—</w:t>
            </w:r>
          </w:p>
        </w:tc>
      </w:tr>
      <w:tr>
        <w:trPr>
          <w:cantSplit/>
        </w:trPr>
        <w:tc>
          <w:tcPr>
            <w:shd w:val="clear" w:color="auto" w:fill="FBE4D5"/>
            <w:vAlign w:val="center"/>
          </w:tcPr>
          <w:p>
            <w:pPr>
              <w:pStyle w:val="Celdatceesalmon"/>
              <w:jc w:val="left"/>
            </w:pPr>
            <w:r>
              <w:t xml:space="preserve"> </w:t>
            </w:r>
            <w:r>
              <w:t xml:space="preserve">Impago o casi</w:t>
            </w:r>
          </w:p>
        </w:tc>
        <w:tc>
          <w:tcPr>
            <w:shd w:val="clear" w:color="auto" w:fill="FBE4D5"/>
            <w:vAlign w:val="center"/>
          </w:tcPr>
          <w:p>
            <w:pPr>
              <w:pStyle w:val="Celdatceesalmon"/>
              <w:jc w:val="center"/>
            </w:pPr>
            <w:r>
              <w:t xml:space="preserve">CC</w:t>
            </w:r>
          </w:p>
        </w:tc>
        <w:tc>
          <w:tcPr>
            <w:shd w:val="clear" w:color="auto" w:fill="FBE4D5"/>
            <w:vAlign w:val="center"/>
          </w:tcPr>
          <w:p>
            <w:pPr>
              <w:pStyle w:val="Celdatceesalmon"/>
              <w:jc w:val="center"/>
            </w:pPr>
            <w:r>
              <w:t xml:space="preserve">Ca</w:t>
            </w:r>
          </w:p>
        </w:tc>
        <w:tc>
          <w:tcPr>
            <w:shd w:val="clear" w:color="auto" w:fill="FBE4D5"/>
            <w:vAlign w:val="center"/>
          </w:tcPr>
          <w:p>
            <w:pPr>
              <w:pStyle w:val="Celdatceesalmon"/>
              <w:jc w:val="center"/>
            </w:pPr>
            <w:r>
              <w:t xml:space="preserve">CC</w:t>
            </w:r>
          </w:p>
        </w:tc>
        <w:tc>
          <w:tcPr>
            <w:shd w:val="clear" w:color="auto" w:fill="FBE4D5"/>
            <w:vAlign w:val="center"/>
          </w:tcPr>
          <w:p>
            <w:pPr>
              <w:pStyle w:val="Celdatceesalmon"/>
              <w:jc w:val="center"/>
            </w:pPr>
            <w:r>
              <w:rPr>
                <w:i/>
                <w:iCs/>
              </w:rPr>
              <w:t xml:space="preserve">CC</w:t>
            </w:r>
          </w:p>
        </w:tc>
        <w:tc>
          <w:tcPr>
            <w:shd w:val="clear" w:color="auto" w:fill="FBE4D5"/>
            <w:vAlign w:val="center"/>
          </w:tcPr>
          <w:p>
            <w:pPr>
              <w:pStyle w:val="Celdatceesalmon"/>
              <w:jc w:val="center"/>
            </w:pPr>
            <w:r>
              <w:t xml:space="preserve">—</w:t>
            </w:r>
          </w:p>
        </w:tc>
      </w:tr>
      <w:tr>
        <w:trPr>
          <w:cantSplit/>
        </w:trPr>
        <w:tc>
          <w:tcPr>
            <w:shd w:val="clear" w:color="auto" w:fill="FBE4D5"/>
            <w:vAlign w:val="center"/>
          </w:tcPr>
          <w:p>
            <w:pPr>
              <w:pStyle w:val="Celdatceesalmon"/>
              <w:jc w:val="left"/>
            </w:pPr>
            <w:r>
              <w:t/>
            </w:r>
          </w:p>
        </w:tc>
        <w:tc>
          <w:tcPr>
            <w:shd w:val="clear" w:color="auto" w:fill="FBE4D5"/>
            <w:vAlign w:val="center"/>
          </w:tcPr>
          <w:p>
            <w:pPr>
              <w:pStyle w:val="Celdatceesalmon"/>
              <w:jc w:val="center"/>
            </w:pPr>
            <w:r>
              <w:t xml:space="preserve">C</w:t>
            </w:r>
          </w:p>
        </w:tc>
        <w:tc>
          <w:tcPr>
            <w:shd w:val="clear" w:color="auto" w:fill="FBE4D5"/>
            <w:vAlign w:val="center"/>
          </w:tcPr>
          <w:p>
            <w:pPr>
              <w:pStyle w:val="Celdatceesalmon"/>
              <w:jc w:val="center"/>
            </w:pPr>
            <w:r>
              <w:t xml:space="preserve">C</w:t>
            </w:r>
          </w:p>
        </w:tc>
        <w:tc>
          <w:tcPr>
            <w:shd w:val="clear" w:color="auto" w:fill="FBE4D5"/>
            <w:vAlign w:val="center"/>
          </w:tcPr>
          <w:p>
            <w:pPr>
              <w:pStyle w:val="Celdatceesalmon"/>
              <w:jc w:val="center"/>
            </w:pPr>
            <w:r>
              <w:t xml:space="preserve">C</w:t>
            </w:r>
          </w:p>
        </w:tc>
        <w:tc>
          <w:tcPr>
            <w:shd w:val="clear" w:color="auto" w:fill="FBE4D5"/>
            <w:vAlign w:val="center"/>
          </w:tcPr>
          <w:p>
            <w:pPr>
              <w:pStyle w:val="Celdatceesalmon"/>
              <w:jc w:val="center"/>
            </w:pPr>
            <w:r>
              <w:rPr>
                <w:i/>
                <w:iCs/>
              </w:rPr>
              <w:t xml:space="preserve">C</w:t>
            </w:r>
          </w:p>
        </w:tc>
        <w:tc>
          <w:tcPr>
            <w:shd w:val="clear" w:color="auto" w:fill="FBE4D5"/>
            <w:vAlign w:val="center"/>
          </w:tcPr>
          <w:p>
            <w:pPr>
              <w:pStyle w:val="Celdatceesalmon"/>
              <w:jc w:val="center"/>
            </w:pPr>
            <w:r>
              <w:t xml:space="preserve">—</w:t>
            </w:r>
          </w:p>
        </w:tc>
      </w:tr>
      <w:tr>
        <w:trPr>
          <w:cantSplit/>
        </w:trPr>
        <w:tc>
          <w:tcPr>
            <w:shd w:val="clear" w:color="auto" w:fill="FBE4D5"/>
            <w:vAlign w:val="center"/>
          </w:tcPr>
          <w:p>
            <w:pPr>
              <w:pStyle w:val="Celdatceesalmon"/>
              <w:jc w:val="left"/>
            </w:pPr>
            <w:r>
              <w:t/>
            </w:r>
          </w:p>
        </w:tc>
        <w:tc>
          <w:tcPr>
            <w:shd w:val="clear" w:color="auto" w:fill="FBE4D5"/>
            <w:vAlign w:val="center"/>
          </w:tcPr>
          <w:p>
            <w:pPr>
              <w:pStyle w:val="Celdatceesalmon"/>
              <w:jc w:val="center"/>
            </w:pPr>
            <w:r>
              <w:t xml:space="preserve">D</w:t>
            </w:r>
          </w:p>
        </w:tc>
        <w:tc>
          <w:tcPr>
            <w:shd w:val="clear" w:color="auto" w:fill="FBE4D5"/>
            <w:vAlign w:val="center"/>
          </w:tcPr>
          <w:p>
            <w:pPr>
              <w:pStyle w:val="Celdatceesalmon"/>
              <w:jc w:val="center"/>
            </w:pPr>
            <w:r>
              <w:t xml:space="preserve">—</w:t>
            </w:r>
          </w:p>
        </w:tc>
        <w:tc>
          <w:tcPr>
            <w:shd w:val="clear" w:color="auto" w:fill="FBE4D5"/>
            <w:vAlign w:val="center"/>
          </w:tcPr>
          <w:p>
            <w:pPr>
              <w:pStyle w:val="Celdatceesalmon"/>
              <w:jc w:val="center"/>
            </w:pPr>
            <w:r>
              <w:t xml:space="preserve">D</w:t>
            </w:r>
          </w:p>
        </w:tc>
        <w:tc>
          <w:tcPr>
            <w:shd w:val="clear" w:color="auto" w:fill="FBE4D5"/>
            <w:vAlign w:val="center"/>
          </w:tcPr>
          <w:p>
            <w:pPr>
              <w:pStyle w:val="Celdatceesalmon"/>
              <w:jc w:val="center"/>
            </w:pPr>
            <w:r>
              <w:rPr>
                <w:i/>
                <w:iCs/>
              </w:rPr>
              <w:t xml:space="preserve">D</w:t>
            </w:r>
          </w:p>
        </w:tc>
        <w:tc>
          <w:tcPr>
            <w:shd w:val="clear" w:color="auto" w:fill="FBE4D5"/>
            <w:vAlign w:val="center"/>
          </w:tcPr>
          <w:p>
            <w:pPr>
              <w:pStyle w:val="Celdatceesalmon"/>
              <w:jc w:val="center"/>
            </w:pPr>
            <w:r>
              <w:t xml:space="preserve">—</w:t>
            </w:r>
          </w:p>
        </w:tc>
      </w:tr>
    </w:tbl>
    <w:bookmarkEnd w:id="185"/>
    <w:p>
      <w:pPr>
        <w:pStyle w:val="BodyText"/>
      </w:pPr>
      <w:r>
        <w:rPr>
          <w:i/>
          <w:iCs/>
        </w:rPr>
        <w:t xml:space="preserve">Fuente: Escalas de las agencias recogidas por</w:t>
      </w:r>
      <w:r>
        <w:rPr>
          <w:i/>
          <w:iCs/>
        </w:rPr>
        <w:t xml:space="preserve"> </w:t>
      </w:r>
      <w:r>
        <w:rPr>
          <w:i/>
          <w:iCs/>
          <w:smallCaps/>
        </w:rPr>
        <w:t xml:space="preserve">Bankinter</w:t>
      </w:r>
      <w:r>
        <w:rPr>
          <w:i/>
          <w:iCs/>
        </w:rPr>
        <w:t xml:space="preserve"> </w:t>
      </w:r>
      <w:r>
        <w:rPr>
          <w:i/>
          <w:iCs/>
        </w:rPr>
        <w:t xml:space="preserve">(</w:t>
      </w:r>
      <w:hyperlink w:anchor="ref_Bankinter2024Rating">
        <w:r>
          <w:rPr>
            <w:rStyle w:val="Hyperlink"/>
            <w:i/>
            <w:iCs/>
          </w:rPr>
          <w:t xml:space="preserve">s. f.</w:t>
        </w:r>
      </w:hyperlink>
      <w:r>
        <w:rPr>
          <w:i/>
          <w:iCs/>
        </w:rPr>
        <w:t xml:space="preserve">)</w:t>
      </w:r>
      <w:r>
        <w:rPr>
          <w:i/>
          <w:iCs/>
        </w:rPr>
        <w:t xml:space="preserve">; niveles de calidad crediticia del Eurosistema:</w:t>
      </w:r>
      <w:r>
        <w:rPr>
          <w:i/>
          <w:iCs/>
        </w:rPr>
        <w:t xml:space="preserve"> </w:t>
      </w:r>
      <w:r>
        <w:rPr>
          <w:i/>
          <w:iCs/>
          <w:smallCaps/>
        </w:rPr>
        <w:t xml:space="preserve">Banco Central Europeo</w:t>
      </w:r>
      <w:r>
        <w:rPr>
          <w:i/>
          <w:iCs/>
        </w:rPr>
        <w:t xml:space="preserve"> </w:t>
      </w:r>
      <w:r>
        <w:rPr>
          <w:i/>
          <w:iCs/>
        </w:rPr>
        <w:t xml:space="preserve">(</w:t>
      </w:r>
      <w:hyperlink w:anchor="ref_BCE2026ECAF">
        <w:r>
          <w:rPr>
            <w:rStyle w:val="Hyperlink"/>
            <w:i/>
            <w:iCs/>
          </w:rPr>
          <w:t xml:space="preserve">2026e</w:t>
        </w:r>
      </w:hyperlink>
      <w:r>
        <w:rPr>
          <w:i/>
          <w:iCs/>
        </w:rPr>
        <w:t xml:space="preserve">)</w:t>
      </w:r>
      <w:r>
        <w:rPr>
          <w:i/>
          <w:iCs/>
        </w:rPr>
        <w:t xml:space="preserve">, que acepta también DBRS (en cursiva) y Scope (esta, con la misma escala que S&amp;P y Fitch). Qué hay que ver: el grado de inversión llega hasta BBB</w:t>
      </w:r>
      <m:oMath>
        <m:r>
          <m:rPr>
            <m:sty m:val="p"/>
          </m:rPr>
          <m:t>−</m:t>
        </m:r>
      </m:oMath>
      <w:r>
        <w:rPr>
          <w:i/>
          <w:iCs/>
        </w:rPr>
        <w:t xml:space="preserve">/Baa3 (nivel 3 del Eurosistema); por debajo, la deuda es especulativa y deja de ser admisible como garantía.</w:t>
      </w:r>
    </w:p>
    <w:p>
      <w:pPr>
        <w:pStyle w:val="Cajadeanotaciones"/>
        <w:keepLines/>
      </w:pPr>
      <w:r>
        <w:rPr>
          <w:b/>
          <w:bCs/>
        </w:rPr>
        <w:t xml:space="preserve">Ejemplo de redacción: deuda alta y calificación.</w:t>
      </w:r>
      <w:r>
        <w:t xml:space="preserve"> </w:t>
      </w:r>
      <w:r>
        <w:t xml:space="preserve">«Por último, hay que llamar la atención sobre el elevado nivel de deuda pública, que crece durante toda la serie (sobre todo en 20xx, por las medidas fiscales contra la crisis) hasta el xxx,x % del PIB. La agencia S&amp;P ha mantenido su calificación en grado de inversión desde 20xx, después de situarla en grado especulativo en 20xx. Sin embargo, un crecimiento persistentemente bajo, una brecha de producción negativa sin perspectivas de cerrarse a corto o medio plazo y una normalización de la política monetaria antes de lo previsto podrían poner en riesgo la sostenibilidad de las finanzas públicas.» Un ejemplo sobre un paquete de estímulo propio y los de otros países, en el anexo </w:t>
      </w:r>
      <w:hyperlink w:anchor="anexo_parrafos">
        <w:r>
          <w:rPr>
            <w:rStyle w:val="Hyperlink"/>
          </w:rPr>
          <w:t xml:space="preserve">K.1</w:t>
        </w:r>
      </w:hyperlink>
      <w:r>
        <w:t xml:space="preserve">.</w:t>
      </w:r>
    </w:p>
    <w:bookmarkEnd w:id="186"/>
    <w:bookmarkEnd w:id="187"/>
    <w:bookmarkStart w:id="193" w:name="sec_policy_mix"/>
    <w:p>
      <w:pPr>
        <w:pStyle w:val="Heading2"/>
      </w:pPr>
      <w:r>
        <w:t xml:space="preserve">V.4.</w:t>
      </w:r>
      <w:r>
        <w:t xml:space="preserve"> </w:t>
      </w:r>
      <w:r>
        <w:t xml:space="preserve">Combinación de políticas (</w:t>
      </w:r>
      <w:r>
        <w:rPr>
          <w:i/>
          <w:iCs/>
        </w:rPr>
        <w:t xml:space="preserve">policy mix</w:t>
      </w:r>
      <w:r>
        <w:t xml:space="preserve">)</w:t>
      </w:r>
    </w:p>
    <w:p>
      <w:pPr>
        <w:numPr>
          <w:ilvl w:val="0"/>
          <w:numId w:val="1124"/>
        </w:numPr>
      </w:pPr>
      <w:r>
        <w:rPr>
          <w:i/>
          <w:iCs/>
        </w:rPr>
        <w:t xml:space="preserve">Qué es</w:t>
      </w:r>
      <w:r>
        <w:t xml:space="preserve">: la combinación de los tonos de la política monetaria y la fiscal.</w:t>
      </w:r>
    </w:p>
    <w:p>
      <w:pPr>
        <w:keepNext/>
        <w:numPr>
          <w:ilvl w:val="0"/>
          <w:numId w:val="1124"/>
        </w:numPr>
      </w:pPr>
      <w:r>
        <w:rPr>
          <w:i/>
          <w:iCs/>
        </w:rPr>
        <w:t xml:space="preserve">Cómo se lee</w:t>
      </w:r>
      <w:r>
        <w:t xml:space="preserve">: el</w:t>
      </w:r>
      <w:r>
        <w:t xml:space="preserve"> </w:t>
      </w:r>
      <w:r>
        <w:rPr>
          <w:i/>
          <w:iCs/>
        </w:rPr>
        <w:t xml:space="preserve">policy mix</w:t>
      </w:r>
      <w:r>
        <w:t xml:space="preserve"> </w:t>
      </w:r>
      <w:r>
        <w:t xml:space="preserve">es</w:t>
      </w:r>
      <w:r>
        <w:t xml:space="preserve"> </w:t>
      </w:r>
      <w:r>
        <w:rPr>
          <w:i/>
          <w:iCs/>
        </w:rPr>
        <w:t xml:space="preserve">coherente</w:t>
      </w:r>
      <w:r>
        <w:t xml:space="preserve"> </w:t>
      </w:r>
      <w:r>
        <w:t xml:space="preserve">si cada política contribuye a los objetivos de la otra, no si las 2 tienen el mismo signo, y</w:t>
      </w:r>
      <w:r>
        <w:t xml:space="preserve"> </w:t>
      </w:r>
      <w:r>
        <w:rPr>
          <w:i/>
          <w:iCs/>
        </w:rPr>
        <w:t xml:space="preserve">tensionado</w:t>
      </w:r>
      <w:r>
        <w:t xml:space="preserve"> </w:t>
      </w:r>
      <w:r>
        <w:t xml:space="preserve">si una deshace lo que hace la otra (gráfico </w:t>
      </w:r>
      <w:hyperlink w:anchor="fig_policy_mix">
        <w:r>
          <w:rPr>
            <w:rStyle w:val="Hyperlink"/>
          </w:rPr>
          <w:t xml:space="preserve">5</w:t>
        </w:r>
      </w:hyperlink>
      <w:r>
        <w:t xml:space="preserve">)</w:t>
      </w:r>
      <w:r>
        <w:t xml:space="preserve"> </w:t>
      </w:r>
      <w:hyperlink r:id="rId188">
        <w:r>
          <w:rPr>
            <w:rStyle w:val="Referenciaatema"/>
          </w:rPr>
          <w:t xml:space="preserve">[ver tema 3.A.40]</w:t>
        </w:r>
      </w:hyperlink>
      <w:r>
        <w:t xml:space="preserve">:</w:t>
      </w:r>
    </w:p>
    <w:p>
      <w:pPr>
        <w:numPr>
          <w:ilvl w:val="1"/>
          <w:numId w:val="1125"/>
        </w:numPr>
      </w:pPr>
      <w:r>
        <w:rPr>
          <w:i/>
          <w:iCs/>
        </w:rPr>
        <w:t xml:space="preserve">ambas expansivas</w:t>
      </w:r>
      <w:r>
        <w:t xml:space="preserve">: adecuado en una recesión con inflación baja; riesgo de inflación si se mantienen en la recuperación;</w:t>
      </w:r>
    </w:p>
    <w:p>
      <w:pPr>
        <w:numPr>
          <w:ilvl w:val="1"/>
          <w:numId w:val="1125"/>
        </w:numPr>
      </w:pPr>
      <w:r>
        <w:rPr>
          <w:i/>
          <w:iCs/>
        </w:rPr>
        <w:t xml:space="preserve">ambas contractivas</w:t>
      </w:r>
      <w:r>
        <w:t xml:space="preserve">: adecuado con sobrecalentamiento e inflación; riesgo de recesión;</w:t>
      </w:r>
    </w:p>
    <w:p>
      <w:pPr>
        <w:numPr>
          <w:ilvl w:val="1"/>
          <w:numId w:val="1125"/>
        </w:numPr>
      </w:pPr>
      <w:r>
        <w:rPr>
          <w:i/>
          <w:iCs/>
        </w:rPr>
        <w:t xml:space="preserve">fiscal expansiva y monetaria contractiva</w:t>
      </w:r>
      <w:r>
        <w:t xml:space="preserve">: suben los tipos y se aprecia la moneda; poco coherente salvo que la expansión fiscal sea temporal y focalizada (como las ayudas por la energía tras la invasión de Ucrania);</w:t>
      </w:r>
    </w:p>
    <w:p>
      <w:pPr>
        <w:numPr>
          <w:ilvl w:val="1"/>
          <w:numId w:val="1125"/>
        </w:numPr>
      </w:pPr>
      <w:r>
        <w:rPr>
          <w:i/>
          <w:iCs/>
        </w:rPr>
        <w:t xml:space="preserve">fiscal contractiva y monetaria expansiva</w:t>
      </w:r>
      <w:r>
        <w:t xml:space="preserve">: la combinación clásica para consolidar con deuda alta y brecha negativa sin hundir la demanda.</w:t>
      </w:r>
    </w:p>
    <w:p>
      <w:pPr>
        <w:numPr>
          <w:ilvl w:val="0"/>
          <w:numId w:val="1124"/>
        </w:numPr>
      </w:pPr>
      <w:r>
        <w:t xml:space="preserve">En una unión monetaria la política monetaria es común: el país solo controla la fiscal, que tiene que compensar si su ciclo va por delante o por detrás del de la zona.</w:t>
      </w:r>
    </w:p>
    <w:p>
      <w:pPr>
        <w:numPr>
          <w:ilvl w:val="0"/>
          <w:numId w:val="1124"/>
        </w:numPr>
      </w:pPr>
      <w:r>
        <w:rPr>
          <w:i/>
          <w:iCs/>
        </w:rPr>
        <w:t xml:space="preserve">Un ejemplo de los datos</w:t>
      </w:r>
      <w:r>
        <w:t xml:space="preserve">: según el FMI, en 2020 el 77 % de las economías combinó políticas monetaria y fiscal expansivas; en 2021, el 62 %, una monetaria expansiva con una fiscal contractiva; y en 2022 el 74 % aplicó ambas contractivas. El giro de todo expansivo a todo contractivo en 2 años muestra cómo cambia el</w:t>
      </w:r>
      <w:r>
        <w:t xml:space="preserve"> </w:t>
      </w:r>
      <w:r>
        <w:rPr>
          <w:i/>
          <w:iCs/>
        </w:rPr>
        <w:t xml:space="preserve">policy mix</w:t>
      </w:r>
      <w:r>
        <w:t xml:space="preserve"> </w:t>
      </w:r>
      <w:r>
        <w:t xml:space="preserve">con el ciclo y la inflación</w:t>
      </w:r>
      <w:r>
        <w:t xml:space="preserve"> </w:t>
      </w:r>
      <w:r>
        <w:t xml:space="preserve">(</w:t>
      </w:r>
      <w:hyperlink w:anchor="ref_FMI2023FiscalMonitor">
        <w:r>
          <w:rPr>
            <w:rStyle w:val="Hyperlink"/>
            <w:smallCaps/>
          </w:rPr>
          <w:t xml:space="preserve">Fondo Monetario Internacional</w:t>
        </w:r>
        <w:r>
          <w:rPr>
            <w:rStyle w:val="Hyperlink"/>
          </w:rPr>
          <w:t xml:space="preserve">, 2023a</w:t>
        </w:r>
      </w:hyperlink>
      <w:r>
        <w:t xml:space="preserve">)</w:t>
      </w:r>
      <w:r>
        <w:t xml:space="preserve">.</w:t>
      </w:r>
    </w:p>
    <w:p>
      <w:pPr>
        <w:pStyle w:val="Notaalopositor"/>
        <w:keepLines/>
      </w:pPr>
      <w:r>
        <w:rPr>
          <w:b/>
          <w:bCs/>
        </w:rPr>
        <w:t xml:space="preserve">Nota al opositor. </w:t>
      </w:r>
      <w:r>
        <w:t xml:space="preserve">El</w:t>
      </w:r>
      <w:r>
        <w:t xml:space="preserve"> </w:t>
      </w:r>
      <w:r>
        <w:rPr>
          <w:i/>
          <w:iCs/>
        </w:rPr>
        <w:t xml:space="preserve">policy mix</w:t>
      </w:r>
      <w:r>
        <w:t xml:space="preserve"> </w:t>
      </w:r>
      <w:r>
        <w:t xml:space="preserve">se preguntó en 2020 y 2021</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La fiscal se mide por la variación del saldo primario (estructural, si se puede) y la monetaria, por el tipo oficial o, con tipos en su límite, por el balance.</w:t>
      </w:r>
    </w:p>
    <w:bookmarkStart w:id="192" w:name="fig_policy_mix"/>
    <w:p>
      <w:pPr>
        <w:pStyle w:val="ImageCaption"/>
      </w:pPr>
      <w:r>
        <w:t xml:space="preserve">Gráfico 5.–</w:t>
      </w:r>
      <w:r>
        <w:t xml:space="preserve"> </w:t>
      </w:r>
      <w:r>
        <w:t xml:space="preserve">Los 4 cuadrantes del</w:t>
      </w:r>
      <w:r>
        <w:t xml:space="preserve"> </w:t>
      </w:r>
      <w:r>
        <w:rPr>
          <w:i/>
          <w:iCs/>
        </w:rPr>
        <w:t xml:space="preserve">policy mix</w:t>
      </w:r>
    </w:p>
    <w:p>
      <w:pPr>
        <w:pStyle w:val="CaptionedFigure"/>
      </w:pPr>
      <w:r>
        <w:drawing>
          <wp:inline>
            <wp:extent cx="2626360" cy="1680285"/>
            <wp:effectExtent b="0" l="0" r="0" t="0"/>
            <wp:docPr descr="Gráfico 5.– Los 4 cuadrantes del policy mix" title="" id="190" name="Picture"/>
            <a:graphic>
              <a:graphicData uri="http://schemas.openxmlformats.org/drawingml/2006/picture">
                <pic:pic>
                  <pic:nvPicPr>
                    <pic:cNvPr descr="C:\Users\vgutierrez\Documents\src\victorgutierrezmarcos.github.io-revision\oposicion\temario\fuentes\1D01\graficos/policy-mix.png" id="191" name="Picture"/>
                    <pic:cNvPicPr>
                      <a:picLocks noChangeArrowheads="1" noChangeAspect="1"/>
                    </pic:cNvPicPr>
                  </pic:nvPicPr>
                  <pic:blipFill>
                    <a:blip r:embed="rId189"/>
                    <a:stretch>
                      <a:fillRect/>
                    </a:stretch>
                  </pic:blipFill>
                  <pic:spPr bwMode="auto">
                    <a:xfrm>
                      <a:off x="0" y="0"/>
                      <a:ext cx="2626360" cy="1680285"/>
                    </a:xfrm>
                    <a:prstGeom prst="rect">
                      <a:avLst/>
                    </a:prstGeom>
                    <a:noFill/>
                    <a:ln w="9525">
                      <a:noFill/>
                      <a:headEnd/>
                      <a:tailEnd/>
                    </a:ln>
                  </pic:spPr>
                </pic:pic>
              </a:graphicData>
            </a:graphic>
          </wp:inline>
        </w:drawing>
      </w:r>
    </w:p>
    <w:bookmarkEnd w:id="192"/>
    <w:p>
      <w:pPr>
        <w:pStyle w:val="Piedeimagen"/>
      </w:pPr>
      <w:r>
        <w:t xml:space="preserve">Fuente: Elaboración propia. Qué hay que ver: el tono de cada política se sitúa en un eje; la coherencia depende de la situación (inflación, brecha, deuda), no de que las 2 vayan en el mismo sentido.</w:t>
      </w:r>
    </w:p>
    <w:bookmarkEnd w:id="193"/>
    <w:bookmarkStart w:id="195" w:name="sec_politicas_oferta"/>
    <w:p>
      <w:pPr>
        <w:pStyle w:val="Heading2"/>
      </w:pPr>
      <w:r>
        <w:t xml:space="preserve">V.5.</w:t>
      </w:r>
      <w:r>
        <w:t xml:space="preserve"> </w:t>
      </w:r>
      <w:r>
        <w:t xml:space="preserve">Políticas de oferta</w:t>
      </w:r>
    </w:p>
    <w:p>
      <w:pPr>
        <w:keepNext/>
        <w:numPr>
          <w:ilvl w:val="0"/>
          <w:numId w:val="1126"/>
        </w:numPr>
      </w:pPr>
      <w:r>
        <w:rPr>
          <w:i/>
          <w:iCs/>
        </w:rPr>
        <w:t xml:space="preserve">Diagnóstico previo</w:t>
      </w:r>
      <w:r>
        <w:t xml:space="preserve">: crecimiento potencial bajo, productividad estancada, inversión baja, paro estructural alto o tasa de actividad baja. Las recomendaciones se ordenan según cuál sea el cuello de botella</w:t>
      </w:r>
      <w:r>
        <w:t xml:space="preserve"> </w:t>
      </w:r>
      <w:hyperlink r:id="rId40">
        <w:r>
          <w:rPr>
            <w:rStyle w:val="Referenciaatema"/>
          </w:rPr>
          <w:t xml:space="preserve">[ver tema 3.A.45]</w:t>
        </w:r>
      </w:hyperlink>
      <w:r>
        <w:t xml:space="preserve"> </w:t>
      </w:r>
      <w:hyperlink r:id="rId194">
        <w:r>
          <w:rPr>
            <w:rStyle w:val="Referenciaatema"/>
          </w:rPr>
          <w:t xml:space="preserve">[ver tema 3.A.44]</w:t>
        </w:r>
      </w:hyperlink>
      <w:r>
        <w:t xml:space="preserve">:</w:t>
      </w:r>
    </w:p>
    <w:p>
      <w:pPr>
        <w:numPr>
          <w:ilvl w:val="1"/>
          <w:numId w:val="1127"/>
        </w:numPr>
      </w:pPr>
      <w:r>
        <w:rPr>
          <w:i/>
          <w:iCs/>
        </w:rPr>
        <w:t xml:space="preserve">fomentar el progreso técnico</w:t>
      </w:r>
      <w:r>
        <w:t xml:space="preserve">: I+D (ayudas directas, deducciones, colaboración entre universidad y empresa para orientar la investigación y facilitar el flujo de información) y plataformas de capital riesgo (</w:t>
      </w:r>
      <w:r>
        <w:rPr>
          <w:i/>
          <w:iCs/>
        </w:rPr>
        <w:t xml:space="preserve">business angels</w:t>
      </w:r>
      <w:r>
        <w:t xml:space="preserve">,</w:t>
      </w:r>
      <w:r>
        <w:t xml:space="preserve"> </w:t>
      </w:r>
      <w:r>
        <w:rPr>
          <w:i/>
          <w:iCs/>
        </w:rPr>
        <w:t xml:space="preserve">venture capital</w:t>
      </w:r>
      <w:r>
        <w:t xml:space="preserve">);</w:t>
      </w:r>
    </w:p>
    <w:p>
      <w:pPr>
        <w:numPr>
          <w:ilvl w:val="1"/>
          <w:numId w:val="1127"/>
        </w:numPr>
      </w:pPr>
      <w:r>
        <w:rPr>
          <w:i/>
          <w:iCs/>
        </w:rPr>
        <w:t xml:space="preserve">aumentar la capacidad productiva</w:t>
      </w:r>
      <w:r>
        <w:t xml:space="preserve"> </w:t>
      </w:r>
      <w:r>
        <w:t xml:space="preserve">(el capital): incentivos fiscales a la inversión, estabilidad macroeconómica e infraestructuras que vertebren el mercado y faciliten la circulación de mercancías;</w:t>
      </w:r>
    </w:p>
    <w:p>
      <w:pPr>
        <w:numPr>
          <w:ilvl w:val="1"/>
          <w:numId w:val="1127"/>
        </w:numPr>
      </w:pPr>
      <w:r>
        <w:rPr>
          <w:i/>
          <w:iCs/>
        </w:rPr>
        <w:t xml:space="preserve">capital humano</w:t>
      </w:r>
      <w:r>
        <w:t xml:space="preserve">: menos abandono escolar, formación profesional dual, recualificación de los desplazados por la digitalización;</w:t>
      </w:r>
    </w:p>
    <w:p>
      <w:pPr>
        <w:numPr>
          <w:ilvl w:val="1"/>
          <w:numId w:val="1127"/>
        </w:numPr>
      </w:pPr>
      <w:r>
        <w:rPr>
          <w:i/>
          <w:iCs/>
        </w:rPr>
        <w:t xml:space="preserve">mejorar el mercado de trabajo</w:t>
      </w:r>
      <w:r>
        <w:t xml:space="preserve">: según el tipo de paro (lista siguiente);</w:t>
      </w:r>
    </w:p>
    <w:p>
      <w:pPr>
        <w:numPr>
          <w:ilvl w:val="1"/>
          <w:numId w:val="1127"/>
        </w:numPr>
      </w:pPr>
      <w:r>
        <w:rPr>
          <w:i/>
          <w:iCs/>
        </w:rPr>
        <w:t xml:space="preserve">aumentar la competencia</w:t>
      </w:r>
      <w:r>
        <w:t xml:space="preserve">: liberalización de sectores, menos barreras al comercio interior y exterior, defensa de la competencia, subvenciones transversales (I+D, internacionalización, medio ambiente) en lugar de sectoriales;</w:t>
      </w:r>
    </w:p>
    <w:p>
      <w:pPr>
        <w:numPr>
          <w:ilvl w:val="1"/>
          <w:numId w:val="1127"/>
        </w:numPr>
      </w:pPr>
      <w:r>
        <w:rPr>
          <w:i/>
          <w:iCs/>
        </w:rPr>
        <w:t xml:space="preserve">instituciones</w:t>
      </w:r>
      <w:r>
        <w:t xml:space="preserve">: seguridad jurídica, calidad regulatoria, eficacia de la justicia y de la Administración.</w:t>
      </w:r>
    </w:p>
    <w:p>
      <w:pPr>
        <w:keepNext/>
        <w:numPr>
          <w:ilvl w:val="0"/>
          <w:numId w:val="1126"/>
        </w:numPr>
      </w:pPr>
      <w:r>
        <w:rPr>
          <w:i/>
          <w:iCs/>
        </w:rPr>
        <w:t xml:space="preserve">El mercado de trabajo, según el tipo de paro</w:t>
      </w:r>
      <w:r>
        <w:t xml:space="preserve"> </w:t>
      </w:r>
      <w:r>
        <w:t xml:space="preserve">(cómo se detecta y qué hacer; apartado </w:t>
      </w:r>
      <w:hyperlink w:anchor="sec_trabajo">
        <w:r>
          <w:rPr>
            <w:rStyle w:val="Hyperlink"/>
          </w:rPr>
          <w:t xml:space="preserve">II.1</w:t>
        </w:r>
      </w:hyperlink>
      <w:r>
        <w:t xml:space="preserve">)</w:t>
      </w:r>
      <w:r>
        <w:t xml:space="preserve"> </w:t>
      </w:r>
      <w:hyperlink r:id="rId37">
        <w:r>
          <w:rPr>
            <w:rStyle w:val="Referenciaatema"/>
          </w:rPr>
          <w:t xml:space="preserve">[ver tema 3.A.28]</w:t>
        </w:r>
      </w:hyperlink>
      <w:r>
        <w:t xml:space="preserve"> </w:t>
      </w:r>
      <w:hyperlink r:id="rId88">
        <w:r>
          <w:rPr>
            <w:rStyle w:val="Referenciaatema"/>
          </w:rPr>
          <w:t xml:space="preserve">[ver tema 4.A.16]</w:t>
        </w:r>
      </w:hyperlink>
      <w:r>
        <w:t xml:space="preserve">:</w:t>
      </w:r>
    </w:p>
    <w:p>
      <w:pPr>
        <w:numPr>
          <w:ilvl w:val="1"/>
          <w:numId w:val="1128"/>
        </w:numPr>
      </w:pPr>
      <w:r>
        <w:rPr>
          <w:i/>
          <w:iCs/>
        </w:rPr>
        <w:t xml:space="preserve">paro clásico</w:t>
      </w:r>
      <w:r>
        <w:t xml:space="preserve"> </w:t>
      </w:r>
      <w:r>
        <w:t xml:space="preserve">(salarios reales demasiado altos para la productividad; se detecta con CLU que crecen mucho y de forma sistemática): flexibilizar el salario real y subir la productividad. Para lo primero, salarios que reflejen la productividad (negociación más cercana a la empresa, indexación a la productividad y no a la inflación pasada, parte del salario ligada a los resultados,</w:t>
      </w:r>
      <w:r>
        <w:t xml:space="preserve"> </w:t>
      </w:r>
      <w:r>
        <w:rPr>
          <w:i/>
          <w:iCs/>
        </w:rPr>
        <w:t xml:space="preserve">profit sharing</w:t>
      </w:r>
      <w:r>
        <w:t xml:space="preserve">), menos dualidad entre fijos y temporales (menores costes de contratación y despido, y que los sindicatos tengan en cuenta también a los parados en sus reivindicaciones) y menos cuña fiscal sobre los salarios bajos; para lo segundo, formación en la empresa (subvencionada), planes de estudio adaptados (más carreras técnicas, formación dual), progreso técnico y más capacidad productiva;</w:t>
      </w:r>
    </w:p>
    <w:p>
      <w:pPr>
        <w:numPr>
          <w:ilvl w:val="1"/>
          <w:numId w:val="1128"/>
        </w:numPr>
      </w:pPr>
      <w:r>
        <w:rPr>
          <w:i/>
          <w:iCs/>
        </w:rPr>
        <w:t xml:space="preserve">paro keynesiano</w:t>
      </w:r>
      <w:r>
        <w:t xml:space="preserve"> </w:t>
      </w:r>
      <w:r>
        <w:t xml:space="preserve">(demanda insuficiente; se detecta con un consumo privado anémico): políticas de demanda temporales (menos impuestos sobre la renta, más transferencias);</w:t>
      </w:r>
    </w:p>
    <w:p>
      <w:pPr>
        <w:numPr>
          <w:ilvl w:val="1"/>
          <w:numId w:val="1128"/>
        </w:numPr>
      </w:pPr>
      <w:r>
        <w:rPr>
          <w:i/>
          <w:iCs/>
        </w:rPr>
        <w:t xml:space="preserve">paro friccional</w:t>
      </w:r>
      <w:r>
        <w:t xml:space="preserve"> </w:t>
      </w:r>
      <w:r>
        <w:t xml:space="preserve">o de desajuste (falta de casamiento entre oferta y demanda; se detecta con una curva de</w:t>
      </w:r>
      <w:r>
        <w:t xml:space="preserve"> </w:t>
      </w:r>
      <w:r>
        <w:rPr>
          <w:smallCaps/>
        </w:rPr>
        <w:t xml:space="preserve">Beveridge</w:t>
      </w:r>
      <w:r>
        <w:t xml:space="preserve"> </w:t>
      </w:r>
      <w:r>
        <w:t xml:space="preserve">alejada del origen): búsqueda más eficiente, con servicios de empleo eficaces y en colaboración con agencias privadas, planes de estudio adaptados y más movilidad geográfica (fomento del alquiler);</w:t>
      </w:r>
    </w:p>
    <w:p>
      <w:pPr>
        <w:numPr>
          <w:ilvl w:val="1"/>
          <w:numId w:val="1128"/>
        </w:numPr>
      </w:pPr>
      <w:r>
        <w:rPr>
          <w:i/>
          <w:iCs/>
        </w:rPr>
        <w:t xml:space="preserve">paro de larga duración</w:t>
      </w:r>
      <w:r>
        <w:t xml:space="preserve"> </w:t>
      </w:r>
      <w:r>
        <w:t xml:space="preserve">(se retroalimenta: cuanto más tiempo fuera, más difícil volver, por la pérdida de cualificación, la mala señal y el desánimo): planes de choque que prioricen a este colectivo, con incentivos fiscales a su contratación y formación para reciclar sus capacidades;</w:t>
      </w:r>
    </w:p>
    <w:p>
      <w:pPr>
        <w:numPr>
          <w:ilvl w:val="1"/>
          <w:numId w:val="1128"/>
        </w:numPr>
      </w:pPr>
      <w:r>
        <w:t xml:space="preserve">en todos los casos,</w:t>
      </w:r>
      <w:r>
        <w:t xml:space="preserve"> </w:t>
      </w:r>
      <w:r>
        <w:rPr>
          <w:i/>
          <w:iCs/>
        </w:rPr>
        <w:t xml:space="preserve">políticas activas de empleo</w:t>
      </w:r>
      <w:r>
        <w:t xml:space="preserve"> </w:t>
      </w:r>
      <w:r>
        <w:t xml:space="preserve">(orientación, intermediación, formación ligada a la demanda de las empresas e incentivos a contratar a quien tiene más dificultades), que funcionan mejor bien focalizadas y evaluadas</w:t>
      </w:r>
      <w:r>
        <w:t xml:space="preserve"> </w:t>
      </w:r>
      <w:r>
        <w:t xml:space="preserve">(</w:t>
      </w:r>
      <w:hyperlink w:anchor="ref_Card2018ALMP">
        <w:r>
          <w:rPr>
            <w:rStyle w:val="Hyperlink"/>
            <w:smallCaps/>
          </w:rPr>
          <w:t xml:space="preserve">Card</w:t>
        </w:r>
        <w:r>
          <w:rPr>
            <w:rStyle w:val="Hyperlink"/>
          </w:rPr>
          <w:t xml:space="preserve">,</w:t>
        </w:r>
        <w:r>
          <w:rPr>
            <w:rStyle w:val="Hyperlink"/>
          </w:rPr>
          <w:t xml:space="preserve"> </w:t>
        </w:r>
        <w:r>
          <w:rPr>
            <w:rStyle w:val="Hyperlink"/>
            <w:smallCaps/>
          </w:rPr>
          <w:t xml:space="preserve">Kluve</w:t>
        </w:r>
        <w:r>
          <w:rPr>
            <w:rStyle w:val="Hyperlink"/>
          </w:rPr>
          <w:t xml:space="preserve"> </w:t>
        </w:r>
        <w:r>
          <w:rPr>
            <w:rStyle w:val="Hyperlink"/>
          </w:rPr>
          <w:t xml:space="preserve">y</w:t>
        </w:r>
        <w:r>
          <w:rPr>
            <w:rStyle w:val="Hyperlink"/>
          </w:rPr>
          <w:t xml:space="preserve"> </w:t>
        </w:r>
        <w:r>
          <w:rPr>
            <w:rStyle w:val="Hyperlink"/>
            <w:smallCaps/>
          </w:rPr>
          <w:t xml:space="preserve">Weber</w:t>
        </w:r>
        <w:r>
          <w:rPr>
            <w:rStyle w:val="Hyperlink"/>
          </w:rPr>
          <w:t xml:space="preserve">, 2018</w:t>
        </w:r>
      </w:hyperlink>
      <w:r>
        <w:t xml:space="preserve">)</w:t>
      </w:r>
      <w:r>
        <w:t xml:space="preserve">, y</w:t>
      </w:r>
      <w:r>
        <w:t xml:space="preserve"> </w:t>
      </w:r>
      <w:r>
        <w:rPr>
          <w:i/>
          <w:iCs/>
        </w:rPr>
        <w:t xml:space="preserve">políticas pasivas</w:t>
      </w:r>
      <w:r>
        <w:t xml:space="preserve"> </w:t>
      </w:r>
      <w:r>
        <w:t xml:space="preserve">(prestaciones), que protegen la renta y sostienen el consumo en las recesiones, con cuantía decreciente y ligadas a la búsqueda activa para no desincentivarla.</w:t>
      </w:r>
    </w:p>
    <w:p>
      <w:pPr>
        <w:numPr>
          <w:ilvl w:val="0"/>
          <w:numId w:val="1129"/>
        </w:numPr>
      </w:pPr>
      <w:r>
        <w:rPr>
          <w:i/>
          <w:iCs/>
        </w:rPr>
        <w:t xml:space="preserve">Recapitulación</w:t>
      </w:r>
      <w:r>
        <w:t xml:space="preserve">: el tono se mide por niveles reales frente al neutral (monetaria) y por la variación del saldo estructural primario (fiscal); la sostenibilidad de la deuda, por</w:t>
      </w:r>
      <w:r>
        <w:t xml:space="preserve"> </w:t>
      </w:r>
      <m:oMath>
        <m:r>
          <m:t>i</m:t>
        </m:r>
        <m:r>
          <m:rPr>
            <m:sty m:val="p"/>
          </m:rPr>
          <m:t>−</m:t>
        </m:r>
        <m:sSup>
          <m:e>
            <m:r>
              <m:t>γ</m:t>
            </m:r>
          </m:e>
          <m:sup>
            <m:r>
              <m:t>N</m:t>
            </m:r>
          </m:sup>
        </m:sSup>
      </m:oMath>
      <w:r>
        <w:t xml:space="preserve"> </w:t>
      </w:r>
      <w:r>
        <w:t xml:space="preserve">y el saldo primario; y la oferta, por el cuello de botella del crecimiento potencial. Con todo ello, solo queda la última pregunta: qué hacer.</w:t>
      </w:r>
    </w:p>
    <w:bookmarkEnd w:id="195"/>
    <w:bookmarkEnd w:id="196"/>
    <w:bookmarkStart w:id="200" w:name="sec_recomendaciones"/>
    <w:p>
      <w:pPr>
        <w:pStyle w:val="Heading1"/>
      </w:pPr>
      <w:r>
        <w:t xml:space="preserve">VI.</w:t>
      </w:r>
      <w:r>
        <w:t xml:space="preserve"> </w:t>
      </w:r>
      <w:r>
        <w:t xml:space="preserve">Recomendaciones de política económica</w:t>
      </w:r>
    </w:p>
    <w:bookmarkStart w:id="197" w:name="sec_plantear"/>
    <w:p>
      <w:pPr>
        <w:pStyle w:val="Heading2"/>
      </w:pPr>
      <w:r>
        <w:t xml:space="preserve">VI.1.</w:t>
      </w:r>
      <w:r>
        <w:t xml:space="preserve"> </w:t>
      </w:r>
      <w:r>
        <w:t xml:space="preserve">Cómo se plantea la pregunta</w:t>
      </w:r>
    </w:p>
    <w:p>
      <w:pPr>
        <w:pStyle w:val="Ideaclave"/>
        <w:keepLines/>
      </w:pPr>
      <w:r>
        <w:rPr>
          <w:b/>
          <w:bCs/>
        </w:rPr>
        <w:t xml:space="preserve">Qué hay que contestar</w:t>
      </w:r>
      <w:r>
        <w:t xml:space="preserve">: ¿cuáles son los puntos fuertes de la economía? ¿Cuáles son sus vulnerabilidades y cómo pueden corregirse?</w:t>
      </w:r>
    </w:p>
    <w:p>
      <w:pPr>
        <w:numPr>
          <w:ilvl w:val="0"/>
          <w:numId w:val="1130"/>
        </w:numPr>
      </w:pPr>
      <w:r>
        <w:t xml:space="preserve">Se contesta en 3 pasos:</w:t>
      </w:r>
      <w:r>
        <w:t xml:space="preserve"> </w:t>
      </w:r>
      <w:r>
        <w:rPr>
          <w:i/>
          <w:iCs/>
        </w:rPr>
        <w:t xml:space="preserve">qué va bien</w:t>
      </w:r>
      <w:r>
        <w:t xml:space="preserve"> </w:t>
      </w:r>
      <w:r>
        <w:t xml:space="preserve">(fortalezas),</w:t>
      </w:r>
      <w:r>
        <w:t xml:space="preserve"> </w:t>
      </w:r>
      <w:r>
        <w:rPr>
          <w:i/>
          <w:iCs/>
        </w:rPr>
        <w:t xml:space="preserve">qué hay que cambiar</w:t>
      </w:r>
      <w:r>
        <w:t xml:space="preserve"> </w:t>
      </w:r>
      <w:r>
        <w:t xml:space="preserve">(los 2 o 3 desequilibrios principales, ordenados por importancia) y</w:t>
      </w:r>
      <w:r>
        <w:t xml:space="preserve"> </w:t>
      </w:r>
      <w:r>
        <w:rPr>
          <w:i/>
          <w:iCs/>
        </w:rPr>
        <w:t xml:space="preserve">cómo</w:t>
      </w:r>
      <w:r>
        <w:t xml:space="preserve"> </w:t>
      </w:r>
      <w:r>
        <w:t xml:space="preserve">(medida, objetivo y riesgo).</w:t>
      </w:r>
    </w:p>
    <w:p>
      <w:pPr>
        <w:numPr>
          <w:ilvl w:val="0"/>
          <w:numId w:val="1130"/>
        </w:numPr>
      </w:pPr>
      <w:r>
        <w:t xml:space="preserve">Nunca tajante ni demasiado preciso: «parece necesaria una consolidación fiscal, pero sin que resulte excesiva para no lastrar la recuperación».</w:t>
      </w:r>
    </w:p>
    <w:p>
      <w:pPr>
        <w:pStyle w:val="Cajadeanotaciones"/>
        <w:keepLines/>
      </w:pPr>
      <w:r>
        <w:rPr>
          <w:b/>
          <w:bCs/>
        </w:rPr>
        <w:t xml:space="preserve">Ejemplo de redacción: plantilla de fortalezas y riesgos.</w:t>
      </w:r>
      <w:r>
        <w:t xml:space="preserve"> </w:t>
      </w:r>
      <w:r>
        <w:t xml:space="preserve">«A la luz de los datos, las principales fortalezas de la economía son: …; …. A su vez, los mayores riesgos que la amenazan son: …; …. Para corregirlos, parecen adecuadas a corto plazo (políticas de demanda, si hay margen) …, y a medio y largo plazo (de oferta) ….»</w:t>
      </w:r>
    </w:p>
    <w:p>
      <w:pPr>
        <w:pStyle w:val="Notaalopositor"/>
        <w:keepLines/>
      </w:pPr>
      <w:r>
        <w:rPr>
          <w:b/>
          <w:bCs/>
        </w:rPr>
        <w:t xml:space="preserve">Nota al opositor. </w:t>
      </w:r>
      <w:r>
        <w:t xml:space="preserve">La pregunta de desequilibrios y recomendaciones cayó en 12 de los 14 dictámenes y suele ser la última; desde 2023 a veces va dentro de cada pregunta («proponga medidas…»), y las reformas estructurales y de oferta se han pedido en 2023, 2024 y 2026 (en 2022, con un gráfico de calidad institucional)</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Se escribe al final, con la matriz de fortalezas y debilidades que se ha ido anotando durante el examen (anexo </w:t>
      </w:r>
      <w:hyperlink w:anchor="anexo_matriz">
        <w:r>
          <w:rPr>
            <w:rStyle w:val="Hyperlink"/>
          </w:rPr>
          <w:t xml:space="preserve">H.7</w:t>
        </w:r>
      </w:hyperlink>
      <w:r>
        <w:t xml:space="preserve">). Hay recomendaciones que valen para casi todos los países (estabilidad macroeconómica, reformas que eleven la productividad), pero las que puntúan son las que responden a los datos del cuadro.</w:t>
      </w:r>
    </w:p>
    <w:bookmarkEnd w:id="197"/>
    <w:bookmarkStart w:id="199" w:name="sec_por_desequilibrio"/>
    <w:p>
      <w:pPr>
        <w:pStyle w:val="Heading2"/>
      </w:pPr>
      <w:r>
        <w:t xml:space="preserve">VI.2.</w:t>
      </w:r>
      <w:r>
        <w:t xml:space="preserve"> </w:t>
      </w:r>
      <w:r>
        <w:t xml:space="preserve">Recomendaciones por desequilibrio</w:t>
      </w:r>
    </w:p>
    <w:bookmarkStart w:id="198" w:name="tab_recomendaciones"/>
    <w:p>
      <w:pPr>
        <w:pStyle w:val="TableCaption"/>
      </w:pPr>
      <w:r>
        <w:t xml:space="preserve">Tabla 3.–</w:t>
      </w:r>
      <w:r>
        <w:t xml:space="preserve"> </w:t>
      </w:r>
      <w:r>
        <w:t xml:space="preserve">Desequilibrios típicos, indicios y recomendaciones</w:t>
      </w:r>
    </w:p>
    <w:tbl>
      <w:tblPr>
        <w:tblStyle w:val="Table"/>
        <w:tblW w:type="auto" w:w="0"/>
        <w:tblLook w:firstRow="1" w:lastRow="0" w:firstColumn="0" w:lastColumn="0" w:noHBand="0" w:noVBand="0" w:val="0020"/>
        <w:tblCaption w:val="Tabla 3.– Desequilibrios típicos, indicios y recomendaciones"/>
      </w:tblPr>
      <w:tblGrid>
        <w:gridCol w:w="2640"/>
        <w:gridCol w:w="2640"/>
        <w:gridCol w:w="2640"/>
      </w:tblGrid>
      <w:tr>
        <w:trPr>
          <w:cantSplit/>
          <w:tblHeader w:val="on"/>
        </w:trPr>
        <w:tc>
          <w:tcPr>
            <w:shd w:val="clear" w:color="auto" w:fill="DDEBF7"/>
          </w:tcPr>
          <w:tcPr/>
          <w:p>
            <w:pPr>
              <w:pStyle w:val="Celdatceeazulpalido"/>
              <w:keepNext/>
              <w:jc w:val="left"/>
            </w:pPr>
            <w:r>
              <w:t xml:space="preserve"> </w:t>
            </w:r>
            <w:r>
              <w:rPr>
                <w:b/>
                <w:bCs/>
              </w:rPr>
              <w:t xml:space="preserve">Desequilibrio</w:t>
            </w:r>
          </w:p>
        </w:tc>
        <w:tc>
          <w:tcPr>
            <w:shd w:val="clear" w:color="auto" w:fill="DDEBF7"/>
          </w:tcPr>
          <w:tcPr/>
          <w:p>
            <w:pPr>
              <w:pStyle w:val="Celdatceeazulpalido"/>
              <w:keepNext/>
              <w:jc w:val="left"/>
            </w:pPr>
            <w:r>
              <w:rPr>
                <w:b/>
                <w:bCs/>
              </w:rPr>
              <w:t xml:space="preserve">Indicios en el cuadro</w:t>
            </w:r>
          </w:p>
        </w:tc>
        <w:tc>
          <w:tcPr>
            <w:shd w:val="clear" w:color="auto" w:fill="DDEBF7"/>
          </w:tcPr>
          <w:tcPr/>
          <w:p>
            <w:pPr>
              <w:pStyle w:val="Celdatceeazulpalido"/>
              <w:keepNext/>
              <w:jc w:val="left"/>
            </w:pPr>
            <w:r>
              <w:rPr>
                <w:b/>
                <w:bCs/>
              </w:rPr>
              <w:t xml:space="preserve">Recomendaciones tipo</w:t>
            </w:r>
          </w:p>
        </w:tc>
      </w:tr>
      <w:tr>
        <w:trPr>
          <w:cantSplit/>
        </w:trPr>
        <w:tc>
          <w:tcPr/>
          <w:p>
            <w:pPr>
              <w:pStyle w:val="Compact"/>
              <w:jc w:val="left"/>
            </w:pPr>
            <w:r>
              <w:t xml:space="preserve">Crecimiento débil o recesión</w:t>
            </w:r>
          </w:p>
        </w:tc>
        <w:tc>
          <w:tcPr/>
          <w:p>
            <w:pPr>
              <w:pStyle w:val="Compact"/>
              <w:jc w:val="left"/>
            </w:pPr>
            <m:oMath>
              <m:sSub>
                <m:e>
                  <m:r>
                    <m:t>γ</m:t>
                  </m:r>
                </m:e>
                <m:sub>
                  <m:r>
                    <m:t>Y</m:t>
                  </m:r>
                </m:sub>
              </m:sSub>
            </m:oMath>
            <w:r>
              <w:t xml:space="preserve"> </w:t>
            </w:r>
            <w:r>
              <w:t xml:space="preserve">bajo o negativo; brecha negativa</w:t>
            </w:r>
          </w:p>
        </w:tc>
        <w:tc>
          <w:tcPr/>
          <w:p>
            <w:pPr>
              <w:pStyle w:val="Compact"/>
              <w:jc w:val="left"/>
            </w:pPr>
            <w:r>
              <w:t xml:space="preserve">Políticas monetaria y fiscal expansivas a corto plazo si hay margen (inflación baja, deuda sostenible), mientras surten efecto las reformas de oferta</w:t>
            </w:r>
          </w:p>
        </w:tc>
      </w:tr>
      <w:tr>
        <w:trPr>
          <w:cantSplit/>
        </w:trPr>
        <w:tc>
          <w:tcPr/>
          <w:p>
            <w:pPr>
              <w:pStyle w:val="Compact"/>
              <w:jc w:val="left"/>
            </w:pPr>
            <w:r>
              <w:t xml:space="preserve">Crecimiento potencial bajo</w:t>
            </w:r>
          </w:p>
        </w:tc>
        <w:tc>
          <w:tcPr/>
          <w:p>
            <w:pPr>
              <w:pStyle w:val="Compact"/>
              <w:jc w:val="left"/>
            </w:pPr>
            <m:oMath>
              <m:sSub>
                <m:e>
                  <m:r>
                    <m:t>γ</m:t>
                  </m:r>
                </m:e>
                <m:sub>
                  <m:sSup>
                    <m:e>
                      <m:r>
                        <m:t>Y</m:t>
                      </m:r>
                    </m:e>
                    <m:sup>
                      <m:r>
                        <m:t>p</m:t>
                      </m:r>
                    </m:sup>
                  </m:sSup>
                </m:sub>
              </m:sSub>
            </m:oMath>
            <w:r>
              <w:t xml:space="preserve"> </w:t>
            </w:r>
            <w:r>
              <w:t xml:space="preserve">bajo; PAT estancada; NAIRU alta; déficit corriente persistente</w:t>
            </w:r>
          </w:p>
        </w:tc>
        <w:tc>
          <w:tcPr/>
          <w:p>
            <w:pPr>
              <w:pStyle w:val="Compact"/>
              <w:jc w:val="left"/>
            </w:pPr>
            <w:r>
              <w:t xml:space="preserve">Reformas estructurales: capital humano, I+D, infraestructuras, competencia; menor coste de los insumos (reforma del sistema financiero, contra la información asimétrica en el crédito, y del mercado de trabajo); efectos a largo plazo: plantear el</w:t>
            </w:r>
            <w:r>
              <w:t xml:space="preserve"> </w:t>
            </w:r>
            <w:r>
              <w:rPr>
                <w:i/>
                <w:iCs/>
              </w:rPr>
              <w:t xml:space="preserve">policy mix</w:t>
            </w:r>
          </w:p>
        </w:tc>
      </w:tr>
      <w:tr>
        <w:trPr>
          <w:cantSplit/>
        </w:trPr>
        <w:tc>
          <w:tcPr/>
          <w:p>
            <w:pPr>
              <w:pStyle w:val="Compact"/>
              <w:jc w:val="left"/>
            </w:pPr>
            <w:r>
              <w:t xml:space="preserve">Demanda interna débil</w:t>
            </w:r>
          </w:p>
        </w:tc>
        <w:tc>
          <w:tcPr/>
          <w:p>
            <w:pPr>
              <w:pStyle w:val="Compact"/>
              <w:jc w:val="left"/>
            </w:pPr>
            <w:r>
              <w:t xml:space="preserve">consumo e inversión estancados; ahorro alto</w:t>
            </w:r>
          </w:p>
        </w:tc>
        <w:tc>
          <w:tcPr/>
          <w:p>
            <w:pPr>
              <w:pStyle w:val="Compact"/>
              <w:jc w:val="left"/>
            </w:pPr>
            <w:r>
              <w:t xml:space="preserve">Apoyo a la renta de los hogares con más propensión a consumir; crédito; certidumbre fiscal; si sobra ahorro empresarial, incentivos a invertir o a repartir dividendos</w:t>
            </w:r>
          </w:p>
        </w:tc>
      </w:tr>
      <w:tr>
        <w:trPr>
          <w:cantSplit/>
        </w:trPr>
        <w:tc>
          <w:tcPr/>
          <w:p>
            <w:pPr>
              <w:pStyle w:val="Compact"/>
              <w:jc w:val="left"/>
            </w:pPr>
            <w:r>
              <w:t xml:space="preserve">Inflación y sobrecalentamiento</w:t>
            </w:r>
          </w:p>
        </w:tc>
        <w:tc>
          <w:tcPr/>
          <w:p>
            <w:pPr>
              <w:pStyle w:val="Compact"/>
              <w:jc w:val="left"/>
            </w:pPr>
            <w:r>
              <w:t xml:space="preserve">brecha positiva; subyacente al alza; salarios y crédito acelerados; caída brusca de existencias; salto de las importaciones</w:t>
            </w:r>
          </w:p>
        </w:tc>
        <w:tc>
          <w:tcPr/>
          <w:p>
            <w:pPr>
              <w:pStyle w:val="Compact"/>
              <w:jc w:val="left"/>
            </w:pPr>
            <w:r>
              <w:t xml:space="preserve">Política monetaria contractiva con un banco central independiente y sin monetizar el déficit; política fiscal que no empuje (ayudas temporales, focalizadas y que mantengan el incentivo a ahorrar energía); competencia y apertura comercial; diversificación energética; dejar apreciar la moneda si hay entradas de capital (control temporal y excepcional)</w:t>
            </w:r>
          </w:p>
        </w:tc>
      </w:tr>
      <w:tr>
        <w:trPr>
          <w:cantSplit/>
        </w:trPr>
        <w:tc>
          <w:tcPr/>
          <w:p>
            <w:pPr>
              <w:pStyle w:val="Compact"/>
              <w:jc w:val="left"/>
            </w:pPr>
            <w:r>
              <w:t xml:space="preserve">Paro alto y persistente</w:t>
            </w:r>
          </w:p>
        </w:tc>
        <w:tc>
          <w:tcPr/>
          <w:p>
            <w:pPr>
              <w:pStyle w:val="Compact"/>
              <w:jc w:val="left"/>
            </w:pPr>
            <w:r>
              <w:t xml:space="preserve">paro muy por encima de la NAIRU; larga duración; Beveridge desplazada</w:t>
            </w:r>
          </w:p>
        </w:tc>
        <w:tc>
          <w:tcPr/>
          <w:p>
            <w:pPr>
              <w:pStyle w:val="Compact"/>
              <w:jc w:val="left"/>
            </w:pPr>
            <w:r>
              <w:t xml:space="preserve">Según el tipo de paro (lista anterior)</w:t>
            </w:r>
          </w:p>
        </w:tc>
      </w:tr>
      <w:tr>
        <w:trPr>
          <w:cantSplit/>
        </w:trPr>
        <w:tc>
          <w:tcPr/>
          <w:p>
            <w:pPr>
              <w:pStyle w:val="Compact"/>
              <w:jc w:val="left"/>
            </w:pPr>
            <w:r>
              <w:t xml:space="preserve">Pérdida de competitividad</w:t>
            </w:r>
          </w:p>
        </w:tc>
        <w:tc>
          <w:tcPr/>
          <w:p>
            <w:pPr>
              <w:pStyle w:val="Compact"/>
              <w:jc w:val="left"/>
            </w:pPr>
            <w:r>
              <w:t xml:space="preserve">CLU y tipo de cambio real al alza; cuota de exportación a la baja</w:t>
            </w:r>
          </w:p>
        </w:tc>
        <w:tc>
          <w:tcPr/>
          <w:p>
            <w:pPr>
              <w:pStyle w:val="Compact"/>
              <w:jc w:val="left"/>
            </w:pPr>
            <w:r>
              <w:t xml:space="preserve">Salarios ligados a la productividad; competencia en bienes y factores; I+D; promoción comercial (red de oficinas, agencia de exportación)</w:t>
            </w:r>
          </w:p>
        </w:tc>
      </w:tr>
      <w:tr>
        <w:trPr>
          <w:cantSplit/>
        </w:trPr>
        <w:tc>
          <w:tcPr/>
          <w:p>
            <w:pPr>
              <w:pStyle w:val="Compact"/>
              <w:jc w:val="left"/>
            </w:pPr>
            <w:r>
              <w:t xml:space="preserve">Déficit exterior y deuda externa</w:t>
            </w:r>
          </w:p>
        </w:tc>
        <w:tc>
          <w:tcPr/>
          <w:p>
            <w:pPr>
              <w:pStyle w:val="Compact"/>
              <w:jc w:val="left"/>
            </w:pPr>
            <w:r>
              <w:t xml:space="preserve">CC muy negativa; PIIN bajo</w:t>
            </w:r>
            <w:r>
              <w:t xml:space="preserve"> </w:t>
            </w:r>
            <m:oMath>
              <m:r>
                <m:rPr>
                  <m:sty m:val="p"/>
                </m:rPr>
                <m:t>−</m:t>
              </m:r>
              <m:r>
                <m:t>35</m:t>
              </m:r>
            </m:oMath>
            <w:r>
              <w:t xml:space="preserve"> %; deuda a corto</w:t>
            </w:r>
          </w:p>
        </w:tc>
        <w:tc>
          <w:tcPr/>
          <w:p>
            <w:pPr>
              <w:pStyle w:val="Compact"/>
              <w:jc w:val="left"/>
            </w:pPr>
            <w:r>
              <w:t xml:space="preserve">Más ahorro nacional (consolidación fiscal); competitividad; financiarse con inversión directa antes que con deuda (incentivos fiscales a la inversión y a la inversión extranjera); reservas suficientes; flexibilizar un tipo fijo sobrevalorado</w:t>
            </w:r>
          </w:p>
        </w:tc>
      </w:tr>
      <w:tr>
        <w:trPr>
          <w:cantSplit/>
        </w:trPr>
        <w:tc>
          <w:tcPr/>
          <w:p>
            <w:pPr>
              <w:pStyle w:val="Compact"/>
              <w:jc w:val="left"/>
            </w:pPr>
            <w:r>
              <w:t xml:space="preserve">Déficit y deuda públicos</w:t>
            </w:r>
          </w:p>
        </w:tc>
        <w:tc>
          <w:tcPr/>
          <w:p>
            <w:pPr>
              <w:pStyle w:val="Compact"/>
              <w:jc w:val="left"/>
            </w:pPr>
            <m:oMath>
              <m:r>
                <m:t>b</m:t>
              </m:r>
            </m:oMath>
            <w:r>
              <w:t xml:space="preserve"> </w:t>
            </w:r>
            <w:r>
              <w:t xml:space="preserve">muy negativo;</w:t>
            </w:r>
            <w:r>
              <w:t xml:space="preserve"> </w:t>
            </w:r>
            <m:oMath>
              <m:r>
                <m:t>d</m:t>
              </m:r>
            </m:oMath>
            <w:r>
              <w:t xml:space="preserve"> </w:t>
            </w:r>
            <w:r>
              <w:t xml:space="preserve">creciente;</w:t>
            </w:r>
            <w:r>
              <w:t xml:space="preserve"> </w:t>
            </w:r>
            <m:oMath>
              <m:r>
                <m:t>i</m:t>
              </m:r>
              <m:r>
                <m:rPr>
                  <m:sty m:val="p"/>
                </m:rPr>
                <m:t>&gt;</m:t>
              </m:r>
              <m:sSup>
                <m:e>
                  <m:r>
                    <m:t>γ</m:t>
                  </m:r>
                </m:e>
                <m:sup>
                  <m:r>
                    <m:t>N</m:t>
                  </m:r>
                </m:sup>
              </m:sSup>
            </m:oMath>
          </w:p>
        </w:tc>
        <w:tc>
          <w:tcPr/>
          <w:p>
            <w:pPr>
              <w:pStyle w:val="Compact"/>
              <w:jc w:val="left"/>
            </w:pPr>
            <w:r>
              <w:t xml:space="preserve">Consolidación gradual, creíble y anunciada pronto; reglas fiscales (incluso de rango constitucional) y techo de gasto; corresponsabilidad fiscal en los Estados descentralizados (que quien gasta responda de los ingresos); lucha contra el fraude; quitar gasto ineficaz (subvenciones a los combustibles); reformas de pensiones y sanidad; alargar la vida media de la deuda</w:t>
            </w:r>
          </w:p>
        </w:tc>
      </w:tr>
      <w:tr>
        <w:trPr>
          <w:cantSplit/>
        </w:trPr>
        <w:tc>
          <w:tcPr/>
          <w:p>
            <w:pPr>
              <w:pStyle w:val="Compact"/>
              <w:jc w:val="left"/>
            </w:pPr>
            <w:r>
              <w:t xml:space="preserve">Fragilidad financiera</w:t>
            </w:r>
          </w:p>
        </w:tc>
        <w:tc>
          <w:tcPr/>
          <w:p>
            <w:pPr>
              <w:pStyle w:val="Compact"/>
              <w:jc w:val="left"/>
            </w:pPr>
            <w:r>
              <w:t xml:space="preserve">morosidad alta; capital justo; ROE bajo el coste del capital; crédito excesivo; prima de riesgo alta</w:t>
            </w:r>
          </w:p>
        </w:tc>
        <w:tc>
          <w:tcPr/>
          <w:p>
            <w:pPr>
              <w:pStyle w:val="Compact"/>
              <w:jc w:val="left"/>
            </w:pPr>
            <w:r>
              <w:t xml:space="preserve">Saneamiento y recapitalización; requisitos de capital y de liquidez; medidas macroprudenciales; supervisión; resolución ordenada de entidades inviables; más profundidad del mercado de capitales (más productos, innovación financiera supervisada) y educación financiera</w:t>
            </w:r>
          </w:p>
        </w:tc>
      </w:tr>
      <w:tr>
        <w:trPr>
          <w:cantSplit/>
        </w:trPr>
        <w:tc>
          <w:tcPr/>
          <w:p>
            <w:pPr>
              <w:pStyle w:val="Compact"/>
              <w:jc w:val="left"/>
            </w:pPr>
            <w:r>
              <w:t xml:space="preserve">Dependencia de un sector</w:t>
            </w:r>
          </w:p>
        </w:tc>
        <w:tc>
          <w:tcPr/>
          <w:p>
            <w:pPr>
              <w:pStyle w:val="Compact"/>
              <w:jc w:val="left"/>
            </w:pPr>
            <w:r>
              <w:t xml:space="preserve">mucho peso en el VAB, las exportaciones o los ingresos públicos</w:t>
            </w:r>
          </w:p>
        </w:tc>
        <w:tc>
          <w:tcPr/>
          <w:p>
            <w:pPr>
              <w:pStyle w:val="Compact"/>
              <w:jc w:val="left"/>
            </w:pPr>
            <w:r>
              <w:t xml:space="preserve">Diversificación productiva; fondo de estabilización o regla fiscal estructural; formación para reasignar el empleo</w:t>
            </w:r>
          </w:p>
        </w:tc>
      </w:tr>
      <w:tr>
        <w:trPr>
          <w:cantSplit/>
        </w:trPr>
        <w:tc>
          <w:tcPr/>
          <w:p>
            <w:pPr>
              <w:pStyle w:val="Compact"/>
              <w:jc w:val="left"/>
            </w:pPr>
            <w:r>
              <w:t xml:space="preserve">Envejecimiento</w:t>
            </w:r>
          </w:p>
        </w:tc>
        <w:tc>
          <w:tcPr/>
          <w:p>
            <w:pPr>
              <w:pStyle w:val="Compact"/>
              <w:jc w:val="left"/>
            </w:pPr>
            <w:r>
              <w:t xml:space="preserve">dependencia creciente; activos a la baja</w:t>
            </w:r>
          </w:p>
        </w:tc>
        <w:tc>
          <w:tcPr/>
          <w:p>
            <w:pPr>
              <w:pStyle w:val="Compact"/>
              <w:jc w:val="left"/>
            </w:pPr>
            <w:r>
              <w:t xml:space="preserve">Más actividad de mujeres y mayores, inmigración, productividad, reforma de pensiones</w:t>
            </w:r>
          </w:p>
        </w:tc>
      </w:tr>
    </w:tbl>
    <w:bookmarkEnd w:id="198"/>
    <w:p>
      <w:pPr>
        <w:pStyle w:val="BodyText"/>
        <w:keepNext/>
      </w:pPr>
      <w:r>
        <w:rPr>
          <w:i/>
          <w:iCs/>
        </w:rPr>
        <w:t xml:space="preserve">Fuente: Elaboración propia a partir de la guía anterior y de las fichas de</w:t>
      </w:r>
      <w:r>
        <w:rPr>
          <w:i/>
          <w:iCs/>
        </w:rPr>
        <w:t xml:space="preserve"> </w:t>
      </w:r>
      <w:r>
        <w:rPr>
          <w:i/>
          <w:i/>
          <w:iCs/>
          <w:iCs/>
        </w:rPr>
        <w:t xml:space="preserve">Claves para preparar el dictamen</w:t>
      </w:r>
      <w:r>
        <w:rPr>
          <w:i/>
          <w:iCs/>
        </w:rPr>
        <w:t xml:space="preserve">.</w:t>
      </w:r>
    </w:p>
    <w:p>
      <w:pPr>
        <w:numPr>
          <w:ilvl w:val="0"/>
          <w:numId w:val="1131"/>
        </w:numPr>
      </w:pPr>
      <w:r>
        <w:t xml:space="preserve">La tabla </w:t>
      </w:r>
      <w:hyperlink w:anchor="tab_recomendaciones">
        <w:r>
          <w:rPr>
            <w:rStyle w:val="Hyperlink"/>
          </w:rPr>
          <w:t xml:space="preserve">3</w:t>
        </w:r>
      </w:hyperlink>
      <w:r>
        <w:t xml:space="preserve"> </w:t>
      </w:r>
      <w:r>
        <w:t xml:space="preserve">da la recomendación tipo para cada desequilibrio; algunos piden más detalle.</w:t>
      </w:r>
    </w:p>
    <w:p>
      <w:pPr>
        <w:numPr>
          <w:ilvl w:val="0"/>
          <w:numId w:val="1132"/>
        </w:numPr>
      </w:pPr>
      <w:r>
        <w:rPr>
          <w:i/>
          <w:iCs/>
        </w:rPr>
        <w:t xml:space="preserve">Mercado de trabajo deficiente</w:t>
      </w:r>
      <w:r>
        <w:t xml:space="preserve">: primero, diagnosticar qué tipo de paro hay; la receta para cada uno está en las políticas de oferta (apartado </w:t>
      </w:r>
      <w:hyperlink w:anchor="sec_politicas_oferta">
        <w:r>
          <w:rPr>
            <w:rStyle w:val="Hyperlink"/>
          </w:rPr>
          <w:t xml:space="preserve">V.5</w:t>
        </w:r>
      </w:hyperlink>
      <w:r>
        <w:t xml:space="preserve">).</w:t>
      </w:r>
    </w:p>
    <w:p>
      <w:pPr>
        <w:numPr>
          <w:ilvl w:val="0"/>
          <w:numId w:val="1132"/>
        </w:numPr>
      </w:pPr>
      <w:r>
        <w:rPr>
          <w:i/>
          <w:iCs/>
        </w:rPr>
        <w:t xml:space="preserve">Inflación y sobrecalentamiento</w:t>
      </w:r>
      <w:r>
        <w:t xml:space="preserve">: además de lo que dice la tabla, las ayudas fiscales contra la inflación deberían ser temporales, focalizadas en los hogares y empresas más vulnerables y mantener el incentivo a ahorrar energía: si no, agudizan las presiones inflacionistas, obligan a una respuesta monetaria más dura y lastran las cuentas públicas.</w:t>
      </w:r>
    </w:p>
    <w:p>
      <w:pPr>
        <w:numPr>
          <w:ilvl w:val="0"/>
          <w:numId w:val="1132"/>
        </w:numPr>
      </w:pPr>
      <w:r>
        <w:rPr>
          <w:i/>
          <w:iCs/>
        </w:rPr>
        <w:t xml:space="preserve">Rigidez o fragilidad del sistema financiero</w:t>
      </w:r>
      <w:r>
        <w:t xml:space="preserve">: el objetivo es un sistema que canalice de verdad el ahorro hacia la inversión, con una gran variedad de activos que se ajusten a las preferencias de los inversores, muchas operaciones que le den liquidez y una supervisión completa que proteja a ahorradores e inversores (apartado </w:t>
      </w:r>
      <w:hyperlink w:anchor="sec_estabilidad">
        <w:r>
          <w:rPr>
            <w:rStyle w:val="Hyperlink"/>
          </w:rPr>
          <w:t xml:space="preserve">V.2</w:t>
        </w:r>
      </w:hyperlink>
      <w:r>
        <w:t xml:space="preserve">).</w:t>
      </w:r>
    </w:p>
    <w:p>
      <w:pPr>
        <w:numPr>
          <w:ilvl w:val="0"/>
          <w:numId w:val="1132"/>
        </w:numPr>
      </w:pPr>
      <w:r>
        <w:rPr>
          <w:i/>
          <w:iCs/>
        </w:rPr>
        <w:t xml:space="preserve">Presiones de gasto a medio plazo</w:t>
      </w:r>
      <w:r>
        <w:t xml:space="preserve">: el envejecimiento (pensiones, sanidad y cuidados), la transición energética y digital y, desde 2025, la defensa piden reducir poco a poco las ratios de deuda altas y proteger la inversión pública</w:t>
      </w:r>
      <w:r>
        <w:t xml:space="preserve"> </w:t>
      </w:r>
      <w:r>
        <w:t xml:space="preserve">(</w:t>
      </w:r>
      <w:hyperlink w:anchor="ref_CE2024Envejecimiento">
        <w:r>
          <w:rPr>
            <w:rStyle w:val="Hyperlink"/>
            <w:smallCaps/>
          </w:rPr>
          <w:t xml:space="preserve">Comisión Europea</w:t>
        </w:r>
        <w:r>
          <w:rPr>
            <w:rStyle w:val="Hyperlink"/>
          </w:rPr>
          <w:t xml:space="preserve">, 2024</w:t>
        </w:r>
      </w:hyperlink>
      <w:r>
        <w:t xml:space="preserve">)</w:t>
      </w:r>
      <w:r>
        <w:t xml:space="preserve">. El FMI, por ejemplo, recomendaba a España en 2026 un ajuste de unos 0,5 puntos del PIB al año entre 2026 y 2030</w:t>
      </w:r>
      <w:r>
        <w:t xml:space="preserve"> </w:t>
      </w:r>
      <w:r>
        <w:t xml:space="preserve">(</w:t>
      </w:r>
      <w:hyperlink w:anchor="ref_FMI2026ArticuloIV">
        <w:r>
          <w:rPr>
            <w:rStyle w:val="Hyperlink"/>
            <w:smallCaps/>
          </w:rPr>
          <w:t xml:space="preserve">Fondo Monetario Internacional</w:t>
        </w:r>
        <w:r>
          <w:rPr>
            <w:rStyle w:val="Hyperlink"/>
          </w:rPr>
          <w:t xml:space="preserve">, 2026c</w:t>
        </w:r>
      </w:hyperlink>
      <w:r>
        <w:t xml:space="preserve">)</w:t>
      </w:r>
      <w:r>
        <w:t xml:space="preserve">.</w:t>
      </w:r>
    </w:p>
    <w:p>
      <w:pPr>
        <w:numPr>
          <w:ilvl w:val="0"/>
          <w:numId w:val="1132"/>
        </w:numPr>
      </w:pPr>
      <w:r>
        <w:rPr>
          <w:i/>
          <w:iCs/>
        </w:rPr>
        <w:t xml:space="preserve">Un programa del FMI</w:t>
      </w:r>
      <w:r>
        <w:t xml:space="preserve">: si el país lo tiene, hay que ver si el cuadro refleja sus efectos típicos (anexo </w:t>
      </w:r>
      <w:hyperlink w:anchor="anexo_fmi">
        <w:r>
          <w:rPr>
            <w:rStyle w:val="Hyperlink"/>
          </w:rPr>
          <w:t xml:space="preserve">F</w:t>
        </w:r>
      </w:hyperlink>
      <w:r>
        <w:t xml:space="preserve">).</w:t>
      </w:r>
    </w:p>
    <w:p>
      <w:pPr>
        <w:numPr>
          <w:ilvl w:val="0"/>
          <w:numId w:val="1132"/>
        </w:numPr>
      </w:pPr>
      <w:r>
        <w:rPr>
          <w:i/>
          <w:iCs/>
        </w:rPr>
        <w:t xml:space="preserve">Riesgos de suministro</w:t>
      </w:r>
      <w:r>
        <w:t xml:space="preserve">: ante la fragmentación de las cadenas globales de valor, una</w:t>
      </w:r>
      <w:r>
        <w:t xml:space="preserve"> </w:t>
      </w:r>
      <w:r>
        <w:rPr>
          <w:i/>
          <w:iCs/>
        </w:rPr>
        <w:t xml:space="preserve">autonomía estratégica abierta</w:t>
      </w:r>
      <w:r>
        <w:t xml:space="preserve">: seguir con la apertura y el multilateralismo, pero mitigar los riesgos de abastecimiento (energía, metales, componentes, equipos sanitarios) no solo con más producción interior, sino diversificando los suministros críticos, construyendo reservas estratégicas y eligiendo socios más próximos.</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199"/>
    <w:bookmarkEnd w:id="200"/>
    <w:bookmarkStart w:id="213" w:name="anexo_series"/>
    <w:p>
      <w:pPr>
        <w:pStyle w:val="Heading1"/>
      </w:pPr>
      <w:r>
        <w:t xml:space="preserve">A. Hechos estilizados del ciclo económico y lectura de series</w:t>
      </w:r>
    </w:p>
    <w:bookmarkStart w:id="201" w:name="los_datos"/>
    <w:p>
      <w:pPr>
        <w:pStyle w:val="Heading4"/>
      </w:pPr>
      <w:r>
        <w:t xml:space="preserve">Los datos</w:t>
      </w:r>
    </w:p>
    <w:p>
      <w:pPr>
        <w:keepNext/>
        <w:numPr>
          <w:ilvl w:val="0"/>
          <w:numId w:val="1133"/>
        </w:numPr>
      </w:pPr>
      <w:r>
        <w:t xml:space="preserve">Antes de analizar, conviene entender las características básicas de los datos del país. Según su dimensión temporal, hay 3 tipos:</w:t>
      </w:r>
    </w:p>
    <w:p>
      <w:pPr>
        <w:numPr>
          <w:ilvl w:val="1"/>
          <w:numId w:val="1134"/>
        </w:numPr>
      </w:pPr>
      <w:r>
        <w:rPr>
          <w:i/>
          <w:iCs/>
        </w:rPr>
        <w:t xml:space="preserve">series de sección cruzada</w:t>
      </w:r>
      <w:r>
        <w:t xml:space="preserve">: el comportamiento de distintos agentes en un mismo momento; se analizan comparando las diferencias entre ellos;</w:t>
      </w:r>
    </w:p>
    <w:p>
      <w:pPr>
        <w:numPr>
          <w:ilvl w:val="1"/>
          <w:numId w:val="1134"/>
        </w:numPr>
      </w:pPr>
      <w:r>
        <w:rPr>
          <w:i/>
          <w:iCs/>
        </w:rPr>
        <w:t xml:space="preserve">series temporales</w:t>
      </w:r>
      <w:r>
        <w:t xml:space="preserve">: una misma unidad (un país) observada en distintos momentos;</w:t>
      </w:r>
    </w:p>
    <w:p>
      <w:pPr>
        <w:numPr>
          <w:ilvl w:val="1"/>
          <w:numId w:val="1134"/>
        </w:numPr>
      </w:pPr>
      <w:r>
        <w:rPr>
          <w:i/>
          <w:iCs/>
        </w:rPr>
        <w:t xml:space="preserve">datos de panel</w:t>
      </w:r>
      <w:r>
        <w:t xml:space="preserve">: combinan las 2 dimensiones (varios agentes a lo largo de varios periodos), lo que aporta información que no da un único corte.</w:t>
      </w:r>
    </w:p>
    <w:p>
      <w:pPr>
        <w:numPr>
          <w:ilvl w:val="0"/>
          <w:numId w:val="1000"/>
        </w:numPr>
      </w:pPr>
      <w:r>
        <w:t xml:space="preserve">El dictamen trabaja con series temporales.</w:t>
      </w:r>
    </w:p>
    <w:p>
      <w:pPr>
        <w:keepNext/>
        <w:numPr>
          <w:ilvl w:val="0"/>
          <w:numId w:val="1133"/>
        </w:numPr>
      </w:pPr>
      <w:r>
        <w:rPr>
          <w:i/>
          <w:iCs/>
        </w:rPr>
        <w:t xml:space="preserve">Cómo se tratan</w:t>
      </w:r>
      <w:r>
        <w:t xml:space="preserve">: las series macroeconómicas crecen o decrecen de forma más o menos continua, vienen en unidades que no siempre permiten compararlas, están afectadas por la inflación y, si son a precios constantes, no siempre tienen el mismo año base. Por eso hay que estudiar su evolución (cuándo se acelera, se frena o cambia de signo), homogeneizar o quitar las unidades, eliminar el efecto de la inflación y llevarlas a una misma base. Los instrumentos:</w:t>
      </w:r>
    </w:p>
    <w:p>
      <w:pPr>
        <w:numPr>
          <w:ilvl w:val="1"/>
          <w:numId w:val="1135"/>
        </w:numPr>
      </w:pPr>
      <w:r>
        <w:rPr>
          <w:i/>
          <w:iCs/>
        </w:rPr>
        <w:t xml:space="preserve">proporciones</w:t>
      </w:r>
      <w:r>
        <w:t xml:space="preserve">: un sumando dividido por el total (entre 0 y 1; todas suman 1);</w:t>
      </w:r>
    </w:p>
    <w:p>
      <w:pPr>
        <w:numPr>
          <w:ilvl w:val="1"/>
          <w:numId w:val="1135"/>
        </w:numPr>
      </w:pPr>
      <w:r>
        <w:rPr>
          <w:i/>
          <w:iCs/>
        </w:rPr>
        <w:t xml:space="preserve">porcentajes</w:t>
      </w:r>
      <w:r>
        <w:t xml:space="preserve">: la proporción por 100; ni proporciones ni porcentajes tienen unidades, y permiten comparar totales medidos en unidades distintas;</w:t>
      </w:r>
    </w:p>
    <w:p>
      <w:pPr>
        <w:numPr>
          <w:ilvl w:val="1"/>
          <w:numId w:val="1135"/>
        </w:numPr>
      </w:pPr>
      <w:r>
        <w:rPr>
          <w:i/>
          <w:iCs/>
        </w:rPr>
        <w:t xml:space="preserve">índices</w:t>
      </w:r>
      <w:r>
        <w:t xml:space="preserve">: comparan con un periodo base, dentro de una serie o entre series; simples, con cambio de base o encadenados (anexo </w:t>
      </w:r>
      <w:hyperlink w:anchor="anexo_calc_precios">
        <w:r>
          <w:rPr>
            <w:rStyle w:val="Hyperlink"/>
          </w:rPr>
          <w:t xml:space="preserve">C.3</w:t>
        </w:r>
      </w:hyperlink>
      <w:r>
        <w:t xml:space="preserve">);</w:t>
      </w:r>
    </w:p>
    <w:p>
      <w:pPr>
        <w:numPr>
          <w:ilvl w:val="1"/>
          <w:numId w:val="1135"/>
        </w:numPr>
      </w:pPr>
      <w:r>
        <w:rPr>
          <w:i/>
          <w:iCs/>
        </w:rPr>
        <w:t xml:space="preserve">tasas</w:t>
      </w:r>
      <w:r>
        <w:t xml:space="preserve">: los porcentajes e índices referidos a incrementos (la tasa de variación).</w:t>
      </w:r>
    </w:p>
    <w:bookmarkEnd w:id="201"/>
    <w:bookmarkStart w:id="212" w:name="conceptos"/>
    <w:p>
      <w:pPr>
        <w:pStyle w:val="Heading4"/>
      </w:pPr>
      <w:r>
        <w:t xml:space="preserve">Conceptos</w:t>
      </w:r>
    </w:p>
    <w:p>
      <w:pPr>
        <w:numPr>
          <w:ilvl w:val="0"/>
          <w:numId w:val="1136"/>
        </w:numPr>
      </w:pPr>
      <w:r>
        <w:rPr>
          <w:i/>
          <w:iCs/>
        </w:rPr>
        <w:t xml:space="preserve">Tendencia</w:t>
      </w:r>
      <w:r>
        <w:t xml:space="preserve">: el movimiento persistente a largo plazo de una serie. Hay variables sin tendencia y con ella; la tendencia es</w:t>
      </w:r>
      <w:r>
        <w:t xml:space="preserve"> </w:t>
      </w:r>
      <w:r>
        <w:rPr>
          <w:i/>
          <w:iCs/>
        </w:rPr>
        <w:t xml:space="preserve">lineal</w:t>
      </w:r>
      <w:r>
        <w:t xml:space="preserve"> </w:t>
      </w:r>
      <w:r>
        <w:t xml:space="preserve">si la variable crece en la misma cantidad cada periodo, y</w:t>
      </w:r>
      <w:r>
        <w:t xml:space="preserve"> </w:t>
      </w:r>
      <w:r>
        <w:rPr>
          <w:i/>
          <w:iCs/>
        </w:rPr>
        <w:t xml:space="preserve">loglineal</w:t>
      </w:r>
      <w:r>
        <w:t xml:space="preserve"> </w:t>
      </w:r>
      <w:r>
        <w:t xml:space="preserve">si es su logaritmo el que sigue una línea recta (crece a una tasa constante). Además, la tendencia es</w:t>
      </w:r>
      <w:r>
        <w:t xml:space="preserve"> </w:t>
      </w:r>
      <w:r>
        <w:rPr>
          <w:i/>
          <w:iCs/>
        </w:rPr>
        <w:t xml:space="preserve">determinista</w:t>
      </w:r>
      <w:r>
        <w:t xml:space="preserve"> </w:t>
      </w:r>
      <w:r>
        <w:t xml:space="preserve">si no cambia con el tiempo y</w:t>
      </w:r>
      <w:r>
        <w:t xml:space="preserve"> </w:t>
      </w:r>
      <w:r>
        <w:rPr>
          <w:i/>
          <w:iCs/>
        </w:rPr>
        <w:t xml:space="preserve">estocástica</w:t>
      </w:r>
      <w:r>
        <w:t xml:space="preserve"> </w:t>
      </w:r>
      <w:r>
        <w:t xml:space="preserve">si fluctúa por factores aleatorios, como los choques económicos.</w:t>
      </w:r>
    </w:p>
    <w:p>
      <w:pPr>
        <w:numPr>
          <w:ilvl w:val="0"/>
          <w:numId w:val="1136"/>
        </w:numPr>
      </w:pPr>
      <w:r>
        <w:rPr>
          <w:i/>
          <w:iCs/>
        </w:rPr>
        <w:t xml:space="preserve">Ciclo</w:t>
      </w:r>
      <w:r>
        <w:t xml:space="preserve">: las fluctuaciones de la actividad alrededor de su tendencia (las desviaciones del PIB respecto a ella), que se repiten en periodos relativamente cortos. Tiene 2 puntos de giro, el pico (la cima, el máximo) y el valle (el fondo, el mínimo), y 2 fases: la contracción, del pico al valle (recesión si es grave; depresión o crisis si es mayor y más persistente), y la expansión, del valle al pico. Una serie puede alejarse de su tendencia por un</w:t>
      </w:r>
      <w:r>
        <w:t xml:space="preserve"> </w:t>
      </w:r>
      <w:r>
        <w:rPr>
          <w:i/>
          <w:iCs/>
        </w:rPr>
        <w:t xml:space="preserve">cambio estructural</w:t>
      </w:r>
      <w:r>
        <w:t xml:space="preserve"> </w:t>
      </w:r>
      <w:r>
        <w:t xml:space="preserve">y no por el ciclo (gráfico </w:t>
      </w:r>
      <w:hyperlink w:anchor="fig_ciclo_tendencia">
        <w:r>
          <w:rPr>
            <w:rStyle w:val="Hyperlink"/>
          </w:rPr>
          <w:t xml:space="preserve">6</w:t>
        </w:r>
      </w:hyperlink>
      <w:r>
        <w:t xml:space="preserve">)</w:t>
      </w:r>
      <w:r>
        <w:t xml:space="preserve"> </w:t>
      </w:r>
      <w:hyperlink r:id="rId21">
        <w:r>
          <w:rPr>
            <w:rStyle w:val="Referenciaatema"/>
          </w:rPr>
          <w:t xml:space="preserve">[ver tema 3.A.42]</w:t>
        </w:r>
      </w:hyperlink>
      <w:r>
        <w:t xml:space="preserve">.</w:t>
      </w:r>
    </w:p>
    <w:p>
      <w:pPr>
        <w:numPr>
          <w:ilvl w:val="0"/>
          <w:numId w:val="1136"/>
        </w:numPr>
      </w:pPr>
      <w:r>
        <w:rPr>
          <w:i/>
          <w:iCs/>
        </w:rPr>
        <w:t xml:space="preserve">Frecuencia del ciclo</w:t>
      </w:r>
      <w:r>
        <w:t xml:space="preserve">: los ciclos no son periódicos, sino irregulares (aleatoriedad) y recurrentes (autocorrelación). Entender el ciclo sirve para prever el corto plazo; entender la tendencia, para el largo.</w:t>
      </w:r>
    </w:p>
    <w:p>
      <w:pPr>
        <w:numPr>
          <w:ilvl w:val="0"/>
          <w:numId w:val="1136"/>
        </w:numPr>
      </w:pPr>
      <w:r>
        <w:rPr>
          <w:i/>
          <w:iCs/>
        </w:rPr>
        <w:t xml:space="preserve">Estacionariedad</w:t>
      </w:r>
      <w:r>
        <w:t xml:space="preserve">: una serie estacionaria vuelve a su media tras un choque; una no estacionaria, no</w:t>
      </w:r>
      <w:r>
        <w:t xml:space="preserve"> </w:t>
      </w:r>
      <w:hyperlink r:id="rId202">
        <w:r>
          <w:rPr>
            <w:rStyle w:val="Referenciaatema"/>
          </w:rPr>
          <w:t xml:space="preserve">[ver tema 5.B.5]</w:t>
        </w:r>
      </w:hyperlink>
      <w:r>
        <w:t xml:space="preserve">.</w:t>
      </w:r>
    </w:p>
    <w:p>
      <w:pPr>
        <w:numPr>
          <w:ilvl w:val="0"/>
          <w:numId w:val="1136"/>
        </w:numPr>
      </w:pPr>
      <w:r>
        <w:rPr>
          <w:i/>
          <w:iCs/>
        </w:rPr>
        <w:t xml:space="preserve">Tendencias comunes</w:t>
      </w:r>
      <w:r>
        <w:t xml:space="preserve">: algunas variables comparten tendencia porque hay relaciones de equilibrio a largo plazo entre ellas; es difícil verlo a simple vista, y se contrasta con pruebas econométricas de</w:t>
      </w:r>
      <w:r>
        <w:t xml:space="preserve"> </w:t>
      </w:r>
      <w:r>
        <w:rPr>
          <w:i/>
          <w:iCs/>
        </w:rPr>
        <w:t xml:space="preserve">cointegración</w:t>
      </w:r>
      <w:r>
        <w:t xml:space="preserve">.</w:t>
      </w:r>
    </w:p>
    <w:p>
      <w:pPr>
        <w:keepNext/>
        <w:numPr>
          <w:ilvl w:val="0"/>
          <w:numId w:val="1136"/>
        </w:numPr>
      </w:pPr>
      <w:r>
        <w:rPr>
          <w:i/>
          <w:iCs/>
        </w:rPr>
        <w:t xml:space="preserve">Comovimiento con el PIB</w:t>
      </w:r>
      <w:r>
        <w:t xml:space="preserve">, en 5 rasgos:</w:t>
      </w:r>
    </w:p>
    <w:p>
      <w:pPr>
        <w:numPr>
          <w:ilvl w:val="1"/>
          <w:numId w:val="1137"/>
        </w:numPr>
      </w:pPr>
      <w:r>
        <w:rPr>
          <w:i/>
          <w:iCs/>
        </w:rPr>
        <w:t xml:space="preserve">dirección</w:t>
      </w:r>
      <w:r>
        <w:t xml:space="preserve">: procíclica, si crece cuando crece el PIB y cae cuando cae; contracíclica, al revés; acíclica, sin relación (se mide con la correlación entre la variable y el PIB);</w:t>
      </w:r>
    </w:p>
    <w:p>
      <w:pPr>
        <w:numPr>
          <w:ilvl w:val="1"/>
          <w:numId w:val="1137"/>
        </w:numPr>
      </w:pPr>
      <w:r>
        <w:rPr>
          <w:i/>
          <w:iCs/>
        </w:rPr>
        <w:t xml:space="preserve">volatilidad</w:t>
      </w:r>
      <w:r>
        <w:t xml:space="preserve"> </w:t>
      </w:r>
      <w:r>
        <w:t xml:space="preserve">(amplitud): cuánto se desvía la serie de su tendencia; como los ciclos no coinciden exactamente, se mide con la varianza: una variable es más volátil que el PIB si su varianza es mayor;</w:t>
      </w:r>
    </w:p>
    <w:p>
      <w:pPr>
        <w:numPr>
          <w:ilvl w:val="1"/>
          <w:numId w:val="1137"/>
        </w:numPr>
      </w:pPr>
      <w:r>
        <w:rPr>
          <w:i/>
          <w:iCs/>
        </w:rPr>
        <w:t xml:space="preserve">adelanto o retraso</w:t>
      </w:r>
      <w:r>
        <w:t xml:space="preserve">: una variable se adelanta si describe ciclos como los del PIB pero antes, y se retrasa si los describe después (solo se habla de adelanto o retraso si es menor que medio ciclo);</w:t>
      </w:r>
    </w:p>
    <w:p>
      <w:pPr>
        <w:numPr>
          <w:ilvl w:val="1"/>
          <w:numId w:val="1137"/>
        </w:numPr>
      </w:pPr>
      <w:r>
        <w:rPr>
          <w:i/>
          <w:iCs/>
        </w:rPr>
        <w:t xml:space="preserve">persistencia</w:t>
      </w:r>
      <w:r>
        <w:t xml:space="preserve">: cuánto dura una desviación;</w:t>
      </w:r>
    </w:p>
    <w:p>
      <w:pPr>
        <w:numPr>
          <w:ilvl w:val="1"/>
          <w:numId w:val="1137"/>
        </w:numPr>
      </w:pPr>
      <w:r>
        <w:rPr>
          <w:i/>
          <w:iCs/>
        </w:rPr>
        <w:t xml:space="preserve">conformidad</w:t>
      </w:r>
      <w:r>
        <w:t xml:space="preserve">: alta si estas relaciones se mantienen en toda la muestra, baja si cambian (procíclica al principio y contracíclica después). Depende de la serie que dé el tribunal.</w:t>
      </w:r>
    </w:p>
    <w:bookmarkStart w:id="206" w:name="fig_ciclo_tendencia"/>
    <w:p>
      <w:pPr>
        <w:pStyle w:val="ImageCaption"/>
      </w:pPr>
      <w:r>
        <w:t xml:space="preserve">Gráfico 6.–</w:t>
      </w:r>
      <w:r>
        <w:t xml:space="preserve"> </w:t>
      </w:r>
      <w:r>
        <w:t xml:space="preserve">El ciclo económico: tendencia, fases y brecha de producción</w:t>
      </w:r>
    </w:p>
    <w:p>
      <w:pPr>
        <w:pStyle w:val="CaptionedFigure"/>
      </w:pPr>
      <w:r>
        <w:drawing>
          <wp:inline>
            <wp:extent cx="3786044" cy="1981709"/>
            <wp:effectExtent b="0" l="0" r="0" t="0"/>
            <wp:docPr descr="Gráfico 6.– El ciclo económico: tendencia, fases y brecha de producción" title="" id="204" name="Picture"/>
            <a:graphic>
              <a:graphicData uri="http://schemas.openxmlformats.org/drawingml/2006/picture">
                <pic:pic>
                  <pic:nvPicPr>
                    <pic:cNvPr descr="C:\Users\vgutierrez\Documents\src\victorgutierrezmarcos.github.io-revision\oposicion\temario\fuentes\1D01\graficos/ciclo-tendencia.png" id="205" name="Picture"/>
                    <pic:cNvPicPr>
                      <a:picLocks noChangeArrowheads="1" noChangeAspect="1"/>
                    </pic:cNvPicPr>
                  </pic:nvPicPr>
                  <pic:blipFill>
                    <a:blip r:embed="rId203"/>
                    <a:stretch>
                      <a:fillRect/>
                    </a:stretch>
                  </pic:blipFill>
                  <pic:spPr bwMode="auto">
                    <a:xfrm>
                      <a:off x="0" y="0"/>
                      <a:ext cx="3786044" cy="1981709"/>
                    </a:xfrm>
                    <a:prstGeom prst="rect">
                      <a:avLst/>
                    </a:prstGeom>
                    <a:noFill/>
                    <a:ln w="9525">
                      <a:noFill/>
                      <a:headEnd/>
                      <a:tailEnd/>
                    </a:ln>
                  </pic:spPr>
                </pic:pic>
              </a:graphicData>
            </a:graphic>
          </wp:inline>
        </w:drawing>
      </w:r>
    </w:p>
    <w:bookmarkEnd w:id="206"/>
    <w:p>
      <w:pPr>
        <w:pStyle w:val="Piedeimagen"/>
      </w:pPr>
      <w:r>
        <w:t xml:space="preserve">Fuente: Elaboración propia. Qué hay que ver: el ciclo es la oscilación del PIB alrededor de su tendencia; de pico a valle, contracción (recesión si es intensa); de valle a pico, expansión. La distancia vertical a la tendencia es la brecha de producción.</w:t>
      </w:r>
    </w:p>
    <w:bookmarkStart w:id="210" w:name="fig_comovimientos"/>
    <w:p>
      <w:pPr>
        <w:pStyle w:val="ImageCaption"/>
      </w:pPr>
      <w:r>
        <w:t xml:space="preserve">Gráfico 7.–</w:t>
      </w:r>
      <w:r>
        <w:t xml:space="preserve"> </w:t>
      </w:r>
      <w:r>
        <w:t xml:space="preserve">Comovimientos con el PIB: procíclica, contracíclica y adelantada, y el orden de los indicadores adelantados, coincidentes y retrasados</w:t>
      </w:r>
    </w:p>
    <w:p>
      <w:pPr>
        <w:pStyle w:val="CaptionedFigure"/>
      </w:pPr>
      <w:r>
        <w:drawing>
          <wp:inline>
            <wp:extent cx="4874761" cy="4880877"/>
            <wp:effectExtent b="0" l="0" r="0" t="0"/>
            <wp:docPr descr="Gráfico 7.– Comovimientos con el PIB: procíclica, contracíclica y adelantada, y el orden de los indicadores adelantados, coincidentes y retrasados" title="" id="208" name="Picture"/>
            <a:graphic>
              <a:graphicData uri="http://schemas.openxmlformats.org/drawingml/2006/picture">
                <pic:pic>
                  <pic:nvPicPr>
                    <pic:cNvPr descr="C:\Users\vgutierrez\Documents\src\victorgutierrezmarcos.github.io-revision\oposicion\temario\fuentes\1D01\graficos/comovimientos.png" id="209" name="Picture"/>
                    <pic:cNvPicPr>
                      <a:picLocks noChangeArrowheads="1" noChangeAspect="1"/>
                    </pic:cNvPicPr>
                  </pic:nvPicPr>
                  <pic:blipFill>
                    <a:blip r:embed="rId207"/>
                    <a:stretch>
                      <a:fillRect/>
                    </a:stretch>
                  </pic:blipFill>
                  <pic:spPr bwMode="auto">
                    <a:xfrm>
                      <a:off x="0" y="0"/>
                      <a:ext cx="4874761" cy="4880877"/>
                    </a:xfrm>
                    <a:prstGeom prst="rect">
                      <a:avLst/>
                    </a:prstGeom>
                    <a:noFill/>
                    <a:ln w="9525">
                      <a:noFill/>
                      <a:headEnd/>
                      <a:tailEnd/>
                    </a:ln>
                  </pic:spPr>
                </pic:pic>
              </a:graphicData>
            </a:graphic>
          </wp:inline>
        </w:drawing>
      </w:r>
    </w:p>
    <w:bookmarkEnd w:id="210"/>
    <w:p>
      <w:pPr>
        <w:pStyle w:val="Piedeimagen"/>
      </w:pPr>
      <w:r>
        <w:t xml:space="preserve">Fuente: Elaboración propia a partir de</w:t>
      </w:r>
      <w:r>
        <w:t xml:space="preserve"> </w:t>
      </w:r>
      <w:r>
        <w:rPr>
          <w:smallCaps/>
        </w:rPr>
        <w:t xml:space="preserve">The Conference Board</w:t>
      </w:r>
      <w:r>
        <w:t xml:space="preserve"> </w:t>
      </w:r>
      <w:r>
        <w:t xml:space="preserve">(</w:t>
      </w:r>
      <w:hyperlink w:anchor="ref_ConferenceBoard2026LEI">
        <w:r>
          <w:rPr>
            <w:rStyle w:val="Hyperlink"/>
          </w:rPr>
          <w:t xml:space="preserve">2026</w:t>
        </w:r>
      </w:hyperlink>
      <w:r>
        <w:t xml:space="preserve">)</w:t>
      </w:r>
      <w:r>
        <w:t xml:space="preserve">. Qué hay que ver: arriba, si la otra variable se mueve en el mismo sentido que el PIB o en el contrario, si oscila más o menos y si gira antes o después; abajo, que los adelantados giran primero, los coincidentes (el PIB) entre 6 y 12 meses después y los retrasados entre 12 y 24 meses después de los adelantados, con ejemplos de cada grupo. Por eso los adelantados dicen hacia dónde van los demás.</w:t>
      </w:r>
    </w:p>
    <w:bookmarkStart w:id="211" w:name="tab_hechos_ciclo"/>
    <w:p>
      <w:pPr>
        <w:pStyle w:val="TableCaption"/>
      </w:pPr>
      <w:r>
        <w:t xml:space="preserve">Tabla 4.–</w:t>
      </w:r>
      <w:r>
        <w:t xml:space="preserve"> </w:t>
      </w:r>
      <w:r>
        <w:t xml:space="preserve">Hechos estilizados del ciclo en las economías avanzadas</w:t>
      </w:r>
    </w:p>
    <w:tbl>
      <w:tblPr>
        <w:tblStyle w:val="Table"/>
        <w:tblW w:type="auto" w:w="0"/>
        <w:tblLook w:firstRow="1" w:lastRow="0" w:firstColumn="0" w:lastColumn="0" w:noHBand="0" w:noVBand="0" w:val="0020"/>
        <w:tblCaption w:val="Tabla 4.– Hechos estilizados del ciclo en las economías avanzadas"/>
      </w:tblPr>
      <w:tblGrid>
        <w:gridCol w:w="1980"/>
        <w:gridCol w:w="1980"/>
        <w:gridCol w:w="1980"/>
        <w:gridCol w:w="1980"/>
      </w:tblGrid>
      <w:tr>
        <w:trPr>
          <w:cantSplit/>
          <w:tblHeader w:val="on"/>
        </w:trPr>
        <w:tc>
          <w:tcPr>
            <w:shd w:val="clear" w:color="auto" w:fill="DDEBF7"/>
          </w:tcPr>
          <w:tcPr/>
          <w:p>
            <w:pPr>
              <w:pStyle w:val="Celdatceeazulpalido"/>
              <w:keepNext/>
              <w:jc w:val="left"/>
            </w:pPr>
            <w:r>
              <w:t xml:space="preserve"> </w:t>
            </w:r>
            <w:r>
              <w:rPr>
                <w:b/>
                <w:bCs/>
              </w:rPr>
              <w:t xml:space="preserve">Variable</w:t>
            </w:r>
          </w:p>
        </w:tc>
        <w:tc>
          <w:tcPr>
            <w:shd w:val="clear" w:color="auto" w:fill="DDEBF7"/>
          </w:tcPr>
          <w:tcPr/>
          <w:p>
            <w:pPr>
              <w:pStyle w:val="Celdatceeazulpalido"/>
              <w:keepNext/>
              <w:jc w:val="left"/>
            </w:pPr>
            <w:r>
              <w:rPr>
                <w:b/>
                <w:bCs/>
              </w:rPr>
              <w:t xml:space="preserve">Dirección</w:t>
            </w:r>
          </w:p>
        </w:tc>
        <w:tc>
          <w:tcPr>
            <w:shd w:val="clear" w:color="auto" w:fill="DDEBF7"/>
          </w:tcPr>
          <w:tcPr/>
          <w:p>
            <w:pPr>
              <w:pStyle w:val="Celdatceeazulpalido"/>
              <w:keepNext/>
              <w:jc w:val="left"/>
            </w:pPr>
            <w:r>
              <w:rPr>
                <w:b/>
                <w:bCs/>
              </w:rPr>
              <w:t xml:space="preserve">Volatilidad frente al PIB</w:t>
            </w:r>
          </w:p>
        </w:tc>
        <w:tc>
          <w:tcPr>
            <w:shd w:val="clear" w:color="auto" w:fill="DDEBF7"/>
          </w:tcPr>
          <w:tcPr/>
          <w:p>
            <w:pPr>
              <w:pStyle w:val="Celdatceeazulpalido"/>
              <w:keepNext/>
              <w:jc w:val="left"/>
            </w:pPr>
            <w:r>
              <w:rPr>
                <w:b/>
                <w:bCs/>
              </w:rPr>
              <w:t xml:space="preserve">Adelanto o retraso</w:t>
            </w:r>
          </w:p>
        </w:tc>
      </w:tr>
      <w:tr>
        <w:trPr>
          <w:cantSplit/>
        </w:trPr>
        <w:tc>
          <w:tcPr/>
          <w:p>
            <w:pPr>
              <w:pStyle w:val="Compact"/>
              <w:jc w:val="left"/>
            </w:pPr>
            <w:r>
              <w:t xml:space="preserve">Consumo privado</w:t>
            </w:r>
          </w:p>
        </w:tc>
        <w:tc>
          <w:tcPr/>
          <w:p>
            <w:pPr>
              <w:pStyle w:val="Compact"/>
              <w:jc w:val="left"/>
            </w:pPr>
            <w:r>
              <w:t xml:space="preserve">procíclico</w:t>
            </w:r>
          </w:p>
        </w:tc>
        <w:tc>
          <w:tcPr/>
          <w:p>
            <w:pPr>
              <w:pStyle w:val="Compact"/>
              <w:jc w:val="left"/>
            </w:pPr>
            <w:r>
              <w:t xml:space="preserve">menor (duraderos, mayor)</w:t>
            </w:r>
          </w:p>
        </w:tc>
        <w:tc>
          <w:tcPr/>
          <w:p>
            <w:pPr>
              <w:pStyle w:val="Compact"/>
              <w:jc w:val="left"/>
            </w:pPr>
            <w:r>
              <w:t xml:space="preserve">contemporáneo</w:t>
            </w:r>
          </w:p>
        </w:tc>
      </w:tr>
      <w:tr>
        <w:trPr>
          <w:cantSplit/>
        </w:trPr>
        <w:tc>
          <w:tcPr/>
          <w:p>
            <w:pPr>
              <w:pStyle w:val="Compact"/>
              <w:jc w:val="left"/>
            </w:pPr>
            <w:r>
              <w:t xml:space="preserve">Inversión en equipo</w:t>
            </w:r>
          </w:p>
        </w:tc>
        <w:tc>
          <w:tcPr/>
          <w:p>
            <w:pPr>
              <w:pStyle w:val="Compact"/>
              <w:jc w:val="left"/>
            </w:pPr>
            <w:r>
              <w:t xml:space="preserve">procíclica</w:t>
            </w:r>
          </w:p>
        </w:tc>
        <w:tc>
          <w:tcPr/>
          <w:p>
            <w:pPr>
              <w:pStyle w:val="Compact"/>
              <w:jc w:val="left"/>
            </w:pPr>
            <w:r>
              <w:t xml:space="preserve">varias veces mayor</w:t>
            </w:r>
          </w:p>
        </w:tc>
        <w:tc>
          <w:tcPr/>
          <w:p>
            <w:pPr>
              <w:pStyle w:val="Compact"/>
              <w:jc w:val="left"/>
            </w:pPr>
            <w:r>
              <w:t xml:space="preserve">contemporánea o algo retrasada</w:t>
            </w:r>
          </w:p>
        </w:tc>
      </w:tr>
      <w:tr>
        <w:trPr>
          <w:cantSplit/>
        </w:trPr>
        <w:tc>
          <w:tcPr/>
          <w:p>
            <w:pPr>
              <w:pStyle w:val="Compact"/>
              <w:jc w:val="left"/>
            </w:pPr>
            <w:r>
              <w:t xml:space="preserve">Inversión en vivienda</w:t>
            </w:r>
          </w:p>
        </w:tc>
        <w:tc>
          <w:tcPr/>
          <w:p>
            <w:pPr>
              <w:pStyle w:val="Compact"/>
              <w:jc w:val="left"/>
            </w:pPr>
            <w:r>
              <w:t xml:space="preserve">procíclica</w:t>
            </w:r>
          </w:p>
        </w:tc>
        <w:tc>
          <w:tcPr/>
          <w:p>
            <w:pPr>
              <w:pStyle w:val="Compact"/>
              <w:jc w:val="left"/>
            </w:pPr>
            <w:r>
              <w:t xml:space="preserve">varias veces mayor</w:t>
            </w:r>
          </w:p>
        </w:tc>
        <w:tc>
          <w:tcPr/>
          <w:p>
            <w:pPr>
              <w:pStyle w:val="Compact"/>
              <w:jc w:val="left"/>
            </w:pPr>
            <w:r>
              <w:t xml:space="preserve">adelantada</w:t>
            </w:r>
          </w:p>
        </w:tc>
      </w:tr>
      <w:tr>
        <w:trPr>
          <w:cantSplit/>
        </w:trPr>
        <w:tc>
          <w:tcPr/>
          <w:p>
            <w:pPr>
              <w:pStyle w:val="Compact"/>
              <w:jc w:val="left"/>
            </w:pPr>
            <w:r>
              <w:t xml:space="preserve">Variación de existencias</w:t>
            </w:r>
          </w:p>
        </w:tc>
        <w:tc>
          <w:tcPr/>
          <w:p>
            <w:pPr>
              <w:pStyle w:val="Compact"/>
              <w:jc w:val="left"/>
            </w:pPr>
            <w:r>
              <w:t xml:space="preserve">procíclica</w:t>
            </w:r>
          </w:p>
        </w:tc>
        <w:tc>
          <w:tcPr/>
          <w:p>
            <w:pPr>
              <w:pStyle w:val="Compact"/>
              <w:jc w:val="left"/>
            </w:pPr>
            <w:r>
              <w:t xml:space="preserve">muy alta</w:t>
            </w:r>
          </w:p>
        </w:tc>
        <w:tc>
          <w:tcPr/>
          <w:p>
            <w:pPr>
              <w:pStyle w:val="Compact"/>
              <w:jc w:val="left"/>
            </w:pPr>
            <w:r>
              <w:t xml:space="preserve">contemporánea</w:t>
            </w:r>
          </w:p>
        </w:tc>
      </w:tr>
      <w:tr>
        <w:trPr>
          <w:cantSplit/>
        </w:trPr>
        <w:tc>
          <w:tcPr/>
          <w:p>
            <w:pPr>
              <w:pStyle w:val="Compact"/>
              <w:jc w:val="left"/>
            </w:pPr>
            <w:r>
              <w:t xml:space="preserve">Consumo público</w:t>
            </w:r>
          </w:p>
        </w:tc>
        <w:tc>
          <w:tcPr/>
          <w:p>
            <w:pPr>
              <w:pStyle w:val="Compact"/>
              <w:jc w:val="left"/>
            </w:pPr>
            <w:r>
              <w:t xml:space="preserve">acíclico (correlación cercana a 0); procíclico en muchos emergentes</w:t>
            </w:r>
          </w:p>
        </w:tc>
        <w:tc>
          <w:tcPr/>
          <w:p>
            <w:pPr>
              <w:pStyle w:val="Compact"/>
              <w:jc w:val="left"/>
            </w:pPr>
            <w:r>
              <w:t xml:space="preserve">depende del país</w:t>
            </w:r>
          </w:p>
        </w:tc>
        <w:tc>
          <w:tcPr/>
          <w:p>
            <w:pPr>
              <w:pStyle w:val="Compact"/>
              <w:jc w:val="left"/>
            </w:pPr>
            <w:r>
              <w:t xml:space="preserve">sin patrón claro</w:t>
            </w:r>
          </w:p>
        </w:tc>
      </w:tr>
      <w:tr>
        <w:trPr>
          <w:cantSplit/>
        </w:trPr>
        <w:tc>
          <w:tcPr/>
          <w:p>
            <w:pPr>
              <w:pStyle w:val="Compact"/>
              <w:jc w:val="left"/>
            </w:pPr>
            <w:r>
              <w:t xml:space="preserve">Importaciones</w:t>
            </w:r>
          </w:p>
        </w:tc>
        <w:tc>
          <w:tcPr/>
          <w:p>
            <w:pPr>
              <w:pStyle w:val="Compact"/>
              <w:jc w:val="left"/>
            </w:pPr>
            <w:r>
              <w:t xml:space="preserve">procíclicas</w:t>
            </w:r>
          </w:p>
        </w:tc>
        <w:tc>
          <w:tcPr/>
          <w:p>
            <w:pPr>
              <w:pStyle w:val="Compact"/>
              <w:jc w:val="left"/>
            </w:pPr>
            <w:r>
              <w:t xml:space="preserve">mayor (el comercio, 2-3 veces)</w:t>
            </w:r>
          </w:p>
        </w:tc>
        <w:tc>
          <w:tcPr/>
          <w:p>
            <w:pPr>
              <w:pStyle w:val="Compact"/>
              <w:jc w:val="left"/>
            </w:pPr>
            <w:r>
              <w:t xml:space="preserve">contemporáneas</w:t>
            </w:r>
          </w:p>
        </w:tc>
      </w:tr>
      <w:tr>
        <w:trPr>
          <w:cantSplit/>
        </w:trPr>
        <w:tc>
          <w:tcPr/>
          <w:p>
            <w:pPr>
              <w:pStyle w:val="Compact"/>
              <w:jc w:val="left"/>
            </w:pPr>
            <w:r>
              <w:t xml:space="preserve">Demanda externa neta</w:t>
            </w:r>
          </w:p>
        </w:tc>
        <w:tc>
          <w:tcPr/>
          <w:p>
            <w:pPr>
              <w:pStyle w:val="Compact"/>
              <w:jc w:val="left"/>
            </w:pPr>
            <w:r>
              <w:t xml:space="preserve">contracíclica</w:t>
            </w:r>
          </w:p>
        </w:tc>
        <w:tc>
          <w:tcPr/>
          <w:p>
            <w:pPr>
              <w:pStyle w:val="Compact"/>
              <w:jc w:val="left"/>
            </w:pPr>
            <w:r>
              <w:t xml:space="preserve">—</w:t>
            </w:r>
          </w:p>
        </w:tc>
        <w:tc>
          <w:tcPr/>
          <w:p>
            <w:pPr>
              <w:pStyle w:val="Compact"/>
              <w:jc w:val="left"/>
            </w:pPr>
            <w:r>
              <w:t xml:space="preserve">—</w:t>
            </w:r>
          </w:p>
        </w:tc>
      </w:tr>
      <w:tr>
        <w:trPr>
          <w:cantSplit/>
        </w:trPr>
        <w:tc>
          <w:tcPr/>
          <w:p>
            <w:pPr>
              <w:pStyle w:val="Compact"/>
              <w:jc w:val="left"/>
            </w:pPr>
            <w:r>
              <w:t xml:space="preserve">Empleo</w:t>
            </w:r>
          </w:p>
        </w:tc>
        <w:tc>
          <w:tcPr/>
          <w:p>
            <w:pPr>
              <w:pStyle w:val="Compact"/>
              <w:jc w:val="left"/>
            </w:pPr>
            <w:r>
              <w:t xml:space="preserve">procíclico</w:t>
            </w:r>
          </w:p>
        </w:tc>
        <w:tc>
          <w:tcPr/>
          <w:p>
            <w:pPr>
              <w:pStyle w:val="Compact"/>
              <w:jc w:val="left"/>
            </w:pPr>
            <w:r>
              <w:t xml:space="preserve">similar o algo menor</w:t>
            </w:r>
          </w:p>
        </w:tc>
        <w:tc>
          <w:tcPr/>
          <w:p>
            <w:pPr>
              <w:pStyle w:val="Compact"/>
              <w:jc w:val="left"/>
            </w:pPr>
            <w:r>
              <w:t xml:space="preserve">contemporáneo o algo retrasado</w:t>
            </w:r>
          </w:p>
        </w:tc>
      </w:tr>
      <w:tr>
        <w:trPr>
          <w:cantSplit/>
        </w:trPr>
        <w:tc>
          <w:tcPr/>
          <w:p>
            <w:pPr>
              <w:pStyle w:val="Compact"/>
              <w:jc w:val="left"/>
            </w:pPr>
            <w:r>
              <w:t xml:space="preserve">Tasa de paro</w:t>
            </w:r>
          </w:p>
        </w:tc>
        <w:tc>
          <w:tcPr/>
          <w:p>
            <w:pPr>
              <w:pStyle w:val="Compact"/>
              <w:jc w:val="left"/>
            </w:pPr>
            <w:r>
              <w:t xml:space="preserve">contracíclica</w:t>
            </w:r>
          </w:p>
        </w:tc>
        <w:tc>
          <w:tcPr/>
          <w:p>
            <w:pPr>
              <w:pStyle w:val="Compact"/>
              <w:jc w:val="left"/>
            </w:pPr>
            <w:r>
              <w:t xml:space="preserve">—</w:t>
            </w:r>
          </w:p>
        </w:tc>
        <w:tc>
          <w:tcPr/>
          <w:p>
            <w:pPr>
              <w:pStyle w:val="Compact"/>
              <w:jc w:val="left"/>
            </w:pPr>
            <w:r>
              <w:t xml:space="preserve">retrasada</w:t>
            </w:r>
          </w:p>
        </w:tc>
      </w:tr>
      <w:tr>
        <w:trPr>
          <w:cantSplit/>
        </w:trPr>
        <w:tc>
          <w:tcPr/>
          <w:p>
            <w:pPr>
              <w:pStyle w:val="Compact"/>
              <w:jc w:val="left"/>
            </w:pPr>
            <w:r>
              <w:t xml:space="preserve">Productividad del trabajo</w:t>
            </w:r>
          </w:p>
        </w:tc>
        <w:tc>
          <w:tcPr/>
          <w:p>
            <w:pPr>
              <w:pStyle w:val="Compact"/>
              <w:jc w:val="left"/>
            </w:pPr>
            <w:r>
              <w:t xml:space="preserve">procíclica (en España, a menudo contracíclica)</w:t>
            </w:r>
          </w:p>
        </w:tc>
        <w:tc>
          <w:tcPr/>
          <w:p>
            <w:pPr>
              <w:pStyle w:val="Compact"/>
              <w:jc w:val="left"/>
            </w:pPr>
            <w:r>
              <w:t xml:space="preserve">menor</w:t>
            </w:r>
          </w:p>
        </w:tc>
        <w:tc>
          <w:tcPr/>
          <w:p>
            <w:pPr>
              <w:pStyle w:val="Compact"/>
              <w:jc w:val="left"/>
            </w:pPr>
            <w:r>
              <w:t xml:space="preserve">algo adelantada</w:t>
            </w:r>
          </w:p>
        </w:tc>
      </w:tr>
      <w:tr>
        <w:trPr>
          <w:cantSplit/>
        </w:trPr>
        <w:tc>
          <w:tcPr/>
          <w:p>
            <w:pPr>
              <w:pStyle w:val="Compact"/>
              <w:jc w:val="left"/>
            </w:pPr>
            <w:r>
              <w:t xml:space="preserve">Salario real</w:t>
            </w:r>
          </w:p>
        </w:tc>
        <w:tc>
          <w:tcPr/>
          <w:p>
            <w:pPr>
              <w:pStyle w:val="Compact"/>
              <w:jc w:val="left"/>
            </w:pPr>
            <w:r>
              <w:t xml:space="preserve">débilmente procíclico o acíclico</w:t>
            </w:r>
          </w:p>
        </w:tc>
        <w:tc>
          <w:tcPr/>
          <w:p>
            <w:pPr>
              <w:pStyle w:val="Compact"/>
              <w:jc w:val="left"/>
            </w:pPr>
            <w:r>
              <w:t xml:space="preserve">mucho menor</w:t>
            </w:r>
          </w:p>
        </w:tc>
        <w:tc>
          <w:tcPr/>
          <w:p>
            <w:pPr>
              <w:pStyle w:val="Compact"/>
              <w:jc w:val="left"/>
            </w:pPr>
            <w:r>
              <w:t xml:space="preserve">sin patrón claro</w:t>
            </w:r>
          </w:p>
        </w:tc>
      </w:tr>
      <w:tr>
        <w:trPr>
          <w:cantSplit/>
        </w:trPr>
        <w:tc>
          <w:tcPr/>
          <w:p>
            <w:pPr>
              <w:pStyle w:val="Compact"/>
              <w:jc w:val="left"/>
            </w:pPr>
            <w:r>
              <w:t xml:space="preserve">Inflación</w:t>
            </w:r>
          </w:p>
        </w:tc>
        <w:tc>
          <w:tcPr/>
          <w:p>
            <w:pPr>
              <w:pStyle w:val="Compact"/>
              <w:jc w:val="left"/>
            </w:pPr>
            <w:r>
              <w:t xml:space="preserve">procíclica (contracíclica con choques de oferta)</w:t>
            </w:r>
          </w:p>
        </w:tc>
        <w:tc>
          <w:tcPr/>
          <w:p>
            <w:pPr>
              <w:pStyle w:val="Compact"/>
              <w:jc w:val="left"/>
            </w:pPr>
            <w:r>
              <w:t xml:space="preserve">—</w:t>
            </w:r>
          </w:p>
        </w:tc>
        <w:tc>
          <w:tcPr/>
          <w:p>
            <w:pPr>
              <w:pStyle w:val="Compact"/>
              <w:jc w:val="left"/>
            </w:pPr>
            <w:r>
              <w:t xml:space="preserve">retrasada</w:t>
            </w:r>
          </w:p>
        </w:tc>
      </w:tr>
      <w:tr>
        <w:trPr>
          <w:cantSplit/>
        </w:trPr>
        <w:tc>
          <w:tcPr/>
          <w:p>
            <w:pPr>
              <w:pStyle w:val="Compact"/>
              <w:jc w:val="left"/>
            </w:pPr>
            <w:r>
              <w:t xml:space="preserve">Tipos de interés a corto</w:t>
            </w:r>
          </w:p>
        </w:tc>
        <w:tc>
          <w:tcPr/>
          <w:p>
            <w:pPr>
              <w:pStyle w:val="Compact"/>
              <w:jc w:val="left"/>
            </w:pPr>
            <w:r>
              <w:t xml:space="preserve">procíclicos</w:t>
            </w:r>
          </w:p>
        </w:tc>
        <w:tc>
          <w:tcPr/>
          <w:p>
            <w:pPr>
              <w:pStyle w:val="Compact"/>
              <w:jc w:val="left"/>
            </w:pPr>
            <w:r>
              <w:t xml:space="preserve">—</w:t>
            </w:r>
          </w:p>
        </w:tc>
        <w:tc>
          <w:tcPr/>
          <w:p>
            <w:pPr>
              <w:pStyle w:val="Compact"/>
              <w:jc w:val="left"/>
            </w:pPr>
            <w:r>
              <w:t xml:space="preserve">retrasados</w:t>
            </w:r>
          </w:p>
        </w:tc>
      </w:tr>
      <w:tr>
        <w:trPr>
          <w:cantSplit/>
        </w:trPr>
        <w:tc>
          <w:tcPr/>
          <w:p>
            <w:pPr>
              <w:pStyle w:val="Compact"/>
              <w:jc w:val="left"/>
            </w:pPr>
            <w:r>
              <w:t xml:space="preserve">Pendiente de la curva de tipos</w:t>
            </w:r>
          </w:p>
        </w:tc>
        <w:tc>
          <w:tcPr/>
          <w:p>
            <w:pPr>
              <w:pStyle w:val="Compact"/>
              <w:jc w:val="left"/>
            </w:pPr>
            <w:r>
              <w:t xml:space="preserve">—</w:t>
            </w:r>
          </w:p>
        </w:tc>
        <w:tc>
          <w:tcPr/>
          <w:p>
            <w:pPr>
              <w:pStyle w:val="Compact"/>
              <w:jc w:val="left"/>
            </w:pPr>
            <w:r>
              <w:t xml:space="preserve">—</w:t>
            </w:r>
          </w:p>
        </w:tc>
        <w:tc>
          <w:tcPr/>
          <w:p>
            <w:pPr>
              <w:pStyle w:val="Compact"/>
              <w:jc w:val="left"/>
            </w:pPr>
            <w:r>
              <w:t xml:space="preserve">adelantada</w:t>
            </w:r>
          </w:p>
        </w:tc>
      </w:tr>
      <w:tr>
        <w:trPr>
          <w:cantSplit/>
        </w:trPr>
        <w:tc>
          <w:tcPr/>
          <w:p>
            <w:pPr>
              <w:pStyle w:val="Compact"/>
              <w:jc w:val="left"/>
            </w:pPr>
            <w:r>
              <w:t xml:space="preserve">Bolsa</w:t>
            </w:r>
          </w:p>
        </w:tc>
        <w:tc>
          <w:tcPr/>
          <w:p>
            <w:pPr>
              <w:pStyle w:val="Compact"/>
              <w:jc w:val="left"/>
            </w:pPr>
            <w:r>
              <w:t xml:space="preserve">procíclica</w:t>
            </w:r>
          </w:p>
        </w:tc>
        <w:tc>
          <w:tcPr/>
          <w:p>
            <w:pPr>
              <w:pStyle w:val="Compact"/>
              <w:jc w:val="left"/>
            </w:pPr>
            <w:r>
              <w:t xml:space="preserve">mucho mayor</w:t>
            </w:r>
          </w:p>
        </w:tc>
        <w:tc>
          <w:tcPr/>
          <w:p>
            <w:pPr>
              <w:pStyle w:val="Compact"/>
              <w:jc w:val="left"/>
            </w:pPr>
            <w:r>
              <w:t xml:space="preserve">adelantada</w:t>
            </w:r>
          </w:p>
        </w:tc>
      </w:tr>
    </w:tbl>
    <w:bookmarkEnd w:id="211"/>
    <w:p>
      <w:pPr>
        <w:pStyle w:val="BodyText"/>
      </w:pPr>
      <w:r>
        <w:rPr>
          <w:i/>
          <w:iCs/>
        </w:rPr>
        <w:t xml:space="preserve">Fuente: Elaboración propia a partir de</w:t>
      </w:r>
      <w:r>
        <w:rPr>
          <w:i/>
          <w:iCs/>
        </w:rPr>
        <w:t xml:space="preserve"> </w:t>
      </w:r>
      <w:r>
        <w:rPr>
          <w:i/>
          <w:iCs/>
          <w:smallCaps/>
        </w:rPr>
        <w:t xml:space="preserve">Stock</w:t>
      </w:r>
      <w:r>
        <w:rPr>
          <w:i/>
          <w:iCs/>
        </w:rPr>
        <w:t xml:space="preserve"> </w:t>
      </w:r>
      <w:r>
        <w:rPr>
          <w:i/>
          <w:iCs/>
        </w:rPr>
        <w:t xml:space="preserve">y</w:t>
      </w:r>
      <w:r>
        <w:rPr>
          <w:i/>
          <w:iCs/>
        </w:rPr>
        <w:t xml:space="preserve"> </w:t>
      </w:r>
      <w:r>
        <w:rPr>
          <w:i/>
          <w:iCs/>
          <w:smallCaps/>
        </w:rPr>
        <w:t xml:space="preserve">Watson</w:t>
      </w:r>
      <w:r>
        <w:rPr>
          <w:i/>
          <w:iCs/>
        </w:rPr>
        <w:t xml:space="preserve"> </w:t>
      </w:r>
      <w:r>
        <w:rPr>
          <w:i/>
          <w:iCs/>
        </w:rPr>
        <w:t xml:space="preserve">(</w:t>
      </w:r>
      <w:hyperlink w:anchor="ref_StockWatson1999Ciclo">
        <w:r>
          <w:rPr>
            <w:rStyle w:val="Hyperlink"/>
            <w:i/>
            <w:iCs/>
          </w:rPr>
          <w:t xml:space="preserve">1999</w:t>
        </w:r>
      </w:hyperlink>
      <w:r>
        <w:rPr>
          <w:i/>
          <w:iCs/>
        </w:rPr>
        <w:t xml:space="preserve">)</w:t>
      </w:r>
      <w:r>
        <w:rPr>
          <w:i/>
          <w:iCs/>
        </w:rPr>
        <w:t xml:space="preserve">,</w:t>
      </w:r>
      <w:r>
        <w:rPr>
          <w:i/>
          <w:iCs/>
        </w:rPr>
        <w:t xml:space="preserve"> </w:t>
      </w:r>
      <w:r>
        <w:rPr>
          <w:i/>
          <w:iCs/>
          <w:smallCaps/>
        </w:rPr>
        <w:t xml:space="preserve">Blinder</w:t>
      </w:r>
      <w:r>
        <w:rPr>
          <w:i/>
          <w:iCs/>
        </w:rPr>
        <w:t xml:space="preserve"> </w:t>
      </w:r>
      <w:r>
        <w:rPr>
          <w:i/>
          <w:iCs/>
        </w:rPr>
        <w:t xml:space="preserve">y</w:t>
      </w:r>
      <w:r>
        <w:rPr>
          <w:i/>
          <w:iCs/>
        </w:rPr>
        <w:t xml:space="preserve"> </w:t>
      </w:r>
      <w:r>
        <w:rPr>
          <w:i/>
          <w:iCs/>
          <w:smallCaps/>
        </w:rPr>
        <w:t xml:space="preserve">Maccini</w:t>
      </w:r>
      <w:r>
        <w:rPr>
          <w:i/>
          <w:iCs/>
        </w:rPr>
        <w:t xml:space="preserve"> </w:t>
      </w:r>
      <w:r>
        <w:rPr>
          <w:i/>
          <w:iCs/>
        </w:rPr>
        <w:t xml:space="preserve">(</w:t>
      </w:r>
      <w:hyperlink w:anchor="ref_BlinderMaccini1991Existencias">
        <w:r>
          <w:rPr>
            <w:rStyle w:val="Hyperlink"/>
            <w:i/>
            <w:iCs/>
          </w:rPr>
          <w:t xml:space="preserve">1991</w:t>
        </w:r>
      </w:hyperlink>
      <w:r>
        <w:rPr>
          <w:i/>
          <w:iCs/>
        </w:rPr>
        <w:t xml:space="preserve">)</w:t>
      </w:r>
      <w:r>
        <w:rPr>
          <w:i/>
          <w:iCs/>
        </w:rPr>
        <w:t xml:space="preserve">,</w:t>
      </w:r>
      <w:r>
        <w:rPr>
          <w:i/>
          <w:iCs/>
        </w:rPr>
        <w:t xml:space="preserve"> </w:t>
      </w:r>
      <w:r>
        <w:rPr>
          <w:i/>
          <w:iCs/>
          <w:smallCaps/>
        </w:rPr>
        <w:t xml:space="preserve">Kaminsky</w:t>
      </w:r>
      <w:r>
        <w:rPr>
          <w:i/>
          <w:iCs/>
        </w:rPr>
        <w:t xml:space="preserve">,</w:t>
      </w:r>
      <w:r>
        <w:rPr>
          <w:i/>
          <w:iCs/>
        </w:rPr>
        <w:t xml:space="preserve"> </w:t>
      </w:r>
      <w:r>
        <w:rPr>
          <w:i/>
          <w:iCs/>
          <w:smallCaps/>
        </w:rPr>
        <w:t xml:space="preserve">Reinhart</w:t>
      </w:r>
      <w:r>
        <w:rPr>
          <w:i/>
          <w:iCs/>
        </w:rPr>
        <w:t xml:space="preserve"> </w:t>
      </w:r>
      <w:r>
        <w:rPr>
          <w:i/>
          <w:iCs/>
        </w:rPr>
        <w:t xml:space="preserve">y</w:t>
      </w:r>
      <w:r>
        <w:rPr>
          <w:i/>
          <w:iCs/>
        </w:rPr>
        <w:t xml:space="preserve"> </w:t>
      </w:r>
      <w:r>
        <w:rPr>
          <w:i/>
          <w:iCs/>
          <w:smallCaps/>
        </w:rPr>
        <w:t xml:space="preserve">Végh</w:t>
      </w:r>
      <w:r>
        <w:rPr>
          <w:i/>
          <w:iCs/>
        </w:rPr>
        <w:t xml:space="preserve"> </w:t>
      </w:r>
      <w:r>
        <w:rPr>
          <w:i/>
          <w:iCs/>
        </w:rPr>
        <w:t xml:space="preserve">(</w:t>
      </w:r>
      <w:hyperlink w:anchor="ref_Kaminsky2004Rains">
        <w:r>
          <w:rPr>
            <w:rStyle w:val="Hyperlink"/>
            <w:i/>
            <w:iCs/>
          </w:rPr>
          <w:t xml:space="preserve">2004</w:t>
        </w:r>
      </w:hyperlink>
      <w:r>
        <w:rPr>
          <w:i/>
          <w:iCs/>
        </w:rPr>
        <w:t xml:space="preserve">)</w:t>
      </w:r>
      <w:r>
        <w:rPr>
          <w:i/>
          <w:iCs/>
        </w:rPr>
        <w:t xml:space="preserve"> </w:t>
      </w:r>
      <w:r>
        <w:rPr>
          <w:i/>
          <w:iCs/>
        </w:rPr>
        <w:t xml:space="preserve">y</w:t>
      </w:r>
      <w:r>
        <w:rPr>
          <w:i/>
          <w:iCs/>
        </w:rPr>
        <w:t xml:space="preserve"> </w:t>
      </w:r>
      <w:r>
        <w:rPr>
          <w:i/>
          <w:iCs/>
          <w:smallCaps/>
        </w:rPr>
        <w:t xml:space="preserve">Estrella</w:t>
      </w:r>
      <w:r>
        <w:rPr>
          <w:i/>
          <w:iCs/>
        </w:rPr>
        <w:t xml:space="preserve"> </w:t>
      </w:r>
      <w:r>
        <w:rPr>
          <w:i/>
          <w:iCs/>
        </w:rPr>
        <w:t xml:space="preserve">y</w:t>
      </w:r>
      <w:r>
        <w:rPr>
          <w:i/>
          <w:iCs/>
        </w:rPr>
        <w:t xml:space="preserve"> </w:t>
      </w:r>
      <w:r>
        <w:rPr>
          <w:i/>
          <w:iCs/>
          <w:smallCaps/>
        </w:rPr>
        <w:t xml:space="preserve">Mishkin</w:t>
      </w:r>
      <w:r>
        <w:rPr>
          <w:i/>
          <w:iCs/>
        </w:rPr>
        <w:t xml:space="preserve"> </w:t>
      </w:r>
      <w:r>
        <w:rPr>
          <w:i/>
          <w:iCs/>
        </w:rPr>
        <w:t xml:space="preserve">(</w:t>
      </w:r>
      <w:hyperlink w:anchor="ref_EstrellaMishkin1998">
        <w:r>
          <w:rPr>
            <w:rStyle w:val="Hyperlink"/>
            <w:i/>
            <w:iCs/>
          </w:rPr>
          <w:t xml:space="preserve">1998</w:t>
        </w:r>
      </w:hyperlink>
      <w:r>
        <w:rPr>
          <w:i/>
          <w:iCs/>
        </w:rPr>
        <w:t xml:space="preserve">)</w:t>
      </w:r>
      <w:r>
        <w:rPr>
          <w:i/>
          <w:iCs/>
        </w:rPr>
        <w:t xml:space="preserve">, coherente con</w:t>
      </w:r>
      <w:r>
        <w:rPr>
          <w:i/>
          <w:iCs/>
        </w:rPr>
        <w:t xml:space="preserve"> </w:t>
      </w:r>
      <w:hyperlink r:id="rId21">
        <w:r>
          <w:rPr>
            <w:rStyle w:val="Referenciaatema"/>
            <w:i/>
            <w:iCs/>
          </w:rPr>
          <w:t xml:space="preserve">[ver tema 3.A.42]</w:t>
        </w:r>
      </w:hyperlink>
      <w:r>
        <w:rPr>
          <w:i/>
          <w:iCs/>
        </w:rPr>
        <w:t xml:space="preserve">.</w:t>
      </w:r>
    </w:p>
    <w:bookmarkEnd w:id="212"/>
    <w:bookmarkEnd w:id="213"/>
    <w:bookmarkStart w:id="224" w:name="anexo_indicadores"/>
    <w:p>
      <w:pPr>
        <w:pStyle w:val="Heading1"/>
      </w:pPr>
      <w:r>
        <w:t xml:space="preserve">B. Indicadores y umbrales de referencia</w:t>
      </w:r>
    </w:p>
    <w:p>
      <w:pPr>
        <w:keepNext/>
        <w:numPr>
          <w:ilvl w:val="0"/>
          <w:numId w:val="1138"/>
        </w:numPr>
      </w:pPr>
      <w:r>
        <w:t xml:space="preserve">Cada indicador con su cálculo, su referencia y el tema donde se estudia. Las referencias se separan siempre en 2 columnas:</w:t>
      </w:r>
    </w:p>
    <w:p>
      <w:pPr>
        <w:numPr>
          <w:ilvl w:val="1"/>
          <w:numId w:val="1139"/>
        </w:numPr>
      </w:pPr>
      <w:r>
        <w:rPr>
          <w:i/>
          <w:iCs/>
        </w:rPr>
        <w:t xml:space="preserve">oficial</w:t>
      </w:r>
      <w:r>
        <w:t xml:space="preserve">: fijada por una norma o por una institución (Tratado, reglamentos fiscales, Basilea III, cuadro de indicadores del procedimiento de desequilibrios macroeconómicos de la Comisión, objetivo del BCE), con su fuente;</w:t>
      </w:r>
    </w:p>
    <w:p>
      <w:pPr>
        <w:numPr>
          <w:ilvl w:val="1"/>
          <w:numId w:val="1139"/>
        </w:numPr>
      </w:pPr>
      <w:r>
        <w:rPr>
          <w:i/>
          <w:iCs/>
        </w:rPr>
        <w:t xml:space="preserve">orientativa</w:t>
      </w:r>
      <w:r>
        <w:t xml:space="preserve">: regla práctica o referencia supervisora o de mercado, sin consecuencias legales; sirve para ordenar el análisis, nunca para afirmar nada con rotundidad.</w:t>
      </w:r>
    </w:p>
    <w:p>
      <w:pPr>
        <w:numPr>
          <w:ilvl w:val="0"/>
          <w:numId w:val="1138"/>
        </w:numPr>
      </w:pPr>
      <w:r>
        <w:t xml:space="preserve">Los umbrales del procedimiento de desequilibrios (PDM) son de alerta, no obligaciones, y son los del cuadro revisado que se aplica desde el informe del mecanismo de alerta de 2025</w:t>
      </w:r>
      <w:r>
        <w:t xml:space="preserve"> </w:t>
      </w:r>
      <w:r>
        <w:t xml:space="preserve">(</w:t>
      </w:r>
      <w:hyperlink w:anchor="ref_CE2025AMR2026">
        <w:r>
          <w:rPr>
            <w:rStyle w:val="Hyperlink"/>
            <w:smallCaps/>
          </w:rPr>
          <w:t xml:space="preserve">Comisión Europea</w:t>
        </w:r>
        <w:r>
          <w:rPr>
            <w:rStyle w:val="Hyperlink"/>
          </w:rPr>
          <w:t xml:space="preserve">, 2025a</w:t>
        </w:r>
      </w:hyperlink>
      <w:r>
        <w:t xml:space="preserve">;</w:t>
      </w:r>
      <w:r>
        <w:t xml:space="preserve"> </w:t>
      </w:r>
      <w:hyperlink w:anchor="ref_Eurostat2025MIP">
        <w:r>
          <w:rPr>
            <w:rStyle w:val="Hyperlink"/>
            <w:smallCaps/>
          </w:rPr>
          <w:t xml:space="preserve">Eurostat</w:t>
        </w:r>
        <w:r>
          <w:rPr>
            <w:rStyle w:val="Hyperlink"/>
          </w:rPr>
          <w:t xml:space="preserve">, 2025b</w:t>
        </w:r>
      </w:hyperlink>
      <w:r>
        <w:t xml:space="preserve">)</w:t>
      </w:r>
      <w:r>
        <w:t xml:space="preserve">.</w:t>
      </w:r>
    </w:p>
    <w:bookmarkStart w:id="214" w:name="tab_indicadores_ciclo"/>
    <w:p>
      <w:pPr>
        <w:pStyle w:val="TableCaption"/>
      </w:pPr>
      <w:r>
        <w:t xml:space="preserve">Tabla 5.–</w:t>
      </w:r>
      <w:r>
        <w:t xml:space="preserve"> </w:t>
      </w:r>
      <w:r>
        <w:t xml:space="preserve">Indicadores del perfil cíclico, del mercado de trabajo y de los precios</w:t>
      </w:r>
    </w:p>
    <w:tbl>
      <w:tblPr>
        <w:tblStyle w:val="Table"/>
        <w:tblW w:type="auto" w:w="0"/>
        <w:tblLook w:firstRow="1" w:lastRow="0" w:firstColumn="0" w:lastColumn="0" w:noHBand="0" w:noVBand="0" w:val="0020"/>
        <w:tblCaption w:val="Tabla 5.– Indicadores del perfil cíclico, del mercado de trabajo y de los precios"/>
      </w:tblPr>
      <w:tblGrid>
        <w:gridCol w:w="1584"/>
        <w:gridCol w:w="1584"/>
        <w:gridCol w:w="1584"/>
        <w:gridCol w:w="1584"/>
        <w:gridCol w:w="1584"/>
      </w:tblGrid>
      <w:tr>
        <w:trPr>
          <w:cantSplit/>
          <w:tblHeader w:val="on"/>
        </w:trPr>
        <w:tc>
          <w:tcPr>
            <w:shd w:val="clear" w:color="auto" w:fill="DDEBF7"/>
          </w:tcPr>
          <w:tcPr/>
          <w:p>
            <w:pPr>
              <w:pStyle w:val="Celdatceeazulpalido"/>
              <w:keepNext/>
              <w:jc w:val="left"/>
            </w:pPr>
            <w:r>
              <w:t xml:space="preserve"> </w:t>
            </w:r>
            <w:r>
              <w:rPr>
                <w:b/>
                <w:bCs/>
              </w:rPr>
              <w:t xml:space="preserve">Indicador</w:t>
            </w:r>
          </w:p>
        </w:tc>
        <w:tc>
          <w:tcPr>
            <w:shd w:val="clear" w:color="auto" w:fill="DDEBF7"/>
          </w:tcPr>
          <w:tcPr/>
          <w:p>
            <w:pPr>
              <w:pStyle w:val="Celdatceeazulpalido"/>
              <w:keepNext/>
              <w:jc w:val="left"/>
            </w:pPr>
            <w:r>
              <w:rPr>
                <w:b/>
                <w:bCs/>
              </w:rPr>
              <w:t xml:space="preserve">Cálculo</w:t>
            </w:r>
          </w:p>
        </w:tc>
        <w:tc>
          <w:tcPr>
            <w:shd w:val="clear" w:color="auto" w:fill="DDEBF7"/>
          </w:tcPr>
          <w:tcPr/>
          <w:p>
            <w:pPr>
              <w:pStyle w:val="Celdatceeazulpalido"/>
              <w:keepNext/>
              <w:jc w:val="left"/>
            </w:pPr>
            <w:r>
              <w:rPr>
                <w:b/>
                <w:bCs/>
              </w:rPr>
              <w:t xml:space="preserve">Referencia oficial</w:t>
            </w:r>
          </w:p>
        </w:tc>
        <w:tc>
          <w:tcPr>
            <w:shd w:val="clear" w:color="auto" w:fill="DDEBF7"/>
          </w:tcPr>
          <w:tcPr/>
          <w:p>
            <w:pPr>
              <w:pStyle w:val="Celdatceeazulpalido"/>
              <w:keepNext/>
              <w:jc w:val="left"/>
            </w:pPr>
            <w:r>
              <w:rPr>
                <w:b/>
                <w:bCs/>
              </w:rPr>
              <w:t xml:space="preserve">Referencia orientativa</w:t>
            </w:r>
          </w:p>
        </w:tc>
        <w:tc>
          <w:tcPr>
            <w:shd w:val="clear" w:color="auto" w:fill="DDEBF7"/>
          </w:tcPr>
          <w:tcPr/>
          <w:p>
            <w:pPr>
              <w:pStyle w:val="Celdatceeazulpalido"/>
              <w:keepNext/>
              <w:jc w:val="left"/>
            </w:pPr>
            <w:r>
              <w:rPr>
                <w:b/>
                <w:bCs/>
              </w:rPr>
              <w:t xml:space="preserve">Tema</w:t>
            </w:r>
          </w:p>
        </w:tc>
      </w:tr>
      <w:tr>
        <w:trPr>
          <w:cantSplit/>
        </w:trPr>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r>
      <w:tr>
        <w:trPr>
          <w:cantSplit/>
        </w:trPr>
        <w:tc>
          <w:tcPr/>
          <w:p>
            <w:pPr>
              <w:pStyle w:val="Compact"/>
              <w:jc w:val="left"/>
            </w:pPr>
            <w:r>
              <w:t xml:space="preserve">Crecimiento del PIB real</w:t>
            </w:r>
          </w:p>
        </w:tc>
        <w:tc>
          <w:tcPr/>
          <w:p>
            <w:pPr>
              <w:pStyle w:val="Compact"/>
              <w:jc w:val="left"/>
            </w:pPr>
            <m:oMath>
              <m:sSub>
                <m:e>
                  <m:r>
                    <m:t>γ</m:t>
                  </m:r>
                </m:e>
                <m:sub>
                  <m:r>
                    <m:t>Y</m:t>
                  </m:r>
                </m:sub>
              </m:sSub>
            </m:oMath>
          </w:p>
        </w:tc>
        <w:tc>
          <w:tcPr/>
          <w:p>
            <w:pPr>
              <w:pStyle w:val="Compact"/>
              <w:jc w:val="left"/>
            </w:pPr>
            <w:r>
              <w:t xml:space="preserve">—</w:t>
            </w:r>
          </w:p>
        </w:tc>
        <w:tc>
          <w:tcPr/>
          <w:p>
            <w:pPr>
              <w:pStyle w:val="Compact"/>
              <w:jc w:val="left"/>
            </w:pPr>
            <m:oMath>
              <m:r>
                <m:rPr>
                  <m:sty m:val="p"/>
                </m:rPr>
                <m:t>&lt;</m:t>
              </m:r>
              <m:r>
                <m:t>0</m:t>
              </m:r>
            </m:oMath>
            <w:r>
              <w:t xml:space="preserve"> </w:t>
            </w:r>
            <w:r>
              <w:t xml:space="preserve">contracción; 0-1 % estancamiento; 1-2 % moderado; 2-3 % por encima del potencial;</w:t>
            </w:r>
            <w:r>
              <w:t xml:space="preserve"> </w:t>
            </w:r>
            <m:oMath>
              <m:r>
                <m:rPr>
                  <m:sty m:val="p"/>
                </m:rPr>
                <m:t>≥</m:t>
              </m:r>
              <m:r>
                <m:t>3</m:t>
              </m:r>
              <m:r>
                <m:t> </m:t>
              </m:r>
              <m:r>
                <m:rPr>
                  <m:sty m:val="p"/>
                </m:rPr>
                <m:t>%</m:t>
              </m:r>
            </m:oMath>
            <w:r>
              <w:t xml:space="preserve"> </w:t>
            </w:r>
            <w:r>
              <w:t xml:space="preserve">sólido (avanzadas)</w:t>
            </w:r>
          </w:p>
        </w:tc>
        <w:tc>
          <w:tcPr/>
          <w:p>
            <w:pPr>
              <w:pStyle w:val="Compact"/>
              <w:jc w:val="left"/>
            </w:pPr>
            <w:hyperlink r:id="rId20">
              <w:r>
                <w:rPr>
                  <w:rStyle w:val="Referenciaatema"/>
                </w:rPr>
                <w:t xml:space="preserve">[ver tema 3.A.30]</w:t>
              </w:r>
            </w:hyperlink>
          </w:p>
        </w:tc>
      </w:tr>
      <w:tr>
        <w:trPr>
          <w:cantSplit/>
        </w:trPr>
        <w:tc>
          <w:tcPr/>
          <w:p>
            <w:pPr>
              <w:pStyle w:val="Compact"/>
              <w:jc w:val="left"/>
            </w:pPr>
            <w:r>
              <w:t xml:space="preserve">Brecha de producción</w:t>
            </w:r>
          </w:p>
        </w:tc>
        <w:tc>
          <w:tcPr/>
          <w:p>
            <w:pPr>
              <w:pStyle w:val="Compact"/>
              <w:jc w:val="left"/>
            </w:pPr>
            <m:oMath>
              <m:d>
                <m:dPr>
                  <m:begChr m:val="("/>
                  <m:sepChr m:val=""/>
                  <m:endChr m:val=")"/>
                  <m:grow/>
                </m:dPr>
                <m:e>
                  <m:r>
                    <m:t>Y</m:t>
                  </m:r>
                  <m:r>
                    <m:rPr>
                      <m:sty m:val="p"/>
                    </m:rPr>
                    <m:t>−</m:t>
                  </m:r>
                  <m:sSup>
                    <m:e>
                      <m:r>
                        <m:t>Y</m:t>
                      </m:r>
                    </m:e>
                    <m:sup>
                      <m:r>
                        <m:t>p</m:t>
                      </m:r>
                    </m:sup>
                  </m:sSup>
                </m:e>
              </m:d>
              <m:r>
                <m:rPr>
                  <m:sty m:val="p"/>
                </m:rPr>
                <m:t>/</m:t>
              </m:r>
              <m:sSup>
                <m:e>
                  <m:r>
                    <m:t>Y</m:t>
                  </m:r>
                </m:e>
                <m:sup>
                  <m:r>
                    <m:t>p</m:t>
                  </m:r>
                </m:sup>
              </m:sSup>
              <m:r>
                <m:rPr>
                  <m:sty m:val="p"/>
                </m:rPr>
                <m:t>×</m:t>
              </m:r>
              <m:r>
                <m:t>100</m:t>
              </m:r>
            </m:oMath>
          </w:p>
        </w:tc>
        <w:tc>
          <w:tcPr/>
          <w:p>
            <w:pPr>
              <w:pStyle w:val="Compact"/>
              <w:jc w:val="left"/>
            </w:pPr>
            <w:r>
              <w:t xml:space="preserve">: producción en su potencial</w:t>
            </w:r>
          </w:p>
        </w:tc>
        <w:tc>
          <w:tcPr/>
          <w:p>
            <w:pPr>
              <w:pStyle w:val="Compact"/>
              <w:jc w:val="left"/>
            </w:pPr>
            <w:r>
              <w:t xml:space="preserve">Su variación en puntos:</w:t>
            </w:r>
            <w:r>
              <w:t xml:space="preserve"> </w:t>
            </w:r>
            <m:oMath>
              <m:sSub>
                <m:e>
                  <m:r>
                    <m:t>γ</m:t>
                  </m:r>
                </m:e>
                <m:sub>
                  <m:r>
                    <m:t>Y</m:t>
                  </m:r>
                </m:sub>
              </m:sSub>
              <m:r>
                <m:rPr>
                  <m:sty m:val="p"/>
                </m:rPr>
                <m:t>−</m:t>
              </m:r>
              <m:sSub>
                <m:e>
                  <m:r>
                    <m:t>γ</m:t>
                  </m:r>
                </m:e>
                <m:sub>
                  <m:sSup>
                    <m:e>
                      <m:r>
                        <m:t>Y</m:t>
                      </m:r>
                    </m:e>
                    <m:sup>
                      <m:r>
                        <m:t>p</m:t>
                      </m:r>
                    </m:sup>
                  </m:sSup>
                </m:sub>
              </m:sSub>
            </m:oMath>
          </w:p>
        </w:tc>
        <w:tc>
          <w:tcPr/>
          <w:p>
            <w:pPr>
              <w:pStyle w:val="Compact"/>
              <w:jc w:val="left"/>
            </w:pPr>
            <w:hyperlink r:id="rId38">
              <w:r>
                <w:rPr>
                  <w:rStyle w:val="Referenciaatema"/>
                </w:rPr>
                <w:t xml:space="preserve">[ver tema 4.B.4]</w:t>
              </w:r>
            </w:hyperlink>
          </w:p>
        </w:tc>
      </w:tr>
      <w:tr>
        <w:trPr>
          <w:cantSplit/>
        </w:trPr>
        <w:tc>
          <w:tcPr/>
          <w:p>
            <w:pPr>
              <w:pStyle w:val="Compact"/>
              <w:jc w:val="left"/>
            </w:pPr>
            <w:r>
              <w:t xml:space="preserve">Contribución al crecimiento</w:t>
            </w:r>
          </w:p>
        </w:tc>
        <w:tc>
          <w:tcPr/>
          <w:p>
            <w:pPr>
              <w:pStyle w:val="Compact"/>
              <w:jc w:val="left"/>
            </w:pPr>
            <m:oMath>
              <m:f>
                <m:fPr>
                  <m:type m:val="bar"/>
                </m:fPr>
                <m:num>
                  <m:sSub>
                    <m:e>
                      <m:r>
                        <m:t>X</m:t>
                      </m:r>
                    </m:e>
                    <m:sub>
                      <m:r>
                        <m:t>t</m:t>
                      </m:r>
                      <m:r>
                        <m:rPr>
                          <m:sty m:val="p"/>
                        </m:rPr>
                        <m:t>−</m:t>
                      </m:r>
                      <m:r>
                        <m:t>1</m:t>
                      </m:r>
                    </m:sub>
                  </m:sSub>
                </m:num>
                <m:den>
                  <m:sSub>
                    <m:e>
                      <m:r>
                        <m:t>Y</m:t>
                      </m:r>
                    </m:e>
                    <m:sub>
                      <m:r>
                        <m:t>t</m:t>
                      </m:r>
                      <m:r>
                        <m:rPr>
                          <m:sty m:val="p"/>
                        </m:rPr>
                        <m:t>−</m:t>
                      </m:r>
                      <m:r>
                        <m:t>1</m:t>
                      </m:r>
                    </m:sub>
                  </m:sSub>
                </m:den>
              </m:f>
              <m:sSub>
                <m:e>
                  <m:r>
                    <m:t>γ</m:t>
                  </m:r>
                </m:e>
                <m:sub>
                  <m:r>
                    <m:t>X</m:t>
                  </m:r>
                  <m:r>
                    <m:rPr>
                      <m:sty m:val="p"/>
                    </m:rPr>
                    <m:t>,</m:t>
                  </m:r>
                  <m:r>
                    <m:t>t</m:t>
                  </m:r>
                </m:sub>
              </m:sSub>
            </m:oMath>
          </w:p>
        </w:tc>
        <w:tc>
          <w:tcPr/>
          <w:p>
            <w:pPr>
              <w:pStyle w:val="Compact"/>
              <w:jc w:val="left"/>
            </w:pPr>
            <w:r>
              <w:t xml:space="preserve">—</w:t>
            </w:r>
          </w:p>
        </w:tc>
        <w:tc>
          <w:tcPr/>
          <w:p>
            <w:pPr>
              <w:pStyle w:val="Compact"/>
              <w:jc w:val="left"/>
            </w:pPr>
            <w:r>
              <w:t xml:space="preserve">En pp; interna procíclica, externa contracíclica</w:t>
            </w:r>
          </w:p>
        </w:tc>
        <w:tc>
          <w:tcPr/>
          <w:p>
            <w:pPr>
              <w:pStyle w:val="Compact"/>
              <w:jc w:val="left"/>
            </w:pPr>
            <w:hyperlink r:id="rId20">
              <w:r>
                <w:rPr>
                  <w:rStyle w:val="Referenciaatema"/>
                </w:rPr>
                <w:t xml:space="preserve">[ver tema 3.A.30]</w:t>
              </w:r>
            </w:hyperlink>
          </w:p>
        </w:tc>
      </w:tr>
      <w:tr>
        <w:trPr>
          <w:cantSplit/>
        </w:trPr>
        <w:tc>
          <w:tcPr/>
          <w:p>
            <w:pPr>
              <w:pStyle w:val="Compact"/>
              <w:jc w:val="left"/>
            </w:pPr>
            <w:r>
              <w:t xml:space="preserve">PIB frente a RNB</w:t>
            </w:r>
          </w:p>
        </w:tc>
        <w:tc>
          <w:tcPr/>
          <w:p>
            <w:pPr>
              <w:pStyle w:val="Compact"/>
              <w:jc w:val="left"/>
            </w:pPr>
            <w:r>
              <w:t xml:space="preserve">RNB</w:t>
            </w:r>
            <w:r>
              <w:t xml:space="preserve"> </w:t>
            </w:r>
            <m:oMath>
              <m:r>
                <m:rPr>
                  <m:sty m:val="p"/>
                </m:rPr>
                <m:t>=</m:t>
              </m:r>
            </m:oMath>
            <w:r>
              <w:t xml:space="preserve"> </w:t>
            </w:r>
            <w:r>
              <w:t xml:space="preserve">PIB</w:t>
            </w:r>
            <w:r>
              <w:t xml:space="preserve"> </w:t>
            </w:r>
            <m:oMath>
              <m:r>
                <m:rPr>
                  <m:sty m:val="p"/>
                </m:rPr>
                <m:t>+</m:t>
              </m:r>
            </m:oMath>
            <w:r>
              <w:t xml:space="preserve"> </w:t>
            </w:r>
            <w:r>
              <w:t xml:space="preserve">rentas primarias netas</w:t>
            </w:r>
          </w:p>
        </w:tc>
        <w:tc>
          <w:tcPr/>
          <w:p>
            <w:pPr>
              <w:pStyle w:val="Compact"/>
              <w:jc w:val="left"/>
            </w:pPr>
            <w:r>
              <w:t xml:space="preserve">—</w:t>
            </w:r>
          </w:p>
        </w:tc>
        <w:tc>
          <w:tcPr/>
          <w:p>
            <w:pPr>
              <w:pStyle w:val="Compact"/>
              <w:jc w:val="left"/>
            </w:pPr>
            <w:r>
              <w:t xml:space="preserve">RNB</w:t>
            </w:r>
            <w:r>
              <w:t xml:space="preserve"> </w:t>
            </w:r>
            <m:oMath>
              <m:r>
                <m:rPr>
                  <m:sty m:val="p"/>
                </m:rPr>
                <m:t>&lt;</m:t>
              </m:r>
            </m:oMath>
            <w:r>
              <w:t xml:space="preserve"> </w:t>
            </w:r>
            <w:r>
              <w:t xml:space="preserve">PIB: deudor neto o mucha IED</w:t>
            </w:r>
          </w:p>
        </w:tc>
        <w:tc>
          <w:tcPr/>
          <w:p>
            <w:pPr>
              <w:pStyle w:val="Compact"/>
              <w:jc w:val="left"/>
            </w:pPr>
            <w:hyperlink r:id="rId42">
              <w:r>
                <w:rPr>
                  <w:rStyle w:val="Referenciaatema"/>
                </w:rPr>
                <w:t xml:space="preserve">[ver tema 3.B.11]</w:t>
              </w:r>
            </w:hyperlink>
          </w:p>
        </w:tc>
      </w:tr>
      <w:tr>
        <w:trPr>
          <w:cantSplit/>
        </w:trPr>
        <w:tc>
          <w:tcPr/>
          <w:p>
            <w:pPr>
              <w:pStyle w:val="Compact"/>
              <w:jc w:val="left"/>
            </w:pPr>
            <w:r>
              <w:t xml:space="preserve">PMI</w:t>
            </w:r>
          </w:p>
        </w:tc>
        <w:tc>
          <w:tcPr/>
          <w:p>
            <w:pPr>
              <w:pStyle w:val="Compact"/>
              <w:jc w:val="left"/>
            </w:pPr>
            <w:r>
              <w:t xml:space="preserve">índice de difusión</w:t>
            </w:r>
          </w:p>
        </w:tc>
        <w:tc>
          <w:tcPr/>
          <w:p>
            <w:pPr>
              <w:pStyle w:val="Compact"/>
            </w:pPr>
          </w:p>
        </w:tc>
        <w:tc>
          <w:tcPr/>
          <w:p>
            <w:pPr>
              <w:pStyle w:val="Compact"/>
              <w:jc w:val="left"/>
            </w:pPr>
            <m:oMath>
              <m:r>
                <m:rPr>
                  <m:sty m:val="p"/>
                </m:rPr>
                <m:t>&gt;</m:t>
              </m:r>
              <m:r>
                <m:t>50</m:t>
              </m:r>
            </m:oMath>
            <w:r>
              <w:t xml:space="preserve">: la actividad crece frente al mes anterior</w:t>
            </w:r>
          </w:p>
        </w:tc>
        <w:tc>
          <w:tcPr/>
          <w:p>
            <w:pPr>
              <w:pStyle w:val="Compact"/>
              <w:jc w:val="left"/>
            </w:pPr>
            <w:hyperlink r:id="rId21">
              <w:r>
                <w:rPr>
                  <w:rStyle w:val="Referenciaatema"/>
                </w:rPr>
                <w:t xml:space="preserve">[ver tema 3.A.42]</w:t>
              </w:r>
            </w:hyperlink>
          </w:p>
        </w:tc>
      </w:tr>
      <w:tr>
        <w:trPr>
          <w:cantSplit/>
        </w:trPr>
        <w:tc>
          <w:tcPr/>
          <w:p>
            <w:pPr>
              <w:pStyle w:val="Compact"/>
              <w:jc w:val="left"/>
            </w:pPr>
            <w:r>
              <w:t xml:space="preserve">Sentimiento económico (ESI)</w:t>
            </w:r>
          </w:p>
        </w:tc>
        <w:tc>
          <w:tcPr/>
          <w:p>
            <w:pPr>
              <w:pStyle w:val="Compact"/>
              <w:jc w:val="left"/>
            </w:pPr>
            <w:r>
              <w:t xml:space="preserve">encuestas</w:t>
            </w:r>
          </w:p>
        </w:tc>
        <w:tc>
          <w:tcPr/>
          <w:p>
            <w:pPr>
              <w:pStyle w:val="Compact"/>
              <w:jc w:val="left"/>
            </w:pPr>
            <w:r>
              <w:t xml:space="preserve">(media de largo plazo)</w:t>
            </w:r>
          </w:p>
        </w:tc>
        <w:tc>
          <w:tcPr/>
          <w:p>
            <w:pPr>
              <w:pStyle w:val="Compact"/>
              <w:jc w:val="left"/>
            </w:pPr>
            <w:r>
              <w:t xml:space="preserve">—</w:t>
            </w:r>
          </w:p>
        </w:tc>
        <w:tc>
          <w:tcPr/>
          <w:p>
            <w:pPr>
              <w:pStyle w:val="Compact"/>
              <w:jc w:val="left"/>
            </w:pPr>
            <w:hyperlink r:id="rId21">
              <w:r>
                <w:rPr>
                  <w:rStyle w:val="Referenciaatema"/>
                </w:rPr>
                <w:t xml:space="preserve">[ver tema 3.A.42]</w:t>
              </w:r>
            </w:hyperlink>
          </w:p>
        </w:tc>
      </w:tr>
      <w:tr>
        <w:trPr>
          <w:cantSplit/>
        </w:trPr>
        <w:tc>
          <w:tcPr/>
          <w:p>
            <w:pPr>
              <w:pStyle w:val="Compact"/>
              <w:jc w:val="left"/>
            </w:pPr>
            <w:r>
              <w:t xml:space="preserve">Pendiente de la curva de tipos</w:t>
            </w:r>
          </w:p>
        </w:tc>
        <w:tc>
          <w:tcPr/>
          <w:p>
            <w:pPr>
              <w:pStyle w:val="Compact"/>
              <w:jc w:val="left"/>
            </w:pPr>
            <w:r>
              <w:t xml:space="preserve">tipo a largo</w:t>
            </w:r>
            <w:r>
              <w:t xml:space="preserve"> </w:t>
            </w:r>
            <m:oMath>
              <m:r>
                <m:rPr>
                  <m:sty m:val="p"/>
                </m:rPr>
                <m:t>−</m:t>
              </m:r>
            </m:oMath>
            <w:r>
              <w:t xml:space="preserve"> </w:t>
            </w:r>
            <w:r>
              <w:t xml:space="preserve">tipo a corto</w:t>
            </w:r>
          </w:p>
        </w:tc>
        <w:tc>
          <w:tcPr/>
          <w:p>
            <w:pPr>
              <w:pStyle w:val="Compact"/>
              <w:jc w:val="left"/>
            </w:pPr>
            <w:r>
              <w:t xml:space="preserve">—</w:t>
            </w:r>
          </w:p>
        </w:tc>
        <w:tc>
          <w:tcPr/>
          <w:p>
            <w:pPr>
              <w:pStyle w:val="Compact"/>
              <w:jc w:val="left"/>
            </w:pPr>
            <w:r>
              <w:t xml:space="preserve">Negativa: anticipa recesión</w:t>
            </w:r>
          </w:p>
        </w:tc>
        <w:tc>
          <w:tcPr/>
          <w:p>
            <w:pPr>
              <w:pStyle w:val="Compact"/>
              <w:jc w:val="left"/>
            </w:pPr>
            <w:hyperlink r:id="rId46">
              <w:r>
                <w:rPr>
                  <w:rStyle w:val="Referenciaatema"/>
                </w:rPr>
                <w:t xml:space="preserve">[ver tema 3.B.24]</w:t>
              </w:r>
            </w:hyperlink>
          </w:p>
        </w:tc>
      </w:tr>
      <w:tr>
        <w:trPr>
          <w:cantSplit/>
        </w:trPr>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r>
      <w:tr>
        <w:trPr>
          <w:cantSplit/>
        </w:trPr>
        <w:tc>
          <w:tcPr/>
          <w:p>
            <w:pPr>
              <w:pStyle w:val="Compact"/>
              <w:jc w:val="left"/>
            </w:pPr>
            <w:r>
              <w:t xml:space="preserve">Tasa de paro</w:t>
            </w:r>
          </w:p>
        </w:tc>
        <w:tc>
          <w:tcPr/>
          <w:p>
            <w:pPr>
              <w:pStyle w:val="Compact"/>
              <w:jc w:val="left"/>
            </w:pPr>
            <m:oMath>
              <m:r>
                <m:t>u</m:t>
              </m:r>
              <m:r>
                <m:rPr>
                  <m:sty m:val="p"/>
                </m:rPr>
                <m:t>=</m:t>
              </m:r>
              <m:r>
                <m:t>U</m:t>
              </m:r>
              <m:r>
                <m:rPr>
                  <m:sty m:val="p"/>
                </m:rPr>
                <m:t>/</m:t>
              </m:r>
              <m:r>
                <m:t>A</m:t>
              </m:r>
            </m:oMath>
          </w:p>
        </w:tc>
        <w:tc>
          <w:tcPr/>
          <w:p>
            <w:pPr>
              <w:pStyle w:val="Compact"/>
              <w:jc w:val="left"/>
            </w:pPr>
            <w:r>
              <w:t xml:space="preserve">PDM: 10 % (15-74 años)</w:t>
            </w:r>
          </w:p>
        </w:tc>
        <w:tc>
          <w:tcPr/>
          <w:p>
            <w:pPr>
              <w:pStyle w:val="Compact"/>
              <w:jc w:val="left"/>
            </w:pPr>
            <w:r>
              <w:t xml:space="preserve">Pleno empleo en avanzadas: 3-6 %; NAWRU de la Comisión</w:t>
            </w:r>
          </w:p>
        </w:tc>
        <w:tc>
          <w:tcPr/>
          <w:p>
            <w:pPr>
              <w:pStyle w:val="Compact"/>
              <w:jc w:val="left"/>
            </w:pPr>
            <w:hyperlink r:id="rId37">
              <w:r>
                <w:rPr>
                  <w:rStyle w:val="Referenciaatema"/>
                </w:rPr>
                <w:t xml:space="preserve">[ver tema 3.A.28]</w:t>
              </w:r>
            </w:hyperlink>
          </w:p>
        </w:tc>
      </w:tr>
      <w:tr>
        <w:trPr>
          <w:cantSplit/>
        </w:trPr>
        <w:tc>
          <w:tcPr/>
          <w:p>
            <w:pPr>
              <w:pStyle w:val="Compact"/>
              <w:jc w:val="left"/>
            </w:pPr>
            <w:r>
              <w:t xml:space="preserve">Tasa de actividad</w:t>
            </w:r>
          </w:p>
        </w:tc>
        <w:tc>
          <w:tcPr/>
          <w:p>
            <w:pPr>
              <w:pStyle w:val="Compact"/>
              <w:jc w:val="left"/>
            </w:pPr>
            <m:oMath>
              <m:r>
                <m:t>A</m:t>
              </m:r>
              <m:r>
                <m:rPr>
                  <m:sty m:val="p"/>
                </m:rPr>
                <m:t>/</m:t>
              </m:r>
              <m:sSub>
                <m:e>
                  <m:r>
                    <m:t>P</m:t>
                  </m:r>
                </m:e>
                <m:sub>
                  <m:r>
                    <m:t>16</m:t>
                  </m:r>
                </m:sub>
              </m:sSub>
            </m:oMath>
            <w:r>
              <w:t xml:space="preserve"> </w:t>
            </w:r>
            <w:r>
              <w:t xml:space="preserve">(INE); 15-64 (Eurostat, OCDE)</w:t>
            </w:r>
          </w:p>
        </w:tc>
        <w:tc>
          <w:tcPr/>
          <w:p>
            <w:pPr>
              <w:pStyle w:val="Compact"/>
              <w:jc w:val="left"/>
            </w:pPr>
            <w:r>
              <w:t xml:space="preserve">PDM: caída de más de 0,2 pp en 3 años</w:t>
            </w:r>
          </w:p>
        </w:tc>
        <w:tc>
          <w:tcPr/>
          <w:p>
            <w:pPr>
              <w:pStyle w:val="Compact"/>
              <w:jc w:val="left"/>
            </w:pPr>
            <w:r>
              <w:t xml:space="preserve">Comparar con la misma edad</w:t>
            </w:r>
          </w:p>
        </w:tc>
        <w:tc>
          <w:tcPr/>
          <w:p>
            <w:pPr>
              <w:pStyle w:val="Compact"/>
              <w:jc w:val="left"/>
            </w:pPr>
            <w:hyperlink r:id="rId88">
              <w:r>
                <w:rPr>
                  <w:rStyle w:val="Referenciaatema"/>
                </w:rPr>
                <w:t xml:space="preserve">[ver tema 4.A.16]</w:t>
              </w:r>
            </w:hyperlink>
          </w:p>
        </w:tc>
      </w:tr>
      <w:tr>
        <w:trPr>
          <w:cantSplit/>
        </w:trPr>
        <w:tc>
          <w:tcPr/>
          <w:p>
            <w:pPr>
              <w:pStyle w:val="Compact"/>
              <w:jc w:val="left"/>
            </w:pPr>
            <w:r>
              <w:t xml:space="preserve">Productividad aparente</w:t>
            </w:r>
          </w:p>
        </w:tc>
        <w:tc>
          <w:tcPr/>
          <w:p>
            <w:pPr>
              <w:pStyle w:val="Compact"/>
              <w:jc w:val="left"/>
            </w:pPr>
            <m:oMath>
              <m:sSub>
                <m:e>
                  <m:r>
                    <m:t>γ</m:t>
                  </m:r>
                </m:e>
                <m:sub>
                  <m:r>
                    <m:t>Y</m:t>
                  </m:r>
                </m:sub>
              </m:sSub>
              <m:r>
                <m:rPr>
                  <m:sty m:val="p"/>
                </m:rPr>
                <m:t>−</m:t>
              </m:r>
              <m:sSub>
                <m:e>
                  <m:r>
                    <m:t>γ</m:t>
                  </m:r>
                </m:e>
                <m:sub>
                  <m:r>
                    <m:t>L</m:t>
                  </m:r>
                </m:sub>
              </m:sSub>
            </m:oMath>
          </w:p>
        </w:tc>
        <w:tc>
          <w:tcPr/>
          <w:p>
            <w:pPr>
              <w:pStyle w:val="Compact"/>
              <w:jc w:val="left"/>
            </w:pPr>
            <w:r>
              <w:t xml:space="preserve">—</w:t>
            </w:r>
          </w:p>
        </w:tc>
        <w:tc>
          <w:tcPr/>
          <w:p>
            <w:pPr>
              <w:pStyle w:val="Compact"/>
              <w:jc w:val="left"/>
            </w:pPr>
            <w:r>
              <w:t xml:space="preserve">Puede subir de forma espuria al destruir empleo</w:t>
            </w:r>
          </w:p>
        </w:tc>
        <w:tc>
          <w:tcPr/>
          <w:p>
            <w:pPr>
              <w:pStyle w:val="Compact"/>
              <w:jc w:val="left"/>
            </w:pPr>
            <w:hyperlink r:id="rId40">
              <w:r>
                <w:rPr>
                  <w:rStyle w:val="Referenciaatema"/>
                </w:rPr>
                <w:t xml:space="preserve">[ver tema 3.A.45]</w:t>
              </w:r>
            </w:hyperlink>
          </w:p>
        </w:tc>
      </w:tr>
      <w:tr>
        <w:trPr>
          <w:cantSplit/>
        </w:trPr>
        <w:tc>
          <w:tcPr/>
          <w:p>
            <w:pPr>
              <w:pStyle w:val="Compact"/>
              <w:jc w:val="left"/>
            </w:pPr>
            <w:r>
              <w:t xml:space="preserve">CLU nominales</w:t>
            </w:r>
          </w:p>
        </w:tc>
        <w:tc>
          <w:tcPr/>
          <w:p>
            <w:pPr>
              <w:pStyle w:val="Compact"/>
              <w:jc w:val="left"/>
            </w:pPr>
            <m:oMath>
              <m:sSub>
                <m:e>
                  <m:r>
                    <m:t>γ</m:t>
                  </m:r>
                </m:e>
                <m:sub>
                  <m:r>
                    <m:t>W</m:t>
                  </m:r>
                </m:sub>
              </m:sSub>
              <m:r>
                <m:rPr>
                  <m:sty m:val="p"/>
                </m:rPr>
                <m:t>−</m:t>
              </m:r>
              <m:sSub>
                <m:e>
                  <m:r>
                    <m:t>γ</m:t>
                  </m:r>
                </m:e>
                <m:sub>
                  <m:r>
                    <m:rPr>
                      <m:sty m:val="p"/>
                    </m:rPr>
                    <m:t>P</m:t>
                  </m:r>
                  <m:r>
                    <m:rPr>
                      <m:sty m:val="p"/>
                    </m:rPr>
                    <m:t>A</m:t>
                  </m:r>
                  <m:r>
                    <m:rPr>
                      <m:sty m:val="p"/>
                    </m:rPr>
                    <m:t>T</m:t>
                  </m:r>
                </m:sub>
              </m:sSub>
            </m:oMath>
          </w:p>
        </w:tc>
        <w:tc>
          <w:tcPr/>
          <w:p>
            <w:pPr>
              <w:pStyle w:val="Compact"/>
              <w:jc w:val="left"/>
            </w:pPr>
            <w:r>
              <w:t xml:space="preserve">PDM:</w:t>
            </w:r>
            <w:r>
              <w:t xml:space="preserve"> </w:t>
            </w:r>
            <m:oMath>
              <m:r>
                <m:rPr>
                  <m:sty m:val="p"/>
                </m:rPr>
                <m:t>+</m:t>
              </m:r>
              <m:r>
                <m:t>9</m:t>
              </m:r>
              <m:r>
                <m:t> </m:t>
              </m:r>
              <m:r>
                <m:rPr>
                  <m:sty m:val="p"/>
                </m:rPr>
                <m:t>%</m:t>
              </m:r>
            </m:oMath>
            <w:r>
              <w:t xml:space="preserve"> </w:t>
            </w:r>
            <w:r>
              <w:t xml:space="preserve">en 3 años (euro),</w:t>
            </w:r>
            <w:r>
              <w:t xml:space="preserve"> </w:t>
            </w:r>
            <m:oMath>
              <m:r>
                <m:rPr>
                  <m:sty m:val="p"/>
                </m:rPr>
                <m:t>+</m:t>
              </m:r>
              <m:r>
                <m:t>12</m:t>
              </m:r>
              <m:r>
                <m:t> </m:t>
              </m:r>
              <m:r>
                <m:rPr>
                  <m:sty m:val="p"/>
                </m:rPr>
                <m:t>%</m:t>
              </m:r>
            </m:oMath>
            <w:r>
              <w:t xml:space="preserve"> </w:t>
            </w:r>
            <w:r>
              <w:t xml:space="preserve">(resto), por hora</w:t>
            </w:r>
          </w:p>
        </w:tc>
        <w:tc>
          <w:tcPr/>
          <w:p>
            <w:pPr>
              <w:pStyle w:val="Compact"/>
              <w:jc w:val="left"/>
            </w:pPr>
            <w:r>
              <w:t xml:space="preserve">En el euro, en torno al 2 % anual mantiene estables los reales</w:t>
            </w:r>
          </w:p>
        </w:tc>
        <w:tc>
          <w:tcPr/>
          <w:p>
            <w:pPr>
              <w:pStyle w:val="Compact"/>
              <w:jc w:val="left"/>
            </w:pPr>
            <w:hyperlink r:id="rId94">
              <w:r>
                <w:rPr>
                  <w:rStyle w:val="Referenciaatema"/>
                </w:rPr>
                <w:t xml:space="preserve">[ver tema 4.A.22]</w:t>
              </w:r>
            </w:hyperlink>
          </w:p>
        </w:tc>
      </w:tr>
      <w:tr>
        <w:trPr>
          <w:cantSplit/>
        </w:trPr>
        <w:tc>
          <w:tcPr/>
          <w:p>
            <w:pPr>
              <w:pStyle w:val="Compact"/>
              <w:jc w:val="left"/>
            </w:pPr>
            <w:r>
              <w:t xml:space="preserve">CLU reales y margen</w:t>
            </w:r>
          </w:p>
        </w:tc>
        <w:tc>
          <w:tcPr/>
          <w:p>
            <w:pPr>
              <w:pStyle w:val="Compact"/>
              <w:jc w:val="left"/>
            </w:pPr>
            <m:oMath>
              <m:sSub>
                <m:e>
                  <m:r>
                    <m:t>γ</m:t>
                  </m:r>
                </m:e>
                <m:sub>
                  <m:r>
                    <m:rPr>
                      <m:sty m:val="p"/>
                    </m:rPr>
                    <m:t>C</m:t>
                  </m:r>
                  <m:r>
                    <m:rPr>
                      <m:sty m:val="p"/>
                    </m:rPr>
                    <m:t>L</m:t>
                  </m:r>
                  <m:r>
                    <m:rPr>
                      <m:sty m:val="p"/>
                    </m:rPr>
                    <m:t>U</m:t>
                  </m:r>
                </m:sub>
              </m:sSub>
              <m:r>
                <m:rPr>
                  <m:sty m:val="p"/>
                </m:rPr>
                <m:t>−</m:t>
              </m:r>
              <m:sSub>
                <m:e>
                  <m:r>
                    <m:t>γ</m:t>
                  </m:r>
                </m:e>
                <m:sub>
                  <m:r>
                    <m:t>P</m:t>
                  </m:r>
                </m:sub>
              </m:sSub>
            </m:oMath>
            <w:r>
              <w:t xml:space="preserve">;</w:t>
            </w:r>
            <w:r>
              <w:t xml:space="preserve"> </w:t>
            </w:r>
            <m:oMath>
              <m:sSub>
                <m:e>
                  <m:r>
                    <m:t>γ</m:t>
                  </m:r>
                </m:e>
                <m:sub>
                  <m:r>
                    <m:t>P</m:t>
                  </m:r>
                </m:sub>
              </m:sSub>
              <m:r>
                <m:rPr>
                  <m:sty m:val="p"/>
                </m:rPr>
                <m:t>−</m:t>
              </m:r>
              <m:sSub>
                <m:e>
                  <m:r>
                    <m:t>γ</m:t>
                  </m:r>
                </m:e>
                <m:sub>
                  <m:r>
                    <m:rPr>
                      <m:sty m:val="p"/>
                    </m:rPr>
                    <m:t>C</m:t>
                  </m:r>
                  <m:r>
                    <m:rPr>
                      <m:sty m:val="p"/>
                    </m:rPr>
                    <m:t>L</m:t>
                  </m:r>
                  <m:r>
                    <m:rPr>
                      <m:sty m:val="p"/>
                    </m:rPr>
                    <m:t>U</m:t>
                  </m:r>
                </m:sub>
              </m:sSub>
            </m:oMath>
          </w:p>
        </w:tc>
        <w:tc>
          <w:tcPr/>
          <w:p>
            <w:pPr>
              <w:pStyle w:val="Compact"/>
              <w:jc w:val="left"/>
            </w:pPr>
            <w:r>
              <w:t xml:space="preserve">—</w:t>
            </w:r>
          </w:p>
        </w:tc>
        <w:tc>
          <w:tcPr/>
          <w:p>
            <w:pPr>
              <w:pStyle w:val="Compact"/>
              <w:jc w:val="left"/>
            </w:pPr>
            <w:r>
              <w:t xml:space="preserve">CLU reales al alza: menos margen y empleo</w:t>
            </w:r>
          </w:p>
        </w:tc>
        <w:tc>
          <w:tcPr/>
          <w:p>
            <w:pPr>
              <w:pStyle w:val="Compact"/>
              <w:jc w:val="left"/>
            </w:pPr>
            <w:hyperlink r:id="rId37">
              <w:r>
                <w:rPr>
                  <w:rStyle w:val="Referenciaatema"/>
                </w:rPr>
                <w:t xml:space="preserve">[ver tema 3.A.28]</w:t>
              </w:r>
            </w:hyperlink>
          </w:p>
        </w:tc>
      </w:tr>
      <w:tr>
        <w:trPr>
          <w:cantSplit/>
        </w:trPr>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r>
      <w:tr>
        <w:trPr>
          <w:cantSplit/>
        </w:trPr>
        <w:tc>
          <w:tcPr/>
          <w:p>
            <w:pPr>
              <w:pStyle w:val="Compact"/>
              <w:jc w:val="left"/>
            </w:pPr>
            <w:r>
              <w:t xml:space="preserve">Inflación (IPC, IAPC)</w:t>
            </w:r>
          </w:p>
        </w:tc>
        <w:tc>
          <w:tcPr/>
          <w:p>
            <w:pPr>
              <w:pStyle w:val="Compact"/>
              <w:jc w:val="left"/>
            </w:pPr>
            <m:oMath>
              <m:sSub>
                <m:e>
                  <m:r>
                    <m:t>π</m:t>
                  </m:r>
                </m:e>
                <m:sub>
                  <m:r>
                    <m:t>t</m:t>
                  </m:r>
                </m:sub>
              </m:sSub>
            </m:oMath>
          </w:p>
        </w:tc>
        <w:tc>
          <w:tcPr/>
          <w:p>
            <w:pPr>
              <w:pStyle w:val="Compact"/>
              <w:jc w:val="left"/>
            </w:pPr>
            <w:r>
              <w:t xml:space="preserve">BCE: 2 % simétrico a medio plazo</w:t>
            </w:r>
          </w:p>
        </w:tc>
        <w:tc>
          <w:tcPr/>
          <w:p>
            <w:pPr>
              <w:pStyle w:val="Compact"/>
              <w:jc w:val="left"/>
            </w:pPr>
            <w:r>
              <w:t xml:space="preserve">Mirar subyacente, efecto base y expectativas</w:t>
            </w:r>
          </w:p>
        </w:tc>
        <w:tc>
          <w:tcPr/>
          <w:p>
            <w:pPr>
              <w:pStyle w:val="Compact"/>
              <w:jc w:val="left"/>
            </w:pPr>
            <w:hyperlink r:id="rId118">
              <w:r>
                <w:rPr>
                  <w:rStyle w:val="Referenciaatema"/>
                </w:rPr>
                <w:t xml:space="preserve">[ver tema 3.A.41]</w:t>
              </w:r>
            </w:hyperlink>
          </w:p>
        </w:tc>
      </w:tr>
      <w:tr>
        <w:trPr>
          <w:cantSplit/>
        </w:trPr>
        <w:tc>
          <w:tcPr/>
          <w:p>
            <w:pPr>
              <w:pStyle w:val="Compact"/>
              <w:jc w:val="left"/>
            </w:pPr>
            <w:r>
              <w:t xml:space="preserve">IPC frente a deflactor</w:t>
            </w:r>
          </w:p>
        </w:tc>
        <w:tc>
          <w:tcPr/>
          <w:p>
            <w:pPr>
              <w:pStyle w:val="Compact"/>
              <w:jc w:val="left"/>
            </w:pPr>
            <m:oMath>
              <m:sSup>
                <m:e>
                  <m:r>
                    <m:t>π</m:t>
                  </m:r>
                </m:e>
                <m:sup>
                  <m:r>
                    <m:rPr>
                      <m:sty m:val="p"/>
                    </m:rPr>
                    <m:t>I</m:t>
                  </m:r>
                  <m:r>
                    <m:rPr>
                      <m:sty m:val="p"/>
                    </m:rPr>
                    <m:t>P</m:t>
                  </m:r>
                  <m:r>
                    <m:rPr>
                      <m:sty m:val="p"/>
                    </m:rPr>
                    <m:t>C</m:t>
                  </m:r>
                </m:sup>
              </m:sSup>
              <m:r>
                <m:rPr>
                  <m:sty m:val="p"/>
                </m:rPr>
                <m:t>−</m:t>
              </m:r>
              <m:sSub>
                <m:e>
                  <m:r>
                    <m:t>γ</m:t>
                  </m:r>
                </m:e>
                <m:sub>
                  <m:r>
                    <m:t>P</m:t>
                  </m:r>
                </m:sub>
              </m:sSub>
            </m:oMath>
          </w:p>
        </w:tc>
        <w:tc>
          <w:tcPr/>
          <w:p>
            <w:pPr>
              <w:pStyle w:val="Compact"/>
              <w:jc w:val="left"/>
            </w:pPr>
            <w:r>
              <w:t xml:space="preserve">—</w:t>
            </w:r>
          </w:p>
        </w:tc>
        <w:tc>
          <w:tcPr/>
          <w:p>
            <w:pPr>
              <w:pStyle w:val="Compact"/>
              <w:jc w:val="left"/>
            </w:pPr>
            <m:oMath>
              <m:r>
                <m:rPr>
                  <m:sty m:val="p"/>
                </m:rPr>
                <m:t>&gt;</m:t>
              </m:r>
              <m:r>
                <m:t>0</m:t>
              </m:r>
            </m:oMath>
            <w:r>
              <w:t xml:space="preserve">: inflación importada;</w:t>
            </w:r>
            <w:r>
              <w:t xml:space="preserve"> </w:t>
            </w:r>
            <m:oMath>
              <m:r>
                <m:rPr>
                  <m:sty m:val="p"/>
                </m:rPr>
                <m:t>&lt;</m:t>
              </m:r>
              <m:r>
                <m:t>0</m:t>
              </m:r>
            </m:oMath>
            <w:r>
              <w:t xml:space="preserve">: mejora de la RRI</w:t>
            </w:r>
          </w:p>
        </w:tc>
        <w:tc>
          <w:tcPr/>
          <w:p>
            <w:pPr>
              <w:pStyle w:val="Compact"/>
              <w:jc w:val="left"/>
            </w:pPr>
            <w:hyperlink r:id="rId20">
              <w:r>
                <w:rPr>
                  <w:rStyle w:val="Referenciaatema"/>
                </w:rPr>
                <w:t xml:space="preserve">[ver tema 3.A.30]</w:t>
              </w:r>
            </w:hyperlink>
          </w:p>
        </w:tc>
      </w:tr>
    </w:tbl>
    <w:bookmarkEnd w:id="214"/>
    <w:p>
      <w:pPr>
        <w:pStyle w:val="BodyText"/>
      </w:pPr>
      <w:r>
        <w:rPr>
          <w:i/>
          <w:iCs/>
        </w:rPr>
        <w:t xml:space="preserve">Fuente: PDM:</w:t>
      </w:r>
      <w:r>
        <w:rPr>
          <w:i/>
          <w:iCs/>
        </w:rPr>
        <w:t xml:space="preserve"> </w:t>
      </w:r>
      <w:r>
        <w:rPr>
          <w:i/>
          <w:iCs/>
          <w:smallCaps/>
        </w:rPr>
        <w:t xml:space="preserve">Comisión Europea</w:t>
      </w:r>
      <w:r>
        <w:rPr>
          <w:i/>
          <w:iCs/>
        </w:rPr>
        <w:t xml:space="preserve"> </w:t>
      </w:r>
      <w:r>
        <w:rPr>
          <w:i/>
          <w:iCs/>
        </w:rPr>
        <w:t xml:space="preserve">(</w:t>
      </w:r>
      <w:hyperlink w:anchor="ref_CE2025AMR2026">
        <w:r>
          <w:rPr>
            <w:rStyle w:val="Hyperlink"/>
            <w:i/>
            <w:iCs/>
          </w:rPr>
          <w:t xml:space="preserve">2025a</w:t>
        </w:r>
      </w:hyperlink>
      <w:r>
        <w:rPr>
          <w:i/>
          <w:iCs/>
        </w:rPr>
        <w:t xml:space="preserve">)</w:t>
      </w:r>
      <w:r>
        <w:rPr>
          <w:i/>
          <w:iCs/>
        </w:rPr>
        <w:t xml:space="preserve">; BCE:</w:t>
      </w:r>
      <w:r>
        <w:rPr>
          <w:i/>
          <w:iCs/>
        </w:rPr>
        <w:t xml:space="preserve"> </w:t>
      </w:r>
      <w:r>
        <w:rPr>
          <w:i/>
          <w:iCs/>
          <w:smallCaps/>
        </w:rPr>
        <w:t xml:space="preserve">Banco Central Europeo</w:t>
      </w:r>
      <w:r>
        <w:rPr>
          <w:i/>
          <w:iCs/>
        </w:rPr>
        <w:t xml:space="preserve"> </w:t>
      </w:r>
      <w:r>
        <w:rPr>
          <w:i/>
          <w:iCs/>
        </w:rPr>
        <w:t xml:space="preserve">(</w:t>
      </w:r>
      <w:hyperlink w:anchor="ref_BCE2025Estrategia">
        <w:r>
          <w:rPr>
            <w:rStyle w:val="Hyperlink"/>
            <w:i/>
            <w:iCs/>
          </w:rPr>
          <w:t xml:space="preserve">2025b</w:t>
        </w:r>
      </w:hyperlink>
      <w:r>
        <w:rPr>
          <w:i/>
          <w:iCs/>
        </w:rPr>
        <w:t xml:space="preserve">)</w:t>
      </w:r>
      <w:r>
        <w:rPr>
          <w:i/>
          <w:iCs/>
        </w:rPr>
        <w:t xml:space="preserve">; NAWRU:</w:t>
      </w:r>
      <w:r>
        <w:rPr>
          <w:i/>
          <w:iCs/>
        </w:rPr>
        <w:t xml:space="preserve"> </w:t>
      </w:r>
      <w:r>
        <w:rPr>
          <w:i/>
          <w:iCs/>
          <w:smallCaps/>
        </w:rPr>
        <w:t xml:space="preserve">Comisión Europea</w:t>
      </w:r>
      <w:r>
        <w:rPr>
          <w:i/>
          <w:iCs/>
        </w:rPr>
        <w:t xml:space="preserve"> </w:t>
      </w:r>
      <w:r>
        <w:rPr>
          <w:i/>
          <w:iCs/>
        </w:rPr>
        <w:t xml:space="preserve">(</w:t>
      </w:r>
      <w:hyperlink w:anchor="ref_CE2026AMECO">
        <w:r>
          <w:rPr>
            <w:rStyle w:val="Hyperlink"/>
            <w:i/>
            <w:iCs/>
          </w:rPr>
          <w:t xml:space="preserve">2026</w:t>
        </w:r>
      </w:hyperlink>
      <w:r>
        <w:rPr>
          <w:i/>
          <w:iCs/>
        </w:rPr>
        <w:t xml:space="preserve">)</w:t>
      </w:r>
      <w:r>
        <w:rPr>
          <w:i/>
          <w:iCs/>
        </w:rPr>
        <w:t xml:space="preserve">; el resto, como en los capítulos </w:t>
      </w:r>
      <w:hyperlink w:anchor="sec_perfil">
        <w:r>
          <w:rPr>
            <w:rStyle w:val="Hyperlink"/>
            <w:i/>
            <w:iCs/>
          </w:rPr>
          <w:t xml:space="preserve">I</w:t>
        </w:r>
      </w:hyperlink>
      <w:r>
        <w:rPr>
          <w:i/>
          <w:iCs/>
        </w:rPr>
        <w:t xml:space="preserve"> </w:t>
      </w:r>
      <w:r>
        <w:rPr>
          <w:i/>
          <w:iCs/>
        </w:rPr>
        <w:t xml:space="preserve">y </w:t>
      </w:r>
      <w:hyperlink w:anchor="sec_factores">
        <w:r>
          <w:rPr>
            <w:rStyle w:val="Hyperlink"/>
            <w:i/>
            <w:iCs/>
          </w:rPr>
          <w:t xml:space="preserve">II</w:t>
        </w:r>
      </w:hyperlink>
      <w:r>
        <w:rPr>
          <w:i/>
          <w:iCs/>
        </w:rPr>
        <w:t xml:space="preserve">. Los indicadores del sistema financiero están en la tabla </w:t>
      </w:r>
      <w:hyperlink w:anchor="tab_indicadores_financiero">
        <w:r>
          <w:rPr>
            <w:rStyle w:val="Hyperlink"/>
            <w:i/>
            <w:iCs/>
          </w:rPr>
          <w:t xml:space="preserve">7</w:t>
        </w:r>
      </w:hyperlink>
      <w:r>
        <w:rPr>
          <w:i/>
          <w:iCs/>
        </w:rPr>
        <w:t xml:space="preserve"> </w:t>
      </w:r>
      <w:r>
        <w:rPr>
          <w:i/>
          <w:iCs/>
        </w:rPr>
        <w:t xml:space="preserve">y la escala de calificaciones, en la tabla </w:t>
      </w:r>
      <w:hyperlink w:anchor="tab_calificaciones">
        <w:r>
          <w:rPr>
            <w:rStyle w:val="Hyperlink"/>
            <w:i/>
            <w:iCs/>
          </w:rPr>
          <w:t xml:space="preserve">2</w:t>
        </w:r>
      </w:hyperlink>
      <w:r>
        <w:rPr>
          <w:i/>
          <w:iCs/>
        </w:rPr>
        <w:t xml:space="preserve"> </w:t>
      </w:r>
      <w:r>
        <w:rPr>
          <w:i/>
          <w:iCs/>
        </w:rPr>
        <w:t xml:space="preserve">(apartado </w:t>
      </w:r>
      <w:hyperlink w:anchor="sec_fiscal">
        <w:r>
          <w:rPr>
            <w:rStyle w:val="Hyperlink"/>
            <w:i/>
            <w:iCs/>
          </w:rPr>
          <w:t xml:space="preserve">V.3</w:t>
        </w:r>
      </w:hyperlink>
      <w:r>
        <w:rPr>
          <w:i/>
          <w:iCs/>
        </w:rPr>
        <w:t xml:space="preserve">).</w:t>
      </w:r>
    </w:p>
    <w:bookmarkStart w:id="217" w:name="tab_indicadores_exterior"/>
    <w:p>
      <w:pPr>
        <w:pStyle w:val="TableCaption"/>
      </w:pPr>
      <w:r>
        <w:t xml:space="preserve">Tabla 6.–</w:t>
      </w:r>
      <w:r>
        <w:t xml:space="preserve"> </w:t>
      </w:r>
      <w:r>
        <w:t xml:space="preserve">Indicadores del sector exterior y de las cuentas públicas</w:t>
      </w:r>
    </w:p>
    <w:tbl>
      <w:tblPr>
        <w:tblStyle w:val="Table"/>
        <w:tblW w:type="auto" w:w="0"/>
        <w:tblLook w:firstRow="1" w:lastRow="0" w:firstColumn="0" w:lastColumn="0" w:noHBand="0" w:noVBand="0" w:val="0020"/>
        <w:tblCaption w:val="Tabla 6.– Indicadores del sector exterior y de las cuentas públicas"/>
      </w:tblPr>
      <w:tblGrid>
        <w:gridCol w:w="1584"/>
        <w:gridCol w:w="1584"/>
        <w:gridCol w:w="1584"/>
        <w:gridCol w:w="1584"/>
        <w:gridCol w:w="1584"/>
      </w:tblGrid>
      <w:tr>
        <w:trPr>
          <w:cantSplit/>
          <w:tblHeader w:val="on"/>
        </w:trPr>
        <w:tc>
          <w:tcPr>
            <w:shd w:val="clear" w:color="auto" w:fill="DDEBF7"/>
          </w:tcPr>
          <w:tcPr/>
          <w:p>
            <w:pPr>
              <w:pStyle w:val="Celdatceeazulpalido"/>
              <w:keepNext/>
              <w:jc w:val="left"/>
            </w:pPr>
            <w:r>
              <w:t xml:space="preserve"> </w:t>
            </w:r>
            <w:r>
              <w:rPr>
                <w:b/>
                <w:bCs/>
              </w:rPr>
              <w:t xml:space="preserve">Indicador</w:t>
            </w:r>
          </w:p>
        </w:tc>
        <w:tc>
          <w:tcPr>
            <w:shd w:val="clear" w:color="auto" w:fill="DDEBF7"/>
          </w:tcPr>
          <w:tcPr/>
          <w:p>
            <w:pPr>
              <w:pStyle w:val="Celdatceeazulpalido"/>
              <w:keepNext/>
              <w:jc w:val="left"/>
            </w:pPr>
            <w:r>
              <w:rPr>
                <w:b/>
                <w:bCs/>
              </w:rPr>
              <w:t xml:space="preserve">Cálculo</w:t>
            </w:r>
          </w:p>
        </w:tc>
        <w:tc>
          <w:tcPr>
            <w:shd w:val="clear" w:color="auto" w:fill="DDEBF7"/>
          </w:tcPr>
          <w:tcPr/>
          <w:p>
            <w:pPr>
              <w:pStyle w:val="Celdatceeazulpalido"/>
              <w:keepNext/>
              <w:jc w:val="left"/>
            </w:pPr>
            <w:r>
              <w:rPr>
                <w:b/>
                <w:bCs/>
              </w:rPr>
              <w:t xml:space="preserve">Referencia oficial</w:t>
            </w:r>
          </w:p>
        </w:tc>
        <w:tc>
          <w:tcPr>
            <w:shd w:val="clear" w:color="auto" w:fill="DDEBF7"/>
          </w:tcPr>
          <w:tcPr/>
          <w:p>
            <w:pPr>
              <w:pStyle w:val="Celdatceeazulpalido"/>
              <w:keepNext/>
              <w:jc w:val="left"/>
            </w:pPr>
            <w:r>
              <w:rPr>
                <w:b/>
                <w:bCs/>
              </w:rPr>
              <w:t xml:space="preserve">Referencia orientativa</w:t>
            </w:r>
          </w:p>
        </w:tc>
        <w:tc>
          <w:tcPr>
            <w:shd w:val="clear" w:color="auto" w:fill="DDEBF7"/>
          </w:tcPr>
          <w:tcPr/>
          <w:p>
            <w:pPr>
              <w:pStyle w:val="Celdatceeazulpalido"/>
              <w:keepNext/>
              <w:jc w:val="left"/>
            </w:pPr>
            <w:r>
              <w:rPr>
                <w:b/>
                <w:bCs/>
              </w:rPr>
              <w:t xml:space="preserve">Tema</w:t>
            </w:r>
          </w:p>
        </w:tc>
      </w:tr>
      <w:tr>
        <w:trPr>
          <w:cantSplit/>
        </w:trPr>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r>
      <w:tr>
        <w:trPr>
          <w:cantSplit/>
        </w:trPr>
        <w:tc>
          <w:tcPr/>
          <w:p>
            <w:pPr>
              <w:pStyle w:val="Compact"/>
              <w:jc w:val="left"/>
            </w:pPr>
            <w:r>
              <w:t xml:space="preserve">Tipo de cambio efectivo real</w:t>
            </w:r>
          </w:p>
        </w:tc>
        <w:tc>
          <w:tcPr/>
          <w:p>
            <w:pPr>
              <w:pStyle w:val="Compact"/>
              <w:jc w:val="left"/>
            </w:pPr>
            <m:oMath>
              <m:sSup>
                <m:e>
                  <m:r>
                    <m:t>q</m:t>
                  </m:r>
                </m:e>
                <m:sup>
                  <m:r>
                    <m:t>e</m:t>
                  </m:r>
                  <m:r>
                    <m:t>f</m:t>
                  </m:r>
                </m:sup>
              </m:sSup>
            </m:oMath>
            <w:r>
              <w:t xml:space="preserve">, variación en 3 años</w:t>
            </w:r>
          </w:p>
        </w:tc>
        <w:tc>
          <w:tcPr/>
          <w:p>
            <w:pPr>
              <w:pStyle w:val="Compact"/>
              <w:jc w:val="left"/>
            </w:pPr>
            <w:r>
              <w:t xml:space="preserve">PDM:</w:t>
            </w:r>
            <w:r>
              <w:t xml:space="preserve"> </w:t>
            </w:r>
            <m:oMath>
              <m:r>
                <m:rPr>
                  <m:sty m:val="p"/>
                </m:rPr>
                <m:t>±</m:t>
              </m:r>
              <m:r>
                <m:t>3</m:t>
              </m:r>
              <m:r>
                <m:t> </m:t>
              </m:r>
              <m:r>
                <m:rPr>
                  <m:sty m:val="p"/>
                </m:rPr>
                <m:t>%</m:t>
              </m:r>
            </m:oMath>
            <w:r>
              <w:t xml:space="preserve"> </w:t>
            </w:r>
            <w:r>
              <w:t xml:space="preserve">(euro),</w:t>
            </w:r>
            <w:r>
              <w:t xml:space="preserve"> </w:t>
            </w:r>
            <m:oMath>
              <m:r>
                <m:rPr>
                  <m:sty m:val="p"/>
                </m:rPr>
                <m:t>±</m:t>
              </m:r>
              <m:r>
                <m:t>10</m:t>
              </m:r>
              <m:r>
                <m:t> </m:t>
              </m:r>
              <m:r>
                <m:rPr>
                  <m:sty m:val="p"/>
                </m:rPr>
                <m:t>%</m:t>
              </m:r>
            </m:oMath>
            <w:r>
              <w:t xml:space="preserve"> </w:t>
            </w:r>
            <w:r>
              <w:t xml:space="preserve">(resto)</w:t>
            </w:r>
          </w:p>
        </w:tc>
        <w:tc>
          <w:tcPr/>
          <w:p>
            <w:pPr>
              <w:pStyle w:val="Compact"/>
              <w:jc w:val="left"/>
            </w:pPr>
            <w:r>
              <w:t xml:space="preserve">Ojo: el BCE lo publica al revés (sube = apreciación)</w:t>
            </w:r>
          </w:p>
        </w:tc>
        <w:tc>
          <w:tcPr/>
          <w:p>
            <w:pPr>
              <w:pStyle w:val="Compact"/>
              <w:jc w:val="left"/>
            </w:pPr>
            <w:hyperlink r:id="rId123">
              <w:r>
                <w:rPr>
                  <w:rStyle w:val="Referenciaatema"/>
                </w:rPr>
                <w:t xml:space="preserve">[ver tema 3.B.13]</w:t>
              </w:r>
            </w:hyperlink>
          </w:p>
        </w:tc>
      </w:tr>
      <w:tr>
        <w:trPr>
          <w:cantSplit/>
        </w:trPr>
        <w:tc>
          <w:tcPr/>
          <w:p>
            <w:pPr>
              <w:pStyle w:val="Compact"/>
              <w:jc w:val="left"/>
            </w:pPr>
            <w:r>
              <w:t xml:space="preserve">Resultados de exportación</w:t>
            </w:r>
          </w:p>
        </w:tc>
        <w:tc>
          <w:tcPr/>
          <w:p>
            <w:pPr>
              <w:pStyle w:val="Compact"/>
              <w:jc w:val="left"/>
            </w:pPr>
            <w:r>
              <w:t xml:space="preserve">frente a las avanzadas, en 3 años</w:t>
            </w:r>
          </w:p>
        </w:tc>
        <w:tc>
          <w:tcPr/>
          <w:p>
            <w:pPr>
              <w:pStyle w:val="Compact"/>
              <w:jc w:val="left"/>
            </w:pPr>
            <w:r>
              <w:t xml:space="preserve">PDM:</w:t>
            </w:r>
            <w:r>
              <w:t xml:space="preserve"> </w:t>
            </w:r>
            <m:oMath>
              <m:r>
                <m:rPr>
                  <m:sty m:val="p"/>
                </m:rPr>
                <m:t>−</m:t>
              </m:r>
              <m:r>
                <m:t>3</m:t>
              </m:r>
              <m:r>
                <m:t> </m:t>
              </m:r>
              <m:r>
                <m:rPr>
                  <m:sty m:val="p"/>
                </m:rPr>
                <m:t>%</m:t>
              </m:r>
            </m:oMath>
          </w:p>
        </w:tc>
        <w:tc>
          <w:tcPr/>
          <w:p>
            <w:pPr>
              <w:pStyle w:val="Compact"/>
              <w:jc w:val="left"/>
            </w:pPr>
            <w:r>
              <w:t xml:space="preserve">Cuota que cae sin perder precio: no precio</w:t>
            </w:r>
          </w:p>
        </w:tc>
        <w:tc>
          <w:tcPr/>
          <w:p>
            <w:pPr>
              <w:pStyle w:val="Compact"/>
              <w:jc w:val="left"/>
            </w:pPr>
            <w:hyperlink r:id="rId94">
              <w:r>
                <w:rPr>
                  <w:rStyle w:val="Referenciaatema"/>
                </w:rPr>
                <w:t xml:space="preserve">[ver tema 4.A.22]</w:t>
              </w:r>
            </w:hyperlink>
          </w:p>
        </w:tc>
      </w:tr>
      <w:tr>
        <w:trPr>
          <w:cantSplit/>
        </w:trPr>
        <w:tc>
          <w:tcPr/>
          <w:p>
            <w:pPr>
              <w:pStyle w:val="Compact"/>
              <w:jc w:val="left"/>
            </w:pPr>
            <w:r>
              <w:t xml:space="preserve">Apertura</w:t>
            </w:r>
          </w:p>
        </w:tc>
        <w:tc>
          <w:tcPr/>
          <w:p>
            <w:pPr>
              <w:pStyle w:val="Compact"/>
              <w:jc w:val="left"/>
            </w:pPr>
            <m:oMath>
              <m:d>
                <m:dPr>
                  <m:begChr m:val="("/>
                  <m:sepChr m:val=""/>
                  <m:endChr m:val=")"/>
                  <m:grow/>
                </m:dPr>
                <m:e>
                  <m:r>
                    <m:t>X</m:t>
                  </m:r>
                  <m:r>
                    <m:rPr>
                      <m:sty m:val="p"/>
                    </m:rPr>
                    <m:t>+</m:t>
                  </m:r>
                  <m:r>
                    <m:t>M</m:t>
                  </m:r>
                </m:e>
              </m:d>
              <m:r>
                <m:rPr>
                  <m:sty m:val="p"/>
                </m:rPr>
                <m:t>/</m:t>
              </m:r>
              <m:r>
                <m:rPr>
                  <m:sty m:val="p"/>
                </m:rPr>
                <m:t>P</m:t>
              </m:r>
              <m:r>
                <m:rPr>
                  <m:sty m:val="p"/>
                </m:rPr>
                <m:t>I</m:t>
              </m:r>
              <m:r>
                <m:rPr>
                  <m:sty m:val="p"/>
                </m:rPr>
                <m:t>B</m:t>
              </m:r>
            </m:oMath>
          </w:p>
        </w:tc>
        <w:tc>
          <w:tcPr/>
          <w:p>
            <w:pPr>
              <w:pStyle w:val="Compact"/>
              <w:jc w:val="left"/>
            </w:pPr>
            <w:r>
              <w:t xml:space="preserve">—</w:t>
            </w:r>
          </w:p>
        </w:tc>
        <w:tc>
          <w:tcPr/>
          <w:p>
            <w:pPr>
              <w:pStyle w:val="Compact"/>
              <w:jc w:val="left"/>
            </w:pPr>
            <m:oMath>
              <m:r>
                <m:rPr>
                  <m:sty m:val="p"/>
                </m:rPr>
                <m:t>&lt;</m:t>
              </m:r>
              <m:r>
                <m:t>15</m:t>
              </m:r>
            </m:oMath>
            <w:r>
              <w:t xml:space="preserve">-20 % cerrada;</w:t>
            </w:r>
            <w:r>
              <w:t xml:space="preserve"> </w:t>
            </w:r>
            <m:oMath>
              <m:r>
                <m:rPr>
                  <m:sty m:val="p"/>
                </m:rPr>
                <m:t>≈</m:t>
              </m:r>
              <m:r>
                <m:t>50</m:t>
              </m:r>
              <m:r>
                <m:t> </m:t>
              </m:r>
              <m:r>
                <m:rPr>
                  <m:sty m:val="p"/>
                </m:rPr>
                <m:t>%</m:t>
              </m:r>
            </m:oMath>
            <w:r>
              <w:t xml:space="preserve"> </w:t>
            </w:r>
            <w:r>
              <w:t xml:space="preserve">normal;</w:t>
            </w:r>
            <w:r>
              <w:t xml:space="preserve"> </w:t>
            </w:r>
            <m:oMath>
              <m:r>
                <m:rPr>
                  <m:sty m:val="p"/>
                </m:rPr>
                <m:t>&gt;</m:t>
              </m:r>
              <m:r>
                <m:t>75</m:t>
              </m:r>
              <m:r>
                <m:t> </m:t>
              </m:r>
              <m:r>
                <m:rPr>
                  <m:sty m:val="p"/>
                </m:rPr>
                <m:t>%</m:t>
              </m:r>
            </m:oMath>
            <w:r>
              <w:t xml:space="preserve"> </w:t>
            </w:r>
            <w:r>
              <w:t xml:space="preserve">muy abierta</w:t>
            </w:r>
          </w:p>
        </w:tc>
        <w:tc>
          <w:tcPr/>
          <w:p>
            <w:pPr>
              <w:pStyle w:val="Compact"/>
              <w:jc w:val="left"/>
            </w:pPr>
            <w:hyperlink r:id="rId137">
              <w:r>
                <w:rPr>
                  <w:rStyle w:val="Referenciaatema"/>
                </w:rPr>
                <w:t xml:space="preserve">[ver tema 3.B.9]</w:t>
              </w:r>
            </w:hyperlink>
          </w:p>
        </w:tc>
      </w:tr>
      <w:tr>
        <w:trPr>
          <w:cantSplit/>
        </w:trPr>
        <w:tc>
          <w:tcPr/>
          <w:p>
            <w:pPr>
              <w:pStyle w:val="Compact"/>
              <w:jc w:val="left"/>
            </w:pPr>
            <w:r>
              <w:t xml:space="preserve">Saldo por cuenta corriente</w:t>
            </w:r>
          </w:p>
        </w:tc>
        <w:tc>
          <w:tcPr/>
          <w:p>
            <w:pPr>
              <w:pStyle w:val="Compact"/>
              <w:jc w:val="left"/>
            </w:pPr>
            <m:oMath>
              <m:r>
                <m:rPr>
                  <m:sty m:val="p"/>
                </m:rPr>
                <m:t>C</m:t>
              </m:r>
              <m:r>
                <m:rPr>
                  <m:sty m:val="p"/>
                </m:rPr>
                <m:t>C</m:t>
              </m:r>
              <m:r>
                <m:rPr>
                  <m:sty m:val="p"/>
                </m:rPr>
                <m:t>/</m:t>
              </m:r>
              <m:r>
                <m:rPr>
                  <m:sty m:val="p"/>
                </m:rPr>
                <m:t>P</m:t>
              </m:r>
              <m:r>
                <m:rPr>
                  <m:sty m:val="p"/>
                </m:rPr>
                <m:t>I</m:t>
              </m:r>
              <m:r>
                <m:rPr>
                  <m:sty m:val="p"/>
                </m:rPr>
                <m:t>B</m:t>
              </m:r>
            </m:oMath>
            <w:r>
              <w:t xml:space="preserve">, media de 3 años</w:t>
            </w:r>
          </w:p>
        </w:tc>
        <w:tc>
          <w:tcPr/>
          <w:p>
            <w:pPr>
              <w:pStyle w:val="Compact"/>
              <w:jc w:val="left"/>
            </w:pPr>
            <w:r>
              <w:t xml:space="preserve">PDM:</w:t>
            </w:r>
            <w:r>
              <w:t xml:space="preserve"> </w:t>
            </w:r>
            <m:oMath>
              <m:r>
                <m:rPr>
                  <m:sty m:val="p"/>
                </m:rPr>
                <m:t>−</m:t>
              </m:r>
              <m:r>
                <m:t>4</m:t>
              </m:r>
              <m:r>
                <m:t> </m:t>
              </m:r>
              <m:r>
                <m:rPr>
                  <m:sty m:val="p"/>
                </m:rPr>
                <m:t>%</m:t>
              </m:r>
            </m:oMath>
            <w:r>
              <w:t xml:space="preserve"> </w:t>
            </w:r>
            <w:r>
              <w:t xml:space="preserve">y</w:t>
            </w:r>
            <w:r>
              <w:t xml:space="preserve"> </w:t>
            </w:r>
            <m:oMath>
              <m:r>
                <m:rPr>
                  <m:sty m:val="p"/>
                </m:rPr>
                <m:t>+</m:t>
              </m:r>
              <m:r>
                <m:t>6</m:t>
              </m:r>
              <m:r>
                <m:t> </m:t>
              </m:r>
              <m:r>
                <m:rPr>
                  <m:sty m:val="p"/>
                </m:rPr>
                <m:t>%</m:t>
              </m:r>
            </m:oMath>
          </w:p>
        </w:tc>
        <w:tc>
          <w:tcPr/>
          <w:p>
            <w:pPr>
              <w:pStyle w:val="Compact"/>
              <w:jc w:val="left"/>
            </w:pPr>
            <w:r>
              <w:t xml:space="preserve">Mirar ahorro, inversión y sectores</w:t>
            </w:r>
          </w:p>
        </w:tc>
        <w:tc>
          <w:tcPr/>
          <w:p>
            <w:pPr>
              <w:pStyle w:val="Compact"/>
              <w:jc w:val="left"/>
            </w:pPr>
            <w:hyperlink r:id="rId42">
              <w:r>
                <w:rPr>
                  <w:rStyle w:val="Referenciaatema"/>
                </w:rPr>
                <w:t xml:space="preserve">[ver tema 3.B.11]</w:t>
              </w:r>
            </w:hyperlink>
          </w:p>
        </w:tc>
      </w:tr>
      <w:tr>
        <w:trPr>
          <w:cantSplit/>
        </w:trPr>
        <w:tc>
          <w:tcPr/>
          <w:p>
            <w:pPr>
              <w:pStyle w:val="Compact"/>
              <w:jc w:val="left"/>
            </w:pPr>
            <w:r>
              <w:t xml:space="preserve">PIIN</w:t>
            </w:r>
          </w:p>
        </w:tc>
        <w:tc>
          <w:tcPr/>
          <w:p>
            <w:pPr>
              <w:pStyle w:val="Compact"/>
              <w:jc w:val="left"/>
            </w:pPr>
            <w:r>
              <w:t xml:space="preserve">activos</w:t>
            </w:r>
            <w:r>
              <w:t xml:space="preserve"> </w:t>
            </w:r>
            <m:oMath>
              <m:r>
                <m:rPr>
                  <m:sty m:val="p"/>
                </m:rPr>
                <m:t>−</m:t>
              </m:r>
            </m:oMath>
            <w:r>
              <w:t xml:space="preserve"> </w:t>
            </w:r>
            <w:r>
              <w:t xml:space="preserve">pasivos exteriores</w:t>
            </w:r>
          </w:p>
        </w:tc>
        <w:tc>
          <w:tcPr/>
          <w:p>
            <w:pPr>
              <w:pStyle w:val="Compact"/>
              <w:jc w:val="left"/>
            </w:pPr>
            <w:r>
              <w:t xml:space="preserve">PDM:</w:t>
            </w:r>
            <w:r>
              <w:t xml:space="preserve"> </w:t>
            </w:r>
            <m:oMath>
              <m:r>
                <m:rPr>
                  <m:sty m:val="p"/>
                </m:rPr>
                <m:t>−</m:t>
              </m:r>
              <m:r>
                <m:t>35</m:t>
              </m:r>
              <m:r>
                <m:t> </m:t>
              </m:r>
              <m:r>
                <m:rPr>
                  <m:sty m:val="p"/>
                </m:rPr>
                <m:t>%</m:t>
              </m:r>
            </m:oMath>
            <w:r>
              <w:t xml:space="preserve"> </w:t>
            </w:r>
            <w:r>
              <w:t xml:space="preserve">del PIB</w:t>
            </w:r>
          </w:p>
        </w:tc>
        <w:tc>
          <w:tcPr/>
          <w:p>
            <w:pPr>
              <w:pStyle w:val="Compact"/>
              <w:jc w:val="left"/>
            </w:pPr>
            <w:r>
              <w:t xml:space="preserve">Mirar instrumentos, plazos y monedas</w:t>
            </w:r>
          </w:p>
        </w:tc>
        <w:tc>
          <w:tcPr/>
          <w:p>
            <w:pPr>
              <w:pStyle w:val="Compact"/>
              <w:jc w:val="left"/>
            </w:pPr>
            <w:hyperlink r:id="rId125">
              <w:r>
                <w:rPr>
                  <w:rStyle w:val="Referenciaatema"/>
                </w:rPr>
                <w:t xml:space="preserve">[ver tema 3.B.12]</w:t>
              </w:r>
            </w:hyperlink>
          </w:p>
        </w:tc>
      </w:tr>
      <w:tr>
        <w:trPr>
          <w:cantSplit/>
        </w:trPr>
        <w:tc>
          <w:tcPr/>
          <w:p>
            <w:pPr>
              <w:pStyle w:val="Compact"/>
              <w:jc w:val="left"/>
            </w:pPr>
            <w:r>
              <w:t xml:space="preserve">Deuda externa bruta</w:t>
            </w:r>
          </w:p>
        </w:tc>
        <w:tc>
          <w:tcPr/>
          <w:p>
            <w:pPr>
              <w:pStyle w:val="Compact"/>
              <w:jc w:val="left"/>
            </w:pPr>
            <w:r>
              <w:t xml:space="preserve">pasivos exigibles/PIB</w:t>
            </w:r>
          </w:p>
        </w:tc>
        <w:tc>
          <w:tcPr/>
          <w:p>
            <w:pPr>
              <w:pStyle w:val="Compact"/>
              <w:jc w:val="left"/>
            </w:pPr>
            <w:r>
              <w:t xml:space="preserve">—</w:t>
            </w:r>
          </w:p>
        </w:tc>
        <w:tc>
          <w:tcPr/>
          <w:p>
            <w:pPr>
              <w:pStyle w:val="Compact"/>
              <w:jc w:val="left"/>
            </w:pPr>
            <w:r>
              <w:t xml:space="preserve"> % y 200 % (regla práctica; no sirve para el euro)</w:t>
            </w:r>
          </w:p>
        </w:tc>
        <w:tc>
          <w:tcPr/>
          <w:p>
            <w:pPr>
              <w:pStyle w:val="Compact"/>
              <w:jc w:val="left"/>
            </w:pPr>
            <w:hyperlink r:id="rId215">
              <w:r>
                <w:rPr>
                  <w:rStyle w:val="Referenciaatema"/>
                </w:rPr>
                <w:t xml:space="preserve">[ver tema 3.B.29]</w:t>
              </w:r>
            </w:hyperlink>
          </w:p>
        </w:tc>
      </w:tr>
      <w:tr>
        <w:trPr>
          <w:cantSplit/>
        </w:trPr>
        <w:tc>
          <w:tcPr/>
          <w:p>
            <w:pPr>
              <w:pStyle w:val="Compact"/>
              <w:jc w:val="left"/>
            </w:pPr>
            <w:r>
              <w:t xml:space="preserve">Reservas</w:t>
            </w:r>
          </w:p>
        </w:tc>
        <w:tc>
          <w:tcPr/>
          <w:p>
            <w:pPr>
              <w:pStyle w:val="Compact"/>
              <w:jc w:val="left"/>
            </w:pPr>
            <w:r>
              <w:t xml:space="preserve">/importaciones; /deuda a corto; /M2</w:t>
            </w:r>
          </w:p>
        </w:tc>
        <w:tc>
          <w:tcPr/>
          <w:p>
            <w:pPr>
              <w:pStyle w:val="Compact"/>
              <w:jc w:val="left"/>
            </w:pPr>
            <w:r>
              <w:t xml:space="preserve">—</w:t>
            </w:r>
          </w:p>
        </w:tc>
        <w:tc>
          <w:tcPr/>
          <w:p>
            <w:pPr>
              <w:pStyle w:val="Compact"/>
              <w:jc w:val="left"/>
            </w:pPr>
            <w:r>
              <w:t xml:space="preserve">meses; 100 % (</w:t>
            </w:r>
            <w:r>
              <w:rPr>
                <w:smallCaps/>
              </w:rPr>
              <w:t xml:space="preserve">Greenspan</w:t>
            </w:r>
            <w:r>
              <w:t xml:space="preserve">-</w:t>
            </w:r>
            <w:r>
              <w:rPr>
                <w:smallCaps/>
              </w:rPr>
              <w:t xml:space="preserve">Guidotti</w:t>
            </w:r>
            <w:r>
              <w:t xml:space="preserve">); 20 % de M2</w:t>
            </w:r>
          </w:p>
        </w:tc>
        <w:tc>
          <w:tcPr/>
          <w:p>
            <w:pPr>
              <w:pStyle w:val="Compact"/>
              <w:jc w:val="left"/>
            </w:pPr>
            <w:hyperlink r:id="rId144">
              <w:r>
                <w:rPr>
                  <w:rStyle w:val="Referenciaatema"/>
                </w:rPr>
                <w:t xml:space="preserve">[ver tema 3.B.22]</w:t>
              </w:r>
            </w:hyperlink>
          </w:p>
        </w:tc>
      </w:tr>
      <w:tr>
        <w:trPr>
          <w:cantSplit/>
        </w:trPr>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c>
          <w:tcPr>
            <w:shd w:val="clear" w:color="auto" w:fill="E2EFD9"/>
          </w:tcPr>
          <w:tcPr/>
          <w:p>
            <w:pPr>
              <w:pStyle w:val="Celdatceesalvia"/>
              <w:jc w:val="left"/>
            </w:pPr>
            <w:r>
              <w:t/>
            </w:r>
          </w:p>
        </w:tc>
      </w:tr>
      <w:tr>
        <w:trPr>
          <w:cantSplit/>
        </w:trPr>
        <w:tc>
          <w:tcPr/>
          <w:p>
            <w:pPr>
              <w:pStyle w:val="Compact"/>
              <w:jc w:val="left"/>
            </w:pPr>
            <w:r>
              <w:t xml:space="preserve">Saldo público</w:t>
            </w:r>
          </w:p>
        </w:tc>
        <w:tc>
          <w:tcPr/>
          <w:p>
            <w:pPr>
              <w:pStyle w:val="Compact"/>
              <w:jc w:val="left"/>
            </w:pPr>
            <m:oMath>
              <m:r>
                <m:t>b</m:t>
              </m:r>
            </m:oMath>
          </w:p>
        </w:tc>
        <w:tc>
          <w:tcPr/>
          <w:p>
            <w:pPr>
              <w:pStyle w:val="Compact"/>
              <w:jc w:val="left"/>
            </w:pPr>
            <w:r>
              <w:t xml:space="preserve">Tratado:</w:t>
            </w:r>
            <w:r>
              <w:t xml:space="preserve"> </w:t>
            </w:r>
            <m:oMath>
              <m:r>
                <m:rPr>
                  <m:sty m:val="p"/>
                </m:rPr>
                <m:t>−</m:t>
              </m:r>
              <m:r>
                <m:t>3</m:t>
              </m:r>
              <m:r>
                <m:t> </m:t>
              </m:r>
              <m:r>
                <m:rPr>
                  <m:sty m:val="p"/>
                </m:rPr>
                <m:t>%</m:t>
              </m:r>
            </m:oMath>
            <w:r>
              <w:t xml:space="preserve"> </w:t>
            </w:r>
            <w:r>
              <w:t xml:space="preserve">del PIB</w:t>
            </w:r>
          </w:p>
        </w:tc>
        <w:tc>
          <w:tcPr/>
          <w:p>
            <w:pPr>
              <w:pStyle w:val="Compact"/>
              <w:jc w:val="left"/>
            </w:pPr>
            <w:r>
              <w:t xml:space="preserve">—</w:t>
            </w:r>
          </w:p>
        </w:tc>
        <w:tc>
          <w:tcPr/>
          <w:p>
            <w:pPr>
              <w:pStyle w:val="Compact"/>
              <w:jc w:val="left"/>
            </w:pPr>
            <w:hyperlink r:id="rId216">
              <w:r>
                <w:rPr>
                  <w:rStyle w:val="Referenciaatema"/>
                </w:rPr>
                <w:t xml:space="preserve">[ver tema 4.B.1]</w:t>
              </w:r>
            </w:hyperlink>
          </w:p>
        </w:tc>
      </w:tr>
      <w:tr>
        <w:trPr>
          <w:cantSplit/>
        </w:trPr>
        <w:tc>
          <w:tcPr/>
          <w:p>
            <w:pPr>
              <w:pStyle w:val="Compact"/>
              <w:jc w:val="left"/>
            </w:pPr>
            <w:r>
              <w:t xml:space="preserve">Esfuerzo fiscal</w:t>
            </w:r>
          </w:p>
        </w:tc>
        <w:tc>
          <w:tcPr/>
          <w:p>
            <w:pPr>
              <w:pStyle w:val="Compact"/>
              <w:jc w:val="left"/>
            </w:pPr>
            <m:oMath>
              <m:r>
                <m:t>Δ</m:t>
              </m:r>
              <m:sSup>
                <m:e>
                  <m:r>
                    <m:t>b</m:t>
                  </m:r>
                </m:e>
                <m:sup>
                  <m:r>
                    <m:t>p</m:t>
                  </m:r>
                  <m:r>
                    <m:t>e</m:t>
                  </m:r>
                </m:sup>
              </m:sSup>
            </m:oMath>
          </w:p>
        </w:tc>
        <w:tc>
          <w:tcPr/>
          <w:p>
            <w:pPr>
              <w:pStyle w:val="Compact"/>
              <w:jc w:val="left"/>
            </w:pPr>
            <w:r>
              <w:t xml:space="preserve">—</w:t>
            </w:r>
          </w:p>
        </w:tc>
        <w:tc>
          <w:tcPr/>
          <w:p>
            <w:pPr>
              <w:pStyle w:val="Compact"/>
              <w:jc w:val="left"/>
            </w:pPr>
            <m:oMath>
              <m:r>
                <m:rPr>
                  <m:sty m:val="p"/>
                </m:rPr>
                <m:t>&gt;</m:t>
              </m:r>
              <m:r>
                <m:t>0</m:t>
              </m:r>
            </m:oMath>
            <w:r>
              <w:t xml:space="preserve"> </w:t>
            </w:r>
            <w:r>
              <w:t xml:space="preserve">contractiva;</w:t>
            </w:r>
            <w:r>
              <w:t xml:space="preserve"> </w:t>
            </w:r>
            <m:oMath>
              <m:r>
                <m:rPr>
                  <m:sty m:val="p"/>
                </m:rPr>
                <m:t>≈</m:t>
              </m:r>
              <m:r>
                <m:t>0</m:t>
              </m:r>
            </m:oMath>
            <w:r>
              <w:t xml:space="preserve"> </w:t>
            </w:r>
            <w:r>
              <w:t xml:space="preserve">neutral;</w:t>
            </w:r>
            <w:r>
              <w:t xml:space="preserve"> </w:t>
            </w:r>
            <m:oMath>
              <m:r>
                <m:rPr>
                  <m:sty m:val="p"/>
                </m:rPr>
                <m:t>&lt;</m:t>
              </m:r>
              <m:r>
                <m:t>0</m:t>
              </m:r>
            </m:oMath>
            <w:r>
              <w:t xml:space="preserve"> </w:t>
            </w:r>
            <w:r>
              <w:t xml:space="preserve">expansiva</w:t>
            </w:r>
          </w:p>
        </w:tc>
        <w:tc>
          <w:tcPr/>
          <w:p>
            <w:pPr>
              <w:pStyle w:val="Compact"/>
              <w:jc w:val="left"/>
            </w:pPr>
            <w:hyperlink r:id="rId38">
              <w:r>
                <w:rPr>
                  <w:rStyle w:val="Referenciaatema"/>
                </w:rPr>
                <w:t xml:space="preserve">[ver tema 4.B.4]</w:t>
              </w:r>
            </w:hyperlink>
          </w:p>
        </w:tc>
      </w:tr>
      <w:tr>
        <w:trPr>
          <w:cantSplit/>
        </w:trPr>
        <w:tc>
          <w:tcPr/>
          <w:p>
            <w:pPr>
              <w:pStyle w:val="Compact"/>
              <w:jc w:val="left"/>
            </w:pPr>
            <w:r>
              <w:t xml:space="preserve">Deuda pública</w:t>
            </w:r>
          </w:p>
        </w:tc>
        <w:tc>
          <w:tcPr/>
          <w:p>
            <w:pPr>
              <w:pStyle w:val="Compact"/>
              <w:jc w:val="left"/>
            </w:pPr>
            <m:oMath>
              <m:r>
                <m:t>d</m:t>
              </m:r>
            </m:oMath>
          </w:p>
        </w:tc>
        <w:tc>
          <w:tcPr/>
          <w:p>
            <w:pPr>
              <w:pStyle w:val="Compact"/>
              <w:jc w:val="left"/>
            </w:pPr>
            <w:r>
              <w:t xml:space="preserve">Tratado: 60 %; baja de 1 pp/año si</w:t>
            </w:r>
            <w:r>
              <w:t xml:space="preserve"> </w:t>
            </w:r>
            <m:oMath>
              <m:r>
                <m:rPr>
                  <m:sty m:val="p"/>
                </m:rPr>
                <m:t>&gt;</m:t>
              </m:r>
              <m:r>
                <m:t>90</m:t>
              </m:r>
              <m:r>
                <m:t> </m:t>
              </m:r>
              <m:r>
                <m:rPr>
                  <m:sty m:val="p"/>
                </m:rPr>
                <m:t>%</m:t>
              </m:r>
            </m:oMath>
            <w:r>
              <w:t xml:space="preserve"> </w:t>
            </w:r>
            <w:r>
              <w:t xml:space="preserve">(0,5 entre 60 y 90 %); estructural hacia</w:t>
            </w:r>
            <w:r>
              <w:t xml:space="preserve"> </w:t>
            </w:r>
            <m:oMath>
              <m:r>
                <m:rPr>
                  <m:sty m:val="p"/>
                </m:rPr>
                <m:t>−</m:t>
              </m:r>
              <m:r>
                <m:t>1</m:t>
              </m:r>
              <m:r>
                <m:rPr>
                  <m:sty m:val="p"/>
                </m:rPr>
                <m:t>,</m:t>
              </m:r>
              <m:r>
                <m:t>5</m:t>
              </m:r>
              <m:r>
                <m:t> </m:t>
              </m:r>
              <m:r>
                <m:rPr>
                  <m:sty m:val="p"/>
                </m:rPr>
                <m:t>%</m:t>
              </m:r>
            </m:oMath>
          </w:p>
        </w:tc>
        <w:tc>
          <w:tcPr/>
          <w:p>
            <w:pPr>
              <w:pStyle w:val="Compact"/>
              <w:jc w:val="left"/>
            </w:pPr>
            <w:r>
              <w:t xml:space="preserve">—</w:t>
            </w:r>
          </w:p>
        </w:tc>
        <w:tc>
          <w:tcPr/>
          <w:p>
            <w:pPr>
              <w:pStyle w:val="Compact"/>
              <w:jc w:val="left"/>
            </w:pPr>
            <w:hyperlink r:id="rId59">
              <w:r>
                <w:rPr>
                  <w:rStyle w:val="Referenciaatema"/>
                </w:rPr>
                <w:t xml:space="preserve">[ver tema 3.A.39]</w:t>
              </w:r>
            </w:hyperlink>
          </w:p>
        </w:tc>
      </w:tr>
      <w:tr>
        <w:trPr>
          <w:cantSplit/>
        </w:trPr>
        <w:tc>
          <w:tcPr/>
          <w:p>
            <w:pPr>
              <w:pStyle w:val="Compact"/>
              <w:jc w:val="left"/>
            </w:pPr>
            <w:r>
              <w:t xml:space="preserve">Saldo primario estabilizador</w:t>
            </w:r>
          </w:p>
        </w:tc>
        <w:tc>
          <w:tcPr/>
          <w:p>
            <w:pPr>
              <w:pStyle w:val="Compact"/>
              <w:jc w:val="left"/>
            </w:pPr>
            <m:oMath>
              <m:f>
                <m:fPr>
                  <m:type m:val="bar"/>
                </m:fPr>
                <m:num>
                  <m:r>
                    <m:t>i</m:t>
                  </m:r>
                  <m:r>
                    <m:rPr>
                      <m:sty m:val="p"/>
                    </m:rPr>
                    <m:t>−</m:t>
                  </m:r>
                  <m:sSup>
                    <m:e>
                      <m:r>
                        <m:t>γ</m:t>
                      </m:r>
                    </m:e>
                    <m:sup>
                      <m:r>
                        <m:t>N</m:t>
                      </m:r>
                    </m:sup>
                  </m:sSup>
                </m:num>
                <m:den>
                  <m:r>
                    <m:t>1</m:t>
                  </m:r>
                  <m:r>
                    <m:rPr>
                      <m:sty m:val="p"/>
                    </m:rPr>
                    <m:t>+</m:t>
                  </m:r>
                  <m:sSup>
                    <m:e>
                      <m:r>
                        <m:t>γ</m:t>
                      </m:r>
                    </m:e>
                    <m:sup>
                      <m:r>
                        <m:t>N</m:t>
                      </m:r>
                    </m:sup>
                  </m:sSup>
                </m:den>
              </m:f>
              <m:r>
                <m:t> </m:t>
              </m:r>
              <m:r>
                <m:t>d</m:t>
              </m:r>
            </m:oMath>
          </w:p>
        </w:tc>
        <w:tc>
          <w:tcPr/>
          <w:p>
            <w:pPr>
              <w:pStyle w:val="Compact"/>
              <w:jc w:val="left"/>
            </w:pPr>
            <w:r>
              <w:t xml:space="preserve">—</w:t>
            </w:r>
          </w:p>
        </w:tc>
        <w:tc>
          <w:tcPr/>
          <w:p>
            <w:pPr>
              <w:pStyle w:val="Compact"/>
              <w:jc w:val="left"/>
            </w:pPr>
            <w:r>
              <w:t xml:space="preserve">Si</w:t>
            </w:r>
            <w:r>
              <w:t xml:space="preserve"> </w:t>
            </w:r>
            <m:oMath>
              <m:r>
                <m:t>i</m:t>
              </m:r>
              <m:r>
                <m:rPr>
                  <m:sty m:val="p"/>
                </m:rPr>
                <m:t>&gt;</m:t>
              </m:r>
              <m:sSup>
                <m:e>
                  <m:r>
                    <m:t>γ</m:t>
                  </m:r>
                </m:e>
                <m:sup>
                  <m:r>
                    <m:t>N</m:t>
                  </m:r>
                </m:sup>
              </m:sSup>
            </m:oMath>
            <w:r>
              <w:t xml:space="preserve">, superávit necesario</w:t>
            </w:r>
          </w:p>
        </w:tc>
        <w:tc>
          <w:tcPr/>
          <w:p>
            <w:pPr>
              <w:pStyle w:val="Compact"/>
              <w:jc w:val="left"/>
            </w:pPr>
            <w:hyperlink r:id="rId59">
              <w:r>
                <w:rPr>
                  <w:rStyle w:val="Referenciaatema"/>
                </w:rPr>
                <w:t xml:space="preserve">[ver tema 3.A.39]</w:t>
              </w:r>
            </w:hyperlink>
          </w:p>
        </w:tc>
      </w:tr>
      <w:tr>
        <w:trPr>
          <w:cantSplit/>
        </w:trPr>
        <w:tc>
          <w:tcPr/>
          <w:p>
            <w:pPr>
              <w:pStyle w:val="Compact"/>
              <w:jc w:val="left"/>
            </w:pPr>
            <w:r>
              <w:t xml:space="preserve">Calificación</w:t>
            </w:r>
          </w:p>
        </w:tc>
        <w:tc>
          <w:tcPr/>
          <w:p>
            <w:pPr>
              <w:pStyle w:val="Compact"/>
              <w:jc w:val="left"/>
            </w:pPr>
            <w:r>
              <w:t xml:space="preserve">escala de las agencias</w:t>
            </w:r>
          </w:p>
        </w:tc>
        <w:tc>
          <w:tcPr/>
          <w:p>
            <w:pPr>
              <w:pStyle w:val="Compact"/>
              <w:jc w:val="left"/>
            </w:pPr>
            <w:r>
              <w:t xml:space="preserve">Grado de inversión: BBB</w:t>
            </w:r>
            <m:oMath>
              <m:r>
                <m:rPr>
                  <m:sty m:val="p"/>
                </m:rPr>
                <m:t>−</m:t>
              </m:r>
            </m:oMath>
            <w:r>
              <w:t xml:space="preserve">/Baa3 o mejor (CQS 3 del Eurosistema)</w:t>
            </w:r>
          </w:p>
        </w:tc>
        <w:tc>
          <w:tcPr/>
          <w:p>
            <w:pPr>
              <w:pStyle w:val="Compact"/>
              <w:jc w:val="left"/>
            </w:pPr>
            <w:r>
              <w:t xml:space="preserve">—</w:t>
            </w:r>
          </w:p>
        </w:tc>
        <w:tc>
          <w:tcPr/>
          <w:p>
            <w:pPr>
              <w:pStyle w:val="Compact"/>
              <w:jc w:val="left"/>
            </w:pPr>
            <w:hyperlink r:id="rId179">
              <w:r>
                <w:rPr>
                  <w:rStyle w:val="Referenciaatema"/>
                </w:rPr>
                <w:t xml:space="preserve">[ver tema 4.B.26]</w:t>
              </w:r>
            </w:hyperlink>
          </w:p>
        </w:tc>
      </w:tr>
    </w:tbl>
    <w:bookmarkEnd w:id="217"/>
    <w:p>
      <w:pPr>
        <w:pStyle w:val="BodyText"/>
      </w:pPr>
      <w:r>
        <w:rPr>
          <w:i/>
          <w:iCs/>
        </w:rPr>
        <w:t xml:space="preserve">Fuente: PDM:</w:t>
      </w:r>
      <w:r>
        <w:rPr>
          <w:i/>
          <w:iCs/>
        </w:rPr>
        <w:t xml:space="preserve"> </w:t>
      </w:r>
      <w:r>
        <w:rPr>
          <w:i/>
          <w:iCs/>
          <w:smallCaps/>
        </w:rPr>
        <w:t xml:space="preserve">Comisión Europea</w:t>
      </w:r>
      <w:r>
        <w:rPr>
          <w:i/>
          <w:iCs/>
        </w:rPr>
        <w:t xml:space="preserve"> </w:t>
      </w:r>
      <w:r>
        <w:rPr>
          <w:i/>
          <w:iCs/>
        </w:rPr>
        <w:t xml:space="preserve">(</w:t>
      </w:r>
      <w:hyperlink w:anchor="ref_CE2025AMR2026">
        <w:r>
          <w:rPr>
            <w:rStyle w:val="Hyperlink"/>
            <w:i/>
            <w:iCs/>
          </w:rPr>
          <w:t xml:space="preserve">2025a</w:t>
        </w:r>
      </w:hyperlink>
      <w:r>
        <w:rPr>
          <w:i/>
          <w:iCs/>
        </w:rPr>
        <w:t xml:space="preserve">)</w:t>
      </w:r>
      <w:r>
        <w:rPr>
          <w:i/>
          <w:iCs/>
        </w:rPr>
        <w:t xml:space="preserve">; Tratado y reglas:</w:t>
      </w:r>
      <w:r>
        <w:rPr>
          <w:i/>
          <w:iCs/>
        </w:rPr>
        <w:t xml:space="preserve"> </w:t>
      </w:r>
      <w:r>
        <w:rPr>
          <w:i/>
          <w:iCs/>
          <w:smallCaps/>
        </w:rPr>
        <w:t xml:space="preserve">Unión Europea</w:t>
      </w:r>
      <w:r>
        <w:rPr>
          <w:i/>
          <w:iCs/>
        </w:rPr>
        <w:t xml:space="preserve"> </w:t>
      </w:r>
      <w:r>
        <w:rPr>
          <w:i/>
          <w:iCs/>
        </w:rPr>
        <w:t xml:space="preserve">(</w:t>
      </w:r>
      <w:hyperlink w:anchor="ref_TFUE2012Protocolo12">
        <w:r>
          <w:rPr>
            <w:rStyle w:val="Hyperlink"/>
            <w:i/>
            <w:iCs/>
          </w:rPr>
          <w:t xml:space="preserve">2012</w:t>
        </w:r>
      </w:hyperlink>
      <w:r>
        <w:rPr>
          <w:i/>
          <w:iCs/>
        </w:rPr>
        <w:t xml:space="preserve">;</w:t>
      </w:r>
      <w:r>
        <w:rPr>
          <w:i/>
          <w:iCs/>
        </w:rPr>
        <w:t xml:space="preserve"> </w:t>
      </w:r>
      <w:hyperlink w:anchor="ref_RegUE2024Preventivo">
        <w:r>
          <w:rPr>
            <w:rStyle w:val="Hyperlink"/>
            <w:i/>
            <w:iCs/>
            <w:smallCaps/>
          </w:rPr>
          <w:t xml:space="preserve">Parlamento Europeo y Consejo de la Unión Europea</w:t>
        </w:r>
        <w:r>
          <w:rPr>
            <w:rStyle w:val="Hyperlink"/>
            <w:i/>
            <w:iCs/>
          </w:rPr>
          <w:t xml:space="preserve">, 2024a</w:t>
        </w:r>
      </w:hyperlink>
      <w:r>
        <w:rPr>
          <w:i/>
          <w:iCs/>
        </w:rPr>
        <w:t xml:space="preserve">;</w:t>
      </w:r>
      <w:r>
        <w:rPr>
          <w:i/>
          <w:iCs/>
        </w:rPr>
        <w:t xml:space="preserve"> </w:t>
      </w:r>
      <w:hyperlink w:anchor="ref_RegUE2024Correctivo">
        <w:r>
          <w:rPr>
            <w:rStyle w:val="Hyperlink"/>
            <w:i/>
            <w:iCs/>
            <w:smallCaps/>
          </w:rPr>
          <w:t xml:space="preserve">Consejo de la Unión Europea</w:t>
        </w:r>
        <w:r>
          <w:rPr>
            <w:rStyle w:val="Hyperlink"/>
            <w:i/>
            <w:iCs/>
          </w:rPr>
          <w:t xml:space="preserve">, 2024</w:t>
        </w:r>
      </w:hyperlink>
      <w:r>
        <w:rPr>
          <w:i/>
          <w:iCs/>
        </w:rPr>
        <w:t xml:space="preserve">)</w:t>
      </w:r>
      <w:r>
        <w:rPr>
          <w:i/>
          <w:iCs/>
        </w:rPr>
        <w:t xml:space="preserve">; reservas:</w:t>
      </w:r>
      <w:r>
        <w:rPr>
          <w:i/>
          <w:iCs/>
        </w:rPr>
        <w:t xml:space="preserve"> </w:t>
      </w:r>
      <w:r>
        <w:rPr>
          <w:i/>
          <w:iCs/>
          <w:smallCaps/>
        </w:rPr>
        <w:t xml:space="preserve">Fondo Monetario Internacional</w:t>
      </w:r>
      <w:r>
        <w:rPr>
          <w:i/>
          <w:iCs/>
        </w:rPr>
        <w:t xml:space="preserve"> </w:t>
      </w:r>
      <w:r>
        <w:rPr>
          <w:i/>
          <w:iCs/>
        </w:rPr>
        <w:t xml:space="preserve">(</w:t>
      </w:r>
      <w:hyperlink w:anchor="ref_FMI2011Reservas">
        <w:r>
          <w:rPr>
            <w:rStyle w:val="Hyperlink"/>
            <w:i/>
            <w:iCs/>
          </w:rPr>
          <w:t xml:space="preserve">2011</w:t>
        </w:r>
      </w:hyperlink>
      <w:r>
        <w:rPr>
          <w:i/>
          <w:iCs/>
        </w:rPr>
        <w:t xml:space="preserve">)</w:t>
      </w:r>
      <w:r>
        <w:rPr>
          <w:i/>
          <w:iCs/>
        </w:rPr>
        <w:t xml:space="preserve">; calificaciones:</w:t>
      </w:r>
      <w:r>
        <w:rPr>
          <w:i/>
          <w:iCs/>
        </w:rPr>
        <w:t xml:space="preserve"> </w:t>
      </w:r>
      <w:r>
        <w:rPr>
          <w:i/>
          <w:iCs/>
          <w:smallCaps/>
        </w:rPr>
        <w:t xml:space="preserve">Banco Central Europeo</w:t>
      </w:r>
      <w:r>
        <w:rPr>
          <w:i/>
          <w:iCs/>
        </w:rPr>
        <w:t xml:space="preserve"> </w:t>
      </w:r>
      <w:r>
        <w:rPr>
          <w:i/>
          <w:iCs/>
        </w:rPr>
        <w:t xml:space="preserve">(</w:t>
      </w:r>
      <w:hyperlink w:anchor="ref_BCE2026ECAF">
        <w:r>
          <w:rPr>
            <w:rStyle w:val="Hyperlink"/>
            <w:i/>
            <w:iCs/>
          </w:rPr>
          <w:t xml:space="preserve">2026e</w:t>
        </w:r>
      </w:hyperlink>
      <w:r>
        <w:rPr>
          <w:i/>
          <w:iCs/>
        </w:rPr>
        <w:t xml:space="preserve">)</w:t>
      </w:r>
      <w:r>
        <w:rPr>
          <w:i/>
          <w:iCs/>
        </w:rPr>
        <w:t xml:space="preserve">.</w:t>
      </w:r>
    </w:p>
    <w:bookmarkStart w:id="219" w:name="tab_indicadores_financiero"/>
    <w:p>
      <w:pPr>
        <w:pStyle w:val="TableCaption"/>
      </w:pPr>
      <w:r>
        <w:t xml:space="preserve">Tabla 7.–</w:t>
      </w:r>
      <w:r>
        <w:t xml:space="preserve"> </w:t>
      </w:r>
      <w:r>
        <w:t xml:space="preserve">Indicadores del sistema financiero</w:t>
      </w:r>
    </w:p>
    <w:tbl>
      <w:tblPr>
        <w:tblStyle w:val="Table"/>
        <w:tblW w:type="auto" w:w="0"/>
        <w:tblLook w:firstRow="1" w:lastRow="0" w:firstColumn="0" w:lastColumn="0" w:noHBand="0" w:noVBand="0" w:val="0020"/>
        <w:tblCaption w:val="Tabla 7.– Indicadores del sistema financiero"/>
      </w:tblPr>
      <w:tblGrid>
        <w:gridCol w:w="1584"/>
        <w:gridCol w:w="1584"/>
        <w:gridCol w:w="1584"/>
        <w:gridCol w:w="1584"/>
        <w:gridCol w:w="1584"/>
      </w:tblGrid>
      <w:tr>
        <w:trPr>
          <w:cantSplit/>
          <w:tblHeader w:val="on"/>
        </w:trPr>
        <w:tc>
          <w:tcPr>
            <w:shd w:val="clear" w:color="auto" w:fill="DDEBF7"/>
          </w:tcPr>
          <w:tcPr/>
          <w:p>
            <w:pPr>
              <w:pStyle w:val="Celdatceeazulpalido"/>
              <w:keepNext/>
              <w:jc w:val="left"/>
            </w:pPr>
            <w:r>
              <w:t xml:space="preserve"> </w:t>
            </w:r>
            <w:r>
              <w:rPr>
                <w:b/>
                <w:bCs/>
              </w:rPr>
              <w:t xml:space="preserve">Indicador</w:t>
            </w:r>
          </w:p>
        </w:tc>
        <w:tc>
          <w:tcPr>
            <w:shd w:val="clear" w:color="auto" w:fill="DDEBF7"/>
          </w:tcPr>
          <w:tcPr/>
          <w:p>
            <w:pPr>
              <w:pStyle w:val="Celdatceeazulpalido"/>
              <w:keepNext/>
              <w:jc w:val="left"/>
            </w:pPr>
            <w:r>
              <w:rPr>
                <w:b/>
                <w:bCs/>
              </w:rPr>
              <w:t xml:space="preserve">Cálculo</w:t>
            </w:r>
          </w:p>
        </w:tc>
        <w:tc>
          <w:tcPr>
            <w:shd w:val="clear" w:color="auto" w:fill="DDEBF7"/>
          </w:tcPr>
          <w:tcPr/>
          <w:p>
            <w:pPr>
              <w:pStyle w:val="Celdatceeazulpalido"/>
              <w:keepNext/>
              <w:jc w:val="left"/>
            </w:pPr>
            <w:r>
              <w:rPr>
                <w:b/>
                <w:bCs/>
              </w:rPr>
              <w:t xml:space="preserve">Referencia oficial</w:t>
            </w:r>
          </w:p>
        </w:tc>
        <w:tc>
          <w:tcPr>
            <w:shd w:val="clear" w:color="auto" w:fill="DDEBF7"/>
          </w:tcPr>
          <w:tcPr/>
          <w:p>
            <w:pPr>
              <w:pStyle w:val="Celdatceeazulpalido"/>
              <w:keepNext/>
              <w:jc w:val="left"/>
            </w:pPr>
            <w:r>
              <w:rPr>
                <w:b/>
                <w:bCs/>
              </w:rPr>
              <w:t xml:space="preserve">Referencia orientativa</w:t>
            </w:r>
          </w:p>
        </w:tc>
        <w:tc>
          <w:tcPr>
            <w:shd w:val="clear" w:color="auto" w:fill="DDEBF7"/>
          </w:tcPr>
          <w:tcPr/>
          <w:p>
            <w:pPr>
              <w:pStyle w:val="Celdatceeazulpalido"/>
              <w:keepNext/>
              <w:jc w:val="left"/>
            </w:pPr>
            <w:r>
              <w:rPr>
                <w:b/>
                <w:bCs/>
              </w:rPr>
              <w:t xml:space="preserve">Tema</w:t>
            </w:r>
          </w:p>
        </w:tc>
      </w:tr>
      <w:tr>
        <w:trPr>
          <w:cantSplit/>
        </w:trPr>
        <w:tc>
          <w:tcPr/>
          <w:p>
            <w:pPr>
              <w:pStyle w:val="Compact"/>
              <w:jc w:val="left"/>
            </w:pPr>
            <w:r>
              <w:t xml:space="preserve">CET1 / Tier 1 / total</w:t>
            </w:r>
          </w:p>
        </w:tc>
        <w:tc>
          <w:tcPr/>
          <w:p>
            <w:pPr>
              <w:pStyle w:val="Compact"/>
              <w:jc w:val="left"/>
            </w:pPr>
            <w:r>
              <w:t xml:space="preserve">recursos propios/APR</w:t>
            </w:r>
          </w:p>
        </w:tc>
        <w:tc>
          <w:tcPr/>
          <w:p>
            <w:pPr>
              <w:pStyle w:val="Compact"/>
              <w:jc w:val="left"/>
            </w:pPr>
            <w:r>
              <w:t xml:space="preserve">,5/6/8 % + 2,5 % de conservación</w:t>
            </w:r>
            <w:r>
              <w:t xml:space="preserve"> </w:t>
            </w:r>
            <m:oMath>
              <m:r>
                <m:rPr>
                  <m:sty m:val="p"/>
                </m:rPr>
                <m:t>=</m:t>
              </m:r>
            </m:oMath>
            <w:r>
              <w:t xml:space="preserve"> </w:t>
            </w:r>
            <w:r>
              <w:t xml:space="preserve">7/8,5/10,5 %; requisitos totales del MUS: 11,2 % CET1 y 15,6 % total</w:t>
            </w:r>
          </w:p>
        </w:tc>
        <w:tc>
          <w:tcPr/>
          <w:p>
            <w:pPr>
              <w:pStyle w:val="Compact"/>
              <w:jc w:val="left"/>
            </w:pPr>
            <w:r>
              <w:t xml:space="preserve">ABE: CET1</w:t>
            </w:r>
            <w:r>
              <w:t xml:space="preserve"> </w:t>
            </w:r>
            <m:oMath>
              <m:r>
                <m:rPr>
                  <m:sty m:val="p"/>
                </m:rPr>
                <m:t>&gt;</m:t>
              </m:r>
              <m:r>
                <m:t>14</m:t>
              </m:r>
              <m:r>
                <m:t> </m:t>
              </m:r>
              <m:r>
                <m:rPr>
                  <m:sty m:val="p"/>
                </m:rPr>
                <m:t>%</m:t>
              </m:r>
            </m:oMath>
            <w:r>
              <w:t xml:space="preserve"> </w:t>
            </w:r>
            <w:r>
              <w:t xml:space="preserve">holgado</w:t>
            </w:r>
          </w:p>
        </w:tc>
        <w:tc>
          <w:tcPr/>
          <w:p>
            <w:pPr>
              <w:pStyle w:val="Compact"/>
              <w:jc w:val="left"/>
            </w:pPr>
            <w:hyperlink r:id="rId108">
              <w:r>
                <w:rPr>
                  <w:rStyle w:val="Referenciaatema"/>
                </w:rPr>
                <w:t xml:space="preserve">[ver tema 3.B.27]</w:t>
              </w:r>
            </w:hyperlink>
          </w:p>
        </w:tc>
      </w:tr>
      <w:tr>
        <w:trPr>
          <w:cantSplit/>
        </w:trPr>
        <w:tc>
          <w:tcPr/>
          <w:p>
            <w:pPr>
              <w:pStyle w:val="Compact"/>
              <w:jc w:val="left"/>
            </w:pPr>
            <w:r>
              <w:t xml:space="preserve">Apalancamiento</w:t>
            </w:r>
          </w:p>
        </w:tc>
        <w:tc>
          <w:tcPr/>
          <w:p>
            <w:pPr>
              <w:pStyle w:val="Compact"/>
              <w:jc w:val="left"/>
            </w:pPr>
            <w:r>
              <w:t xml:space="preserve">Tier 1/exposición total</w:t>
            </w:r>
          </w:p>
        </w:tc>
        <w:tc>
          <w:tcPr/>
          <w:p>
            <w:pPr>
              <w:pStyle w:val="Compact"/>
              <w:jc w:val="left"/>
            </w:pPr>
            <w:r>
              <w:t xml:space="preserve"> %</w:t>
            </w:r>
          </w:p>
        </w:tc>
        <w:tc>
          <w:tcPr/>
          <w:p>
            <w:pPr>
              <w:pStyle w:val="Compact"/>
              <w:jc w:val="left"/>
            </w:pPr>
            <w:r>
              <w:t xml:space="preserve">ABE:</w:t>
            </w:r>
            <w:r>
              <w:t xml:space="preserve"> </w:t>
            </w:r>
            <m:oMath>
              <m:r>
                <m:rPr>
                  <m:sty m:val="p"/>
                </m:rPr>
                <m:t>&gt;</m:t>
              </m:r>
              <m:r>
                <m:t>8</m:t>
              </m:r>
              <m:r>
                <m:t> </m:t>
              </m:r>
              <m:r>
                <m:rPr>
                  <m:sty m:val="p"/>
                </m:rPr>
                <m:t>%</m:t>
              </m:r>
            </m:oMath>
            <w:r>
              <w:t xml:space="preserve"> </w:t>
            </w:r>
            <w:r>
              <w:t xml:space="preserve">holgado;</w:t>
            </w:r>
            <w:r>
              <w:t xml:space="preserve"> </w:t>
            </w:r>
            <m:oMath>
              <m:r>
                <m:rPr>
                  <m:sty m:val="p"/>
                </m:rPr>
                <m:t>&lt;</m:t>
              </m:r>
              <m:r>
                <m:t>5</m:t>
              </m:r>
              <m:r>
                <m:t> </m:t>
              </m:r>
              <m:r>
                <m:rPr>
                  <m:sty m:val="p"/>
                </m:rPr>
                <m:t>%</m:t>
              </m:r>
            </m:oMath>
            <w:r>
              <w:t xml:space="preserve"> </w:t>
            </w:r>
            <w:r>
              <w:t xml:space="preserve">débil</w:t>
            </w:r>
          </w:p>
        </w:tc>
        <w:tc>
          <w:tcPr/>
          <w:p>
            <w:pPr>
              <w:pStyle w:val="Compact"/>
              <w:jc w:val="left"/>
            </w:pPr>
            <w:hyperlink r:id="rId108">
              <w:r>
                <w:rPr>
                  <w:rStyle w:val="Referenciaatema"/>
                </w:rPr>
                <w:t xml:space="preserve">[ver tema 3.B.27]</w:t>
              </w:r>
            </w:hyperlink>
          </w:p>
        </w:tc>
      </w:tr>
      <w:tr>
        <w:trPr>
          <w:cantSplit/>
        </w:trPr>
        <w:tc>
          <w:tcPr/>
          <w:p>
            <w:pPr>
              <w:pStyle w:val="Compact"/>
              <w:jc w:val="left"/>
            </w:pPr>
            <w:r>
              <w:t xml:space="preserve">LCR y NSFR</w:t>
            </w:r>
          </w:p>
        </w:tc>
        <w:tc>
          <w:tcPr/>
          <w:p>
            <w:pPr>
              <w:pStyle w:val="Compact"/>
              <w:jc w:val="left"/>
            </w:pPr>
            <w:r>
              <w:t xml:space="preserve">activos líquidos/salidas netas a 30 días; financiación estable</w:t>
            </w:r>
          </w:p>
        </w:tc>
        <w:tc>
          <w:tcPr/>
          <w:p>
            <w:pPr>
              <w:pStyle w:val="Compact"/>
              <w:jc w:val="left"/>
            </w:pPr>
            <w:r>
              <w:t xml:space="preserve"> %</w:t>
            </w:r>
          </w:p>
        </w:tc>
        <w:tc>
          <w:tcPr/>
          <w:p>
            <w:pPr>
              <w:pStyle w:val="Compact"/>
              <w:jc w:val="left"/>
            </w:pPr>
            <w:r>
              <w:t xml:space="preserve">ABE (LCR):</w:t>
            </w:r>
            <w:r>
              <w:t xml:space="preserve"> </w:t>
            </w:r>
            <m:oMath>
              <m:r>
                <m:rPr>
                  <m:sty m:val="p"/>
                </m:rPr>
                <m:t>&gt;</m:t>
              </m:r>
              <m:r>
                <m:t>140</m:t>
              </m:r>
              <m:r>
                <m:t> </m:t>
              </m:r>
              <m:r>
                <m:rPr>
                  <m:sty m:val="p"/>
                </m:rPr>
                <m:t>%</m:t>
              </m:r>
            </m:oMath>
            <w:r>
              <w:t xml:space="preserve"> </w:t>
            </w:r>
            <w:r>
              <w:t xml:space="preserve">holgado</w:t>
            </w:r>
          </w:p>
        </w:tc>
        <w:tc>
          <w:tcPr/>
          <w:p>
            <w:pPr>
              <w:pStyle w:val="Compact"/>
              <w:jc w:val="left"/>
            </w:pPr>
            <w:hyperlink r:id="rId108">
              <w:r>
                <w:rPr>
                  <w:rStyle w:val="Referenciaatema"/>
                </w:rPr>
                <w:t xml:space="preserve">[ver tema 3.B.27]</w:t>
              </w:r>
            </w:hyperlink>
          </w:p>
        </w:tc>
      </w:tr>
      <w:tr>
        <w:trPr>
          <w:cantSplit/>
        </w:trPr>
        <w:tc>
          <w:tcPr/>
          <w:p>
            <w:pPr>
              <w:pStyle w:val="Compact"/>
              <w:jc w:val="left"/>
            </w:pPr>
            <w:r>
              <w:t xml:space="preserve">Dudosos</w:t>
            </w:r>
          </w:p>
        </w:tc>
        <w:tc>
          <w:tcPr/>
          <w:p>
            <w:pPr>
              <w:pStyle w:val="Compact"/>
              <w:jc w:val="left"/>
            </w:pPr>
            <w:r>
              <w:t xml:space="preserve">dudosos/crédito</w:t>
            </w:r>
          </w:p>
        </w:tc>
        <w:tc>
          <w:tcPr/>
          <w:p>
            <w:pPr>
              <w:pStyle w:val="Compact"/>
              <w:jc w:val="left"/>
            </w:pPr>
            <w:r>
              <w:t xml:space="preserve">Dudoso: más de 90 días de impago</w:t>
            </w:r>
          </w:p>
        </w:tc>
        <w:tc>
          <w:tcPr/>
          <w:p>
            <w:pPr>
              <w:pStyle w:val="Compact"/>
              <w:jc w:val="left"/>
            </w:pPr>
            <w:r>
              <w:t xml:space="preserve">ABE:</w:t>
            </w:r>
            <w:r>
              <w:t xml:space="preserve"> </w:t>
            </w:r>
            <m:oMath>
              <m:r>
                <m:rPr>
                  <m:sty m:val="p"/>
                </m:rPr>
                <m:t>&lt;</m:t>
              </m:r>
              <m:r>
                <m:t>3</m:t>
              </m:r>
              <m:r>
                <m:t> </m:t>
              </m:r>
              <m:r>
                <m:rPr>
                  <m:sty m:val="p"/>
                </m:rPr>
                <m:t>%</m:t>
              </m:r>
            </m:oMath>
            <w:r>
              <w:t xml:space="preserve"> </w:t>
            </w:r>
            <w:r>
              <w:t xml:space="preserve">bajo;</w:t>
            </w:r>
            <w:r>
              <w:t xml:space="preserve"> </w:t>
            </w:r>
            <m:oMath>
              <m:r>
                <m:rPr>
                  <m:sty m:val="p"/>
                </m:rPr>
                <m:t>&gt;</m:t>
              </m:r>
              <m:r>
                <m:t>8</m:t>
              </m:r>
              <m:r>
                <m:t> </m:t>
              </m:r>
              <m:r>
                <m:rPr>
                  <m:sty m:val="p"/>
                </m:rPr>
                <m:t>%</m:t>
              </m:r>
            </m:oMath>
            <w:r>
              <w:t xml:space="preserve"> </w:t>
            </w:r>
            <w:r>
              <w:t xml:space="preserve">alto</w:t>
            </w:r>
          </w:p>
        </w:tc>
        <w:tc>
          <w:tcPr/>
          <w:p>
            <w:pPr>
              <w:pStyle w:val="Compact"/>
              <w:jc w:val="left"/>
            </w:pPr>
            <w:hyperlink r:id="rId109">
              <w:r>
                <w:rPr>
                  <w:rStyle w:val="Referenciaatema"/>
                </w:rPr>
                <w:t xml:space="preserve">[ver tema 4.A.19]</w:t>
              </w:r>
            </w:hyperlink>
          </w:p>
        </w:tc>
      </w:tr>
      <w:tr>
        <w:trPr>
          <w:cantSplit/>
        </w:trPr>
        <w:tc>
          <w:tcPr/>
          <w:p>
            <w:pPr>
              <w:pStyle w:val="Compact"/>
              <w:jc w:val="left"/>
            </w:pPr>
            <w:r>
              <w:t xml:space="preserve">ROE</w:t>
            </w:r>
          </w:p>
        </w:tc>
        <w:tc>
          <w:tcPr/>
          <w:p>
            <w:pPr>
              <w:pStyle w:val="Compact"/>
              <w:jc w:val="left"/>
            </w:pPr>
            <w:r>
              <w:t xml:space="preserve">beneficio/patrimonio neto</w:t>
            </w:r>
          </w:p>
        </w:tc>
        <w:tc>
          <w:tcPr/>
          <w:p>
            <w:pPr>
              <w:pStyle w:val="Compact"/>
              <w:jc w:val="left"/>
            </w:pPr>
            <w:r>
              <w:t xml:space="preserve">—</w:t>
            </w:r>
          </w:p>
        </w:tc>
        <w:tc>
          <w:tcPr/>
          <w:p>
            <w:pPr>
              <w:pStyle w:val="Compact"/>
              <w:jc w:val="left"/>
            </w:pPr>
            <w:r>
              <w:t xml:space="preserve">Coste del capital: 8-12 %; ABE:</w:t>
            </w:r>
            <w:r>
              <w:t xml:space="preserve"> </w:t>
            </w:r>
            <m:oMath>
              <m:r>
                <m:rPr>
                  <m:sty m:val="p"/>
                </m:rPr>
                <m:t>&gt;</m:t>
              </m:r>
              <m:r>
                <m:t>10</m:t>
              </m:r>
              <m:r>
                <m:t> </m:t>
              </m:r>
              <m:r>
                <m:rPr>
                  <m:sty m:val="p"/>
                </m:rPr>
                <m:t>%</m:t>
              </m:r>
            </m:oMath>
            <w:r>
              <w:t xml:space="preserve"> </w:t>
            </w:r>
            <w:r>
              <w:t xml:space="preserve">favorable</w:t>
            </w:r>
          </w:p>
        </w:tc>
        <w:tc>
          <w:tcPr/>
          <w:p>
            <w:pPr>
              <w:pStyle w:val="Compact"/>
              <w:jc w:val="left"/>
            </w:pPr>
            <w:hyperlink r:id="rId164">
              <w:r>
                <w:rPr>
                  <w:rStyle w:val="Referenciaatema"/>
                </w:rPr>
                <w:t xml:space="preserve">[ver tema 3.B.1]</w:t>
              </w:r>
            </w:hyperlink>
          </w:p>
        </w:tc>
      </w:tr>
      <w:tr>
        <w:trPr>
          <w:cantSplit/>
        </w:trPr>
        <w:tc>
          <w:tcPr/>
          <w:p>
            <w:pPr>
              <w:pStyle w:val="Compact"/>
              <w:jc w:val="left"/>
            </w:pPr>
            <w:r>
              <w:t xml:space="preserve">Eficiencia</w:t>
            </w:r>
          </w:p>
        </w:tc>
        <w:tc>
          <w:tcPr/>
          <w:p>
            <w:pPr>
              <w:pStyle w:val="Compact"/>
              <w:jc w:val="left"/>
            </w:pPr>
            <w:r>
              <w:t xml:space="preserve">gastos/margen bruto</w:t>
            </w:r>
          </w:p>
        </w:tc>
        <w:tc>
          <w:tcPr/>
          <w:p>
            <w:pPr>
              <w:pStyle w:val="Compact"/>
              <w:jc w:val="left"/>
            </w:pPr>
            <w:r>
              <w:t xml:space="preserve">—</w:t>
            </w:r>
          </w:p>
        </w:tc>
        <w:tc>
          <w:tcPr/>
          <w:p>
            <w:pPr>
              <w:pStyle w:val="Compact"/>
              <w:jc w:val="left"/>
            </w:pPr>
            <w:r>
              <w:t xml:space="preserve">ABE:</w:t>
            </w:r>
            <w:r>
              <w:t xml:space="preserve"> </w:t>
            </w:r>
            <m:oMath>
              <m:r>
                <m:rPr>
                  <m:sty m:val="p"/>
                </m:rPr>
                <m:t>&lt;</m:t>
              </m:r>
              <m:r>
                <m:t>50</m:t>
              </m:r>
              <m:r>
                <m:t> </m:t>
              </m:r>
              <m:r>
                <m:rPr>
                  <m:sty m:val="p"/>
                </m:rPr>
                <m:t>%</m:t>
              </m:r>
            </m:oMath>
            <w:r>
              <w:t xml:space="preserve"> </w:t>
            </w:r>
            <w:r>
              <w:t xml:space="preserve">favorable;</w:t>
            </w:r>
            <w:r>
              <w:t xml:space="preserve"> </w:t>
            </w:r>
            <m:oMath>
              <m:r>
                <m:rPr>
                  <m:sty m:val="p"/>
                </m:rPr>
                <m:t>&gt;</m:t>
              </m:r>
              <m:r>
                <m:t>60</m:t>
              </m:r>
              <m:r>
                <m:t> </m:t>
              </m:r>
              <m:r>
                <m:rPr>
                  <m:sty m:val="p"/>
                </m:rPr>
                <m:t>%</m:t>
              </m:r>
            </m:oMath>
            <w:r>
              <w:t xml:space="preserve"> </w:t>
            </w:r>
            <w:r>
              <w:t xml:space="preserve">desfavorable</w:t>
            </w:r>
          </w:p>
        </w:tc>
        <w:tc>
          <w:tcPr/>
          <w:p>
            <w:pPr>
              <w:pStyle w:val="Compact"/>
              <w:jc w:val="left"/>
            </w:pPr>
            <w:hyperlink r:id="rId109">
              <w:r>
                <w:rPr>
                  <w:rStyle w:val="Referenciaatema"/>
                </w:rPr>
                <w:t xml:space="preserve">[ver tema 4.A.19]</w:t>
              </w:r>
            </w:hyperlink>
          </w:p>
        </w:tc>
      </w:tr>
      <w:tr>
        <w:trPr>
          <w:cantSplit/>
        </w:trPr>
        <w:tc>
          <w:tcPr/>
          <w:p>
            <w:pPr>
              <w:pStyle w:val="Compact"/>
              <w:jc w:val="left"/>
            </w:pPr>
            <w:r>
              <w:t xml:space="preserve">Créditos/depósitos</w:t>
            </w:r>
          </w:p>
        </w:tc>
        <w:tc>
          <w:tcPr/>
          <w:p>
            <w:pPr>
              <w:pStyle w:val="Compact"/>
              <w:jc w:val="left"/>
            </w:pPr>
            <w:r>
              <w:t xml:space="preserve">crédito/depósitos</w:t>
            </w:r>
          </w:p>
        </w:tc>
        <w:tc>
          <w:tcPr/>
          <w:p>
            <w:pPr>
              <w:pStyle w:val="Compact"/>
              <w:jc w:val="left"/>
            </w:pPr>
            <w:r>
              <w:t xml:space="preserve">—</w:t>
            </w:r>
          </w:p>
        </w:tc>
        <w:tc>
          <w:tcPr/>
          <w:p>
            <w:pPr>
              <w:pStyle w:val="Compact"/>
              <w:jc w:val="left"/>
            </w:pPr>
            <w:r>
              <w:t xml:space="preserve">ABE:</w:t>
            </w:r>
            <w:r>
              <w:t xml:space="preserve"> </w:t>
            </w:r>
            <m:oMath>
              <m:r>
                <m:rPr>
                  <m:sty m:val="p"/>
                </m:rPr>
                <m:t>&lt;</m:t>
              </m:r>
              <m:r>
                <m:t>100</m:t>
              </m:r>
              <m:r>
                <m:t> </m:t>
              </m:r>
              <m:r>
                <m:rPr>
                  <m:sty m:val="p"/>
                </m:rPr>
                <m:t>%</m:t>
              </m:r>
            </m:oMath>
            <w:r>
              <w:t xml:space="preserve">;</w:t>
            </w:r>
            <w:r>
              <w:t xml:space="preserve"> </w:t>
            </w:r>
            <m:oMath>
              <m:r>
                <m:rPr>
                  <m:sty m:val="p"/>
                </m:rPr>
                <m:t>&gt;</m:t>
              </m:r>
              <m:r>
                <m:t>150</m:t>
              </m:r>
              <m:r>
                <m:t> </m:t>
              </m:r>
              <m:r>
                <m:rPr>
                  <m:sty m:val="p"/>
                </m:rPr>
                <m:t>%</m:t>
              </m:r>
            </m:oMath>
            <w:r>
              <w:t xml:space="preserve"> </w:t>
            </w:r>
            <w:r>
              <w:t xml:space="preserve">desfavorable</w:t>
            </w:r>
          </w:p>
        </w:tc>
        <w:tc>
          <w:tcPr/>
          <w:p>
            <w:pPr>
              <w:pStyle w:val="Compact"/>
              <w:jc w:val="left"/>
            </w:pPr>
            <w:hyperlink r:id="rId109">
              <w:r>
                <w:rPr>
                  <w:rStyle w:val="Referenciaatema"/>
                </w:rPr>
                <w:t xml:space="preserve">[ver tema 4.A.19]</w:t>
              </w:r>
            </w:hyperlink>
          </w:p>
        </w:tc>
      </w:tr>
      <w:tr>
        <w:trPr>
          <w:cantSplit/>
        </w:trPr>
        <w:tc>
          <w:tcPr/>
          <w:p>
            <w:pPr>
              <w:pStyle w:val="Compact"/>
              <w:jc w:val="left"/>
            </w:pPr>
            <w:r>
              <w:t xml:space="preserve">Brecha crédito-PIB</w:t>
            </w:r>
          </w:p>
        </w:tc>
        <w:tc>
          <w:tcPr/>
          <w:p>
            <w:pPr>
              <w:pStyle w:val="Compact"/>
              <w:jc w:val="left"/>
            </w:pPr>
            <w:r>
              <w:t xml:space="preserve">crédito/PIB</w:t>
            </w:r>
            <w:r>
              <w:t xml:space="preserve"> </w:t>
            </w:r>
            <m:oMath>
              <m:r>
                <m:rPr>
                  <m:sty m:val="p"/>
                </m:rPr>
                <m:t>−</m:t>
              </m:r>
            </m:oMath>
            <w:r>
              <w:t xml:space="preserve"> </w:t>
            </w:r>
            <w:r>
              <w:t xml:space="preserve">tendencia</w:t>
            </w:r>
          </w:p>
        </w:tc>
        <w:tc>
          <w:tcPr/>
          <w:p>
            <w:pPr>
              <w:pStyle w:val="Compact"/>
              <w:jc w:val="left"/>
            </w:pPr>
            <w:r>
              <w:t xml:space="preserve">—</w:t>
            </w:r>
          </w:p>
        </w:tc>
        <w:tc>
          <w:tcPr/>
          <w:p>
            <w:pPr>
              <w:pStyle w:val="Compact"/>
              <w:jc w:val="left"/>
            </w:pPr>
            <m:oMath>
              <m:r>
                <m:rPr>
                  <m:sty m:val="p"/>
                </m:rPr>
                <m:t>&gt;</m:t>
              </m:r>
              <m:r>
                <m:t>2</m:t>
              </m:r>
            </m:oMath>
            <w:r>
              <w:t xml:space="preserve"> </w:t>
            </w:r>
            <w:r>
              <w:t xml:space="preserve">pp: activar el colchón anticíclico</w:t>
            </w:r>
          </w:p>
        </w:tc>
        <w:tc>
          <w:tcPr/>
          <w:p>
            <w:pPr>
              <w:pStyle w:val="Compact"/>
              <w:jc w:val="left"/>
            </w:pPr>
            <w:hyperlink r:id="rId108">
              <w:r>
                <w:rPr>
                  <w:rStyle w:val="Referenciaatema"/>
                </w:rPr>
                <w:t xml:space="preserve">[ver tema 3.B.27]</w:t>
              </w:r>
            </w:hyperlink>
          </w:p>
        </w:tc>
      </w:tr>
      <w:tr>
        <w:trPr>
          <w:cantSplit/>
        </w:trPr>
        <w:tc>
          <w:tcPr/>
          <w:p>
            <w:pPr>
              <w:pStyle w:val="Compact"/>
              <w:jc w:val="left"/>
            </w:pPr>
            <w:r>
              <w:t xml:space="preserve">Deuda de hogares y de empresas</w:t>
            </w:r>
          </w:p>
        </w:tc>
        <w:tc>
          <w:tcPr/>
          <w:p>
            <w:pPr>
              <w:pStyle w:val="Compact"/>
              <w:jc w:val="left"/>
            </w:pPr>
            <w:r>
              <w:t xml:space="preserve">consolidada/PIB</w:t>
            </w:r>
          </w:p>
        </w:tc>
        <w:tc>
          <w:tcPr/>
          <w:p>
            <w:pPr>
              <w:pStyle w:val="Compact"/>
              <w:jc w:val="left"/>
            </w:pPr>
            <w:r>
              <w:t xml:space="preserve">PDM: 55 % y 85 %</w:t>
            </w:r>
          </w:p>
        </w:tc>
        <w:tc>
          <w:tcPr/>
          <w:p>
            <w:pPr>
              <w:pStyle w:val="Compact"/>
              <w:jc w:val="left"/>
            </w:pPr>
            <w:r>
              <w:t xml:space="preserve">—</w:t>
            </w:r>
          </w:p>
        </w:tc>
        <w:tc>
          <w:tcPr/>
          <w:p>
            <w:pPr>
              <w:pStyle w:val="Compact"/>
              <w:jc w:val="left"/>
            </w:pPr>
            <w:hyperlink r:id="rId218">
              <w:r>
                <w:rPr>
                  <w:rStyle w:val="Referenciaatema"/>
                </w:rPr>
                <w:t xml:space="preserve">[ver tema 4.A.18]</w:t>
              </w:r>
            </w:hyperlink>
          </w:p>
        </w:tc>
      </w:tr>
      <w:tr>
        <w:trPr>
          <w:cantSplit/>
        </w:trPr>
        <w:tc>
          <w:tcPr/>
          <w:p>
            <w:pPr>
              <w:pStyle w:val="Compact"/>
              <w:jc w:val="left"/>
            </w:pPr>
            <w:r>
              <w:t xml:space="preserve">Flujo de crédito</w:t>
            </w:r>
          </w:p>
        </w:tc>
        <w:tc>
          <w:tcPr/>
          <w:p>
            <w:pPr>
              <w:pStyle w:val="Compact"/>
              <w:jc w:val="left"/>
            </w:pPr>
            <w:r>
              <w:t xml:space="preserve">% de la deuda en</w:t>
            </w:r>
            <w:r>
              <w:t xml:space="preserve"> </w:t>
            </w:r>
            <m:oMath>
              <m:r>
                <m:t>t</m:t>
              </m:r>
              <m:r>
                <m:rPr>
                  <m:sty m:val="p"/>
                </m:rPr>
                <m:t>−</m:t>
              </m:r>
              <m:r>
                <m:t>1</m:t>
              </m:r>
            </m:oMath>
          </w:p>
        </w:tc>
        <w:tc>
          <w:tcPr/>
          <w:p>
            <w:pPr>
              <w:pStyle w:val="Compact"/>
              <w:jc w:val="left"/>
            </w:pPr>
            <w:r>
              <w:t xml:space="preserve">PDM: 14 % (hogares), 13 % (empresas)</w:t>
            </w:r>
          </w:p>
        </w:tc>
        <w:tc>
          <w:tcPr/>
          <w:p>
            <w:pPr>
              <w:pStyle w:val="Compact"/>
              <w:jc w:val="left"/>
            </w:pPr>
            <w:r>
              <w:t xml:space="preserve">—</w:t>
            </w:r>
          </w:p>
        </w:tc>
        <w:tc>
          <w:tcPr/>
          <w:p>
            <w:pPr>
              <w:pStyle w:val="Compact"/>
              <w:jc w:val="left"/>
            </w:pPr>
            <w:hyperlink r:id="rId218">
              <w:r>
                <w:rPr>
                  <w:rStyle w:val="Referenciaatema"/>
                </w:rPr>
                <w:t xml:space="preserve">[ver tema 4.A.18]</w:t>
              </w:r>
            </w:hyperlink>
          </w:p>
        </w:tc>
      </w:tr>
      <w:tr>
        <w:trPr>
          <w:cantSplit/>
        </w:trPr>
        <w:tc>
          <w:tcPr/>
          <w:p>
            <w:pPr>
              <w:pStyle w:val="Compact"/>
              <w:jc w:val="left"/>
            </w:pPr>
            <w:r>
              <w:t xml:space="preserve">Precio de la vivienda</w:t>
            </w:r>
          </w:p>
        </w:tc>
        <w:tc>
          <w:tcPr/>
          <w:p>
            <w:pPr>
              <w:pStyle w:val="Compact"/>
              <w:jc w:val="left"/>
            </w:pPr>
            <w:r>
              <w:t xml:space="preserve">variación nominal anual</w:t>
            </w:r>
          </w:p>
        </w:tc>
        <w:tc>
          <w:tcPr/>
          <w:p>
            <w:pPr>
              <w:pStyle w:val="Compact"/>
              <w:jc w:val="left"/>
            </w:pPr>
            <w:r>
              <w:t xml:space="preserve">PDM:</w:t>
            </w:r>
            <w:r>
              <w:t xml:space="preserve"> </w:t>
            </w:r>
            <m:oMath>
              <m:r>
                <m:rPr>
                  <m:sty m:val="p"/>
                </m:rPr>
                <m:t>+</m:t>
              </m:r>
              <m:r>
                <m:t>9</m:t>
              </m:r>
              <m:r>
                <m:t> </m:t>
              </m:r>
              <m:r>
                <m:rPr>
                  <m:sty m:val="p"/>
                </m:rPr>
                <m:t>%</m:t>
              </m:r>
            </m:oMath>
          </w:p>
        </w:tc>
        <w:tc>
          <w:tcPr/>
          <w:p>
            <w:pPr>
              <w:pStyle w:val="Compact"/>
              <w:jc w:val="left"/>
            </w:pPr>
            <w:r>
              <w:t xml:space="preserve">Esfuerzo</w:t>
            </w:r>
            <w:r>
              <w:t xml:space="preserve"> </w:t>
            </w:r>
            <m:oMath>
              <m:r>
                <m:rPr>
                  <m:sty m:val="p"/>
                </m:rPr>
                <m:t>&gt;</m:t>
              </m:r>
              <m:r>
                <m:t>33</m:t>
              </m:r>
              <m:r>
                <m:t> </m:t>
              </m:r>
              <m:r>
                <m:rPr>
                  <m:sty m:val="p"/>
                </m:rPr>
                <m:t>%</m:t>
              </m:r>
            </m:oMath>
            <w:r>
              <w:t xml:space="preserve"> </w:t>
            </w:r>
            <w:r>
              <w:t xml:space="preserve">de la renta; sobrecarga</w:t>
            </w:r>
            <w:r>
              <w:t xml:space="preserve"> </w:t>
            </w:r>
            <m:oMath>
              <m:r>
                <m:rPr>
                  <m:sty m:val="p"/>
                </m:rPr>
                <m:t>&gt;</m:t>
              </m:r>
              <m:r>
                <m:t>40</m:t>
              </m:r>
              <m:r>
                <m:t> </m:t>
              </m:r>
              <m:r>
                <m:rPr>
                  <m:sty m:val="p"/>
                </m:rPr>
                <m:t>%</m:t>
              </m:r>
            </m:oMath>
          </w:p>
        </w:tc>
        <w:tc>
          <w:tcPr/>
          <w:p>
            <w:pPr>
              <w:pStyle w:val="Compact"/>
              <w:jc w:val="left"/>
            </w:pPr>
            <w:hyperlink r:id="rId63">
              <w:r>
                <w:rPr>
                  <w:rStyle w:val="Referenciaatema"/>
                </w:rPr>
                <w:t xml:space="preserve">[ver tema 4.A.11]</w:t>
              </w:r>
            </w:hyperlink>
          </w:p>
        </w:tc>
      </w:tr>
    </w:tbl>
    <w:bookmarkEnd w:id="219"/>
    <w:p>
      <w:pPr>
        <w:pStyle w:val="BodyText"/>
      </w:pPr>
      <w:r>
        <w:rPr>
          <w:i/>
          <w:iCs/>
        </w:rPr>
        <w:t xml:space="preserve">Fuente: PDM:</w:t>
      </w:r>
      <w:r>
        <w:rPr>
          <w:i/>
          <w:iCs/>
        </w:rPr>
        <w:t xml:space="preserve"> </w:t>
      </w:r>
      <w:r>
        <w:rPr>
          <w:i/>
          <w:iCs/>
          <w:smallCaps/>
        </w:rPr>
        <w:t xml:space="preserve">Comisión Europea</w:t>
      </w:r>
      <w:r>
        <w:rPr>
          <w:i/>
          <w:iCs/>
        </w:rPr>
        <w:t xml:space="preserve"> </w:t>
      </w:r>
      <w:r>
        <w:rPr>
          <w:i/>
          <w:iCs/>
        </w:rPr>
        <w:t xml:space="preserve">(</w:t>
      </w:r>
      <w:hyperlink w:anchor="ref_CE2025AMR2026">
        <w:r>
          <w:rPr>
            <w:rStyle w:val="Hyperlink"/>
            <w:i/>
            <w:iCs/>
          </w:rPr>
          <w:t xml:space="preserve">2025a</w:t>
        </w:r>
      </w:hyperlink>
      <w:r>
        <w:rPr>
          <w:i/>
          <w:iCs/>
        </w:rPr>
        <w:t xml:space="preserve">)</w:t>
      </w:r>
      <w:r>
        <w:rPr>
          <w:i/>
          <w:iCs/>
        </w:rPr>
        <w:t xml:space="preserve">; Basilea:</w:t>
      </w:r>
      <w:r>
        <w:rPr>
          <w:i/>
          <w:iCs/>
        </w:rPr>
        <w:t xml:space="preserve"> </w:t>
      </w:r>
      <w:r>
        <w:rPr>
          <w:i/>
          <w:iCs/>
          <w:smallCaps/>
        </w:rPr>
        <w:t xml:space="preserve">Basel Committee on Banking Supervision</w:t>
      </w:r>
      <w:r>
        <w:rPr>
          <w:i/>
          <w:iCs/>
        </w:rPr>
        <w:t xml:space="preserve"> </w:t>
      </w:r>
      <w:r>
        <w:rPr>
          <w:i/>
          <w:iCs/>
        </w:rPr>
        <w:t xml:space="preserve">(</w:t>
      </w:r>
      <w:hyperlink w:anchor="ref_BCBS2017Basel3">
        <w:r>
          <w:rPr>
            <w:rStyle w:val="Hyperlink"/>
            <w:i/>
            <w:iCs/>
          </w:rPr>
          <w:t xml:space="preserve">2017</w:t>
        </w:r>
      </w:hyperlink>
      <w:r>
        <w:rPr>
          <w:i/>
          <w:iCs/>
        </w:rPr>
        <w:t xml:space="preserve">;</w:t>
      </w:r>
      <w:r>
        <w:rPr>
          <w:i/>
          <w:iCs/>
        </w:rPr>
        <w:t xml:space="preserve"> </w:t>
      </w:r>
      <w:hyperlink w:anchor="ref_RegUE2013CRR">
        <w:r>
          <w:rPr>
            <w:rStyle w:val="Hyperlink"/>
            <w:i/>
            <w:iCs/>
            <w:smallCaps/>
          </w:rPr>
          <w:t xml:space="preserve">Parlamento Europeo y Consejo de la Unión Europea</w:t>
        </w:r>
        <w:r>
          <w:rPr>
            <w:rStyle w:val="Hyperlink"/>
            <w:i/>
            <w:iCs/>
          </w:rPr>
          <w:t xml:space="preserve">, 2013b</w:t>
        </w:r>
      </w:hyperlink>
      <w:r>
        <w:rPr>
          <w:i/>
          <w:iCs/>
        </w:rPr>
        <w:t xml:space="preserve">;</w:t>
      </w:r>
      <w:r>
        <w:rPr>
          <w:i/>
          <w:iCs/>
        </w:rPr>
        <w:t xml:space="preserve"> </w:t>
      </w:r>
      <w:hyperlink w:anchor="ref_BCE2025SREP">
        <w:r>
          <w:rPr>
            <w:rStyle w:val="Hyperlink"/>
            <w:i/>
            <w:iCs/>
            <w:smallCaps/>
          </w:rPr>
          <w:t xml:space="preserve">Banco Central Europeo</w:t>
        </w:r>
        <w:r>
          <w:rPr>
            <w:rStyle w:val="Hyperlink"/>
            <w:i/>
            <w:iCs/>
          </w:rPr>
          <w:t xml:space="preserve">, 2025a</w:t>
        </w:r>
      </w:hyperlink>
      <w:r>
        <w:rPr>
          <w:i/>
          <w:iCs/>
        </w:rPr>
        <w:t xml:space="preserve">)</w:t>
      </w:r>
      <w:r>
        <w:rPr>
          <w:i/>
          <w:iCs/>
        </w:rPr>
        <w:t xml:space="preserve">; referencias de la ABE:</w:t>
      </w:r>
      <w:r>
        <w:rPr>
          <w:i/>
          <w:iCs/>
        </w:rPr>
        <w:t xml:space="preserve"> </w:t>
      </w:r>
      <w:r>
        <w:rPr>
          <w:i/>
          <w:iCs/>
          <w:smallCaps/>
        </w:rPr>
        <w:t xml:space="preserve">European Banking Authority</w:t>
      </w:r>
      <w:r>
        <w:rPr>
          <w:i/>
          <w:iCs/>
        </w:rPr>
        <w:t xml:space="preserve"> </w:t>
      </w:r>
      <w:r>
        <w:rPr>
          <w:i/>
          <w:iCs/>
        </w:rPr>
        <w:t xml:space="preserve">(</w:t>
      </w:r>
      <w:hyperlink w:anchor="ref_ABE2026RiskDashboard">
        <w:r>
          <w:rPr>
            <w:rStyle w:val="Hyperlink"/>
            <w:i/>
            <w:iCs/>
          </w:rPr>
          <w:t xml:space="preserve">2026</w:t>
        </w:r>
      </w:hyperlink>
      <w:r>
        <w:rPr>
          <w:i/>
          <w:iCs/>
        </w:rPr>
        <w:t xml:space="preserve">,</w:t>
      </w:r>
      <w:r>
        <w:rPr>
          <w:i/>
          <w:iCs/>
        </w:rPr>
        <w:t xml:space="preserve"> </w:t>
      </w:r>
      <w:hyperlink w:anchor="ref_ABE2025RAR">
        <w:r>
          <w:rPr>
            <w:rStyle w:val="Hyperlink"/>
            <w:i/>
            <w:iCs/>
          </w:rPr>
          <w:t xml:space="preserve">2025</w:t>
        </w:r>
      </w:hyperlink>
      <w:r>
        <w:rPr>
          <w:i/>
          <w:iCs/>
        </w:rPr>
        <w:t xml:space="preserve">)</w:t>
      </w:r>
      <w:r>
        <w:rPr>
          <w:i/>
          <w:iCs/>
        </w:rPr>
        <w:t xml:space="preserve">; brecha crédito-PIB:</w:t>
      </w:r>
      <w:r>
        <w:rPr>
          <w:i/>
          <w:iCs/>
        </w:rPr>
        <w:t xml:space="preserve"> </w:t>
      </w:r>
      <w:r>
        <w:rPr>
          <w:i/>
          <w:iCs/>
          <w:smallCaps/>
        </w:rPr>
        <w:t xml:space="preserve">Comité de Supervisión Bancaria de Basilea</w:t>
      </w:r>
      <w:r>
        <w:rPr>
          <w:i/>
          <w:iCs/>
        </w:rPr>
        <w:t xml:space="preserve"> </w:t>
      </w:r>
      <w:r>
        <w:rPr>
          <w:i/>
          <w:iCs/>
        </w:rPr>
        <w:t xml:space="preserve">(</w:t>
      </w:r>
      <w:hyperlink w:anchor="ref_BCBS2010Anticiclico">
        <w:r>
          <w:rPr>
            <w:rStyle w:val="Hyperlink"/>
            <w:i/>
            <w:iCs/>
          </w:rPr>
          <w:t xml:space="preserve">2010</w:t>
        </w:r>
      </w:hyperlink>
      <w:r>
        <w:rPr>
          <w:i/>
          <w:iCs/>
        </w:rPr>
        <w:t xml:space="preserve">)</w:t>
      </w:r>
      <w:r>
        <w:rPr>
          <w:i/>
          <w:iCs/>
        </w:rPr>
        <w:t xml:space="preserve">; sobrecarga de la vivienda:</w:t>
      </w:r>
      <w:r>
        <w:rPr>
          <w:i/>
          <w:iCs/>
        </w:rPr>
        <w:t xml:space="preserve"> </w:t>
      </w:r>
      <w:r>
        <w:rPr>
          <w:i/>
          <w:iCs/>
          <w:smallCaps/>
        </w:rPr>
        <w:t xml:space="preserve">Eurostat</w:t>
      </w:r>
      <w:r>
        <w:rPr>
          <w:i/>
          <w:iCs/>
        </w:rPr>
        <w:t xml:space="preserve"> </w:t>
      </w:r>
      <w:r>
        <w:rPr>
          <w:i/>
          <w:iCs/>
        </w:rPr>
        <w:t xml:space="preserve">(</w:t>
      </w:r>
      <w:hyperlink w:anchor="ref_Eurostat2025Sobrecarga">
        <w:r>
          <w:rPr>
            <w:rStyle w:val="Hyperlink"/>
            <w:i/>
            <w:iCs/>
          </w:rPr>
          <w:t xml:space="preserve">2025a</w:t>
        </w:r>
      </w:hyperlink>
      <w:r>
        <w:rPr>
          <w:i/>
          <w:iCs/>
        </w:rPr>
        <w:t xml:space="preserve">)</w:t>
      </w:r>
      <w:r>
        <w:rPr>
          <w:i/>
          <w:iCs/>
        </w:rPr>
        <w:t xml:space="preserve">.</w:t>
      </w:r>
    </w:p>
    <w:bookmarkStart w:id="220" w:name="tab_basilea"/>
    <w:p>
      <w:pPr>
        <w:pStyle w:val="TableCaption"/>
      </w:pPr>
      <w:r>
        <w:t xml:space="preserve">Tabla 8.–</w:t>
      </w:r>
      <w:r>
        <w:t xml:space="preserve"> </w:t>
      </w:r>
      <w:r>
        <w:t xml:space="preserve">Requisitos de capital y de liquidez de Basilea III (% de los activos ponderados por riesgo)</w:t>
      </w:r>
    </w:p>
    <w:tbl>
      <w:tblPr>
        <w:tblStyle w:val="Table"/>
        <w:tblW w:type="auto" w:w="0"/>
        <w:tblLook w:firstRow="1" w:lastRow="0" w:firstColumn="0" w:lastColumn="0" w:noHBand="0" w:noVBand="0" w:val="0020"/>
        <w:tblCaption w:val="Tabla 8.– Requisitos de capital y de liquidez de Basilea III (% de los activos ponderados por riesgo)"/>
      </w:tblPr>
      <w:tblGrid>
        <w:gridCol w:w="1980"/>
        <w:gridCol w:w="1980"/>
        <w:gridCol w:w="1980"/>
        <w:gridCol w:w="1980"/>
      </w:tblGrid>
      <w:tr>
        <w:trPr>
          <w:cantSplit/>
          <w:tblHeader w:val="on"/>
        </w:trPr>
        <w:tc>
          <w:tcPr>
            <w:shd w:val="clear" w:color="auto" w:fill="DDEBF7"/>
            <w:vAlign w:val="center"/>
          </w:tcPr>
          <w:p>
            <w:pPr>
              <w:pStyle w:val="Celdatceeazulpalido"/>
              <w:keepNext/>
              <w:jc w:val="left"/>
            </w:pPr>
            <w:r>
              <w:t/>
            </w:r>
          </w:p>
        </w:tc>
        <w:tc>
          <w:tcPr>
            <w:shd w:val="clear" w:color="auto" w:fill="DDEBF7"/>
            <w:vAlign w:val="center"/>
          </w:tcPr>
          <w:p>
            <w:pPr>
              <w:pStyle w:val="Celdatceeazulpalido"/>
              <w:keepNext/>
              <w:jc w:val="center"/>
            </w:pPr>
            <w:r>
              <w:rPr>
                <w:b/>
                <w:bCs/>
              </w:rPr>
              <w:t xml:space="preserve">CET1</w:t>
            </w:r>
          </w:p>
        </w:tc>
        <w:tc>
          <w:tcPr>
            <w:shd w:val="clear" w:color="auto" w:fill="DDEBF7"/>
            <w:vAlign w:val="center"/>
          </w:tcPr>
          <w:p>
            <w:pPr>
              <w:pStyle w:val="Celdatceeazulpalido"/>
              <w:keepNext/>
              <w:jc w:val="center"/>
            </w:pPr>
            <w:r>
              <w:rPr>
                <w:b/>
                <w:bCs/>
              </w:rPr>
              <w:t xml:space="preserve">Tier 1</w:t>
            </w:r>
          </w:p>
        </w:tc>
        <w:tc>
          <w:tcPr>
            <w:shd w:val="clear" w:color="auto" w:fill="DDEBF7"/>
            <w:vAlign w:val="center"/>
          </w:tcPr>
          <w:p>
            <w:pPr>
              <w:pStyle w:val="Celdatceeazulpalido"/>
              <w:keepNext/>
              <w:jc w:val="center"/>
            </w:pPr>
            <w:r>
              <w:rPr>
                <w:b/>
                <w:bCs/>
              </w:rPr>
              <w:t xml:space="preserve">Capital total</w:t>
            </w:r>
          </w:p>
        </w:tc>
      </w:tr>
      <w:tr>
        <w:trPr>
          <w:cantSplit/>
        </w:trPr>
        <w:tc>
          <w:tcPr>
            <w:vAlign w:val="center"/>
          </w:tcPr>
          <w:p>
            <w:pPr>
              <w:pStyle w:val="Compact"/>
              <w:jc w:val="left"/>
            </w:pPr>
            <w:r>
              <w:t xml:space="preserve">Mínimo (Pilar 1)</w:t>
            </w:r>
          </w:p>
        </w:tc>
        <w:tc>
          <w:tcPr>
            <w:vAlign w:val="center"/>
          </w:tcPr>
          <w:p>
            <w:pPr>
              <w:pStyle w:val="Compact"/>
              <w:jc w:val="center"/>
            </w:pPr>
            <w:r>
              <w:t xml:space="preserve">4,5</w:t>
            </w:r>
          </w:p>
        </w:tc>
        <w:tc>
          <w:tcPr>
            <w:vAlign w:val="center"/>
          </w:tcPr>
          <w:p>
            <w:pPr>
              <w:pStyle w:val="Compact"/>
              <w:jc w:val="center"/>
            </w:pPr>
            <w:r>
              <w:t xml:space="preserve">6,0</w:t>
            </w:r>
          </w:p>
        </w:tc>
        <w:tc>
          <w:tcPr>
            <w:vAlign w:val="center"/>
          </w:tcPr>
          <w:p>
            <w:pPr>
              <w:pStyle w:val="Compact"/>
              <w:jc w:val="center"/>
            </w:pPr>
            <w:r>
              <w:t xml:space="preserve">8,0</w:t>
            </w:r>
          </w:p>
        </w:tc>
      </w:tr>
      <w:tr>
        <w:trPr>
          <w:cantSplit/>
        </w:trPr>
        <w:tc>
          <w:tcPr>
            <w:vAlign w:val="center"/>
          </w:tcPr>
          <w:p>
            <w:pPr>
              <w:pStyle w:val="Compact"/>
              <w:jc w:val="left"/>
            </w:pPr>
            <w:r>
              <w:t xml:space="preserve">+ Colchón de conservación</w:t>
            </w:r>
          </w:p>
        </w:tc>
        <w:tc>
          <w:tcPr>
            <w:vAlign w:val="center"/>
          </w:tcPr>
          <w:p>
            <w:pPr>
              <w:pStyle w:val="Compact"/>
              <w:jc w:val="center"/>
            </w:pPr>
            <w:r>
              <w:t xml:space="preserve">2,5</w:t>
            </w:r>
          </w:p>
        </w:tc>
        <w:tc>
          <w:tcPr>
            <w:vAlign w:val="center"/>
          </w:tcPr>
          <w:p>
            <w:pPr>
              <w:pStyle w:val="Compact"/>
              <w:jc w:val="center"/>
            </w:pPr>
            <w:r>
              <w:t xml:space="preserve">2,5</w:t>
            </w:r>
          </w:p>
        </w:tc>
        <w:tc>
          <w:tcPr>
            <w:vAlign w:val="center"/>
          </w:tcPr>
          <w:p>
            <w:pPr>
              <w:pStyle w:val="Compact"/>
              <w:jc w:val="center"/>
            </w:pPr>
            <w:r>
              <w:t xml:space="preserve">2,5</w:t>
            </w:r>
          </w:p>
        </w:tc>
      </w:tr>
      <w:tr>
        <w:trPr>
          <w:cantSplit/>
        </w:trPr>
        <w:tc>
          <w:tcPr>
            <w:shd w:val="clear" w:color="auto" w:fill="E2EFD9"/>
            <w:vAlign w:val="center"/>
          </w:tcPr>
          <w:p>
            <w:pPr>
              <w:pStyle w:val="Celdatceesalvia"/>
              <w:jc w:val="left"/>
            </w:pPr>
            <w:r>
              <w:t xml:space="preserve"> </w:t>
            </w:r>
            <w:r>
              <w:t xml:space="preserve">Pilar 1 + conservación</w:t>
            </w:r>
          </w:p>
        </w:tc>
        <w:tc>
          <w:tcPr>
            <w:shd w:val="clear" w:color="auto" w:fill="E2EFD9"/>
            <w:vAlign w:val="center"/>
          </w:tcPr>
          <w:p>
            <w:pPr>
              <w:pStyle w:val="Celdatceesalvia"/>
              <w:jc w:val="center"/>
            </w:pPr>
            <w:r>
              <w:t xml:space="preserve">7,0</w:t>
            </w:r>
          </w:p>
        </w:tc>
        <w:tc>
          <w:tcPr>
            <w:shd w:val="clear" w:color="auto" w:fill="E2EFD9"/>
            <w:vAlign w:val="center"/>
          </w:tcPr>
          <w:p>
            <w:pPr>
              <w:pStyle w:val="Celdatceesalvia"/>
              <w:jc w:val="center"/>
            </w:pPr>
            <w:r>
              <w:t xml:space="preserve">8,5</w:t>
            </w:r>
          </w:p>
        </w:tc>
        <w:tc>
          <w:tcPr>
            <w:shd w:val="clear" w:color="auto" w:fill="E2EFD9"/>
            <w:vAlign w:val="center"/>
          </w:tcPr>
          <w:p>
            <w:pPr>
              <w:pStyle w:val="Celdatceesalvia"/>
              <w:jc w:val="center"/>
            </w:pPr>
            <w:r>
              <w:t xml:space="preserve">10,5</w:t>
            </w:r>
          </w:p>
        </w:tc>
      </w:tr>
      <w:tr>
        <w:trPr>
          <w:cantSplit/>
        </w:trPr>
        <w:tc>
          <w:tcPr>
            <w:vAlign w:val="center"/>
          </w:tcPr>
          <w:p>
            <w:pPr>
              <w:pStyle w:val="Compact"/>
              <w:jc w:val="left"/>
            </w:pPr>
            <w:r>
              <w:t xml:space="preserve">+ Colchón anticíclico (España: 1 % desde octubre de 2026)</w:t>
            </w:r>
          </w:p>
        </w:tc>
        <w:tc>
          <w:tcPr>
            <w:gridSpan w:val="3"/>
            <w:vAlign w:val="center"/>
          </w:tcPr>
          <w:p>
            <w:pPr>
              <w:pStyle w:val="Compact"/>
              <w:jc w:val="center"/>
            </w:pPr>
            <w:r>
              <w:t xml:space="preserve">0-2,5 (en CET1)</w:t>
            </w:r>
          </w:p>
        </w:tc>
      </w:tr>
      <w:tr>
        <w:trPr>
          <w:cantSplit/>
        </w:trPr>
        <w:tc>
          <w:tcPr>
            <w:vAlign w:val="center"/>
          </w:tcPr>
          <w:p>
            <w:pPr>
              <w:pStyle w:val="Compact"/>
              <w:jc w:val="left"/>
            </w:pPr>
            <w:r>
              <w:t xml:space="preserve">+ Colchones sistémicos (mundiales, 1-3,5; otros, hasta 3) y de riesgo sistémico</w:t>
            </w:r>
          </w:p>
        </w:tc>
        <w:tc>
          <w:tcPr>
            <w:gridSpan w:val="3"/>
            <w:vAlign w:val="center"/>
          </w:tcPr>
          <w:p>
            <w:pPr>
              <w:pStyle w:val="Compact"/>
              <w:jc w:val="center"/>
            </w:pPr>
            <w:r>
              <w:t xml:space="preserve">según la entidad y el país</w:t>
            </w:r>
          </w:p>
        </w:tc>
      </w:tr>
      <w:tr>
        <w:trPr>
          <w:cantSplit/>
        </w:trPr>
        <w:tc>
          <w:tcPr>
            <w:vAlign w:val="center"/>
          </w:tcPr>
          <w:p>
            <w:pPr>
              <w:pStyle w:val="Compact"/>
              <w:jc w:val="left"/>
            </w:pPr>
            <w:r>
              <w:t xml:space="preserve">+ Pilar 2 (P2R) y recomendación (P2G)</w:t>
            </w:r>
          </w:p>
        </w:tc>
        <w:tc>
          <w:tcPr>
            <w:gridSpan w:val="3"/>
            <w:vAlign w:val="center"/>
          </w:tcPr>
          <w:p>
            <w:pPr>
              <w:pStyle w:val="Compact"/>
              <w:jc w:val="center"/>
            </w:pPr>
            <w:r>
              <w:t xml:space="preserve">según la entidad (revisión supervisora)</w:t>
            </w:r>
          </w:p>
        </w:tc>
      </w:tr>
      <w:tr>
        <w:trPr>
          <w:cantSplit/>
        </w:trPr>
        <w:tc>
          <w:tcPr>
            <w:shd w:val="clear" w:color="auto" w:fill="E2EFD9"/>
            <w:vAlign w:val="center"/>
          </w:tcPr>
          <w:p>
            <w:pPr>
              <w:pStyle w:val="Celdatceesalvia"/>
              <w:jc w:val="left"/>
            </w:pPr>
            <w:r>
              <w:t xml:space="preserve"> </w:t>
            </w:r>
            <w:r>
              <w:t xml:space="preserve">Requisitos y recomendación totales medios del MUS en 2026</w:t>
            </w:r>
          </w:p>
        </w:tc>
        <w:tc>
          <w:tcPr>
            <w:shd w:val="clear" w:color="auto" w:fill="E2EFD9"/>
            <w:vAlign w:val="center"/>
          </w:tcPr>
          <w:p>
            <w:pPr>
              <w:pStyle w:val="Celdatceesalvia"/>
              <w:jc w:val="center"/>
            </w:pPr>
            <w:r>
              <w:t xml:space="preserve">11,2</w:t>
            </w:r>
          </w:p>
        </w:tc>
        <w:tc>
          <w:tcPr>
            <w:shd w:val="clear" w:color="auto" w:fill="E2EFD9"/>
            <w:vAlign w:val="center"/>
          </w:tcPr>
          <w:p>
            <w:pPr>
              <w:pStyle w:val="Celdatceesalvia"/>
              <w:jc w:val="center"/>
            </w:pPr>
            <w:r>
              <w:t xml:space="preserve">—</w:t>
            </w:r>
          </w:p>
        </w:tc>
        <w:tc>
          <w:tcPr>
            <w:shd w:val="clear" w:color="auto" w:fill="E2EFD9"/>
            <w:vAlign w:val="center"/>
          </w:tcPr>
          <w:p>
            <w:pPr>
              <w:pStyle w:val="Celdatceesalvia"/>
              <w:jc w:val="center"/>
            </w:pPr>
            <w:r>
              <w:t xml:space="preserve">15,6</w:t>
            </w:r>
          </w:p>
        </w:tc>
      </w:tr>
      <w:tr>
        <w:trPr>
          <w:cantSplit/>
        </w:trPr>
        <w:tc>
          <w:tcPr>
            <w:vAlign w:val="center"/>
          </w:tcPr>
          <w:p>
            <w:pPr>
              <w:pStyle w:val="Compact"/>
              <w:jc w:val="left"/>
            </w:pPr>
            <w:r>
              <w:t xml:space="preserve">Ratio de apalancamiento (Tier 1 sobre la exposición total)</w:t>
            </w:r>
          </w:p>
        </w:tc>
        <w:tc>
          <w:tcPr>
            <w:gridSpan w:val="3"/>
            <w:vAlign w:val="center"/>
          </w:tcPr>
          <w:p>
            <w:pPr>
              <w:pStyle w:val="Compact"/>
              <w:jc w:val="center"/>
            </w:pPr>
            <w:r>
              <w:t xml:space="preserve">3,0</w:t>
            </w:r>
          </w:p>
        </w:tc>
      </w:tr>
      <w:tr>
        <w:trPr>
          <w:cantSplit/>
        </w:trPr>
        <w:tc>
          <w:tcPr>
            <w:vAlign w:val="center"/>
          </w:tcPr>
          <w:p>
            <w:pPr>
              <w:pStyle w:val="Compact"/>
              <w:jc w:val="left"/>
            </w:pPr>
            <w:r>
              <w:t xml:space="preserve">LCR y NSFR</w:t>
            </w:r>
          </w:p>
        </w:tc>
        <w:tc>
          <w:tcPr>
            <w:gridSpan w:val="3"/>
            <w:vAlign w:val="center"/>
          </w:tcPr>
          <w:p>
            <w:pPr>
              <w:pStyle w:val="Compact"/>
              <w:jc w:val="center"/>
            </w:pPr>
            <w:r>
              <w:t xml:space="preserve">100</w:t>
            </w:r>
          </w:p>
        </w:tc>
      </w:tr>
    </w:tbl>
    <w:bookmarkEnd w:id="220"/>
    <w:p>
      <w:pPr>
        <w:pStyle w:val="BodyText"/>
      </w:pPr>
      <w:r>
        <w:rPr>
          <w:i/>
          <w:iCs/>
        </w:rPr>
        <w:t xml:space="preserve">Fuente:</w:t>
      </w:r>
      <w:r>
        <w:rPr>
          <w:i/>
          <w:iCs/>
        </w:rPr>
        <w:t xml:space="preserve"> </w:t>
      </w:r>
      <w:r>
        <w:rPr>
          <w:i/>
          <w:iCs/>
          <w:smallCaps/>
        </w:rPr>
        <w:t xml:space="preserve">Basel Committee on Banking Supervision</w:t>
      </w:r>
      <w:r>
        <w:rPr>
          <w:i/>
          <w:iCs/>
        </w:rPr>
        <w:t xml:space="preserve"> </w:t>
      </w:r>
      <w:r>
        <w:rPr>
          <w:i/>
          <w:iCs/>
        </w:rPr>
        <w:t xml:space="preserve">(</w:t>
      </w:r>
      <w:hyperlink w:anchor="ref_BCBS2017Basel3">
        <w:r>
          <w:rPr>
            <w:rStyle w:val="Hyperlink"/>
            <w:i/>
            <w:iCs/>
          </w:rPr>
          <w:t xml:space="preserve">2017</w:t>
        </w:r>
      </w:hyperlink>
      <w:r>
        <w:rPr>
          <w:i/>
          <w:iCs/>
        </w:rPr>
        <w:t xml:space="preserve">)</w:t>
      </w:r>
      <w:r>
        <w:rPr>
          <w:i/>
          <w:iCs/>
        </w:rPr>
        <w:t xml:space="preserve">; en la UE,</w:t>
      </w:r>
      <w:r>
        <w:rPr>
          <w:i/>
          <w:iCs/>
        </w:rPr>
        <w:t xml:space="preserve"> </w:t>
      </w:r>
      <w:r>
        <w:rPr>
          <w:i/>
          <w:iCs/>
          <w:smallCaps/>
        </w:rPr>
        <w:t xml:space="preserve">Parlamento Europeo y Consejo de la Unión Europea</w:t>
      </w:r>
      <w:r>
        <w:rPr>
          <w:i/>
          <w:iCs/>
        </w:rPr>
        <w:t xml:space="preserve"> </w:t>
      </w:r>
      <w:r>
        <w:rPr>
          <w:i/>
          <w:iCs/>
        </w:rPr>
        <w:t xml:space="preserve">(</w:t>
      </w:r>
      <w:hyperlink w:anchor="ref_RegUE2013CRR">
        <w:r>
          <w:rPr>
            <w:rStyle w:val="Hyperlink"/>
            <w:i/>
            <w:iCs/>
          </w:rPr>
          <w:t xml:space="preserve">2013b</w:t>
        </w:r>
      </w:hyperlink>
      <w:r>
        <w:rPr>
          <w:i/>
          <w:iCs/>
        </w:rPr>
        <w:t xml:space="preserve">,</w:t>
      </w:r>
      <w:r>
        <w:rPr>
          <w:i/>
          <w:iCs/>
        </w:rPr>
        <w:t xml:space="preserve"> </w:t>
      </w:r>
      <w:hyperlink w:anchor="ref_DirUE2013CRD">
        <w:r>
          <w:rPr>
            <w:rStyle w:val="Hyperlink"/>
            <w:i/>
            <w:iCs/>
          </w:rPr>
          <w:t xml:space="preserve">2013a</w:t>
        </w:r>
      </w:hyperlink>
      <w:r>
        <w:rPr>
          <w:i/>
          <w:iCs/>
        </w:rPr>
        <w:t xml:space="preserve">,</w:t>
      </w:r>
      <w:r>
        <w:rPr>
          <w:i/>
          <w:iCs/>
        </w:rPr>
        <w:t xml:space="preserve"> </w:t>
      </w:r>
      <w:hyperlink w:anchor="ref_RegUE2024CRR3">
        <w:r>
          <w:rPr>
            <w:rStyle w:val="Hyperlink"/>
            <w:i/>
            <w:iCs/>
          </w:rPr>
          <w:t xml:space="preserve">2024b</w:t>
        </w:r>
      </w:hyperlink>
      <w:r>
        <w:rPr>
          <w:i/>
          <w:iCs/>
        </w:rPr>
        <w:t xml:space="preserve">)</w:t>
      </w:r>
      <w:r>
        <w:rPr>
          <w:i/>
          <w:iCs/>
        </w:rPr>
        <w:t xml:space="preserve">; colchón anticíclico de España:</w:t>
      </w:r>
      <w:r>
        <w:rPr>
          <w:i/>
          <w:iCs/>
        </w:rPr>
        <w:t xml:space="preserve"> </w:t>
      </w:r>
      <w:r>
        <w:rPr>
          <w:i/>
          <w:iCs/>
          <w:smallCaps/>
        </w:rPr>
        <w:t xml:space="preserve">Banco de España</w:t>
      </w:r>
      <w:r>
        <w:rPr>
          <w:i/>
          <w:iCs/>
        </w:rPr>
        <w:t xml:space="preserve"> </w:t>
      </w:r>
      <w:r>
        <w:rPr>
          <w:i/>
          <w:iCs/>
        </w:rPr>
        <w:t xml:space="preserve">(</w:t>
      </w:r>
      <w:hyperlink w:anchor="ref_BdE2025CCA">
        <w:r>
          <w:rPr>
            <w:rStyle w:val="Hyperlink"/>
            <w:i/>
            <w:iCs/>
          </w:rPr>
          <w:t xml:space="preserve">2025</w:t>
        </w:r>
      </w:hyperlink>
      <w:r>
        <w:rPr>
          <w:i/>
          <w:iCs/>
        </w:rPr>
        <w:t xml:space="preserve">)</w:t>
      </w:r>
      <w:r>
        <w:rPr>
          <w:i/>
          <w:iCs/>
        </w:rPr>
        <w:t xml:space="preserve">; requisitos del MUS:</w:t>
      </w:r>
      <w:r>
        <w:rPr>
          <w:i/>
          <w:iCs/>
        </w:rPr>
        <w:t xml:space="preserve"> </w:t>
      </w:r>
      <w:r>
        <w:rPr>
          <w:i/>
          <w:iCs/>
          <w:smallCaps/>
        </w:rPr>
        <w:t xml:space="preserve">Banco Central Europeo</w:t>
      </w:r>
      <w:r>
        <w:rPr>
          <w:i/>
          <w:iCs/>
        </w:rPr>
        <w:t xml:space="preserve"> </w:t>
      </w:r>
      <w:r>
        <w:rPr>
          <w:i/>
          <w:iCs/>
        </w:rPr>
        <w:t xml:space="preserve">(</w:t>
      </w:r>
      <w:hyperlink w:anchor="ref_BCE2025SREP">
        <w:r>
          <w:rPr>
            <w:rStyle w:val="Hyperlink"/>
            <w:i/>
            <w:iCs/>
          </w:rPr>
          <w:t xml:space="preserve">2025a</w:t>
        </w:r>
      </w:hyperlink>
      <w:r>
        <w:rPr>
          <w:i/>
          <w:iCs/>
        </w:rPr>
        <w:t xml:space="preserve">)</w:t>
      </w:r>
      <w:r>
        <w:rPr>
          <w:i/>
          <w:iCs/>
        </w:rPr>
        <w:t xml:space="preserve">.</w:t>
      </w:r>
    </w:p>
    <w:bookmarkStart w:id="221" w:name="tab_ratios_banca"/>
    <w:p>
      <w:pPr>
        <w:pStyle w:val="TableCaption"/>
      </w:pPr>
      <w:r>
        <w:t xml:space="preserve">Tabla 9.–</w:t>
      </w:r>
      <w:r>
        <w:t xml:space="preserve"> </w:t>
      </w:r>
      <w:r>
        <w:t xml:space="preserve">Ratios de la banca que opera en España y de la europea (%)</w:t>
      </w:r>
    </w:p>
    <w:tbl>
      <w:tblPr>
        <w:tblStyle w:val="Table"/>
        <w:tblW w:type="auto" w:w="0"/>
        <w:tblLook w:firstRow="1" w:lastRow="0" w:firstColumn="0" w:lastColumn="0" w:noHBand="0" w:noVBand="0" w:val="0020"/>
        <w:tblCaption w:val="Tabla 9.– Ratios de la banca que opera en España y de la europea (%)"/>
      </w:tblPr>
      <w:tblGrid>
        <w:gridCol w:w="1584"/>
        <w:gridCol w:w="1584"/>
        <w:gridCol w:w="1584"/>
        <w:gridCol w:w="1584"/>
        <w:gridCol w:w="1584"/>
      </w:tblGrid>
      <w:tr>
        <w:trPr>
          <w:cantSplit/>
          <w:tblHeader w:val="on"/>
        </w:trPr>
        <w:tc>
          <w:tcPr>
            <w:shd w:val="clear" w:color="auto" w:fill="DDEBF7"/>
            <w:vAlign w:val="center"/>
          </w:tcPr>
          <w:p>
            <w:pPr>
              <w:pStyle w:val="Celdatceeazulpalido"/>
              <w:keepNext/>
              <w:jc w:val="left"/>
            </w:pPr>
            <w:r>
              <w:t xml:space="preserve"> </w:t>
            </w:r>
            <w:r>
              <w:rPr>
                <w:b/>
                <w:bCs/>
              </w:rPr>
              <w:t xml:space="preserve">Ratio</w:t>
            </w:r>
          </w:p>
        </w:tc>
        <w:tc>
          <w:tcPr>
            <w:shd w:val="clear" w:color="auto" w:fill="DDEBF7"/>
            <w:vAlign w:val="center"/>
          </w:tcPr>
          <w:p>
            <w:pPr>
              <w:pStyle w:val="Celdatceeazulpalido"/>
              <w:keepNext/>
              <w:jc w:val="center"/>
            </w:pPr>
            <w:r>
              <w:rPr>
                <w:b/>
                <w:bCs/>
              </w:rPr>
              <w:t xml:space="preserve">España, 2.º trim. 2021</w:t>
            </w:r>
          </w:p>
        </w:tc>
        <w:tc>
          <w:tcPr>
            <w:shd w:val="clear" w:color="auto" w:fill="DDEBF7"/>
            <w:vAlign w:val="center"/>
          </w:tcPr>
          <w:p>
            <w:pPr>
              <w:pStyle w:val="Celdatceeazulpalido"/>
              <w:keepNext/>
              <w:jc w:val="center"/>
            </w:pPr>
            <w:r>
              <w:rPr>
                <w:b/>
                <w:bCs/>
              </w:rPr>
              <w:t xml:space="preserve">España, 2.º trim. 2026</w:t>
            </w:r>
          </w:p>
        </w:tc>
        <w:tc>
          <w:tcPr>
            <w:shd w:val="clear" w:color="auto" w:fill="DDEBF7"/>
            <w:vAlign w:val="center"/>
          </w:tcPr>
          <w:p>
            <w:pPr>
              <w:pStyle w:val="Celdatceeazulpalido"/>
              <w:keepNext/>
              <w:jc w:val="center"/>
            </w:pPr>
            <w:r>
              <w:rPr>
                <w:b/>
                <w:bCs/>
              </w:rPr>
              <w:t xml:space="preserve">Entidades significativas del MUS, 2026</w:t>
            </w:r>
          </w:p>
        </w:tc>
        <w:tc>
          <w:tcPr>
            <w:shd w:val="clear" w:color="auto" w:fill="DDEBF7"/>
            <w:vAlign w:val="center"/>
          </w:tcPr>
          <w:p>
            <w:pPr>
              <w:pStyle w:val="Celdatceeazulpalido"/>
              <w:keepNext/>
              <w:jc w:val="center"/>
            </w:pPr>
            <w:r>
              <w:rPr>
                <w:b/>
                <w:bCs/>
              </w:rPr>
              <w:t xml:space="preserve">UE (ABE), 2026</w:t>
            </w:r>
          </w:p>
        </w:tc>
      </w:tr>
      <w:tr>
        <w:trPr>
          <w:cantSplit/>
        </w:trPr>
        <w:tc>
          <w:tcPr>
            <w:vAlign w:val="center"/>
          </w:tcPr>
          <w:p>
            <w:pPr>
              <w:pStyle w:val="Compact"/>
              <w:jc w:val="left"/>
            </w:pPr>
            <w:r>
              <w:t xml:space="preserve">ROE</w:t>
            </w:r>
          </w:p>
        </w:tc>
        <w:tc>
          <w:tcPr>
            <w:vAlign w:val="center"/>
          </w:tcPr>
          <w:p>
            <w:pPr>
              <w:pStyle w:val="Compact"/>
              <w:jc w:val="center"/>
            </w:pPr>
            <w:r>
              <w:t xml:space="preserve">10,86</w:t>
            </w:r>
          </w:p>
        </w:tc>
        <w:tc>
          <w:tcPr>
            <w:vAlign w:val="center"/>
          </w:tcPr>
          <w:p>
            <w:pPr>
              <w:pStyle w:val="Compact"/>
              <w:jc w:val="center"/>
            </w:pPr>
            <w:r>
              <w:t xml:space="preserve">16,05</w:t>
            </w:r>
          </w:p>
        </w:tc>
        <w:tc>
          <w:tcPr>
            <w:vAlign w:val="center"/>
          </w:tcPr>
          <w:p>
            <w:pPr>
              <w:pStyle w:val="Compact"/>
              <w:jc w:val="center"/>
            </w:pPr>
            <w:r>
              <w:t xml:space="preserve">10,73</w:t>
            </w:r>
          </w:p>
        </w:tc>
        <w:tc>
          <w:tcPr>
            <w:vAlign w:val="center"/>
          </w:tcPr>
          <w:p>
            <w:pPr>
              <w:pStyle w:val="Compact"/>
              <w:jc w:val="center"/>
            </w:pPr>
            <w:r>
              <w:t xml:space="preserve">11,3</w:t>
            </w:r>
          </w:p>
        </w:tc>
      </w:tr>
      <w:tr>
        <w:trPr>
          <w:cantSplit/>
        </w:trPr>
        <w:tc>
          <w:tcPr>
            <w:vAlign w:val="center"/>
          </w:tcPr>
          <w:p>
            <w:pPr>
              <w:pStyle w:val="Compact"/>
              <w:jc w:val="left"/>
            </w:pPr>
            <w:r>
              <w:t xml:space="preserve">CET1</w:t>
            </w:r>
          </w:p>
        </w:tc>
        <w:tc>
          <w:tcPr>
            <w:vAlign w:val="center"/>
          </w:tcPr>
          <w:p>
            <w:pPr>
              <w:pStyle w:val="Compact"/>
              <w:jc w:val="center"/>
            </w:pPr>
            <w:r>
              <w:t xml:space="preserve">13,64</w:t>
            </w:r>
          </w:p>
        </w:tc>
        <w:tc>
          <w:tcPr>
            <w:vAlign w:val="center"/>
          </w:tcPr>
          <w:p>
            <w:pPr>
              <w:pStyle w:val="Compact"/>
              <w:jc w:val="center"/>
            </w:pPr>
            <w:r>
              <w:t xml:space="preserve">14,11</w:t>
            </w:r>
          </w:p>
        </w:tc>
        <w:tc>
          <w:tcPr>
            <w:vAlign w:val="center"/>
          </w:tcPr>
          <w:p>
            <w:pPr>
              <w:pStyle w:val="Compact"/>
              <w:jc w:val="center"/>
            </w:pPr>
            <w:r>
              <w:t xml:space="preserve">16,00</w:t>
            </w:r>
          </w:p>
        </w:tc>
        <w:tc>
          <w:tcPr>
            <w:vAlign w:val="center"/>
          </w:tcPr>
          <w:p>
            <w:pPr>
              <w:pStyle w:val="Compact"/>
              <w:jc w:val="center"/>
            </w:pPr>
            <w:r>
              <w:t xml:space="preserve">16,1</w:t>
            </w:r>
          </w:p>
        </w:tc>
      </w:tr>
      <w:tr>
        <w:trPr>
          <w:cantSplit/>
        </w:trPr>
        <w:tc>
          <w:tcPr>
            <w:vAlign w:val="center"/>
          </w:tcPr>
          <w:p>
            <w:pPr>
              <w:pStyle w:val="Compact"/>
              <w:jc w:val="left"/>
            </w:pPr>
            <w:r>
              <w:t xml:space="preserve">Tier 1</w:t>
            </w:r>
          </w:p>
        </w:tc>
        <w:tc>
          <w:tcPr>
            <w:vAlign w:val="center"/>
          </w:tcPr>
          <w:p>
            <w:pPr>
              <w:pStyle w:val="Compact"/>
              <w:jc w:val="center"/>
            </w:pPr>
            <w:r>
              <w:t xml:space="preserve">15,13</w:t>
            </w:r>
          </w:p>
        </w:tc>
        <w:tc>
          <w:tcPr>
            <w:vAlign w:val="center"/>
          </w:tcPr>
          <w:p>
            <w:pPr>
              <w:pStyle w:val="Compact"/>
              <w:jc w:val="center"/>
            </w:pPr>
            <w:r>
              <w:t xml:space="preserve">15,68</w:t>
            </w:r>
          </w:p>
        </w:tc>
        <w:tc>
          <w:tcPr>
            <w:vAlign w:val="center"/>
          </w:tcPr>
          <w:p>
            <w:pPr>
              <w:pStyle w:val="Compact"/>
              <w:jc w:val="center"/>
            </w:pPr>
            <w:r>
              <w:t xml:space="preserve">17,53</w:t>
            </w:r>
          </w:p>
        </w:tc>
        <w:tc>
          <w:tcPr>
            <w:vAlign w:val="center"/>
          </w:tcPr>
          <w:p>
            <w:pPr>
              <w:pStyle w:val="Compact"/>
              <w:jc w:val="center"/>
            </w:pPr>
            <w:r>
              <w:t xml:space="preserve">17,7</w:t>
            </w:r>
          </w:p>
        </w:tc>
      </w:tr>
      <w:tr>
        <w:trPr>
          <w:cantSplit/>
        </w:trPr>
        <w:tc>
          <w:tcPr>
            <w:vAlign w:val="center"/>
          </w:tcPr>
          <w:p>
            <w:pPr>
              <w:pStyle w:val="Compact"/>
              <w:jc w:val="left"/>
            </w:pPr>
            <w:r>
              <w:t xml:space="preserve">Capital total</w:t>
            </w:r>
          </w:p>
        </w:tc>
        <w:tc>
          <w:tcPr>
            <w:vAlign w:val="center"/>
          </w:tcPr>
          <w:p>
            <w:pPr>
              <w:pStyle w:val="Compact"/>
              <w:jc w:val="center"/>
            </w:pPr>
            <w:r>
              <w:t xml:space="preserve">17,27</w:t>
            </w:r>
          </w:p>
        </w:tc>
        <w:tc>
          <w:tcPr>
            <w:vAlign w:val="center"/>
          </w:tcPr>
          <w:p>
            <w:pPr>
              <w:pStyle w:val="Compact"/>
              <w:jc w:val="center"/>
            </w:pPr>
            <w:r>
              <w:t xml:space="preserve">18,30</w:t>
            </w:r>
          </w:p>
        </w:tc>
        <w:tc>
          <w:tcPr>
            <w:vAlign w:val="center"/>
          </w:tcPr>
          <w:p>
            <w:pPr>
              <w:pStyle w:val="Compact"/>
              <w:jc w:val="center"/>
            </w:pPr>
            <w:r>
              <w:t xml:space="preserve">20,13</w:t>
            </w:r>
          </w:p>
        </w:tc>
        <w:tc>
          <w:tcPr>
            <w:vAlign w:val="center"/>
          </w:tcPr>
          <w:p>
            <w:pPr>
              <w:pStyle w:val="Compact"/>
              <w:jc w:val="center"/>
            </w:pPr>
            <w:r>
              <w:t xml:space="preserve">20,2</w:t>
            </w:r>
          </w:p>
        </w:tc>
      </w:tr>
      <w:tr>
        <w:trPr>
          <w:cantSplit/>
        </w:trPr>
        <w:tc>
          <w:tcPr>
            <w:vAlign w:val="center"/>
          </w:tcPr>
          <w:p>
            <w:pPr>
              <w:pStyle w:val="Compact"/>
              <w:jc w:val="left"/>
            </w:pPr>
            <w:r>
              <w:t xml:space="preserve">Préstamos dudosos</w:t>
            </w:r>
          </w:p>
        </w:tc>
        <w:tc>
          <w:tcPr>
            <w:vAlign w:val="center"/>
          </w:tcPr>
          <w:p>
            <w:pPr>
              <w:pStyle w:val="Compact"/>
              <w:jc w:val="center"/>
            </w:pPr>
            <w:r>
              <w:t xml:space="preserve">3,02</w:t>
            </w:r>
          </w:p>
        </w:tc>
        <w:tc>
          <w:tcPr>
            <w:vAlign w:val="center"/>
          </w:tcPr>
          <w:p>
            <w:pPr>
              <w:pStyle w:val="Compact"/>
              <w:jc w:val="center"/>
            </w:pPr>
            <w:r>
              <w:t xml:space="preserve">2,53</w:t>
            </w:r>
          </w:p>
        </w:tc>
        <w:tc>
          <w:tcPr>
            <w:vAlign w:val="center"/>
          </w:tcPr>
          <w:p>
            <w:pPr>
              <w:pStyle w:val="Compact"/>
              <w:jc w:val="center"/>
            </w:pPr>
            <w:r>
              <w:t xml:space="preserve">2,17</w:t>
            </w:r>
          </w:p>
        </w:tc>
        <w:tc>
          <w:tcPr>
            <w:vAlign w:val="center"/>
          </w:tcPr>
          <w:p>
            <w:pPr>
              <w:pStyle w:val="Compact"/>
              <w:jc w:val="center"/>
            </w:pPr>
            <w:r>
              <w:t xml:space="preserve">1,8</w:t>
            </w:r>
          </w:p>
        </w:tc>
      </w:tr>
      <w:tr>
        <w:trPr>
          <w:cantSplit/>
        </w:trPr>
        <w:tc>
          <w:tcPr>
            <w:vAlign w:val="center"/>
          </w:tcPr>
          <w:p>
            <w:pPr>
              <w:pStyle w:val="Compact"/>
              <w:jc w:val="left"/>
            </w:pPr>
            <w:r>
              <w:t xml:space="preserve">Apalancamiento</w:t>
            </w:r>
          </w:p>
        </w:tc>
        <w:tc>
          <w:tcPr>
            <w:vAlign w:val="center"/>
          </w:tcPr>
          <w:p>
            <w:pPr>
              <w:pStyle w:val="Compact"/>
              <w:jc w:val="center"/>
            </w:pPr>
            <w:r>
              <w:t xml:space="preserve">5,94</w:t>
            </w:r>
          </w:p>
        </w:tc>
        <w:tc>
          <w:tcPr>
            <w:vAlign w:val="center"/>
          </w:tcPr>
          <w:p>
            <w:pPr>
              <w:pStyle w:val="Compact"/>
              <w:jc w:val="center"/>
            </w:pPr>
            <w:r>
              <w:t xml:space="preserve">5,60</w:t>
            </w:r>
          </w:p>
        </w:tc>
        <w:tc>
          <w:tcPr>
            <w:vAlign w:val="center"/>
          </w:tcPr>
          <w:p>
            <w:pPr>
              <w:pStyle w:val="Compact"/>
              <w:jc w:val="center"/>
            </w:pPr>
            <w:r>
              <w:t xml:space="preserve">—</w:t>
            </w:r>
          </w:p>
        </w:tc>
        <w:tc>
          <w:tcPr>
            <w:vAlign w:val="center"/>
          </w:tcPr>
          <w:p>
            <w:pPr>
              <w:pStyle w:val="Compact"/>
              <w:jc w:val="center"/>
            </w:pPr>
            <w:r>
              <w:t xml:space="preserve">5,8</w:t>
            </w:r>
          </w:p>
        </w:tc>
      </w:tr>
      <w:tr>
        <w:trPr>
          <w:cantSplit/>
        </w:trPr>
        <w:tc>
          <w:tcPr>
            <w:vAlign w:val="center"/>
          </w:tcPr>
          <w:p>
            <w:pPr>
              <w:pStyle w:val="Compact"/>
              <w:jc w:val="left"/>
            </w:pPr>
            <w:r>
              <w:t xml:space="preserve">LCR</w:t>
            </w:r>
          </w:p>
        </w:tc>
        <w:tc>
          <w:tcPr>
            <w:vAlign w:val="center"/>
          </w:tcPr>
          <w:p>
            <w:pPr>
              <w:pStyle w:val="Compact"/>
              <w:jc w:val="center"/>
            </w:pPr>
            <w:r>
              <w:t xml:space="preserve">211,89</w:t>
            </w:r>
          </w:p>
        </w:tc>
        <w:tc>
          <w:tcPr>
            <w:vAlign w:val="center"/>
          </w:tcPr>
          <w:p>
            <w:pPr>
              <w:pStyle w:val="Compact"/>
              <w:jc w:val="center"/>
            </w:pPr>
            <w:r>
              <w:t xml:space="preserve">171,07</w:t>
            </w:r>
          </w:p>
        </w:tc>
        <w:tc>
          <w:tcPr>
            <w:vAlign w:val="center"/>
          </w:tcPr>
          <w:p>
            <w:pPr>
              <w:pStyle w:val="Compact"/>
              <w:jc w:val="center"/>
            </w:pPr>
            <w:r>
              <w:t xml:space="preserve">154,91</w:t>
            </w:r>
          </w:p>
        </w:tc>
        <w:tc>
          <w:tcPr>
            <w:vAlign w:val="center"/>
          </w:tcPr>
          <w:p>
            <w:pPr>
              <w:pStyle w:val="Compact"/>
              <w:jc w:val="center"/>
            </w:pPr>
            <w:r>
              <w:t xml:space="preserve">158,5</w:t>
            </w:r>
          </w:p>
        </w:tc>
      </w:tr>
      <w:tr>
        <w:trPr>
          <w:cantSplit/>
        </w:trPr>
        <w:tc>
          <w:tcPr>
            <w:vAlign w:val="center"/>
          </w:tcPr>
          <w:p>
            <w:pPr>
              <w:pStyle w:val="Compact"/>
              <w:jc w:val="left"/>
            </w:pPr>
            <w:r>
              <w:t xml:space="preserve">NSFR</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125,7</w:t>
            </w:r>
          </w:p>
        </w:tc>
      </w:tr>
      <w:tr>
        <w:trPr>
          <w:cantSplit/>
        </w:trPr>
        <w:tc>
          <w:tcPr>
            <w:vAlign w:val="center"/>
          </w:tcPr>
          <w:p>
            <w:pPr>
              <w:pStyle w:val="Compact"/>
              <w:jc w:val="left"/>
            </w:pPr>
            <w:r>
              <w:t xml:space="preserve">Créditos/depósitos</w:t>
            </w:r>
          </w:p>
        </w:tc>
        <w:tc>
          <w:tcPr>
            <w:vAlign w:val="center"/>
          </w:tcPr>
          <w:p>
            <w:pPr>
              <w:pStyle w:val="Compact"/>
              <w:jc w:val="center"/>
            </w:pPr>
            <w:r>
              <w:t xml:space="preserve">102,13</w:t>
            </w:r>
          </w:p>
        </w:tc>
        <w:tc>
          <w:tcPr>
            <w:vAlign w:val="center"/>
          </w:tcPr>
          <w:p>
            <w:pPr>
              <w:pStyle w:val="Compact"/>
              <w:jc w:val="center"/>
            </w:pPr>
            <w:r>
              <w:t xml:space="preserve">97,17</w:t>
            </w:r>
          </w:p>
        </w:tc>
        <w:tc>
          <w:tcPr>
            <w:vAlign w:val="center"/>
          </w:tcPr>
          <w:p>
            <w:pPr>
              <w:pStyle w:val="Compact"/>
              <w:jc w:val="center"/>
            </w:pPr>
            <w:r>
              <w:t xml:space="preserve">—</w:t>
            </w:r>
          </w:p>
        </w:tc>
        <w:tc>
          <w:tcPr>
            <w:vAlign w:val="center"/>
          </w:tcPr>
          <w:p>
            <w:pPr>
              <w:pStyle w:val="Compact"/>
              <w:jc w:val="center"/>
            </w:pPr>
            <w:r>
              <w:t xml:space="preserve">106,3</w:t>
            </w:r>
          </w:p>
        </w:tc>
      </w:tr>
      <w:tr>
        <w:trPr>
          <w:cantSplit/>
        </w:trPr>
        <w:tc>
          <w:tcPr>
            <w:vAlign w:val="center"/>
          </w:tcPr>
          <w:p>
            <w:pPr>
              <w:pStyle w:val="Compact"/>
              <w:jc w:val="left"/>
            </w:pPr>
            <w:r>
              <w:t xml:space="preserve">Eficiencia</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53,06</w:t>
            </w:r>
          </w:p>
        </w:tc>
        <w:tc>
          <w:tcPr>
            <w:vAlign w:val="center"/>
          </w:tcPr>
          <w:p>
            <w:pPr>
              <w:pStyle w:val="Compact"/>
              <w:jc w:val="center"/>
            </w:pPr>
            <w:r>
              <w:t xml:space="preserve">51,5</w:t>
            </w:r>
          </w:p>
        </w:tc>
      </w:tr>
    </w:tbl>
    <w:bookmarkEnd w:id="221"/>
    <w:p>
      <w:pPr>
        <w:pStyle w:val="BodyText"/>
      </w:pPr>
      <w:r>
        <w:rPr>
          <w:i/>
          <w:iCs/>
        </w:rPr>
        <w:t xml:space="preserve">Fuente: 2021: estadísticas supervisoras del Banco de España recogidas por</w:t>
      </w:r>
      <w:r>
        <w:rPr>
          <w:i/>
          <w:iCs/>
        </w:rPr>
        <w:t xml:space="preserve"> </w:t>
      </w:r>
      <w:r>
        <w:rPr>
          <w:i/>
          <w:iCs/>
          <w:smallCaps/>
        </w:rPr>
        <w:t xml:space="preserve">Unicaja Banco</w:t>
      </w:r>
      <w:r>
        <w:rPr>
          <w:i/>
          <w:iCs/>
        </w:rPr>
        <w:t xml:space="preserve"> </w:t>
      </w:r>
      <w:r>
        <w:rPr>
          <w:i/>
          <w:iCs/>
        </w:rPr>
        <w:t xml:space="preserve">(</w:t>
      </w:r>
      <w:hyperlink w:anchor="ref_Unicaja2021Indicadores">
        <w:r>
          <w:rPr>
            <w:rStyle w:val="Hyperlink"/>
            <w:i/>
            <w:iCs/>
          </w:rPr>
          <w:t xml:space="preserve">2021</w:t>
        </w:r>
      </w:hyperlink>
      <w:r>
        <w:rPr>
          <w:i/>
          <w:iCs/>
        </w:rPr>
        <w:t xml:space="preserve">)</w:t>
      </w:r>
      <w:r>
        <w:rPr>
          <w:i/>
          <w:iCs/>
        </w:rPr>
        <w:t xml:space="preserve">; 2026:</w:t>
      </w:r>
      <w:r>
        <w:rPr>
          <w:i/>
          <w:iCs/>
        </w:rPr>
        <w:t xml:space="preserve"> </w:t>
      </w:r>
      <w:r>
        <w:rPr>
          <w:i/>
          <w:iCs/>
          <w:smallCaps/>
        </w:rPr>
        <w:t xml:space="preserve">Banco de España</w:t>
      </w:r>
      <w:r>
        <w:rPr>
          <w:i/>
          <w:iCs/>
        </w:rPr>
        <w:t xml:space="preserve"> </w:t>
      </w:r>
      <w:r>
        <w:rPr>
          <w:i/>
          <w:iCs/>
        </w:rPr>
        <w:t xml:space="preserve">(</w:t>
      </w:r>
      <w:hyperlink w:anchor="ref_BdE2026EstadSupervisoras">
        <w:r>
          <w:rPr>
            <w:rStyle w:val="Hyperlink"/>
            <w:i/>
            <w:iCs/>
          </w:rPr>
          <w:t xml:space="preserve">2026a</w:t>
        </w:r>
      </w:hyperlink>
      <w:r>
        <w:rPr>
          <w:i/>
          <w:iCs/>
        </w:rPr>
        <w:t xml:space="preserve">;</w:t>
      </w:r>
      <w:r>
        <w:rPr>
          <w:i/>
          <w:iCs/>
        </w:rPr>
        <w:t xml:space="preserve"> </w:t>
      </w:r>
      <w:hyperlink w:anchor="ref_BCE2026SupervisionSI">
        <w:r>
          <w:rPr>
            <w:rStyle w:val="Hyperlink"/>
            <w:i/>
            <w:iCs/>
            <w:smallCaps/>
          </w:rPr>
          <w:t xml:space="preserve">Banco Central Europeo</w:t>
        </w:r>
        <w:r>
          <w:rPr>
            <w:rStyle w:val="Hyperlink"/>
            <w:i/>
            <w:iCs/>
          </w:rPr>
          <w:t xml:space="preserve">, 2026d</w:t>
        </w:r>
      </w:hyperlink>
      <w:r>
        <w:rPr>
          <w:i/>
          <w:iCs/>
        </w:rPr>
        <w:t xml:space="preserve">;</w:t>
      </w:r>
      <w:r>
        <w:rPr>
          <w:i/>
          <w:iCs/>
        </w:rPr>
        <w:t xml:space="preserve"> </w:t>
      </w:r>
      <w:hyperlink w:anchor="ref_ABE2026RiskDashboard">
        <w:r>
          <w:rPr>
            <w:rStyle w:val="Hyperlink"/>
            <w:i/>
            <w:iCs/>
            <w:smallCaps/>
          </w:rPr>
          <w:t xml:space="preserve">European Banking Authority</w:t>
        </w:r>
        <w:r>
          <w:rPr>
            <w:rStyle w:val="Hyperlink"/>
            <w:i/>
            <w:iCs/>
          </w:rPr>
          <w:t xml:space="preserve">, 2026</w:t>
        </w:r>
      </w:hyperlink>
      <w:r>
        <w:rPr>
          <w:i/>
          <w:iCs/>
        </w:rPr>
        <w:t xml:space="preserve">)</w:t>
      </w:r>
      <w:r>
        <w:rPr>
          <w:i/>
          <w:iCs/>
        </w:rPr>
        <w:t xml:space="preserve">. Qué hay que ver: entre 2021 y 2026 sube la rentabilidad de la banca española, baja la morosidad y se reducen el LCR y la ratio créditos/depósitos (por debajo del 100 %); frente a la europea, es más rentable pero tiene menos capital de máxima calidad. La ratio de dudosos del Banco de España no es comparable con la de series antiguas.</w:t>
      </w:r>
    </w:p>
    <w:bookmarkStart w:id="223" w:name="econom__a_avanzada_o_emergente_qu__95834"/>
    <w:p>
      <w:pPr>
        <w:pStyle w:val="Heading4"/>
      </w:pPr>
      <w:r>
        <w:t xml:space="preserve">Economía avanzada o emergente: qué cambia en el análisis</w:t>
      </w:r>
    </w:p>
    <w:p>
      <w:pPr>
        <w:numPr>
          <w:ilvl w:val="0"/>
          <w:numId w:val="1140"/>
        </w:numPr>
      </w:pPr>
      <w:r>
        <w:t xml:space="preserve">Sin intentar adivinar el país, hay rasgos que cambian la lectura: crecimiento potencial y volatilidad, inflación y traspaso del tipo de cambio, peso de las materias primas, política fiscal procíclica, deuda en divisas, riesgo de frenazo súbito de capitales y sistema financiero poco profundo (tabla </w:t>
      </w:r>
      <w:hyperlink w:anchor="tab_avanzada_emergente">
        <w:r>
          <w:rPr>
            <w:rStyle w:val="Hyperlink"/>
          </w:rPr>
          <w:t xml:space="preserve">10</w:t>
        </w:r>
      </w:hyperlink>
      <w:r>
        <w:t xml:space="preserve">). Como referencia, en 2025 las economías avanzadas crecieron un 2,0 % con una inflación del 2,5 %</w:t>
      </w:r>
      <w:r>
        <w:t xml:space="preserve"> </w:t>
      </w:r>
      <w:r>
        <w:t xml:space="preserve">(</w:t>
      </w:r>
      <w:hyperlink w:anchor="ref_FMI2026WEO">
        <w:r>
          <w:rPr>
            <w:rStyle w:val="Hyperlink"/>
            <w:smallCaps/>
          </w:rPr>
          <w:t xml:space="preserve">Fondo Monetario Internacional</w:t>
        </w:r>
        <w:r>
          <w:rPr>
            <w:rStyle w:val="Hyperlink"/>
          </w:rPr>
          <w:t xml:space="preserve">, 2026d</w:t>
        </w:r>
      </w:hyperlink>
      <w:r>
        <w:t xml:space="preserve">)</w:t>
      </w:r>
      <w:r>
        <w:t xml:space="preserve">; la renta per cápita era de unos 90.000 dólares en EE. UU., 61.000 en Alemania y 39.000 en España</w:t>
      </w:r>
      <w:r>
        <w:t xml:space="preserve"> </w:t>
      </w:r>
      <w:r>
        <w:t xml:space="preserve">(</w:t>
      </w:r>
      <w:hyperlink w:anchor="ref_FMI2026WEO">
        <w:r>
          <w:rPr>
            <w:rStyle w:val="Hyperlink"/>
            <w:smallCaps/>
          </w:rPr>
          <w:t xml:space="preserve">Fondo Monetario Internacional</w:t>
        </w:r>
        <w:r>
          <w:rPr>
            <w:rStyle w:val="Hyperlink"/>
          </w:rPr>
          <w:t xml:space="preserve">, 2026d</w:t>
        </w:r>
      </w:hyperlink>
      <w:r>
        <w:t xml:space="preserve">)</w:t>
      </w:r>
      <w:r>
        <w:t xml:space="preserve">; y el sector primario pesaba un 1,8 % del VAB de la UE, frente a más de una cuarta parte del PIB en los países de renta baja</w:t>
      </w:r>
      <w:r>
        <w:t xml:space="preserve"> </w:t>
      </w:r>
      <w:r>
        <w:t xml:space="preserve">(</w:t>
      </w:r>
      <w:hyperlink w:anchor="ref_Eurostat2026nama10a10">
        <w:r>
          <w:rPr>
            <w:rStyle w:val="Hyperlink"/>
            <w:smallCaps/>
          </w:rPr>
          <w:t xml:space="preserve">Eurostat</w:t>
        </w:r>
        <w:r>
          <w:rPr>
            <w:rStyle w:val="Hyperlink"/>
          </w:rPr>
          <w:t xml:space="preserve">, 2026f</w:t>
        </w:r>
      </w:hyperlink>
      <w:r>
        <w:t xml:space="preserve">;</w:t>
      </w:r>
      <w:r>
        <w:t xml:space="preserve"> </w:t>
      </w:r>
      <w:hyperlink w:anchor="ref_BM2026WDI">
        <w:r>
          <w:rPr>
            <w:rStyle w:val="Hyperlink"/>
            <w:smallCaps/>
          </w:rPr>
          <w:t xml:space="preserve">Banco Mundial</w:t>
        </w:r>
        <w:r>
          <w:rPr>
            <w:rStyle w:val="Hyperlink"/>
          </w:rPr>
          <w:t xml:space="preserve">, 2026</w:t>
        </w:r>
      </w:hyperlink>
      <w:r>
        <w:t xml:space="preserve">)</w:t>
      </w:r>
      <w:r>
        <w:t xml:space="preserve">.</w:t>
      </w:r>
    </w:p>
    <w:p>
      <w:pPr>
        <w:numPr>
          <w:ilvl w:val="0"/>
          <w:numId w:val="1140"/>
        </w:numPr>
      </w:pPr>
      <w:r>
        <w:t xml:space="preserve">Ojo con los países exportadores de petróleo, con rentas per cápita altas y rasgos de emergente.</w:t>
      </w:r>
    </w:p>
    <w:bookmarkStart w:id="222" w:name="tab_avanzada_emergente"/>
    <w:p>
      <w:pPr>
        <w:pStyle w:val="TableCaption"/>
      </w:pPr>
      <w:r>
        <w:t xml:space="preserve">Tabla 10.–</w:t>
      </w:r>
      <w:r>
        <w:t xml:space="preserve"> </w:t>
      </w:r>
      <w:r>
        <w:t xml:space="preserve">Rasgos de una economía avanzada y de una emergente o en desarrollo</w:t>
      </w:r>
    </w:p>
    <w:tbl>
      <w:tblPr>
        <w:tblStyle w:val="Table"/>
        <w:tblW w:type="auto" w:w="0"/>
        <w:tblLook w:firstRow="1" w:lastRow="0" w:firstColumn="0" w:lastColumn="0" w:noHBand="0" w:noVBand="0" w:val="0020"/>
        <w:tblCaption w:val="Tabla 10.– Rasgos de una economía avanzada y de una emergente o en desarrollo"/>
      </w:tblPr>
      <w:tblGrid>
        <w:gridCol w:w="2640"/>
        <w:gridCol w:w="2640"/>
        <w:gridCol w:w="2640"/>
      </w:tblGrid>
      <w:tr>
        <w:trPr>
          <w:cantSplit/>
          <w:tblHeader w:val="on"/>
        </w:trPr>
        <w:tc>
          <w:tcPr>
            <w:shd w:val="clear" w:color="auto" w:fill="DDEBF7"/>
          </w:tcPr>
          <w:tcPr/>
          <w:p>
            <w:pPr>
              <w:pStyle w:val="Celdatceeazulpalido"/>
              <w:keepNext/>
              <w:jc w:val="left"/>
            </w:pPr>
            <w:r>
              <w:t/>
            </w:r>
          </w:p>
        </w:tc>
        <w:tc>
          <w:tcPr>
            <w:shd w:val="clear" w:color="auto" w:fill="DDEBF7"/>
          </w:tcPr>
          <w:tcPr/>
          <w:p>
            <w:pPr>
              <w:pStyle w:val="Celdatceeazulpalido"/>
              <w:keepNext/>
              <w:jc w:val="left"/>
            </w:pPr>
            <w:r>
              <w:rPr>
                <w:b/>
                <w:bCs/>
              </w:rPr>
              <w:t xml:space="preserve">Economía avanzada</w:t>
            </w:r>
          </w:p>
        </w:tc>
        <w:tc>
          <w:tcPr>
            <w:shd w:val="clear" w:color="auto" w:fill="DDEBF7"/>
          </w:tcPr>
          <w:tcPr/>
          <w:p>
            <w:pPr>
              <w:pStyle w:val="Celdatceeazulpalido"/>
              <w:keepNext/>
              <w:jc w:val="left"/>
            </w:pPr>
            <w:r>
              <w:rPr>
                <w:b/>
                <w:bCs/>
              </w:rPr>
              <w:t xml:space="preserve">Economía emergente o en desarrollo</w:t>
            </w:r>
          </w:p>
        </w:tc>
      </w:tr>
      <w:tr>
        <w:trPr>
          <w:cantSplit/>
        </w:trPr>
        <w:tc>
          <w:tcPr/>
          <w:p>
            <w:pPr>
              <w:pStyle w:val="Compact"/>
              <w:jc w:val="left"/>
            </w:pPr>
            <w:r>
              <w:t xml:space="preserve">Crecimiento</w:t>
            </w:r>
          </w:p>
        </w:tc>
        <w:tc>
          <w:tcPr/>
          <w:p>
            <w:pPr>
              <w:pStyle w:val="Compact"/>
              <w:jc w:val="left"/>
            </w:pPr>
            <w:r>
              <w:t xml:space="preserve">potencial del 1-2 %; menos volátil</w:t>
            </w:r>
          </w:p>
        </w:tc>
        <w:tc>
          <w:tcPr/>
          <w:p>
            <w:pPr>
              <w:pStyle w:val="Compact"/>
              <w:jc w:val="left"/>
            </w:pPr>
            <w:r>
              <w:t xml:space="preserve">potencial mayor (4-6 %); más volátil (menos estabilizadores automáticos)</w:t>
            </w:r>
          </w:p>
        </w:tc>
      </w:tr>
      <w:tr>
        <w:trPr>
          <w:cantSplit/>
        </w:trPr>
        <w:tc>
          <w:tcPr/>
          <w:p>
            <w:pPr>
              <w:pStyle w:val="Compact"/>
              <w:jc w:val="left"/>
            </w:pPr>
            <w:r>
              <w:t xml:space="preserve">Inflación</w:t>
            </w:r>
          </w:p>
        </w:tc>
        <w:tc>
          <w:tcPr/>
          <w:p>
            <w:pPr>
              <w:pStyle w:val="Compact"/>
              <w:jc w:val="left"/>
            </w:pPr>
            <w:r>
              <w:t xml:space="preserve">cerca del objetivo (2 %)</w:t>
            </w:r>
          </w:p>
        </w:tc>
        <w:tc>
          <w:tcPr/>
          <w:p>
            <w:pPr>
              <w:pStyle w:val="Compact"/>
              <w:jc w:val="left"/>
            </w:pPr>
            <w:r>
              <w:t xml:space="preserve">más alta y volátil; mayor traspaso del tipo de cambio</w:t>
            </w:r>
          </w:p>
        </w:tc>
      </w:tr>
      <w:tr>
        <w:trPr>
          <w:cantSplit/>
        </w:trPr>
        <w:tc>
          <w:tcPr/>
          <w:p>
            <w:pPr>
              <w:pStyle w:val="Compact"/>
              <w:jc w:val="left"/>
            </w:pPr>
            <w:r>
              <w:t xml:space="preserve">Estructura productiva</w:t>
            </w:r>
          </w:p>
        </w:tc>
        <w:tc>
          <w:tcPr/>
          <w:p>
            <w:pPr>
              <w:pStyle w:val="Compact"/>
              <w:jc w:val="left"/>
            </w:pPr>
            <w:r>
              <w:t xml:space="preserve">servicios en torno a 3 cuartas partes del VAB; primario pequeño</w:t>
            </w:r>
          </w:p>
        </w:tc>
        <w:tc>
          <w:tcPr/>
          <w:p>
            <w:pPr>
              <w:pStyle w:val="Compact"/>
              <w:jc w:val="left"/>
            </w:pPr>
            <w:r>
              <w:t xml:space="preserve">más peso de la agricultura y de las materias primas; dependencia de un sector</w:t>
            </w:r>
          </w:p>
        </w:tc>
      </w:tr>
      <w:tr>
        <w:trPr>
          <w:cantSplit/>
        </w:trPr>
        <w:tc>
          <w:tcPr/>
          <w:p>
            <w:pPr>
              <w:pStyle w:val="Compact"/>
              <w:jc w:val="left"/>
            </w:pPr>
            <w:r>
              <w:t xml:space="preserve">Política fiscal</w:t>
            </w:r>
          </w:p>
        </w:tc>
        <w:tc>
          <w:tcPr/>
          <w:p>
            <w:pPr>
              <w:pStyle w:val="Compact"/>
              <w:jc w:val="left"/>
            </w:pPr>
            <w:r>
              <w:t xml:space="preserve">contracíclica o acíclica; deuda en moneda propia</w:t>
            </w:r>
          </w:p>
        </w:tc>
        <w:tc>
          <w:tcPr/>
          <w:p>
            <w:pPr>
              <w:pStyle w:val="Compact"/>
              <w:jc w:val="left"/>
            </w:pPr>
            <w:r>
              <w:t xml:space="preserve">a menudo procíclica; ingresos bajos (informalidad); deuda en divisas</w:t>
            </w:r>
          </w:p>
        </w:tc>
      </w:tr>
      <w:tr>
        <w:trPr>
          <w:cantSplit/>
        </w:trPr>
        <w:tc>
          <w:tcPr/>
          <w:p>
            <w:pPr>
              <w:pStyle w:val="Compact"/>
              <w:jc w:val="left"/>
            </w:pPr>
            <w:r>
              <w:t xml:space="preserve">Política monetaria</w:t>
            </w:r>
          </w:p>
        </w:tc>
        <w:tc>
          <w:tcPr/>
          <w:p>
            <w:pPr>
              <w:pStyle w:val="Compact"/>
              <w:jc w:val="left"/>
            </w:pPr>
            <w:r>
              <w:t xml:space="preserve">tipos de interés y objetivo de inflación creíble</w:t>
            </w:r>
          </w:p>
        </w:tc>
        <w:tc>
          <w:tcPr/>
          <w:p>
            <w:pPr>
              <w:pStyle w:val="Compact"/>
              <w:jc w:val="left"/>
            </w:pPr>
            <w:r>
              <w:t xml:space="preserve">a veces agregados o tipo de cambio; posible dominancia fiscal</w:t>
            </w:r>
          </w:p>
        </w:tc>
      </w:tr>
      <w:tr>
        <w:trPr>
          <w:cantSplit/>
        </w:trPr>
        <w:tc>
          <w:tcPr/>
          <w:p>
            <w:pPr>
              <w:pStyle w:val="Compact"/>
              <w:jc w:val="left"/>
            </w:pPr>
            <w:r>
              <w:t xml:space="preserve">Sector exterior</w:t>
            </w:r>
          </w:p>
        </w:tc>
        <w:tc>
          <w:tcPr/>
          <w:p>
            <w:pPr>
              <w:pStyle w:val="Compact"/>
              <w:jc w:val="left"/>
            </w:pPr>
            <w:r>
              <w:t xml:space="preserve">déficits financiables con inversión directa y de cartera</w:t>
            </w:r>
          </w:p>
        </w:tc>
        <w:tc>
          <w:tcPr/>
          <w:p>
            <w:pPr>
              <w:pStyle w:val="Compact"/>
              <w:jc w:val="left"/>
            </w:pPr>
            <w:r>
              <w:t xml:space="preserve">riesgo de frenazo súbito de capitales; remesas; reservas como seguro</w:t>
            </w:r>
          </w:p>
        </w:tc>
      </w:tr>
      <w:tr>
        <w:trPr>
          <w:cantSplit/>
        </w:trPr>
        <w:tc>
          <w:tcPr/>
          <w:p>
            <w:pPr>
              <w:pStyle w:val="Compact"/>
              <w:jc w:val="left"/>
            </w:pPr>
            <w:r>
              <w:t xml:space="preserve">Sistema financiero</w:t>
            </w:r>
          </w:p>
        </w:tc>
        <w:tc>
          <w:tcPr/>
          <w:p>
            <w:pPr>
              <w:pStyle w:val="Compact"/>
              <w:jc w:val="left"/>
            </w:pPr>
            <w:r>
              <w:t xml:space="preserve">profundo, con mercados de capitales</w:t>
            </w:r>
          </w:p>
        </w:tc>
        <w:tc>
          <w:tcPr/>
          <w:p>
            <w:pPr>
              <w:pStyle w:val="Compact"/>
              <w:jc w:val="left"/>
            </w:pPr>
            <w:r>
              <w:t xml:space="preserve">bancarizado y poco profundo; préstamos en divisas</w:t>
            </w:r>
          </w:p>
        </w:tc>
      </w:tr>
      <w:tr>
        <w:trPr>
          <w:cantSplit/>
        </w:trPr>
        <w:tc>
          <w:tcPr/>
          <w:p>
            <w:pPr>
              <w:pStyle w:val="Compact"/>
              <w:jc w:val="left"/>
            </w:pPr>
            <w:r>
              <w:t xml:space="preserve">Estabilidad macroeconómica</w:t>
            </w:r>
          </w:p>
        </w:tc>
        <w:tc>
          <w:tcPr/>
          <w:p>
            <w:pPr>
              <w:pStyle w:val="Compact"/>
              <w:jc w:val="left"/>
            </w:pPr>
            <w:r>
              <w:t xml:space="preserve">inflación controlada y cuentas públicas saneadas</w:t>
            </w:r>
          </w:p>
        </w:tc>
        <w:tc>
          <w:tcPr/>
          <w:p>
            <w:pPr>
              <w:pStyle w:val="Compact"/>
              <w:jc w:val="left"/>
            </w:pPr>
            <w:r>
              <w:t xml:space="preserve">sistema financiero débil (prima de riesgo alta, poca credibilidad, fuertes variaciones de M3, monetización del déficit) y tipos de interés altos</w:t>
            </w:r>
          </w:p>
        </w:tc>
      </w:tr>
      <w:tr>
        <w:trPr>
          <w:cantSplit/>
        </w:trPr>
        <w:tc>
          <w:tcPr/>
          <w:p>
            <w:pPr>
              <w:pStyle w:val="Compact"/>
              <w:jc w:val="left"/>
            </w:pPr>
            <w:r>
              <w:t xml:space="preserve">Demografía</w:t>
            </w:r>
          </w:p>
        </w:tc>
        <w:tc>
          <w:tcPr/>
          <w:p>
            <w:pPr>
              <w:pStyle w:val="Compact"/>
              <w:jc w:val="left"/>
            </w:pPr>
            <w:r>
              <w:t xml:space="preserve">envejecimiento</w:t>
            </w:r>
          </w:p>
        </w:tc>
        <w:tc>
          <w:tcPr/>
          <w:p>
            <w:pPr>
              <w:pStyle w:val="Compact"/>
              <w:jc w:val="left"/>
            </w:pPr>
            <w:r>
              <w:t xml:space="preserve">transición demográfica inacabada</w:t>
            </w:r>
          </w:p>
        </w:tc>
      </w:tr>
      <w:tr>
        <w:trPr>
          <w:cantSplit/>
        </w:trPr>
        <w:tc>
          <w:tcPr/>
          <w:p>
            <w:pPr>
              <w:pStyle w:val="Compact"/>
              <w:jc w:val="left"/>
            </w:pPr>
            <w:r>
              <w:t xml:space="preserve">Otros rasgos</w:t>
            </w:r>
          </w:p>
        </w:tc>
        <w:tc>
          <w:tcPr/>
          <w:p>
            <w:pPr>
              <w:pStyle w:val="Compact"/>
              <w:jc w:val="left"/>
            </w:pPr>
            <w:r>
              <w:t xml:space="preserve">índice de desarrollo humano alto; economía sumergida pequeña; gasto público con mucho peso</w:t>
            </w:r>
          </w:p>
        </w:tc>
        <w:tc>
          <w:tcPr/>
          <w:p>
            <w:pPr>
              <w:pStyle w:val="Compact"/>
              <w:jc w:val="left"/>
            </w:pPr>
            <w:r>
              <w:t xml:space="preserve">índice de desarrollo humano bajo; economía sumergida grande; gasto público con poco peso; financiación con remesas o con exportaciones de materias primas</w:t>
            </w:r>
          </w:p>
        </w:tc>
      </w:tr>
    </w:tbl>
    <w:bookmarkEnd w:id="222"/>
    <w:p>
      <w:pPr>
        <w:pStyle w:val="BodyText"/>
      </w:pPr>
      <w:r>
        <w:rPr>
          <w:i/>
          <w:iCs/>
        </w:rPr>
        <w:t xml:space="preserve">Fuente: Elaboración propia a partir de</w:t>
      </w:r>
      <w:r>
        <w:rPr>
          <w:i/>
          <w:iCs/>
        </w:rPr>
        <w:t xml:space="preserve"> </w:t>
      </w:r>
      <w:r>
        <w:rPr>
          <w:i/>
          <w:iCs/>
          <w:smallCaps/>
        </w:rPr>
        <w:t xml:space="preserve">Kaminsky</w:t>
      </w:r>
      <w:r>
        <w:rPr>
          <w:i/>
          <w:iCs/>
        </w:rPr>
        <w:t xml:space="preserve">,</w:t>
      </w:r>
      <w:r>
        <w:rPr>
          <w:i/>
          <w:iCs/>
        </w:rPr>
        <w:t xml:space="preserve"> </w:t>
      </w:r>
      <w:r>
        <w:rPr>
          <w:i/>
          <w:iCs/>
          <w:smallCaps/>
        </w:rPr>
        <w:t xml:space="preserve">Reinhart</w:t>
      </w:r>
      <w:r>
        <w:rPr>
          <w:i/>
          <w:iCs/>
        </w:rPr>
        <w:t xml:space="preserve"> </w:t>
      </w:r>
      <w:r>
        <w:rPr>
          <w:i/>
          <w:iCs/>
        </w:rPr>
        <w:t xml:space="preserve">y</w:t>
      </w:r>
      <w:r>
        <w:rPr>
          <w:i/>
          <w:iCs/>
        </w:rPr>
        <w:t xml:space="preserve"> </w:t>
      </w:r>
      <w:r>
        <w:rPr>
          <w:i/>
          <w:iCs/>
          <w:smallCaps/>
        </w:rPr>
        <w:t xml:space="preserve">Végh</w:t>
      </w:r>
      <w:r>
        <w:rPr>
          <w:i/>
          <w:iCs/>
        </w:rPr>
        <w:t xml:space="preserve"> </w:t>
      </w:r>
      <w:r>
        <w:rPr>
          <w:i/>
          <w:iCs/>
        </w:rPr>
        <w:t xml:space="preserve">(</w:t>
      </w:r>
      <w:hyperlink w:anchor="ref_Kaminsky2004Rains">
        <w:r>
          <w:rPr>
            <w:rStyle w:val="Hyperlink"/>
            <w:i/>
            <w:iCs/>
          </w:rPr>
          <w:t xml:space="preserve">2004</w:t>
        </w:r>
      </w:hyperlink>
      <w:r>
        <w:rPr>
          <w:i/>
          <w:iCs/>
        </w:rPr>
        <w:t xml:space="preserve">)</w:t>
      </w:r>
      <w:r>
        <w:rPr>
          <w:i/>
          <w:iCs/>
        </w:rPr>
        <w:t xml:space="preserve">,</w:t>
      </w:r>
      <w:r>
        <w:rPr>
          <w:i/>
          <w:iCs/>
        </w:rPr>
        <w:t xml:space="preserve"> </w:t>
      </w:r>
      <w:r>
        <w:rPr>
          <w:i/>
          <w:iCs/>
          <w:smallCaps/>
        </w:rPr>
        <w:t xml:space="preserve">Calvo</w:t>
      </w:r>
      <w:r>
        <w:rPr>
          <w:i/>
          <w:iCs/>
        </w:rPr>
        <w:t xml:space="preserve"> </w:t>
      </w:r>
      <w:r>
        <w:rPr>
          <w:i/>
          <w:iCs/>
        </w:rPr>
        <w:t xml:space="preserve">(</w:t>
      </w:r>
      <w:hyperlink w:anchor="ref_Calvo1998SuddenStops">
        <w:r>
          <w:rPr>
            <w:rStyle w:val="Hyperlink"/>
            <w:i/>
            <w:iCs/>
          </w:rPr>
          <w:t xml:space="preserve">1998</w:t>
        </w:r>
      </w:hyperlink>
      <w:r>
        <w:rPr>
          <w:i/>
          <w:iCs/>
        </w:rPr>
        <w:t xml:space="preserve">)</w:t>
      </w:r>
      <w:r>
        <w:rPr>
          <w:i/>
          <w:iCs/>
        </w:rPr>
        <w:t xml:space="preserve">,</w:t>
      </w:r>
      <w:r>
        <w:rPr>
          <w:i/>
          <w:iCs/>
        </w:rPr>
        <w:t xml:space="preserve"> </w:t>
      </w:r>
      <w:r>
        <w:rPr>
          <w:i/>
          <w:iCs/>
          <w:smallCaps/>
        </w:rPr>
        <w:t xml:space="preserve">Calvo</w:t>
      </w:r>
      <w:r>
        <w:rPr>
          <w:i/>
          <w:iCs/>
        </w:rPr>
        <w:t xml:space="preserve"> </w:t>
      </w:r>
      <w:r>
        <w:rPr>
          <w:i/>
          <w:iCs/>
        </w:rPr>
        <w:t xml:space="preserve">y</w:t>
      </w:r>
      <w:r>
        <w:rPr>
          <w:i/>
          <w:iCs/>
        </w:rPr>
        <w:t xml:space="preserve"> </w:t>
      </w:r>
      <w:r>
        <w:rPr>
          <w:i/>
          <w:iCs/>
          <w:smallCaps/>
        </w:rPr>
        <w:t xml:space="preserve">Reinhart</w:t>
      </w:r>
      <w:r>
        <w:rPr>
          <w:i/>
          <w:iCs/>
        </w:rPr>
        <w:t xml:space="preserve"> </w:t>
      </w:r>
      <w:r>
        <w:rPr>
          <w:i/>
          <w:iCs/>
        </w:rPr>
        <w:t xml:space="preserve">(</w:t>
      </w:r>
      <w:hyperlink w:anchor="ref_CalvoReinhart2002">
        <w:r>
          <w:rPr>
            <w:rStyle w:val="Hyperlink"/>
            <w:i/>
            <w:iCs/>
          </w:rPr>
          <w:t xml:space="preserve">2002</w:t>
        </w:r>
      </w:hyperlink>
      <w:r>
        <w:rPr>
          <w:i/>
          <w:iCs/>
        </w:rPr>
        <w:t xml:space="preserve">)</w:t>
      </w:r>
      <w:r>
        <w:rPr>
          <w:i/>
          <w:iCs/>
        </w:rPr>
        <w:t xml:space="preserve"> </w:t>
      </w:r>
      <w:r>
        <w:rPr>
          <w:i/>
          <w:iCs/>
        </w:rPr>
        <w:t xml:space="preserve">y</w:t>
      </w:r>
      <w:r>
        <w:rPr>
          <w:i/>
          <w:iCs/>
        </w:rPr>
        <w:t xml:space="preserve"> </w:t>
      </w:r>
      <w:r>
        <w:rPr>
          <w:i/>
          <w:iCs/>
          <w:smallCaps/>
        </w:rPr>
        <w:t xml:space="preserve">Eichengreen</w:t>
      </w:r>
      <w:r>
        <w:rPr>
          <w:i/>
          <w:iCs/>
        </w:rPr>
        <w:t xml:space="preserve">,</w:t>
      </w:r>
      <w:r>
        <w:rPr>
          <w:i/>
          <w:iCs/>
        </w:rPr>
        <w:t xml:space="preserve"> </w:t>
      </w:r>
      <w:r>
        <w:rPr>
          <w:i/>
          <w:iCs/>
          <w:smallCaps/>
        </w:rPr>
        <w:t xml:space="preserve">Hausmann</w:t>
      </w:r>
      <w:r>
        <w:rPr>
          <w:i/>
          <w:iCs/>
        </w:rPr>
        <w:t xml:space="preserve"> </w:t>
      </w:r>
      <w:r>
        <w:rPr>
          <w:i/>
          <w:iCs/>
        </w:rPr>
        <w:t xml:space="preserve">y</w:t>
      </w:r>
      <w:r>
        <w:rPr>
          <w:i/>
          <w:iCs/>
        </w:rPr>
        <w:t xml:space="preserve"> </w:t>
      </w:r>
      <w:r>
        <w:rPr>
          <w:i/>
          <w:iCs/>
          <w:smallCaps/>
        </w:rPr>
        <w:t xml:space="preserve">Panizza</w:t>
      </w:r>
      <w:r>
        <w:rPr>
          <w:i/>
          <w:iCs/>
        </w:rPr>
        <w:t xml:space="preserve"> </w:t>
      </w:r>
      <w:r>
        <w:rPr>
          <w:i/>
          <w:iCs/>
        </w:rPr>
        <w:t xml:space="preserve">(</w:t>
      </w:r>
      <w:hyperlink w:anchor="ref_EHP2005PecadoOriginal">
        <w:r>
          <w:rPr>
            <w:rStyle w:val="Hyperlink"/>
            <w:i/>
            <w:iCs/>
          </w:rPr>
          <w:t xml:space="preserve">2005</w:t>
        </w:r>
      </w:hyperlink>
      <w:r>
        <w:rPr>
          <w:i/>
          <w:iCs/>
        </w:rPr>
        <w:t xml:space="preserve">)</w:t>
      </w:r>
      <w:r>
        <w:rPr>
          <w:i/>
          <w:iCs/>
        </w:rPr>
        <w:t xml:space="preserve">.</w:t>
      </w:r>
    </w:p>
    <w:bookmarkEnd w:id="223"/>
    <w:bookmarkEnd w:id="224"/>
    <w:bookmarkStart w:id="246" w:name="anexo_calculos"/>
    <w:p>
      <w:pPr>
        <w:pStyle w:val="Heading1"/>
      </w:pPr>
      <w:r>
        <w:t xml:space="preserve">C. Cálculos tipo</w:t>
      </w:r>
    </w:p>
    <w:p>
      <w:pPr>
        <w:numPr>
          <w:ilvl w:val="0"/>
          <w:numId w:val="1141"/>
        </w:numPr>
      </w:pPr>
      <w:r>
        <w:t xml:space="preserve">Aunque el enunciado no pida ningún cálculo, el análisis los usa (contribuciones, productividad, CLU, brecha, esfuerzo fiscal). Cuando se pide, se escribe siempre el procedimiento: la fórmula, los datos que se usan y el resultado con su unidad (%, puntos porcentuales, % del PIB).</w:t>
      </w:r>
    </w:p>
    <w:p>
      <w:pPr>
        <w:numPr>
          <w:ilvl w:val="0"/>
          <w:numId w:val="1141"/>
        </w:numPr>
      </w:pPr>
      <w:r>
        <w:t xml:space="preserve">Primero, la tabla de las fórmulas imprescindibles; después, un cuadro por bloque con la fórmula destacada, qué significa cada término y un ejemplo.</w:t>
      </w:r>
    </w:p>
    <w:bookmarkStart w:id="226" w:name="anexo_formulas"/>
    <w:p>
      <w:pPr>
        <w:pStyle w:val="Heading2"/>
      </w:pPr>
      <w:r>
        <w:t xml:space="preserve">C.1. Las fórmulas imprescindibles</w:t>
      </w:r>
    </w:p>
    <w:bookmarkStart w:id="225" w:name="tab_formulas"/>
    <w:p>
      <w:pPr>
        <w:pStyle w:val="TableCaption"/>
      </w:pPr>
      <w:r>
        <w:t xml:space="preserve">Tabla 11.–</w:t>
      </w:r>
      <w:r>
        <w:t xml:space="preserve"> </w:t>
      </w:r>
      <w:r>
        <w:t xml:space="preserve">Fórmulas imprescindibles del dictamen</w:t>
      </w:r>
    </w:p>
    <w:tbl>
      <w:tblPr>
        <w:tblStyle w:val="Table"/>
        <w:tblW w:type="auto" w:w="0"/>
        <w:tblLook w:firstRow="1" w:lastRow="0" w:firstColumn="0" w:lastColumn="0" w:noHBand="0" w:noVBand="0" w:val="0020"/>
        <w:tblCaption w:val="Tabla 11.– Fórmulas imprescindibles del dictamen"/>
      </w:tblPr>
      <w:tblGrid>
        <w:gridCol w:w="3960"/>
        <w:gridCol w:w="3960"/>
      </w:tblGrid>
      <w:tr>
        <w:trPr>
          <w:cantSplit/>
          <w:tblHeader w:val="on"/>
        </w:trPr>
        <w:tc>
          <w:tcPr>
            <w:shd w:val="clear" w:color="auto" w:fill="DDEBF7"/>
            <w:vAlign w:val="center"/>
          </w:tcPr>
          <w:p>
            <w:pPr>
              <w:pStyle w:val="Celdatceeazulpalido"/>
              <w:keepNext/>
              <w:jc w:val="center"/>
            </w:pPr>
            <w:r>
              <w:t xml:space="preserve"> </w:t>
            </w:r>
            <w:r>
              <w:rPr>
                <w:b/>
                <w:bCs/>
              </w:rPr>
              <w:t xml:space="preserve">Fórmula</w:t>
            </w:r>
          </w:p>
        </w:tc>
        <w:tc>
          <w:tcPr>
            <w:shd w:val="clear" w:color="auto" w:fill="DDEBF7"/>
            <w:vAlign w:val="center"/>
          </w:tcPr>
          <w:p>
            <w:pPr>
              <w:pStyle w:val="Celdatceeazulpalido"/>
              <w:keepNext/>
              <w:jc w:val="left"/>
            </w:pPr>
            <w:r>
              <w:rPr>
                <w:b/>
                <w:bCs/>
              </w:rPr>
              <w:t xml:space="preserve">En palabras</w:t>
            </w:r>
          </w:p>
        </w:tc>
      </w:tr>
      <w:tr>
        <w:trPr>
          <w:cantSplit/>
        </w:trPr>
        <w:tc>
          <w:tcPr>
            <w:shd w:val="clear" w:color="auto" w:fill="E2EFD9"/>
            <w:vAlign w:val="center"/>
          </w:tcPr>
          <w:p>
            <w:pPr>
              <w:pStyle w:val="Celdatceesalvia"/>
              <w:jc w:val="center"/>
            </w:pPr>
            <w:r>
              <w:t/>
            </w:r>
          </w:p>
        </w:tc>
        <w:tc>
          <w:tcPr>
            <w:shd w:val="clear" w:color="auto" w:fill="E2EFD9"/>
            <w:vAlign w:val="center"/>
          </w:tcPr>
          <w:p>
            <w:pPr>
              <w:pStyle w:val="Celdatceesalvia"/>
              <w:jc w:val="left"/>
            </w:pPr>
            <w:r>
              <w:t/>
            </w:r>
          </w:p>
        </w:tc>
      </w:tr>
      <w:tr>
        <w:trPr>
          <w:cantSplit/>
        </w:trPr>
        <w:tc>
          <w:tcPr>
            <w:vAlign w:val="center"/>
          </w:tcPr>
          <w:p>
            <w:pPr>
              <w:pStyle w:val="Compact"/>
              <w:jc w:val="center"/>
            </w:pPr>
            <m:oMath>
              <m:sSub>
                <m:e>
                  <m:r>
                    <m:rPr>
                      <m:sty m:val="p"/>
                    </m:rPr>
                    <m:t>O</m:t>
                  </m:r>
                  <m:r>
                    <m:rPr>
                      <m:sty m:val="p"/>
                    </m:rPr>
                    <m:t>G</m:t>
                  </m:r>
                </m:e>
                <m:sub>
                  <m:r>
                    <m:t>t</m:t>
                  </m:r>
                </m:sub>
              </m:sSub>
              <m:r>
                <m:rPr>
                  <m:sty m:val="p"/>
                </m:rPr>
                <m:t>=</m:t>
              </m:r>
              <m:f>
                <m:fPr>
                  <m:type m:val="bar"/>
                </m:fPr>
                <m:num>
                  <m:sSub>
                    <m:e>
                      <m:r>
                        <m:t>Y</m:t>
                      </m:r>
                    </m:e>
                    <m:sub>
                      <m:r>
                        <m:t>t</m:t>
                      </m:r>
                    </m:sub>
                  </m:sSub>
                  <m:r>
                    <m:rPr>
                      <m:sty m:val="p"/>
                    </m:rPr>
                    <m:t>−</m:t>
                  </m:r>
                  <m:sSubSup>
                    <m:e>
                      <m:r>
                        <m:t>Y</m:t>
                      </m:r>
                    </m:e>
                    <m:sub>
                      <m:r>
                        <m:t>t</m:t>
                      </m:r>
                    </m:sub>
                    <m:sup>
                      <m:r>
                        <m:t>p</m:t>
                      </m:r>
                    </m:sup>
                  </m:sSubSup>
                </m:num>
                <m:den>
                  <m:sSubSup>
                    <m:e>
                      <m:r>
                        <m:t>Y</m:t>
                      </m:r>
                    </m:e>
                    <m:sub>
                      <m:r>
                        <m:t>t</m:t>
                      </m:r>
                    </m:sub>
                    <m:sup>
                      <m:r>
                        <m:t>p</m:t>
                      </m:r>
                    </m:sup>
                  </m:sSubSup>
                </m:den>
              </m:f>
              <m:r>
                <m:rPr>
                  <m:sty m:val="p"/>
                </m:rPr>
                <m:t>×</m:t>
              </m:r>
              <m:r>
                <m:t>100</m:t>
              </m:r>
            </m:oMath>
          </w:p>
        </w:tc>
        <w:tc>
          <w:tcPr>
            <w:vAlign w:val="center"/>
          </w:tcPr>
          <w:p>
            <w:pPr>
              <w:pStyle w:val="Compact"/>
              <w:jc w:val="left"/>
            </w:pPr>
            <w:r>
              <w:t xml:space="preserve">Brecha de producción: distancia del PIB a su potencial, en % del potencial</w:t>
            </w:r>
          </w:p>
        </w:tc>
      </w:tr>
      <w:tr>
        <w:trPr>
          <w:cantSplit/>
        </w:trPr>
        <w:tc>
          <w:tcPr>
            <w:vAlign w:val="center"/>
          </w:tcPr>
          <w:p>
            <w:pPr>
              <w:pStyle w:val="Compact"/>
              <w:jc w:val="center"/>
            </w:pPr>
            <m:oMath>
              <m:r>
                <m:t>Δ</m:t>
              </m:r>
              <m:sSub>
                <m:e>
                  <m:r>
                    <m:rPr>
                      <m:sty m:val="p"/>
                    </m:rPr>
                    <m:t>O</m:t>
                  </m:r>
                  <m:r>
                    <m:rPr>
                      <m:sty m:val="p"/>
                    </m:rPr>
                    <m:t>G</m:t>
                  </m:r>
                </m:e>
                <m:sub>
                  <m:r>
                    <m:t>t</m:t>
                  </m:r>
                </m:sub>
              </m:sSub>
              <m:r>
                <m:rPr>
                  <m:sty m:val="p"/>
                </m:rPr>
                <m:t>≈</m:t>
              </m:r>
              <m:sSub>
                <m:e>
                  <m:r>
                    <m:t>γ</m:t>
                  </m:r>
                </m:e>
                <m:sub>
                  <m:r>
                    <m:t>Y</m:t>
                  </m:r>
                  <m:r>
                    <m:rPr>
                      <m:sty m:val="p"/>
                    </m:rPr>
                    <m:t>,</m:t>
                  </m:r>
                  <m:r>
                    <m:t>t</m:t>
                  </m:r>
                </m:sub>
              </m:sSub>
              <m:r>
                <m:rPr>
                  <m:sty m:val="p"/>
                </m:rPr>
                <m:t>−</m:t>
              </m:r>
              <m:sSub>
                <m:e>
                  <m:r>
                    <m:t>γ</m:t>
                  </m:r>
                </m:e>
                <m:sub>
                  <m:sSup>
                    <m:e>
                      <m:r>
                        <m:t>Y</m:t>
                      </m:r>
                    </m:e>
                    <m:sup>
                      <m:r>
                        <m:t>p</m:t>
                      </m:r>
                    </m:sup>
                  </m:sSup>
                  <m:r>
                    <m:rPr>
                      <m:sty m:val="p"/>
                    </m:rPr>
                    <m:t>,</m:t>
                  </m:r>
                  <m:r>
                    <m:t>t</m:t>
                  </m:r>
                </m:sub>
              </m:sSub>
            </m:oMath>
          </w:p>
        </w:tc>
        <w:tc>
          <w:tcPr>
            <w:vAlign w:val="center"/>
          </w:tcPr>
          <w:p>
            <w:pPr>
              <w:pStyle w:val="Compact"/>
              <w:jc w:val="left"/>
            </w:pPr>
            <w:r>
              <w:t xml:space="preserve">La brecha se abre si el PIB crece más que el potencial</w:t>
            </w:r>
          </w:p>
        </w:tc>
      </w:tr>
      <w:tr>
        <w:trPr>
          <w:cantSplit/>
        </w:trPr>
        <w:tc>
          <w:tcPr>
            <w:vAlign w:val="center"/>
          </w:tcPr>
          <w:p>
            <w:pPr>
              <w:pStyle w:val="Compact"/>
              <w:jc w:val="center"/>
            </w:pPr>
            <m:oMath>
              <m:sSub>
                <m:e>
                  <m:r>
                    <m:t>γ</m:t>
                  </m:r>
                </m:e>
                <m:sub>
                  <m:r>
                    <m:t>Y</m:t>
                  </m:r>
                  <m:r>
                    <m:rPr>
                      <m:sty m:val="p"/>
                    </m:rPr>
                    <m:t>,</m:t>
                  </m:r>
                  <m:r>
                    <m:t>t</m:t>
                  </m:r>
                </m:sub>
              </m:sSub>
              <m:r>
                <m:rPr>
                  <m:sty m:val="p"/>
                </m:rPr>
                <m:t>=</m:t>
              </m:r>
              <m:nary>
                <m:naryPr>
                  <m:chr m:val="∑"/>
                  <m:limLoc m:val="undOvr"/>
                  <m:subHide m:val="off"/>
                  <m:supHide m:val="on"/>
                </m:naryPr>
                <m:sub>
                  <m:r>
                    <m:t>j</m:t>
                  </m:r>
                </m:sub>
                <m:sup>
                  <m:r>
                    <m:t>​</m:t>
                  </m:r>
                </m:sup>
                <m:e>
                  <m:f>
                    <m:fPr>
                      <m:type m:val="bar"/>
                    </m:fPr>
                    <m:num>
                      <m:sSubSup>
                        <m:e>
                          <m:r>
                            <m:t>Z</m:t>
                          </m:r>
                        </m:e>
                        <m:sub>
                          <m:r>
                            <m:t>t</m:t>
                          </m:r>
                          <m:r>
                            <m:rPr>
                              <m:sty m:val="p"/>
                            </m:rPr>
                            <m:t>−</m:t>
                          </m:r>
                          <m:r>
                            <m:t>1</m:t>
                          </m:r>
                        </m:sub>
                        <m:sup>
                          <m:r>
                            <m:t>j</m:t>
                          </m:r>
                        </m:sup>
                      </m:sSubSup>
                    </m:num>
                    <m:den>
                      <m:sSub>
                        <m:e>
                          <m:r>
                            <m:t>Y</m:t>
                          </m:r>
                        </m:e>
                        <m:sub>
                          <m:r>
                            <m:t>t</m:t>
                          </m:r>
                          <m:r>
                            <m:rPr>
                              <m:sty m:val="p"/>
                            </m:rPr>
                            <m:t>−</m:t>
                          </m:r>
                          <m:r>
                            <m:t>1</m:t>
                          </m:r>
                        </m:sub>
                      </m:sSub>
                    </m:den>
                  </m:f>
                </m:e>
              </m:nary>
              <m:r>
                <m:t> </m:t>
              </m:r>
              <m:sSub>
                <m:e>
                  <m:r>
                    <m:t>γ</m:t>
                  </m:r>
                </m:e>
                <m:sub>
                  <m:sSup>
                    <m:e>
                      <m:r>
                        <m:t>Z</m:t>
                      </m:r>
                    </m:e>
                    <m:sup>
                      <m:r>
                        <m:t>j</m:t>
                      </m:r>
                    </m:sup>
                  </m:sSup>
                  <m:r>
                    <m:rPr>
                      <m:sty m:val="p"/>
                    </m:rPr>
                    <m:t>,</m:t>
                  </m:r>
                  <m:r>
                    <m:t>t</m:t>
                  </m:r>
                </m:sub>
              </m:sSub>
            </m:oMath>
          </w:p>
        </w:tc>
        <w:tc>
          <w:tcPr>
            <w:vAlign w:val="center"/>
          </w:tcPr>
          <w:p>
            <w:pPr>
              <w:pStyle w:val="Compact"/>
              <w:jc w:val="left"/>
            </w:pPr>
            <w:r>
              <w:t xml:space="preserve">Contribución de cada componente</w:t>
            </w:r>
            <w:r>
              <w:t xml:space="preserve"> </w:t>
            </w:r>
            <m:oMath>
              <m:sSup>
                <m:e>
                  <m:r>
                    <m:t>Z</m:t>
                  </m:r>
                </m:e>
                <m:sup>
                  <m:r>
                    <m:t>j</m:t>
                  </m:r>
                </m:sup>
              </m:sSup>
            </m:oMath>
            <w:r>
              <w:t xml:space="preserve"> </w:t>
            </w:r>
            <w:r>
              <w:t xml:space="preserve">(las importaciones restan): peso por crecimiento, en pp</w:t>
            </w:r>
          </w:p>
        </w:tc>
      </w:tr>
      <w:tr>
        <w:trPr>
          <w:cantSplit/>
        </w:trPr>
        <w:tc>
          <w:tcPr>
            <w:shd w:val="clear" w:color="auto" w:fill="E2EFD9"/>
            <w:vAlign w:val="center"/>
          </w:tcPr>
          <w:p>
            <w:pPr>
              <w:pStyle w:val="Celdatceesalvia"/>
              <w:jc w:val="center"/>
            </w:pPr>
            <w:r>
              <w:t/>
            </w:r>
          </w:p>
        </w:tc>
        <w:tc>
          <w:tcPr>
            <w:shd w:val="clear" w:color="auto" w:fill="E2EFD9"/>
            <w:vAlign w:val="center"/>
          </w:tcPr>
          <w:p>
            <w:pPr>
              <w:pStyle w:val="Celdatceesalvia"/>
              <w:jc w:val="left"/>
            </w:pPr>
            <w:r>
              <w:t/>
            </w:r>
          </w:p>
        </w:tc>
      </w:tr>
      <w:tr>
        <w:trPr>
          <w:cantSplit/>
        </w:trPr>
        <w:tc>
          <w:tcPr>
            <w:vAlign w:val="center"/>
          </w:tcPr>
          <w:p>
            <w:pPr>
              <w:pStyle w:val="Compact"/>
              <w:jc w:val="center"/>
            </w:pPr>
            <m:oMath>
              <m:r>
                <m:rPr>
                  <m:nor/>
                  <m:sty m:val="p"/>
                </m:rPr>
                <m:t>Deflactor</m:t>
              </m:r>
              <m:r>
                <m:rPr>
                  <m:sty m:val="p"/>
                </m:rPr>
                <m:t>=</m:t>
              </m:r>
              <m:f>
                <m:fPr>
                  <m:type m:val="bar"/>
                </m:fPr>
                <m:num>
                  <m:r>
                    <m:rPr>
                      <m:nor/>
                      <m:sty m:val="p"/>
                    </m:rPr>
                    <m:t>PIB nominal</m:t>
                  </m:r>
                </m:num>
                <m:den>
                  <m:r>
                    <m:rPr>
                      <m:nor/>
                      <m:sty m:val="p"/>
                    </m:rPr>
                    <m:t>PIB real</m:t>
                  </m:r>
                </m:den>
              </m:f>
              <m:r>
                <m:rPr>
                  <m:sty m:val="p"/>
                </m:rPr>
                <m:t>×</m:t>
              </m:r>
              <m:r>
                <m:t>100</m:t>
              </m:r>
            </m:oMath>
          </w:p>
        </w:tc>
        <w:tc>
          <w:tcPr>
            <w:vAlign w:val="center"/>
          </w:tcPr>
          <w:p>
            <w:pPr>
              <w:pStyle w:val="Compact"/>
              <w:jc w:val="left"/>
            </w:pPr>
            <w:r>
              <w:t xml:space="preserve">Precios de lo que se produce dentro (un índice de</w:t>
            </w:r>
            <w:r>
              <w:t xml:space="preserve"> </w:t>
            </w:r>
            <w:r>
              <w:rPr>
                <w:smallCaps/>
              </w:rPr>
              <w:t xml:space="preserve">Paasche</w:t>
            </w:r>
            <w:r>
              <w:t xml:space="preserve">)</w:t>
            </w:r>
          </w:p>
        </w:tc>
      </w:tr>
      <w:tr>
        <w:trPr>
          <w:cantSplit/>
        </w:trPr>
        <w:tc>
          <w:tcPr>
            <w:vAlign w:val="center"/>
          </w:tcPr>
          <w:p>
            <w:pPr>
              <w:pStyle w:val="Compact"/>
              <w:jc w:val="center"/>
            </w:pPr>
            <m:oMath>
              <m:sSub>
                <m:e>
                  <m:r>
                    <m:t>γ</m:t>
                  </m:r>
                </m:e>
                <m:sub>
                  <m:r>
                    <m:t>P</m:t>
                  </m:r>
                </m:sub>
              </m:sSub>
              <m:r>
                <m:rPr>
                  <m:sty m:val="p"/>
                </m:rPr>
                <m:t>≈</m:t>
              </m:r>
              <m:sSup>
                <m:e>
                  <m:r>
                    <m:t>γ</m:t>
                  </m:r>
                </m:e>
                <m:sup>
                  <m:r>
                    <m:t>N</m:t>
                  </m:r>
                </m:sup>
              </m:sSup>
              <m:r>
                <m:rPr>
                  <m:sty m:val="p"/>
                </m:rPr>
                <m:t>−</m:t>
              </m:r>
              <m:sSub>
                <m:e>
                  <m:r>
                    <m:t>γ</m:t>
                  </m:r>
                </m:e>
                <m:sub>
                  <m:r>
                    <m:t>Y</m:t>
                  </m:r>
                </m:sub>
              </m:sSub>
            </m:oMath>
          </w:p>
        </w:tc>
        <w:tc>
          <w:tcPr>
            <w:vAlign w:val="center"/>
          </w:tcPr>
          <w:p>
            <w:pPr>
              <w:pStyle w:val="Compact"/>
              <w:jc w:val="left"/>
            </w:pPr>
            <w:r>
              <w:t xml:space="preserve">Crecimiento del deflactor: nominal menos real</w:t>
            </w:r>
          </w:p>
        </w:tc>
      </w:tr>
      <w:tr>
        <w:trPr>
          <w:cantSplit/>
        </w:trPr>
        <w:tc>
          <w:tcPr>
            <w:vAlign w:val="center"/>
          </w:tcPr>
          <w:p>
            <w:pPr>
              <w:pStyle w:val="Compact"/>
              <w:jc w:val="center"/>
            </w:pPr>
            <m:oMath>
              <m:sSup>
                <m:e>
                  <m:r>
                    <m:t>r</m:t>
                  </m:r>
                </m:e>
                <m:sup>
                  <m:r>
                    <m:t>c</m:t>
                  </m:r>
                  <m:r>
                    <m:t>p</m:t>
                  </m:r>
                </m:sup>
              </m:sSup>
              <m:r>
                <m:rPr>
                  <m:sty m:val="p"/>
                </m:rPr>
                <m:t>≈</m:t>
              </m:r>
              <m:sSup>
                <m:e>
                  <m:r>
                    <m:t>i</m:t>
                  </m:r>
                </m:e>
                <m:sup>
                  <m:r>
                    <m:t>c</m:t>
                  </m:r>
                  <m:r>
                    <m:t>p</m:t>
                  </m:r>
                </m:sup>
              </m:sSup>
              <m:r>
                <m:rPr>
                  <m:sty m:val="p"/>
                </m:rPr>
                <m:t>−</m:t>
              </m:r>
              <m:sSup>
                <m:e>
                  <m:r>
                    <m:t>π</m:t>
                  </m:r>
                </m:e>
                <m:sup>
                  <m:r>
                    <m:rPr>
                      <m:sty m:val="p"/>
                    </m:rPr>
                    <m:t>I</m:t>
                  </m:r>
                  <m:r>
                    <m:rPr>
                      <m:sty m:val="p"/>
                    </m:rPr>
                    <m:t>P</m:t>
                  </m:r>
                  <m:r>
                    <m:rPr>
                      <m:sty m:val="p"/>
                    </m:rPr>
                    <m:t>C</m:t>
                  </m:r>
                </m:sup>
              </m:sSup>
            </m:oMath>
          </w:p>
        </w:tc>
        <w:tc>
          <w:tcPr>
            <w:vAlign w:val="center"/>
          </w:tcPr>
          <w:p>
            <w:pPr>
              <w:pStyle w:val="Compact"/>
              <w:jc w:val="left"/>
            </w:pPr>
            <w:r>
              <w:t xml:space="preserve">Tipo real a corto: nominal a corto menos la inflación del IPC</w:t>
            </w:r>
          </w:p>
        </w:tc>
      </w:tr>
      <w:tr>
        <w:trPr>
          <w:cantSplit/>
        </w:trPr>
        <w:tc>
          <w:tcPr>
            <w:vAlign w:val="center"/>
          </w:tcPr>
          <w:p>
            <w:pPr>
              <w:pStyle w:val="Compact"/>
              <w:jc w:val="center"/>
            </w:pPr>
            <m:oMath>
              <m:sSup>
                <m:e>
                  <m:r>
                    <m:t>r</m:t>
                  </m:r>
                </m:e>
                <m:sup>
                  <m:r>
                    <m:t>l</m:t>
                  </m:r>
                  <m:r>
                    <m:t>p</m:t>
                  </m:r>
                </m:sup>
              </m:sSup>
              <m:r>
                <m:rPr>
                  <m:sty m:val="p"/>
                </m:rPr>
                <m:t>≈</m:t>
              </m:r>
              <m:sSup>
                <m:e>
                  <m:r>
                    <m:t>i</m:t>
                  </m:r>
                </m:e>
                <m:sup>
                  <m:r>
                    <m:t>l</m:t>
                  </m:r>
                  <m:r>
                    <m:t>p</m:t>
                  </m:r>
                </m:sup>
              </m:sSup>
              <m:r>
                <m:rPr>
                  <m:sty m:val="p"/>
                </m:rPr>
                <m:t>−</m:t>
              </m:r>
              <m:sSub>
                <m:e>
                  <m:r>
                    <m:t>γ</m:t>
                  </m:r>
                </m:e>
                <m:sub>
                  <m:r>
                    <m:t>P</m:t>
                  </m:r>
                </m:sub>
              </m:sSub>
            </m:oMath>
          </w:p>
        </w:tc>
        <w:tc>
          <w:tcPr>
            <w:vAlign w:val="center"/>
          </w:tcPr>
          <w:p>
            <w:pPr>
              <w:pStyle w:val="Compact"/>
              <w:jc w:val="left"/>
            </w:pPr>
            <w:r>
              <w:t xml:space="preserve">Tipo real a largo: nominal a largo menos el crecimiento del deflactor</w:t>
            </w:r>
          </w:p>
        </w:tc>
      </w:tr>
      <w:tr>
        <w:trPr>
          <w:cantSplit/>
        </w:trPr>
        <w:tc>
          <w:tcPr>
            <w:vAlign w:val="center"/>
          </w:tcPr>
          <w:p>
            <w:pPr>
              <w:pStyle w:val="Compact"/>
              <w:jc w:val="center"/>
            </w:pPr>
            <m:oMath>
              <m:sSub>
                <m:e>
                  <m:r>
                    <m:t>γ</m:t>
                  </m:r>
                </m:e>
                <m:sub>
                  <m:r>
                    <m:t>W</m:t>
                  </m:r>
                  <m:r>
                    <m:rPr>
                      <m:sty m:val="p"/>
                    </m:rPr>
                    <m:t>/</m:t>
                  </m:r>
                  <m:r>
                    <m:rPr>
                      <m:sty m:val="p"/>
                    </m:rPr>
                    <m:t>I</m:t>
                  </m:r>
                  <m:r>
                    <m:rPr>
                      <m:sty m:val="p"/>
                    </m:rPr>
                    <m:t>P</m:t>
                  </m:r>
                  <m:r>
                    <m:rPr>
                      <m:sty m:val="p"/>
                    </m:rPr>
                    <m:t>C</m:t>
                  </m:r>
                </m:sub>
              </m:sSub>
              <m:r>
                <m:rPr>
                  <m:sty m:val="p"/>
                </m:rPr>
                <m:t>≈</m:t>
              </m:r>
              <m:sSub>
                <m:e>
                  <m:r>
                    <m:t>γ</m:t>
                  </m:r>
                </m:e>
                <m:sub>
                  <m:r>
                    <m:t>W</m:t>
                  </m:r>
                </m:sub>
              </m:sSub>
              <m:r>
                <m:rPr>
                  <m:sty m:val="p"/>
                </m:rPr>
                <m:t>−</m:t>
              </m:r>
              <m:sSup>
                <m:e>
                  <m:r>
                    <m:t>π</m:t>
                  </m:r>
                </m:e>
                <m:sup>
                  <m:r>
                    <m:rPr>
                      <m:sty m:val="p"/>
                    </m:rPr>
                    <m:t>I</m:t>
                  </m:r>
                  <m:r>
                    <m:rPr>
                      <m:sty m:val="p"/>
                    </m:rPr>
                    <m:t>P</m:t>
                  </m:r>
                  <m:r>
                    <m:rPr>
                      <m:sty m:val="p"/>
                    </m:rPr>
                    <m:t>C</m:t>
                  </m:r>
                </m:sup>
              </m:sSup>
            </m:oMath>
          </w:p>
        </w:tc>
        <w:tc>
          <w:tcPr>
            <w:vAlign w:val="center"/>
          </w:tcPr>
          <w:p>
            <w:pPr>
              <w:pStyle w:val="Compact"/>
              <w:jc w:val="left"/>
            </w:pPr>
            <w:r>
              <w:t xml:space="preserve">Salario real del trabajador (poder adquisitivo)</w:t>
            </w:r>
          </w:p>
        </w:tc>
      </w:tr>
      <w:tr>
        <w:trPr>
          <w:cantSplit/>
        </w:trPr>
        <w:tc>
          <w:tcPr>
            <w:shd w:val="clear" w:color="auto" w:fill="E2EFD9"/>
            <w:vAlign w:val="center"/>
          </w:tcPr>
          <w:p>
            <w:pPr>
              <w:pStyle w:val="Celdatceesalvia"/>
              <w:jc w:val="center"/>
            </w:pPr>
            <w:r>
              <w:t/>
            </w:r>
          </w:p>
        </w:tc>
        <w:tc>
          <w:tcPr>
            <w:shd w:val="clear" w:color="auto" w:fill="E2EFD9"/>
            <w:vAlign w:val="center"/>
          </w:tcPr>
          <w:p>
            <w:pPr>
              <w:pStyle w:val="Celdatceesalvia"/>
              <w:jc w:val="left"/>
            </w:pPr>
            <w:r>
              <w:t/>
            </w:r>
          </w:p>
        </w:tc>
      </w:tr>
      <w:tr>
        <w:trPr>
          <w:cantSplit/>
        </w:trPr>
        <w:tc>
          <w:tcPr>
            <w:vAlign w:val="center"/>
          </w:tcPr>
          <w:p>
            <w:pPr>
              <w:pStyle w:val="Compact"/>
              <w:jc w:val="center"/>
            </w:pPr>
            <m:oMath>
              <m:sSub>
                <m:e>
                  <m:r>
                    <m:t>γ</m:t>
                  </m:r>
                </m:e>
                <m:sub>
                  <m:r>
                    <m:rPr>
                      <m:sty m:val="p"/>
                    </m:rPr>
                    <m:t>P</m:t>
                  </m:r>
                  <m:r>
                    <m:rPr>
                      <m:sty m:val="p"/>
                    </m:rPr>
                    <m:t>A</m:t>
                  </m:r>
                  <m:r>
                    <m:rPr>
                      <m:sty m:val="p"/>
                    </m:rPr>
                    <m:t>T</m:t>
                  </m:r>
                </m:sub>
              </m:sSub>
              <m:r>
                <m:rPr>
                  <m:sty m:val="p"/>
                </m:rPr>
                <m:t>=</m:t>
              </m:r>
              <m:sSub>
                <m:e>
                  <m:r>
                    <m:t>γ</m:t>
                  </m:r>
                </m:e>
                <m:sub>
                  <m:r>
                    <m:t>Y</m:t>
                  </m:r>
                </m:sub>
              </m:sSub>
              <m:r>
                <m:rPr>
                  <m:sty m:val="p"/>
                </m:rPr>
                <m:t>−</m:t>
              </m:r>
              <m:sSub>
                <m:e>
                  <m:r>
                    <m:t>γ</m:t>
                  </m:r>
                </m:e>
                <m:sub>
                  <m:r>
                    <m:t>L</m:t>
                  </m:r>
                </m:sub>
              </m:sSub>
            </m:oMath>
          </w:p>
        </w:tc>
        <w:tc>
          <w:tcPr>
            <w:vAlign w:val="center"/>
          </w:tcPr>
          <w:p>
            <w:pPr>
              <w:pStyle w:val="Compact"/>
              <w:jc w:val="left"/>
            </w:pPr>
            <w:r>
              <w:t xml:space="preserve">Productividad aparente: PIB real menos empleo</w:t>
            </w:r>
          </w:p>
        </w:tc>
      </w:tr>
      <w:tr>
        <w:trPr>
          <w:cantSplit/>
        </w:trPr>
        <w:tc>
          <w:tcPr>
            <w:vAlign w:val="center"/>
          </w:tcPr>
          <w:p>
            <w:pPr>
              <w:pStyle w:val="Compact"/>
              <w:jc w:val="center"/>
            </w:pPr>
            <m:oMath>
              <m:r>
                <m:rPr>
                  <m:sty m:val="p"/>
                </m:rPr>
                <m:t>C</m:t>
              </m:r>
              <m:r>
                <m:rPr>
                  <m:sty m:val="p"/>
                </m:rPr>
                <m:t>L</m:t>
              </m:r>
              <m:r>
                <m:rPr>
                  <m:sty m:val="p"/>
                </m:rPr>
                <m:t>U</m:t>
              </m:r>
              <m:r>
                <m:rPr>
                  <m:sty m:val="p"/>
                </m:rPr>
                <m:t>=</m:t>
              </m:r>
              <m:f>
                <m:fPr>
                  <m:type m:val="bar"/>
                </m:fPr>
                <m:num>
                  <m:r>
                    <m:t>W</m:t>
                  </m:r>
                  <m:r>
                    <m:t>L</m:t>
                  </m:r>
                </m:num>
                <m:den>
                  <m:r>
                    <m:t>Y</m:t>
                  </m:r>
                </m:den>
              </m:f>
              <m:r>
                <m:rPr>
                  <m:sty m:val="p"/>
                </m:rPr>
                <m:t>=</m:t>
              </m:r>
              <m:f>
                <m:fPr>
                  <m:type m:val="bar"/>
                </m:fPr>
                <m:num>
                  <m:r>
                    <m:t>W</m:t>
                  </m:r>
                </m:num>
                <m:den>
                  <m:r>
                    <m:t>Y</m:t>
                  </m:r>
                  <m:r>
                    <m:rPr>
                      <m:sty m:val="p"/>
                    </m:rPr>
                    <m:t>/</m:t>
                  </m:r>
                  <m:r>
                    <m:t>L</m:t>
                  </m:r>
                </m:den>
              </m:f>
            </m:oMath>
          </w:p>
        </w:tc>
        <w:tc>
          <w:tcPr>
            <w:vAlign w:val="center"/>
          </w:tcPr>
          <w:p>
            <w:pPr>
              <w:pStyle w:val="Compact"/>
              <w:jc w:val="left"/>
            </w:pPr>
            <w:r>
              <w:t xml:space="preserve">Coste laboral unitario: salario nominal por asalariado sobre productividad</w:t>
            </w:r>
          </w:p>
        </w:tc>
      </w:tr>
      <w:tr>
        <w:trPr>
          <w:cantSplit/>
        </w:trPr>
        <w:tc>
          <w:tcPr>
            <w:vAlign w:val="center"/>
          </w:tcPr>
          <w:p>
            <w:pPr>
              <w:pStyle w:val="Compact"/>
              <w:jc w:val="center"/>
            </w:pPr>
            <m:oMath>
              <m:sSub>
                <m:e>
                  <m:r>
                    <m:t>γ</m:t>
                  </m:r>
                </m:e>
                <m:sub>
                  <m:r>
                    <m:rPr>
                      <m:sty m:val="p"/>
                    </m:rPr>
                    <m:t>C</m:t>
                  </m:r>
                  <m:r>
                    <m:rPr>
                      <m:sty m:val="p"/>
                    </m:rPr>
                    <m:t>L</m:t>
                  </m:r>
                  <m:r>
                    <m:rPr>
                      <m:sty m:val="p"/>
                    </m:rPr>
                    <m:t>U</m:t>
                  </m:r>
                </m:sub>
              </m:sSub>
              <m:r>
                <m:rPr>
                  <m:sty m:val="p"/>
                </m:rPr>
                <m:t>=</m:t>
              </m:r>
              <m:sSub>
                <m:e>
                  <m:r>
                    <m:t>γ</m:t>
                  </m:r>
                </m:e>
                <m:sub>
                  <m:r>
                    <m:t>W</m:t>
                  </m:r>
                </m:sub>
              </m:sSub>
              <m:r>
                <m:rPr>
                  <m:sty m:val="p"/>
                </m:rPr>
                <m:t>−</m:t>
              </m:r>
              <m:sSub>
                <m:e>
                  <m:r>
                    <m:t>γ</m:t>
                  </m:r>
                </m:e>
                <m:sub>
                  <m:r>
                    <m:rPr>
                      <m:sty m:val="p"/>
                    </m:rPr>
                    <m:t>P</m:t>
                  </m:r>
                  <m:r>
                    <m:rPr>
                      <m:sty m:val="p"/>
                    </m:rPr>
                    <m:t>A</m:t>
                  </m:r>
                  <m:r>
                    <m:rPr>
                      <m:sty m:val="p"/>
                    </m:rPr>
                    <m:t>T</m:t>
                  </m:r>
                </m:sub>
              </m:sSub>
              <m:r>
                <m:rPr>
                  <m:sty m:val="p"/>
                </m:rPr>
                <m:t>=</m:t>
              </m:r>
              <m:sSub>
                <m:e>
                  <m:r>
                    <m:t>γ</m:t>
                  </m:r>
                </m:e>
                <m:sub>
                  <m:r>
                    <m:t>W</m:t>
                  </m:r>
                </m:sub>
              </m:sSub>
              <m:r>
                <m:rPr>
                  <m:sty m:val="p"/>
                </m:rPr>
                <m:t>−</m:t>
              </m:r>
              <m:d>
                <m:dPr>
                  <m:begChr m:val="("/>
                  <m:sepChr m:val=""/>
                  <m:endChr m:val=")"/>
                  <m:grow/>
                </m:dPr>
                <m:e>
                  <m:sSub>
                    <m:e>
                      <m:r>
                        <m:t>γ</m:t>
                      </m:r>
                    </m:e>
                    <m:sub>
                      <m:r>
                        <m:t>Y</m:t>
                      </m:r>
                    </m:sub>
                  </m:sSub>
                  <m:r>
                    <m:rPr>
                      <m:sty m:val="p"/>
                    </m:rPr>
                    <m:t>−</m:t>
                  </m:r>
                  <m:sSub>
                    <m:e>
                      <m:r>
                        <m:t>γ</m:t>
                      </m:r>
                    </m:e>
                    <m:sub>
                      <m:r>
                        <m:t>L</m:t>
                      </m:r>
                    </m:sub>
                  </m:sSub>
                </m:e>
              </m:d>
            </m:oMath>
          </w:p>
        </w:tc>
        <w:tc>
          <w:tcPr>
            <w:vAlign w:val="center"/>
          </w:tcPr>
          <w:p>
            <w:pPr>
              <w:pStyle w:val="Compact"/>
              <w:jc w:val="left"/>
            </w:pPr>
            <w:r>
              <w:t xml:space="preserve">CLU nominales: salarios menos productividad</w:t>
            </w:r>
          </w:p>
        </w:tc>
      </w:tr>
      <w:tr>
        <w:trPr>
          <w:cantSplit/>
        </w:trPr>
        <w:tc>
          <w:tcPr>
            <w:vAlign w:val="center"/>
          </w:tcPr>
          <w:p>
            <w:pPr>
              <w:pStyle w:val="Compact"/>
              <w:jc w:val="center"/>
            </w:pPr>
            <m:oMath>
              <m:sSub>
                <m:e>
                  <m:r>
                    <m:t>γ</m:t>
                  </m:r>
                </m:e>
                <m:sub>
                  <m:r>
                    <m:rPr>
                      <m:sty m:val="p"/>
                    </m:rPr>
                    <m:t>C</m:t>
                  </m:r>
                  <m:r>
                    <m:rPr>
                      <m:sty m:val="p"/>
                    </m:rPr>
                    <m:t>L</m:t>
                  </m:r>
                  <m:r>
                    <m:rPr>
                      <m:sty m:val="p"/>
                    </m:rPr>
                    <m:t>U</m:t>
                  </m:r>
                  <m:r>
                    <m:rPr>
                      <m:sty m:val="p"/>
                    </m:rPr>
                    <m:t>/</m:t>
                  </m:r>
                  <m:r>
                    <m:t>P</m:t>
                  </m:r>
                </m:sub>
              </m:sSub>
              <m:r>
                <m:rPr>
                  <m:sty m:val="p"/>
                </m:rPr>
                <m:t>=</m:t>
              </m:r>
              <m:sSub>
                <m:e>
                  <m:r>
                    <m:t>γ</m:t>
                  </m:r>
                </m:e>
                <m:sub>
                  <m:r>
                    <m:rPr>
                      <m:sty m:val="p"/>
                    </m:rPr>
                    <m:t>C</m:t>
                  </m:r>
                  <m:r>
                    <m:rPr>
                      <m:sty m:val="p"/>
                    </m:rPr>
                    <m:t>L</m:t>
                  </m:r>
                  <m:r>
                    <m:rPr>
                      <m:sty m:val="p"/>
                    </m:rPr>
                    <m:t>U</m:t>
                  </m:r>
                </m:sub>
              </m:sSub>
              <m:r>
                <m:rPr>
                  <m:sty m:val="p"/>
                </m:rPr>
                <m:t>−</m:t>
              </m:r>
              <m:sSub>
                <m:e>
                  <m:r>
                    <m:t>γ</m:t>
                  </m:r>
                </m:e>
                <m:sub>
                  <m:r>
                    <m:t>P</m:t>
                  </m:r>
                </m:sub>
              </m:sSub>
            </m:oMath>
          </w:p>
        </w:tc>
        <w:tc>
          <w:tcPr>
            <w:vAlign w:val="center"/>
          </w:tcPr>
          <w:p>
            <w:pPr>
              <w:pStyle w:val="Compact"/>
              <w:jc w:val="left"/>
            </w:pPr>
            <w:r>
              <w:t xml:space="preserve">CLU reales: participación de los salarios en el PIB</w:t>
            </w:r>
          </w:p>
        </w:tc>
      </w:tr>
      <w:tr>
        <w:trPr>
          <w:cantSplit/>
        </w:trPr>
        <w:tc>
          <w:tcPr>
            <w:vAlign w:val="center"/>
          </w:tcPr>
          <w:p>
            <w:pPr>
              <w:pStyle w:val="Compact"/>
              <w:jc w:val="center"/>
            </w:pPr>
            <m:oMath>
              <m:sSub>
                <m:e>
                  <m:r>
                    <m:t>γ</m:t>
                  </m:r>
                </m:e>
                <m:sub>
                  <m:r>
                    <m:t>1</m:t>
                  </m:r>
                  <m:r>
                    <m:rPr>
                      <m:sty m:val="p"/>
                    </m:rPr>
                    <m:t>+</m:t>
                  </m:r>
                  <m:r>
                    <m:t>μ</m:t>
                  </m:r>
                </m:sub>
              </m:sSub>
              <m:r>
                <m:rPr>
                  <m:sty m:val="p"/>
                </m:rPr>
                <m:t>≈</m:t>
              </m:r>
              <m:sSub>
                <m:e>
                  <m:r>
                    <m:t>γ</m:t>
                  </m:r>
                </m:e>
                <m:sub>
                  <m:r>
                    <m:t>P</m:t>
                  </m:r>
                </m:sub>
              </m:sSub>
              <m:r>
                <m:rPr>
                  <m:sty m:val="p"/>
                </m:rPr>
                <m:t>−</m:t>
              </m:r>
              <m:sSub>
                <m:e>
                  <m:r>
                    <m:t>γ</m:t>
                  </m:r>
                </m:e>
                <m:sub>
                  <m:r>
                    <m:rPr>
                      <m:sty m:val="p"/>
                    </m:rPr>
                    <m:t>C</m:t>
                  </m:r>
                  <m:r>
                    <m:rPr>
                      <m:sty m:val="p"/>
                    </m:rPr>
                    <m:t>L</m:t>
                  </m:r>
                  <m:r>
                    <m:rPr>
                      <m:sty m:val="p"/>
                    </m:rPr>
                    <m:t>U</m:t>
                  </m:r>
                </m:sub>
              </m:sSub>
            </m:oMath>
          </w:p>
        </w:tc>
        <w:tc>
          <w:tcPr>
            <w:vAlign w:val="center"/>
          </w:tcPr>
          <w:p>
            <w:pPr>
              <w:pStyle w:val="Compact"/>
              <w:jc w:val="left"/>
            </w:pPr>
            <w:r>
              <w:t xml:space="preserve">Margen: deflactor menos CLU nominales</w:t>
            </w:r>
          </w:p>
        </w:tc>
      </w:tr>
      <w:tr>
        <w:trPr>
          <w:cantSplit/>
        </w:trPr>
        <w:tc>
          <w:tcPr>
            <w:shd w:val="clear" w:color="auto" w:fill="E2EFD9"/>
            <w:vAlign w:val="center"/>
          </w:tcPr>
          <w:p>
            <w:pPr>
              <w:pStyle w:val="Celdatceesalvia"/>
              <w:jc w:val="center"/>
            </w:pPr>
            <w:r>
              <w:t/>
            </w:r>
          </w:p>
        </w:tc>
        <w:tc>
          <w:tcPr>
            <w:shd w:val="clear" w:color="auto" w:fill="E2EFD9"/>
            <w:vAlign w:val="center"/>
          </w:tcPr>
          <w:p>
            <w:pPr>
              <w:pStyle w:val="Celdatceesalvia"/>
              <w:jc w:val="left"/>
            </w:pPr>
            <w:r>
              <w:t/>
            </w:r>
          </w:p>
        </w:tc>
      </w:tr>
      <w:tr>
        <w:trPr>
          <w:cantSplit/>
        </w:trPr>
        <w:tc>
          <w:tcPr>
            <w:vAlign w:val="center"/>
          </w:tcPr>
          <w:p>
            <w:pPr>
              <w:pStyle w:val="Compact"/>
              <w:jc w:val="center"/>
            </w:pPr>
            <m:oMath>
              <m:r>
                <m:rPr>
                  <m:sty m:val="p"/>
                </m:rPr>
                <m:t>C</m:t>
              </m:r>
              <m:r>
                <m:rPr>
                  <m:sty m:val="p"/>
                </m:rPr>
                <m:t>C</m:t>
              </m:r>
              <m:r>
                <m:rPr>
                  <m:sty m:val="p"/>
                </m:rPr>
                <m:t>+</m:t>
              </m:r>
              <m:r>
                <m:rPr>
                  <m:sty m:val="p"/>
                </m:rPr>
                <m:t>C</m:t>
              </m:r>
              <m:r>
                <m:rPr>
                  <m:sty m:val="p"/>
                </m:rPr>
                <m:t>K</m:t>
              </m:r>
              <m:r>
                <m:rPr>
                  <m:sty m:val="p"/>
                </m:rPr>
                <m:t>+</m:t>
              </m:r>
              <m:r>
                <m:rPr>
                  <m:sty m:val="p"/>
                </m:rPr>
                <m:t>E</m:t>
              </m:r>
              <m:r>
                <m:rPr>
                  <m:sty m:val="p"/>
                </m:rPr>
                <m:t>O</m:t>
              </m:r>
              <m:r>
                <m:rPr>
                  <m:sty m:val="p"/>
                </m:rPr>
                <m:t>=</m:t>
              </m:r>
              <m:r>
                <m:rPr>
                  <m:sty m:val="p"/>
                </m:rPr>
                <m:t>C</m:t>
              </m:r>
              <m:r>
                <m:rPr>
                  <m:sty m:val="p"/>
                </m:rPr>
                <m:t>F</m:t>
              </m:r>
            </m:oMath>
          </w:p>
        </w:tc>
        <w:tc>
          <w:tcPr>
            <w:vAlign w:val="center"/>
          </w:tcPr>
          <w:p>
            <w:pPr>
              <w:pStyle w:val="Compact"/>
              <w:jc w:val="left"/>
            </w:pPr>
            <w:r>
              <w:t xml:space="preserve">Identidad de la balanza de pagos (desarrollada en la ecuación (</w:t>
            </w:r>
            <w:hyperlink w:anchor="eq_identidad_bp">
              <w:r>
                <w:rPr>
                  <w:rStyle w:val="Hyperlink"/>
                </w:rPr>
                <w:t xml:space="preserve">1</w:t>
              </w:r>
            </w:hyperlink>
            <w:r>
              <w:t xml:space="preserve">))</w:t>
            </w:r>
          </w:p>
        </w:tc>
      </w:tr>
      <w:tr>
        <w:trPr>
          <w:cantSplit/>
        </w:trPr>
        <w:tc>
          <w:tcPr>
            <w:vAlign w:val="center"/>
          </w:tcPr>
          <w:p>
            <w:pPr>
              <w:pStyle w:val="Compact"/>
              <w:jc w:val="center"/>
            </w:pPr>
            <m:oMath>
              <m:r>
                <m:rPr>
                  <m:sty m:val="p"/>
                </m:rPr>
                <m:t>C</m:t>
              </m:r>
              <m:r>
                <m:rPr>
                  <m:sty m:val="p"/>
                </m:rPr>
                <m:t>C</m:t>
              </m:r>
              <m:r>
                <m:rPr>
                  <m:sty m:val="p"/>
                </m:rPr>
                <m:t>=</m:t>
              </m:r>
              <m:r>
                <m:t>S</m:t>
              </m:r>
              <m:r>
                <m:rPr>
                  <m:sty m:val="p"/>
                </m:rPr>
                <m:t>−</m:t>
              </m:r>
              <m:r>
                <m:t>I</m:t>
              </m:r>
              <m:r>
                <m:rPr>
                  <m:sty m:val="p"/>
                </m:rPr>
                <m:t>=</m:t>
              </m:r>
              <m:d>
                <m:dPr>
                  <m:begChr m:val="("/>
                  <m:sepChr m:val=""/>
                  <m:endChr m:val=")"/>
                  <m:grow/>
                </m:dPr>
                <m:e>
                  <m:sSub>
                    <m:e>
                      <m:r>
                        <m:t>S</m:t>
                      </m:r>
                    </m:e>
                    <m:sub>
                      <m:r>
                        <m:t>P</m:t>
                      </m:r>
                    </m:sub>
                  </m:sSub>
                  <m:r>
                    <m:rPr>
                      <m:sty m:val="p"/>
                    </m:rPr>
                    <m:t>−</m:t>
                  </m:r>
                  <m:sSub>
                    <m:e>
                      <m:r>
                        <m:t>I</m:t>
                      </m:r>
                    </m:e>
                    <m:sub>
                      <m:r>
                        <m:t>P</m:t>
                      </m:r>
                    </m:sub>
                  </m:sSub>
                </m:e>
              </m:d>
              <m:r>
                <m:rPr>
                  <m:sty m:val="p"/>
                </m:rPr>
                <m:t>+</m:t>
              </m:r>
              <m:d>
                <m:dPr>
                  <m:begChr m:val="("/>
                  <m:sepChr m:val=""/>
                  <m:endChr m:val=")"/>
                  <m:grow/>
                </m:dPr>
                <m:e>
                  <m:r>
                    <m:t>T</m:t>
                  </m:r>
                  <m:r>
                    <m:rPr>
                      <m:sty m:val="p"/>
                    </m:rPr>
                    <m:t>−</m:t>
                  </m:r>
                  <m:r>
                    <m:t>G</m:t>
                  </m:r>
                </m:e>
              </m:d>
            </m:oMath>
          </w:p>
        </w:tc>
        <w:tc>
          <w:tcPr>
            <w:vAlign w:val="center"/>
          </w:tcPr>
          <w:p>
            <w:pPr>
              <w:pStyle w:val="Compact"/>
              <w:jc w:val="left"/>
            </w:pPr>
            <w:r>
              <w:t xml:space="preserve">Saldo corriente: ahorro menos inversión, privado más público</w:t>
            </w:r>
          </w:p>
        </w:tc>
      </w:tr>
      <w:tr>
        <w:trPr>
          <w:cantSplit/>
        </w:trPr>
        <w:tc>
          <w:tcPr>
            <w:vAlign w:val="center"/>
          </w:tcPr>
          <w:p>
            <w:pPr>
              <w:pStyle w:val="Compact"/>
              <w:jc w:val="center"/>
            </w:pPr>
            <m:oMath>
              <m:sSub>
                <m:e>
                  <m:r>
                    <m:rPr>
                      <m:sty m:val="p"/>
                    </m:rPr>
                    <m:t>P</m:t>
                  </m:r>
                  <m:r>
                    <m:rPr>
                      <m:sty m:val="p"/>
                    </m:rPr>
                    <m:t>I</m:t>
                  </m:r>
                  <m:r>
                    <m:rPr>
                      <m:sty m:val="p"/>
                    </m:rPr>
                    <m:t>I</m:t>
                  </m:r>
                  <m:r>
                    <m:rPr>
                      <m:sty m:val="p"/>
                    </m:rPr>
                    <m:t>N</m:t>
                  </m:r>
                </m:e>
                <m:sub>
                  <m:r>
                    <m:t>t</m:t>
                  </m:r>
                </m:sub>
              </m:sSub>
              <m:r>
                <m:rPr>
                  <m:sty m:val="p"/>
                </m:rPr>
                <m:t>=</m:t>
              </m:r>
              <m:sSub>
                <m:e>
                  <m:r>
                    <m:rPr>
                      <m:sty m:val="p"/>
                    </m:rPr>
                    <m:t>P</m:t>
                  </m:r>
                  <m:r>
                    <m:rPr>
                      <m:sty m:val="p"/>
                    </m:rPr>
                    <m:t>I</m:t>
                  </m:r>
                  <m:r>
                    <m:rPr>
                      <m:sty m:val="p"/>
                    </m:rPr>
                    <m:t>I</m:t>
                  </m:r>
                  <m:r>
                    <m:rPr>
                      <m:sty m:val="p"/>
                    </m:rPr>
                    <m:t>N</m:t>
                  </m:r>
                </m:e>
                <m:sub>
                  <m:r>
                    <m:t>t</m:t>
                  </m:r>
                  <m:r>
                    <m:rPr>
                      <m:sty m:val="p"/>
                    </m:rPr>
                    <m:t>−</m:t>
                  </m:r>
                  <m:r>
                    <m:t>1</m:t>
                  </m:r>
                </m:sub>
              </m:sSub>
              <m:r>
                <m:rPr>
                  <m:sty m:val="p"/>
                </m:rPr>
                <m:t>+</m:t>
              </m:r>
              <m:sSub>
                <m:e>
                  <m:r>
                    <m:rPr>
                      <m:sty m:val="p"/>
                    </m:rPr>
                    <m:t>C</m:t>
                  </m:r>
                  <m:r>
                    <m:rPr>
                      <m:sty m:val="p"/>
                    </m:rPr>
                    <m:t>F</m:t>
                  </m:r>
                </m:e>
                <m:sub>
                  <m:r>
                    <m:t>t</m:t>
                  </m:r>
                </m:sub>
              </m:sSub>
              <m:r>
                <m:rPr>
                  <m:sty m:val="p"/>
                </m:rPr>
                <m:t>+</m:t>
              </m:r>
              <m:sSub>
                <m:e>
                  <m:r>
                    <m:rPr>
                      <m:sty m:val="p"/>
                    </m:rPr>
                    <m:t>O</m:t>
                  </m:r>
                  <m:r>
                    <m:rPr>
                      <m:sty m:val="p"/>
                    </m:rPr>
                    <m:t>V</m:t>
                  </m:r>
                </m:e>
                <m:sub>
                  <m:r>
                    <m:t>t</m:t>
                  </m:r>
                </m:sub>
              </m:sSub>
            </m:oMath>
          </w:p>
        </w:tc>
        <w:tc>
          <w:tcPr>
            <w:vAlign w:val="center"/>
          </w:tcPr>
          <w:p>
            <w:pPr>
              <w:pStyle w:val="Compact"/>
              <w:jc w:val="left"/>
            </w:pPr>
            <w:r>
              <w:t xml:space="preserve">La posición cambia por los flujos y por las otras variaciones (valoración)</w:t>
            </w:r>
          </w:p>
        </w:tc>
      </w:tr>
      <w:tr>
        <w:trPr>
          <w:cantSplit/>
        </w:trPr>
        <w:tc>
          <w:tcPr>
            <w:vAlign w:val="center"/>
          </w:tcPr>
          <w:p>
            <w:pPr>
              <w:pStyle w:val="Compact"/>
              <w:jc w:val="center"/>
            </w:pPr>
            <m:oMath>
              <m:r>
                <m:rPr>
                  <m:nor/>
                  <m:sty m:val="p"/>
                </m:rPr>
                <m:t>pendiente</m:t>
              </m:r>
              <m:r>
                <m:rPr>
                  <m:sty m:val="p"/>
                </m:rPr>
                <m:t>=</m:t>
              </m:r>
              <m:sSup>
                <m:e>
                  <m:r>
                    <m:t>i</m:t>
                  </m:r>
                </m:e>
                <m:sup>
                  <m:r>
                    <m:t>l</m:t>
                  </m:r>
                  <m:r>
                    <m:t>p</m:t>
                  </m:r>
                </m:sup>
              </m:sSup>
              <m:r>
                <m:rPr>
                  <m:sty m:val="p"/>
                </m:rPr>
                <m:t>−</m:t>
              </m:r>
              <m:sSup>
                <m:e>
                  <m:r>
                    <m:t>i</m:t>
                  </m:r>
                </m:e>
                <m:sup>
                  <m:r>
                    <m:t>c</m:t>
                  </m:r>
                  <m:r>
                    <m:t>p</m:t>
                  </m:r>
                </m:sup>
              </m:sSup>
            </m:oMath>
          </w:p>
        </w:tc>
        <w:tc>
          <w:tcPr>
            <w:vAlign w:val="center"/>
          </w:tcPr>
          <w:p>
            <w:pPr>
              <w:pStyle w:val="Compact"/>
              <w:jc w:val="left"/>
            </w:pPr>
            <w:r>
              <w:t xml:space="preserve">Curva de tipos: diferencial entre el tipo a largo y el tipo a corto</w:t>
            </w:r>
          </w:p>
        </w:tc>
      </w:tr>
      <w:tr>
        <w:trPr>
          <w:cantSplit/>
        </w:trPr>
        <w:tc>
          <w:tcPr>
            <w:shd w:val="clear" w:color="auto" w:fill="E2EFD9"/>
            <w:vAlign w:val="center"/>
          </w:tcPr>
          <w:p>
            <w:pPr>
              <w:pStyle w:val="Celdatceesalvia"/>
              <w:jc w:val="center"/>
            </w:pPr>
            <w:r>
              <w:t/>
            </w:r>
          </w:p>
        </w:tc>
        <w:tc>
          <w:tcPr>
            <w:shd w:val="clear" w:color="auto" w:fill="E2EFD9"/>
            <w:vAlign w:val="center"/>
          </w:tcPr>
          <w:p>
            <w:pPr>
              <w:pStyle w:val="Celdatceesalvia"/>
              <w:jc w:val="left"/>
            </w:pPr>
            <w:r>
              <w:t/>
            </w:r>
          </w:p>
        </w:tc>
      </w:tr>
      <w:tr>
        <w:trPr>
          <w:cantSplit/>
        </w:trPr>
        <w:tc>
          <w:tcPr>
            <w:vAlign w:val="center"/>
          </w:tcPr>
          <w:p>
            <w:pPr>
              <w:pStyle w:val="Compact"/>
              <w:jc w:val="center"/>
            </w:pPr>
            <m:oMath>
              <m:sSup>
                <m:e>
                  <m:r>
                    <m:t>b</m:t>
                  </m:r>
                </m:e>
                <m:sup>
                  <m:r>
                    <m:t>c</m:t>
                  </m:r>
                  <m:r>
                    <m:t>a</m:t>
                  </m:r>
                </m:sup>
              </m:sSup>
              <m:r>
                <m:rPr>
                  <m:sty m:val="p"/>
                </m:rPr>
                <m:t>=</m:t>
              </m:r>
              <m:r>
                <m:t>b</m:t>
              </m:r>
              <m:r>
                <m:rPr>
                  <m:sty m:val="p"/>
                </m:rPr>
                <m:t>−</m:t>
              </m:r>
              <m:r>
                <m:t>ε</m:t>
              </m:r>
              <m:r>
                <m:rPr>
                  <m:sty m:val="p"/>
                </m:rPr>
                <m:t>⋅</m:t>
              </m:r>
              <m:r>
                <m:rPr>
                  <m:sty m:val="p"/>
                </m:rPr>
                <m:t>O</m:t>
              </m:r>
              <m:r>
                <m:rPr>
                  <m:sty m:val="p"/>
                </m:rPr>
                <m:t>G</m:t>
              </m:r>
            </m:oMath>
          </w:p>
        </w:tc>
        <w:tc>
          <w:tcPr>
            <w:vAlign w:val="center"/>
          </w:tcPr>
          <w:p>
            <w:pPr>
              <w:pStyle w:val="Compact"/>
              <w:jc w:val="left"/>
            </w:pPr>
            <w:r>
              <w:t xml:space="preserve">Saldo ajustado por el ciclo</w:t>
            </w:r>
          </w:p>
        </w:tc>
      </w:tr>
      <w:tr>
        <w:trPr>
          <w:cantSplit/>
        </w:trPr>
        <w:tc>
          <w:tcPr>
            <w:vAlign w:val="center"/>
          </w:tcPr>
          <w:p>
            <w:pPr>
              <w:pStyle w:val="Compact"/>
              <w:jc w:val="center"/>
            </w:pPr>
            <m:oMath>
              <m:r>
                <m:rPr>
                  <m:nor/>
                  <m:sty m:val="p"/>
                </m:rPr>
                <m:t>esfuerzo</m:t>
              </m:r>
              <m:r>
                <m:rPr>
                  <m:sty m:val="p"/>
                </m:rPr>
                <m:t>=</m:t>
              </m:r>
              <m:r>
                <m:t>Δ</m:t>
              </m:r>
              <m:sSup>
                <m:e>
                  <m:r>
                    <m:t>b</m:t>
                  </m:r>
                </m:e>
                <m:sup>
                  <m:r>
                    <m:t>p</m:t>
                  </m:r>
                  <m:r>
                    <m:t>e</m:t>
                  </m:r>
                </m:sup>
              </m:sSup>
            </m:oMath>
          </w:p>
        </w:tc>
        <w:tc>
          <w:tcPr>
            <w:vAlign w:val="center"/>
          </w:tcPr>
          <w:p>
            <w:pPr>
              <w:pStyle w:val="Compact"/>
              <w:jc w:val="left"/>
            </w:pPr>
            <w:r>
              <w:t xml:space="preserve">Tono fiscal: variación del saldo estructural primario</w:t>
            </w:r>
          </w:p>
        </w:tc>
      </w:tr>
      <w:tr>
        <w:trPr>
          <w:cantSplit/>
        </w:trPr>
        <w:tc>
          <w:tcPr>
            <w:vAlign w:val="center"/>
          </w:tcPr>
          <w:p>
            <w:pPr>
              <w:pStyle w:val="Compact"/>
              <w:jc w:val="center"/>
            </w:pPr>
            <m:oMath>
              <m:r>
                <m:t>τ</m:t>
              </m:r>
              <m:r>
                <m:rPr>
                  <m:sty m:val="p"/>
                </m:rPr>
                <m:t>−</m:t>
              </m:r>
              <m:r>
                <m:t>g</m:t>
              </m:r>
              <m:r>
                <m:rPr>
                  <m:sty m:val="p"/>
                </m:rPr>
                <m:t>=</m:t>
              </m:r>
              <m:f>
                <m:fPr>
                  <m:type m:val="bar"/>
                </m:fPr>
                <m:num>
                  <m:r>
                    <m:t>i</m:t>
                  </m:r>
                  <m:r>
                    <m:rPr>
                      <m:sty m:val="p"/>
                    </m:rPr>
                    <m:t>−</m:t>
                  </m:r>
                  <m:sSup>
                    <m:e>
                      <m:r>
                        <m:t>γ</m:t>
                      </m:r>
                    </m:e>
                    <m:sup>
                      <m:r>
                        <m:t>N</m:t>
                      </m:r>
                    </m:sup>
                  </m:sSup>
                </m:num>
                <m:den>
                  <m:r>
                    <m:t>1</m:t>
                  </m:r>
                  <m:r>
                    <m:rPr>
                      <m:sty m:val="p"/>
                    </m:rPr>
                    <m:t>+</m:t>
                  </m:r>
                  <m:sSup>
                    <m:e>
                      <m:r>
                        <m:t>γ</m:t>
                      </m:r>
                    </m:e>
                    <m:sup>
                      <m:r>
                        <m:t>N</m:t>
                      </m:r>
                    </m:sup>
                  </m:sSup>
                </m:den>
              </m:f>
              <m:r>
                <m:t> </m:t>
              </m:r>
              <m:r>
                <m:t>d</m:t>
              </m:r>
            </m:oMath>
          </w:p>
        </w:tc>
        <w:tc>
          <w:tcPr>
            <w:vAlign w:val="center"/>
          </w:tcPr>
          <w:p>
            <w:pPr>
              <w:pStyle w:val="Compact"/>
              <w:jc w:val="left"/>
            </w:pPr>
            <w:r>
              <w:t xml:space="preserve">Saldo primario que estabiliza la deuda</w:t>
            </w:r>
          </w:p>
        </w:tc>
      </w:tr>
    </w:tbl>
    <w:bookmarkEnd w:id="225"/>
    <w:p>
      <w:pPr>
        <w:pStyle w:val="BodyText"/>
      </w:pPr>
      <w:r>
        <w:rPr>
          <w:i/>
          <w:iCs/>
        </w:rPr>
        <w:t xml:space="preserve">Fuente: Elaboración propia a partir de la guía anterior. Notación:</w:t>
      </w:r>
      <w:r>
        <w:rPr>
          <w:i/>
          <w:iCs/>
        </w:rPr>
        <w:t xml:space="preserve"> </w:t>
      </w:r>
      <m:oMath>
        <m:r>
          <m:t>γ</m:t>
        </m:r>
      </m:oMath>
      <w:r>
        <w:rPr>
          <w:i/>
          <w:iCs/>
        </w:rPr>
        <w:t xml:space="preserve">, tasa de variación;</w:t>
      </w:r>
      <w:r>
        <w:rPr>
          <w:i/>
          <w:iCs/>
        </w:rPr>
        <w:t xml:space="preserve"> </w:t>
      </w:r>
      <m:oMath>
        <m:r>
          <m:t>Y</m:t>
        </m:r>
      </m:oMath>
      <w:r>
        <w:rPr>
          <w:i/>
          <w:iCs/>
        </w:rPr>
        <w:t xml:space="preserve">, PIB real;</w:t>
      </w:r>
      <w:r>
        <w:rPr>
          <w:i/>
          <w:iCs/>
        </w:rPr>
        <w:t xml:space="preserve"> </w:t>
      </w:r>
      <m:oMath>
        <m:sSup>
          <m:e>
            <m:r>
              <m:t>Y</m:t>
            </m:r>
          </m:e>
          <m:sup>
            <m:r>
              <m:t>p</m:t>
            </m:r>
          </m:sup>
        </m:sSup>
      </m:oMath>
      <w:r>
        <w:rPr>
          <w:i/>
          <w:iCs/>
        </w:rPr>
        <w:t xml:space="preserve">, potencial;</w:t>
      </w:r>
      <w:r>
        <w:rPr>
          <w:i/>
          <w:iCs/>
        </w:rPr>
        <w:t xml:space="preserve"> </w:t>
      </w:r>
      <m:oMath>
        <m:r>
          <m:t>P</m:t>
        </m:r>
      </m:oMath>
      <w:r>
        <w:rPr>
          <w:i/>
          <w:iCs/>
        </w:rPr>
        <w:t xml:space="preserve">, deflactor del PIB;</w:t>
      </w:r>
      <w:r>
        <w:rPr>
          <w:i/>
          <w:iCs/>
        </w:rPr>
        <w:t xml:space="preserve"> </w:t>
      </w:r>
      <m:oMath>
        <m:r>
          <m:t>W</m:t>
        </m:r>
      </m:oMath>
      <w:r>
        <w:rPr>
          <w:i/>
          <w:iCs/>
        </w:rPr>
        <w:t xml:space="preserve">, remuneración por asalariado;</w:t>
      </w:r>
      <w:r>
        <w:rPr>
          <w:i/>
          <w:iCs/>
        </w:rPr>
        <w:t xml:space="preserve"> </w:t>
      </w:r>
      <m:oMath>
        <m:r>
          <m:t>L</m:t>
        </m:r>
      </m:oMath>
      <w:r>
        <w:rPr>
          <w:i/>
          <w:iCs/>
        </w:rPr>
        <w:t xml:space="preserve">, empleo;</w:t>
      </w:r>
      <w:r>
        <w:rPr>
          <w:i/>
          <w:iCs/>
        </w:rPr>
        <w:t xml:space="preserve"> </w:t>
      </w:r>
      <m:oMath>
        <m:r>
          <m:t>i</m:t>
        </m:r>
      </m:oMath>
      <w:r>
        <w:rPr>
          <w:i/>
          <w:iCs/>
        </w:rPr>
        <w:t xml:space="preserve">, tipo nominal;</w:t>
      </w:r>
      <w:r>
        <w:rPr>
          <w:i/>
          <w:iCs/>
        </w:rPr>
        <w:t xml:space="preserve"> </w:t>
      </w:r>
      <m:oMath>
        <m:r>
          <m:t>d</m:t>
        </m:r>
      </m:oMath>
      <w:r>
        <w:rPr>
          <w:i/>
          <w:iCs/>
        </w:rPr>
        <w:t xml:space="preserve">, deuda sobre el PIB.</w:t>
      </w:r>
    </w:p>
    <w:bookmarkEnd w:id="226"/>
    <w:bookmarkStart w:id="230" w:name="anexo_calc_ciclo"/>
    <w:p>
      <w:pPr>
        <w:pStyle w:val="Heading2"/>
      </w:pPr>
      <w:r>
        <w:t xml:space="preserve">C.2. Ciclo y demanda</w:t>
      </w:r>
    </w:p>
    <w:bookmarkStart w:id="227" w:name="contribuci__n_al_crecimiento"/>
    <w:p>
      <w:pPr>
        <w:pStyle w:val="Heading4"/>
      </w:pPr>
      <w:r>
        <w:t xml:space="preserve">Contribución al crecimiento</w:t>
      </w:r>
    </w:p>
    <w:p>
      <w:pPr>
        <w:numPr>
          <w:ilvl w:val="0"/>
          <w:numId w:val="1142"/>
        </w:numPr>
      </w:pPr>
      <w:r>
        <w:rPr>
          <w:i/>
          <w:iCs/>
        </w:rPr>
        <w:t xml:space="preserve">De dónde sale</w:t>
      </w:r>
      <w:r>
        <w:t xml:space="preserve">: se parte de la identidad de la demanda agregada,</w:t>
      </w:r>
    </w:p>
    <w:p>
      <w:pPr>
        <w:pStyle w:val="BodyText"/>
        <w:keepNext/>
      </w:pPr>
      <m:oMathPara>
        <m:oMathParaPr>
          <m:jc m:val="center"/>
        </m:oMathParaPr>
        <m:oMath>
          <m:sSub>
            <m:e>
              <m:r>
                <m:t>Y</m:t>
              </m:r>
            </m:e>
            <m:sub>
              <m:r>
                <m:t>t</m:t>
              </m:r>
            </m:sub>
          </m:sSub>
          <m:r>
            <m:rPr>
              <m:sty m:val="p"/>
            </m:rPr>
            <m:t>=</m:t>
          </m:r>
          <m:limLow>
            <m:e>
              <m:limLow>
                <m:e>
                  <m:sSub>
                    <m:e>
                      <m:r>
                        <m:t>C</m:t>
                      </m:r>
                    </m:e>
                    <m:sub>
                      <m:r>
                        <m:t>t</m:t>
                      </m:r>
                    </m:sub>
                  </m:sSub>
                  <m:r>
                    <m:rPr>
                      <m:sty m:val="p"/>
                    </m:rPr>
                    <m:t>+</m:t>
                  </m:r>
                  <m:sSub>
                    <m:e>
                      <m:r>
                        <m:t>I</m:t>
                      </m:r>
                    </m:e>
                    <m:sub>
                      <m:r>
                        <m:t>t</m:t>
                      </m:r>
                    </m:sub>
                  </m:sSub>
                  <m:r>
                    <m:rPr>
                      <m:sty m:val="p"/>
                    </m:rPr>
                    <m:t>+</m:t>
                  </m:r>
                  <m:sSub>
                    <m:e>
                      <m:r>
                        <m:t>G</m:t>
                      </m:r>
                    </m:e>
                    <m:sub>
                      <m:r>
                        <m:t>t</m:t>
                      </m:r>
                    </m:sub>
                  </m:sSub>
                </m:e>
                <m:lim>
                  <m:r>
                    <m:rPr>
                      <m:sty m:val="p"/>
                    </m:rPr>
                    <m:t>⏟</m:t>
                  </m:r>
                </m:lim>
              </m:limLow>
            </m:e>
            <m:lim>
              <m:r>
                <m:rPr>
                  <m:nor/>
                  <m:sty m:val="p"/>
                </m:rPr>
                <m:t>demanda interna</m:t>
              </m:r>
            </m:lim>
          </m:limLow>
          <m:r>
            <m:rPr>
              <m:sty m:val="p"/>
            </m:rPr>
            <m:t>+</m:t>
          </m:r>
          <m:limLow>
            <m:e>
              <m:limLow>
                <m:e>
                  <m:d>
                    <m:dPr>
                      <m:begChr m:val="("/>
                      <m:sepChr m:val=""/>
                      <m:endChr m:val=")"/>
                      <m:grow/>
                    </m:dPr>
                    <m:e>
                      <m:sSub>
                        <m:e>
                          <m:r>
                            <m:t>X</m:t>
                          </m:r>
                        </m:e>
                        <m:sub>
                          <m:r>
                            <m:t>t</m:t>
                          </m:r>
                        </m:sub>
                      </m:sSub>
                      <m:r>
                        <m:rPr>
                          <m:sty m:val="p"/>
                        </m:rPr>
                        <m:t>−</m:t>
                      </m:r>
                      <m:sSub>
                        <m:e>
                          <m:r>
                            <m:t>M</m:t>
                          </m:r>
                        </m:e>
                        <m:sub>
                          <m:r>
                            <m:t>t</m:t>
                          </m:r>
                        </m:sub>
                      </m:sSub>
                    </m:e>
                  </m:d>
                </m:e>
                <m:lim>
                  <m:r>
                    <m:rPr>
                      <m:sty m:val="p"/>
                    </m:rPr>
                    <m:t>⏟</m:t>
                  </m:r>
                </m:lim>
              </m:limLow>
            </m:e>
            <m:lim>
              <m:r>
                <m:rPr>
                  <m:nor/>
                  <m:sty m:val="p"/>
                </m:rPr>
                <m:t>demanda externa</m:t>
              </m:r>
            </m:lim>
          </m:limLow>
          <m:r>
            <m:rPr>
              <m:sty m:val="p"/>
            </m:rPr>
            <m:t>.</m:t>
          </m:r>
        </m:oMath>
      </m:oMathPara>
    </w:p>
    <w:p>
      <w:pPr>
        <w:numPr>
          <w:ilvl w:val="0"/>
          <w:numId w:val="1142"/>
        </w:numPr>
      </w:pPr>
      <w:r>
        <w:t xml:space="preserve">Se le resta la del año anterior:</w:t>
      </w:r>
    </w:p>
    <w:p>
      <w:pPr>
        <w:pStyle w:val="BodyText"/>
        <w:keepNext/>
      </w:pPr>
      <m:oMathPara>
        <m:oMathParaPr>
          <m:jc m:val="center"/>
        </m:oMathParaPr>
        <m:oMath>
          <m:limLow>
            <m:e>
              <m:limLow>
                <m:e>
                  <m:sSub>
                    <m:e>
                      <m:r>
                        <m:t>Y</m:t>
                      </m:r>
                    </m:e>
                    <m:sub>
                      <m:r>
                        <m:t>t</m:t>
                      </m:r>
                    </m:sub>
                  </m:sSub>
                  <m:r>
                    <m:rPr>
                      <m:sty m:val="p"/>
                    </m:rPr>
                    <m:t>−</m:t>
                  </m:r>
                  <m:sSub>
                    <m:e>
                      <m:r>
                        <m:t>Y</m:t>
                      </m:r>
                    </m:e>
                    <m:sub>
                      <m:r>
                        <m:t>t</m:t>
                      </m:r>
                      <m:r>
                        <m:rPr>
                          <m:sty m:val="p"/>
                        </m:rPr>
                        <m:t>−</m:t>
                      </m:r>
                      <m:r>
                        <m:t>1</m:t>
                      </m:r>
                    </m:sub>
                  </m:sSub>
                </m:e>
                <m:lim>
                  <m:r>
                    <m:rPr>
                      <m:sty m:val="p"/>
                    </m:rPr>
                    <m:t>⏟</m:t>
                  </m:r>
                </m:lim>
              </m:limLow>
            </m:e>
            <m:lim>
              <m:r>
                <m:t>Δ</m:t>
              </m:r>
              <m:sSub>
                <m:e>
                  <m:r>
                    <m:t>Y</m:t>
                  </m:r>
                </m:e>
                <m:sub>
                  <m:r>
                    <m:t>t</m:t>
                  </m:r>
                </m:sub>
              </m:sSub>
            </m:lim>
          </m:limLow>
          <m:r>
            <m:rPr>
              <m:sty m:val="p"/>
            </m:rPr>
            <m:t>=</m:t>
          </m:r>
          <m:limLow>
            <m:e>
              <m:limLow>
                <m:e>
                  <m:d>
                    <m:dPr>
                      <m:begChr m:val="("/>
                      <m:sepChr m:val=""/>
                      <m:endChr m:val=")"/>
                      <m:grow/>
                    </m:dPr>
                    <m:e>
                      <m:sSub>
                        <m:e>
                          <m:r>
                            <m:t>C</m:t>
                          </m:r>
                        </m:e>
                        <m:sub>
                          <m:r>
                            <m:t>t</m:t>
                          </m:r>
                        </m:sub>
                      </m:sSub>
                      <m:r>
                        <m:rPr>
                          <m:sty m:val="p"/>
                        </m:rPr>
                        <m:t>−</m:t>
                      </m:r>
                      <m:sSub>
                        <m:e>
                          <m:r>
                            <m:t>C</m:t>
                          </m:r>
                        </m:e>
                        <m:sub>
                          <m:r>
                            <m:t>t</m:t>
                          </m:r>
                          <m:r>
                            <m:rPr>
                              <m:sty m:val="p"/>
                            </m:rPr>
                            <m:t>−</m:t>
                          </m:r>
                          <m:r>
                            <m:t>1</m:t>
                          </m:r>
                        </m:sub>
                      </m:sSub>
                    </m:e>
                  </m:d>
                </m:e>
                <m:lim>
                  <m:r>
                    <m:rPr>
                      <m:sty m:val="p"/>
                    </m:rPr>
                    <m:t>⏟</m:t>
                  </m:r>
                </m:lim>
              </m:limLow>
            </m:e>
            <m:lim>
              <m:r>
                <m:t>Δ</m:t>
              </m:r>
              <m:sSub>
                <m:e>
                  <m:r>
                    <m:t>C</m:t>
                  </m:r>
                </m:e>
                <m:sub>
                  <m:r>
                    <m:t>t</m:t>
                  </m:r>
                </m:sub>
              </m:sSub>
            </m:lim>
          </m:limLow>
          <m:r>
            <m:rPr>
              <m:sty m:val="p"/>
            </m:rPr>
            <m:t>+</m:t>
          </m:r>
          <m:limLow>
            <m:e>
              <m:limLow>
                <m:e>
                  <m:d>
                    <m:dPr>
                      <m:begChr m:val="("/>
                      <m:sepChr m:val=""/>
                      <m:endChr m:val=")"/>
                      <m:grow/>
                    </m:dPr>
                    <m:e>
                      <m:sSub>
                        <m:e>
                          <m:r>
                            <m:t>I</m:t>
                          </m:r>
                        </m:e>
                        <m:sub>
                          <m:r>
                            <m:t>t</m:t>
                          </m:r>
                        </m:sub>
                      </m:sSub>
                      <m:r>
                        <m:rPr>
                          <m:sty m:val="p"/>
                        </m:rPr>
                        <m:t>−</m:t>
                      </m:r>
                      <m:sSub>
                        <m:e>
                          <m:r>
                            <m:t>I</m:t>
                          </m:r>
                        </m:e>
                        <m:sub>
                          <m:r>
                            <m:t>t</m:t>
                          </m:r>
                          <m:r>
                            <m:rPr>
                              <m:sty m:val="p"/>
                            </m:rPr>
                            <m:t>−</m:t>
                          </m:r>
                          <m:r>
                            <m:t>1</m:t>
                          </m:r>
                        </m:sub>
                      </m:sSub>
                    </m:e>
                  </m:d>
                </m:e>
                <m:lim>
                  <m:r>
                    <m:rPr>
                      <m:sty m:val="p"/>
                    </m:rPr>
                    <m:t>⏟</m:t>
                  </m:r>
                </m:lim>
              </m:limLow>
            </m:e>
            <m:lim>
              <m:r>
                <m:t>Δ</m:t>
              </m:r>
              <m:sSub>
                <m:e>
                  <m:r>
                    <m:t>I</m:t>
                  </m:r>
                </m:e>
                <m:sub>
                  <m:r>
                    <m:t>t</m:t>
                  </m:r>
                </m:sub>
              </m:sSub>
            </m:lim>
          </m:limLow>
          <m:r>
            <m:rPr>
              <m:sty m:val="p"/>
            </m:rPr>
            <m:t>+</m:t>
          </m:r>
          <m:limLow>
            <m:e>
              <m:limLow>
                <m:e>
                  <m:d>
                    <m:dPr>
                      <m:begChr m:val="("/>
                      <m:sepChr m:val=""/>
                      <m:endChr m:val=")"/>
                      <m:grow/>
                    </m:dPr>
                    <m:e>
                      <m:sSub>
                        <m:e>
                          <m:r>
                            <m:t>G</m:t>
                          </m:r>
                        </m:e>
                        <m:sub>
                          <m:r>
                            <m:t>t</m:t>
                          </m:r>
                        </m:sub>
                      </m:sSub>
                      <m:r>
                        <m:rPr>
                          <m:sty m:val="p"/>
                        </m:rPr>
                        <m:t>−</m:t>
                      </m:r>
                      <m:sSub>
                        <m:e>
                          <m:r>
                            <m:t>G</m:t>
                          </m:r>
                        </m:e>
                        <m:sub>
                          <m:r>
                            <m:t>t</m:t>
                          </m:r>
                          <m:r>
                            <m:rPr>
                              <m:sty m:val="p"/>
                            </m:rPr>
                            <m:t>−</m:t>
                          </m:r>
                          <m:r>
                            <m:t>1</m:t>
                          </m:r>
                        </m:sub>
                      </m:sSub>
                    </m:e>
                  </m:d>
                </m:e>
                <m:lim>
                  <m:r>
                    <m:rPr>
                      <m:sty m:val="p"/>
                    </m:rPr>
                    <m:t>⏟</m:t>
                  </m:r>
                </m:lim>
              </m:limLow>
            </m:e>
            <m:lim>
              <m:r>
                <m:t>Δ</m:t>
              </m:r>
              <m:sSub>
                <m:e>
                  <m:r>
                    <m:t>G</m:t>
                  </m:r>
                </m:e>
                <m:sub>
                  <m:r>
                    <m:t>t</m:t>
                  </m:r>
                </m:sub>
              </m:sSub>
            </m:lim>
          </m:limLow>
          <m:r>
            <m:rPr>
              <m:sty m:val="p"/>
            </m:rPr>
            <m:t>+</m:t>
          </m:r>
          <m:limLow>
            <m:e>
              <m:limLow>
                <m:e>
                  <m:d>
                    <m:dPr>
                      <m:begChr m:val="("/>
                      <m:sepChr m:val=""/>
                      <m:endChr m:val=")"/>
                      <m:grow/>
                    </m:dPr>
                    <m:e>
                      <m:sSub>
                        <m:e>
                          <m:r>
                            <m:t>X</m:t>
                          </m:r>
                        </m:e>
                        <m:sub>
                          <m:r>
                            <m:t>t</m:t>
                          </m:r>
                        </m:sub>
                      </m:sSub>
                      <m:r>
                        <m:rPr>
                          <m:sty m:val="p"/>
                        </m:rPr>
                        <m:t>−</m:t>
                      </m:r>
                      <m:sSub>
                        <m:e>
                          <m:r>
                            <m:t>X</m:t>
                          </m:r>
                        </m:e>
                        <m:sub>
                          <m:r>
                            <m:t>t</m:t>
                          </m:r>
                          <m:r>
                            <m:rPr>
                              <m:sty m:val="p"/>
                            </m:rPr>
                            <m:t>−</m:t>
                          </m:r>
                          <m:r>
                            <m:t>1</m:t>
                          </m:r>
                        </m:sub>
                      </m:sSub>
                    </m:e>
                  </m:d>
                </m:e>
                <m:lim>
                  <m:r>
                    <m:rPr>
                      <m:sty m:val="p"/>
                    </m:rPr>
                    <m:t>⏟</m:t>
                  </m:r>
                </m:lim>
              </m:limLow>
            </m:e>
            <m:lim>
              <m:r>
                <m:t>Δ</m:t>
              </m:r>
              <m:sSub>
                <m:e>
                  <m:r>
                    <m:t>X</m:t>
                  </m:r>
                </m:e>
                <m:sub>
                  <m:r>
                    <m:t>t</m:t>
                  </m:r>
                </m:sub>
              </m:sSub>
            </m:lim>
          </m:limLow>
          <m:r>
            <m:rPr>
              <m:sty m:val="p"/>
            </m:rPr>
            <m:t>−</m:t>
          </m:r>
          <m:limLow>
            <m:e>
              <m:limLow>
                <m:e>
                  <m:d>
                    <m:dPr>
                      <m:begChr m:val="("/>
                      <m:sepChr m:val=""/>
                      <m:endChr m:val=")"/>
                      <m:grow/>
                    </m:dPr>
                    <m:e>
                      <m:sSub>
                        <m:e>
                          <m:r>
                            <m:t>M</m:t>
                          </m:r>
                        </m:e>
                        <m:sub>
                          <m:r>
                            <m:t>t</m:t>
                          </m:r>
                        </m:sub>
                      </m:sSub>
                      <m:r>
                        <m:rPr>
                          <m:sty m:val="p"/>
                        </m:rPr>
                        <m:t>−</m:t>
                      </m:r>
                      <m:sSub>
                        <m:e>
                          <m:r>
                            <m:t>M</m:t>
                          </m:r>
                        </m:e>
                        <m:sub>
                          <m:r>
                            <m:t>t</m:t>
                          </m:r>
                          <m:r>
                            <m:rPr>
                              <m:sty m:val="p"/>
                            </m:rPr>
                            <m:t>−</m:t>
                          </m:r>
                          <m:r>
                            <m:t>1</m:t>
                          </m:r>
                        </m:sub>
                      </m:sSub>
                    </m:e>
                  </m:d>
                </m:e>
                <m:lim>
                  <m:r>
                    <m:rPr>
                      <m:sty m:val="p"/>
                    </m:rPr>
                    <m:t>⏟</m:t>
                  </m:r>
                </m:lim>
              </m:limLow>
            </m:e>
            <m:lim>
              <m:r>
                <m:t>Δ</m:t>
              </m:r>
              <m:sSub>
                <m:e>
                  <m:r>
                    <m:t>M</m:t>
                  </m:r>
                </m:e>
                <m:sub>
                  <m:r>
                    <m:t>t</m:t>
                  </m:r>
                </m:sub>
              </m:sSub>
            </m:lim>
          </m:limLow>
          <m:r>
            <m:rPr>
              <m:sty m:val="p"/>
            </m:rPr>
            <m:t>.</m:t>
          </m:r>
        </m:oMath>
      </m:oMathPara>
    </w:p>
    <w:p>
      <w:pPr>
        <w:numPr>
          <w:ilvl w:val="0"/>
          <w:numId w:val="1142"/>
        </w:numPr>
      </w:pPr>
      <w:r>
        <w:t xml:space="preserve">Se divide por</w:t>
      </w:r>
      <w:r>
        <w:t xml:space="preserve"> </w:t>
      </w:r>
      <m:oMath>
        <m:sSub>
          <m:e>
            <m:r>
              <m:t>Y</m:t>
            </m:r>
          </m:e>
          <m:sub>
            <m:r>
              <m:t>t</m:t>
            </m:r>
            <m:r>
              <m:rPr>
                <m:sty m:val="p"/>
              </m:rPr>
              <m:t>−</m:t>
            </m:r>
            <m:r>
              <m:t>1</m:t>
            </m:r>
          </m:sub>
        </m:sSub>
      </m:oMath>
      <w:r>
        <w:t xml:space="preserve">:</w:t>
      </w:r>
    </w:p>
    <w:p>
      <w:pPr>
        <w:pStyle w:val="BodyText"/>
        <w:keepNext/>
      </w:pPr>
      <m:oMathPara>
        <m:oMathParaPr>
          <m:jc m:val="center"/>
        </m:oMathParaPr>
        <m:oMath>
          <m:limLow>
            <m:e>
              <m:limLow>
                <m:e>
                  <m:f>
                    <m:fPr>
                      <m:type m:val="bar"/>
                    </m:fPr>
                    <m:num>
                      <m:r>
                        <m:t>Δ</m:t>
                      </m:r>
                      <m:sSub>
                        <m:e>
                          <m:r>
                            <m:t>Y</m:t>
                          </m:r>
                        </m:e>
                        <m:sub>
                          <m:r>
                            <m:t>t</m:t>
                          </m:r>
                        </m:sub>
                      </m:sSub>
                    </m:num>
                    <m:den>
                      <m:sSub>
                        <m:e>
                          <m:r>
                            <m:t>Y</m:t>
                          </m:r>
                        </m:e>
                        <m:sub>
                          <m:r>
                            <m:t>t</m:t>
                          </m:r>
                          <m:r>
                            <m:rPr>
                              <m:sty m:val="p"/>
                            </m:rPr>
                            <m:t>−</m:t>
                          </m:r>
                          <m:r>
                            <m:t>1</m:t>
                          </m:r>
                        </m:sub>
                      </m:sSub>
                    </m:den>
                  </m:f>
                </m:e>
                <m:lim>
                  <m:r>
                    <m:rPr>
                      <m:sty m:val="p"/>
                    </m:rPr>
                    <m:t>⏟</m:t>
                  </m:r>
                </m:lim>
              </m:limLow>
            </m:e>
            <m:lim>
              <m:sSub>
                <m:e>
                  <m:r>
                    <m:t>γ</m:t>
                  </m:r>
                </m:e>
                <m:sub>
                  <m:r>
                    <m:t>Y</m:t>
                  </m:r>
                  <m:r>
                    <m:rPr>
                      <m:sty m:val="p"/>
                    </m:rPr>
                    <m:t>,</m:t>
                  </m:r>
                  <m:r>
                    <m:t>t</m:t>
                  </m:r>
                </m:sub>
              </m:sSub>
            </m:lim>
          </m:limLow>
          <m:r>
            <m:rPr>
              <m:sty m:val="p"/>
            </m:rPr>
            <m:t>=</m:t>
          </m:r>
          <m:limLow>
            <m:e>
              <m:limLow>
                <m:e>
                  <m:f>
                    <m:fPr>
                      <m:type m:val="bar"/>
                    </m:fPr>
                    <m:num>
                      <m:r>
                        <m:t>Δ</m:t>
                      </m:r>
                      <m:sSub>
                        <m:e>
                          <m:r>
                            <m:t>C</m:t>
                          </m:r>
                        </m:e>
                        <m:sub>
                          <m:r>
                            <m:t>t</m:t>
                          </m:r>
                        </m:sub>
                      </m:sSub>
                    </m:num>
                    <m:den>
                      <m:sSub>
                        <m:e>
                          <m:r>
                            <m:t>Y</m:t>
                          </m:r>
                        </m:e>
                        <m:sub>
                          <m:r>
                            <m:t>t</m:t>
                          </m:r>
                          <m:r>
                            <m:rPr>
                              <m:sty m:val="p"/>
                            </m:rPr>
                            <m:t>−</m:t>
                          </m:r>
                          <m:r>
                            <m:t>1</m:t>
                          </m:r>
                        </m:sub>
                      </m:sSub>
                    </m:den>
                  </m:f>
                  <m:r>
                    <m:rPr>
                      <m:sty m:val="p"/>
                    </m:rPr>
                    <m:t>+</m:t>
                  </m:r>
                  <m:f>
                    <m:fPr>
                      <m:type m:val="bar"/>
                    </m:fPr>
                    <m:num>
                      <m:r>
                        <m:t>Δ</m:t>
                      </m:r>
                      <m:sSub>
                        <m:e>
                          <m:r>
                            <m:t>I</m:t>
                          </m:r>
                        </m:e>
                        <m:sub>
                          <m:r>
                            <m:t>t</m:t>
                          </m:r>
                        </m:sub>
                      </m:sSub>
                    </m:num>
                    <m:den>
                      <m:sSub>
                        <m:e>
                          <m:r>
                            <m:t>Y</m:t>
                          </m:r>
                        </m:e>
                        <m:sub>
                          <m:r>
                            <m:t>t</m:t>
                          </m:r>
                          <m:r>
                            <m:rPr>
                              <m:sty m:val="p"/>
                            </m:rPr>
                            <m:t>−</m:t>
                          </m:r>
                          <m:r>
                            <m:t>1</m:t>
                          </m:r>
                        </m:sub>
                      </m:sSub>
                    </m:den>
                  </m:f>
                  <m:r>
                    <m:rPr>
                      <m:sty m:val="p"/>
                    </m:rPr>
                    <m:t>+</m:t>
                  </m:r>
                  <m:f>
                    <m:fPr>
                      <m:type m:val="bar"/>
                    </m:fPr>
                    <m:num>
                      <m:r>
                        <m:t>Δ</m:t>
                      </m:r>
                      <m:sSub>
                        <m:e>
                          <m:r>
                            <m:t>G</m:t>
                          </m:r>
                        </m:e>
                        <m:sub>
                          <m:r>
                            <m:t>t</m:t>
                          </m:r>
                        </m:sub>
                      </m:sSub>
                    </m:num>
                    <m:den>
                      <m:sSub>
                        <m:e>
                          <m:r>
                            <m:t>Y</m:t>
                          </m:r>
                        </m:e>
                        <m:sub>
                          <m:r>
                            <m:t>t</m:t>
                          </m:r>
                          <m:r>
                            <m:rPr>
                              <m:sty m:val="p"/>
                            </m:rPr>
                            <m:t>−</m:t>
                          </m:r>
                          <m:r>
                            <m:t>1</m:t>
                          </m:r>
                        </m:sub>
                      </m:sSub>
                    </m:den>
                  </m:f>
                </m:e>
                <m:lim>
                  <m:r>
                    <m:rPr>
                      <m:sty m:val="p"/>
                    </m:rPr>
                    <m:t>⏟</m:t>
                  </m:r>
                </m:lim>
              </m:limLow>
            </m:e>
            <m:lim>
              <m:r>
                <m:rPr>
                  <m:nor/>
                  <m:sty m:val="p"/>
                </m:rPr>
                <m:t>contribución de la demanda interna</m:t>
              </m:r>
            </m:lim>
          </m:limLow>
          <m:r>
            <m:rPr>
              <m:sty m:val="p"/>
            </m:rPr>
            <m:t>+</m:t>
          </m:r>
          <m:limLow>
            <m:e>
              <m:limLow>
                <m:e>
                  <m:f>
                    <m:fPr>
                      <m:type m:val="bar"/>
                    </m:fPr>
                    <m:num>
                      <m:r>
                        <m:t>Δ</m:t>
                      </m:r>
                      <m:sSub>
                        <m:e>
                          <m:r>
                            <m:t>X</m:t>
                          </m:r>
                        </m:e>
                        <m:sub>
                          <m:r>
                            <m:t>t</m:t>
                          </m:r>
                        </m:sub>
                      </m:sSub>
                    </m:num>
                    <m:den>
                      <m:sSub>
                        <m:e>
                          <m:r>
                            <m:t>Y</m:t>
                          </m:r>
                        </m:e>
                        <m:sub>
                          <m:r>
                            <m:t>t</m:t>
                          </m:r>
                          <m:r>
                            <m:rPr>
                              <m:sty m:val="p"/>
                            </m:rPr>
                            <m:t>−</m:t>
                          </m:r>
                          <m:r>
                            <m:t>1</m:t>
                          </m:r>
                        </m:sub>
                      </m:sSub>
                    </m:den>
                  </m:f>
                  <m:r>
                    <m:rPr>
                      <m:sty m:val="p"/>
                    </m:rPr>
                    <m:t>−</m:t>
                  </m:r>
                  <m:f>
                    <m:fPr>
                      <m:type m:val="bar"/>
                    </m:fPr>
                    <m:num>
                      <m:r>
                        <m:t>Δ</m:t>
                      </m:r>
                      <m:sSub>
                        <m:e>
                          <m:r>
                            <m:t>M</m:t>
                          </m:r>
                        </m:e>
                        <m:sub>
                          <m:r>
                            <m:t>t</m:t>
                          </m:r>
                        </m:sub>
                      </m:sSub>
                    </m:num>
                    <m:den>
                      <m:sSub>
                        <m:e>
                          <m:r>
                            <m:t>Y</m:t>
                          </m:r>
                        </m:e>
                        <m:sub>
                          <m:r>
                            <m:t>t</m:t>
                          </m:r>
                          <m:r>
                            <m:rPr>
                              <m:sty m:val="p"/>
                            </m:rPr>
                            <m:t>−</m:t>
                          </m:r>
                          <m:r>
                            <m:t>1</m:t>
                          </m:r>
                        </m:sub>
                      </m:sSub>
                    </m:den>
                  </m:f>
                </m:e>
                <m:lim>
                  <m:r>
                    <m:rPr>
                      <m:sty m:val="p"/>
                    </m:rPr>
                    <m:t>⏟</m:t>
                  </m:r>
                </m:lim>
              </m:limLow>
            </m:e>
            <m:lim>
              <m:r>
                <m:rPr>
                  <m:nor/>
                  <m:sty m:val="p"/>
                </m:rPr>
                <m:t>contribución de la demanda externa</m:t>
              </m:r>
            </m:lim>
          </m:limLow>
          <m:r>
            <m:rPr>
              <m:sty m:val="p"/>
            </m:rPr>
            <m:t>.</m:t>
          </m:r>
        </m:oMath>
      </m:oMathPara>
    </w:p>
    <w:p>
      <w:pPr>
        <w:numPr>
          <w:ilvl w:val="0"/>
          <w:numId w:val="1142"/>
        </w:numPr>
      </w:pPr>
      <w:r>
        <w:t xml:space="preserve">Y se multiplica y divide cada término por el valor del componente en</w:t>
      </w:r>
      <w:r>
        <w:t xml:space="preserve"> </w:t>
      </w:r>
      <m:oMath>
        <m:r>
          <m:t>t</m:t>
        </m:r>
        <m:r>
          <m:rPr>
            <m:sty m:val="p"/>
          </m:rPr>
          <m:t>−</m:t>
        </m:r>
        <m:r>
          <m:t>1</m:t>
        </m:r>
      </m:oMath>
      <w:r>
        <w:t xml:space="preserve"> </w:t>
      </w:r>
      <w:r>
        <w:t xml:space="preserve">(por ejemplo,</w:t>
      </w:r>
      <w:r>
        <w:t xml:space="preserve"> </w:t>
      </w:r>
      <m:oMath>
        <m:f>
          <m:fPr>
            <m:type m:val="bar"/>
          </m:fPr>
          <m:num>
            <m:r>
              <m:t>Δ</m:t>
            </m:r>
            <m:sSub>
              <m:e>
                <m:r>
                  <m:t>C</m:t>
                </m:r>
              </m:e>
              <m:sub>
                <m:r>
                  <m:t>t</m:t>
                </m:r>
              </m:sub>
            </m:sSub>
          </m:num>
          <m:den>
            <m:sSub>
              <m:e>
                <m:r>
                  <m:t>Y</m:t>
                </m:r>
              </m:e>
              <m:sub>
                <m:r>
                  <m:t>t</m:t>
                </m:r>
                <m:r>
                  <m:rPr>
                    <m:sty m:val="p"/>
                  </m:rPr>
                  <m:t>−</m:t>
                </m:r>
                <m:r>
                  <m:t>1</m:t>
                </m:r>
              </m:sub>
            </m:sSub>
          </m:den>
        </m:f>
        <m:r>
          <m:rPr>
            <m:sty m:val="p"/>
          </m:rPr>
          <m:t>=</m:t>
        </m:r>
        <m:f>
          <m:fPr>
            <m:type m:val="bar"/>
          </m:fPr>
          <m:num>
            <m:sSub>
              <m:e>
                <m:r>
                  <m:t>C</m:t>
                </m:r>
              </m:e>
              <m:sub>
                <m:r>
                  <m:t>t</m:t>
                </m:r>
                <m:r>
                  <m:rPr>
                    <m:sty m:val="p"/>
                  </m:rPr>
                  <m:t>−</m:t>
                </m:r>
                <m:r>
                  <m:t>1</m:t>
                </m:r>
              </m:sub>
            </m:sSub>
          </m:num>
          <m:den>
            <m:sSub>
              <m:e>
                <m:r>
                  <m:t>Y</m:t>
                </m:r>
              </m:e>
              <m:sub>
                <m:r>
                  <m:t>t</m:t>
                </m:r>
                <m:r>
                  <m:rPr>
                    <m:sty m:val="p"/>
                  </m:rPr>
                  <m:t>−</m:t>
                </m:r>
                <m:r>
                  <m:t>1</m:t>
                </m:r>
              </m:sub>
            </m:sSub>
          </m:den>
        </m:f>
        <m:r>
          <m:rPr>
            <m:sty m:val="p"/>
          </m:rPr>
          <m:t>⋅</m:t>
        </m:r>
        <m:f>
          <m:fPr>
            <m:type m:val="bar"/>
          </m:fPr>
          <m:num>
            <m:r>
              <m:t>Δ</m:t>
            </m:r>
            <m:sSub>
              <m:e>
                <m:r>
                  <m:t>C</m:t>
                </m:r>
              </m:e>
              <m:sub>
                <m:r>
                  <m:t>t</m:t>
                </m:r>
              </m:sub>
            </m:sSub>
          </m:num>
          <m:den>
            <m:sSub>
              <m:e>
                <m:r>
                  <m:t>C</m:t>
                </m:r>
              </m:e>
              <m:sub>
                <m:r>
                  <m:t>t</m:t>
                </m:r>
                <m:r>
                  <m:rPr>
                    <m:sty m:val="p"/>
                  </m:rPr>
                  <m:t>−</m:t>
                </m:r>
                <m:r>
                  <m:t>1</m:t>
                </m:r>
              </m:sub>
            </m:sSub>
          </m:den>
        </m:f>
      </m:oMath>
      <w:r>
        <w:t xml:space="preserve">):</w:t>
      </w:r>
    </w:p>
    <w:p>
      <w:pPr>
        <w:pStyle w:val="Funcionclave"/>
        <w:keepLines/>
      </w:pPr>
      <m:oMathPara>
        <m:oMathParaPr>
          <m:jc m:val="center"/>
        </m:oMathParaPr>
        <m:oMath>
          <m:sSub>
            <m:e>
              <m:r>
                <m:t>γ</m:t>
              </m:r>
            </m:e>
            <m:sub>
              <m:r>
                <m:t>Y</m:t>
              </m:r>
              <m:r>
                <m:rPr>
                  <m:sty m:val="p"/>
                </m:rPr>
                <m:t>,</m:t>
              </m:r>
              <m:r>
                <m:t>t</m:t>
              </m:r>
            </m:sub>
          </m:sSub>
          <m:r>
            <m:rPr>
              <m:sty m:val="p"/>
            </m:rPr>
            <m:t>=</m:t>
          </m:r>
          <m:f>
            <m:fPr>
              <m:type m:val="bar"/>
            </m:fPr>
            <m:num>
              <m:sSub>
                <m:e>
                  <m:r>
                    <m:t>C</m:t>
                  </m:r>
                </m:e>
                <m:sub>
                  <m:r>
                    <m:t>t</m:t>
                  </m:r>
                  <m:r>
                    <m:rPr>
                      <m:sty m:val="p"/>
                    </m:rPr>
                    <m:t>−</m:t>
                  </m:r>
                  <m:r>
                    <m:t>1</m:t>
                  </m:r>
                </m:sub>
              </m:sSub>
            </m:num>
            <m:den>
              <m:sSub>
                <m:e>
                  <m:r>
                    <m:t>Y</m:t>
                  </m:r>
                </m:e>
                <m:sub>
                  <m:r>
                    <m:t>t</m:t>
                  </m:r>
                  <m:r>
                    <m:rPr>
                      <m:sty m:val="p"/>
                    </m:rPr>
                    <m:t>−</m:t>
                  </m:r>
                  <m:r>
                    <m:t>1</m:t>
                  </m:r>
                </m:sub>
              </m:sSub>
            </m:den>
          </m:f>
          <m:sSub>
            <m:e>
              <m:r>
                <m:t>γ</m:t>
              </m:r>
            </m:e>
            <m:sub>
              <m:r>
                <m:t>C</m:t>
              </m:r>
              <m:r>
                <m:rPr>
                  <m:sty m:val="p"/>
                </m:rPr>
                <m:t>,</m:t>
              </m:r>
              <m:r>
                <m:t>t</m:t>
              </m:r>
            </m:sub>
          </m:sSub>
          <m:r>
            <m:rPr>
              <m:sty m:val="p"/>
            </m:rPr>
            <m:t>+</m:t>
          </m:r>
          <m:f>
            <m:fPr>
              <m:type m:val="bar"/>
            </m:fPr>
            <m:num>
              <m:sSub>
                <m:e>
                  <m:r>
                    <m:t>I</m:t>
                  </m:r>
                </m:e>
                <m:sub>
                  <m:r>
                    <m:t>t</m:t>
                  </m:r>
                  <m:r>
                    <m:rPr>
                      <m:sty m:val="p"/>
                    </m:rPr>
                    <m:t>−</m:t>
                  </m:r>
                  <m:r>
                    <m:t>1</m:t>
                  </m:r>
                </m:sub>
              </m:sSub>
            </m:num>
            <m:den>
              <m:sSub>
                <m:e>
                  <m:r>
                    <m:t>Y</m:t>
                  </m:r>
                </m:e>
                <m:sub>
                  <m:r>
                    <m:t>t</m:t>
                  </m:r>
                  <m:r>
                    <m:rPr>
                      <m:sty m:val="p"/>
                    </m:rPr>
                    <m:t>−</m:t>
                  </m:r>
                  <m:r>
                    <m:t>1</m:t>
                  </m:r>
                </m:sub>
              </m:sSub>
            </m:den>
          </m:f>
          <m:sSub>
            <m:e>
              <m:r>
                <m:t>γ</m:t>
              </m:r>
            </m:e>
            <m:sub>
              <m:r>
                <m:t>I</m:t>
              </m:r>
              <m:r>
                <m:rPr>
                  <m:sty m:val="p"/>
                </m:rPr>
                <m:t>,</m:t>
              </m:r>
              <m:r>
                <m:t>t</m:t>
              </m:r>
            </m:sub>
          </m:sSub>
          <m:r>
            <m:rPr>
              <m:sty m:val="p"/>
            </m:rPr>
            <m:t>+</m:t>
          </m:r>
          <m:f>
            <m:fPr>
              <m:type m:val="bar"/>
            </m:fPr>
            <m:num>
              <m:sSub>
                <m:e>
                  <m:r>
                    <m:t>G</m:t>
                  </m:r>
                </m:e>
                <m:sub>
                  <m:r>
                    <m:t>t</m:t>
                  </m:r>
                  <m:r>
                    <m:rPr>
                      <m:sty m:val="p"/>
                    </m:rPr>
                    <m:t>−</m:t>
                  </m:r>
                  <m:r>
                    <m:t>1</m:t>
                  </m:r>
                </m:sub>
              </m:sSub>
            </m:num>
            <m:den>
              <m:sSub>
                <m:e>
                  <m:r>
                    <m:t>Y</m:t>
                  </m:r>
                </m:e>
                <m:sub>
                  <m:r>
                    <m:t>t</m:t>
                  </m:r>
                  <m:r>
                    <m:rPr>
                      <m:sty m:val="p"/>
                    </m:rPr>
                    <m:t>−</m:t>
                  </m:r>
                  <m:r>
                    <m:t>1</m:t>
                  </m:r>
                </m:sub>
              </m:sSub>
            </m:den>
          </m:f>
          <m:sSub>
            <m:e>
              <m:r>
                <m:t>γ</m:t>
              </m:r>
            </m:e>
            <m:sub>
              <m:r>
                <m:t>G</m:t>
              </m:r>
              <m:r>
                <m:rPr>
                  <m:sty m:val="p"/>
                </m:rPr>
                <m:t>,</m:t>
              </m:r>
              <m:r>
                <m:t>t</m:t>
              </m:r>
            </m:sub>
          </m:sSub>
          <m:r>
            <m:rPr>
              <m:sty m:val="p"/>
            </m:rPr>
            <m:t>+</m:t>
          </m:r>
          <m:f>
            <m:fPr>
              <m:type m:val="bar"/>
            </m:fPr>
            <m:num>
              <m:sSub>
                <m:e>
                  <m:r>
                    <m:t>X</m:t>
                  </m:r>
                </m:e>
                <m:sub>
                  <m:r>
                    <m:t>t</m:t>
                  </m:r>
                  <m:r>
                    <m:rPr>
                      <m:sty m:val="p"/>
                    </m:rPr>
                    <m:t>−</m:t>
                  </m:r>
                  <m:r>
                    <m:t>1</m:t>
                  </m:r>
                </m:sub>
              </m:sSub>
            </m:num>
            <m:den>
              <m:sSub>
                <m:e>
                  <m:r>
                    <m:t>Y</m:t>
                  </m:r>
                </m:e>
                <m:sub>
                  <m:r>
                    <m:t>t</m:t>
                  </m:r>
                  <m:r>
                    <m:rPr>
                      <m:sty m:val="p"/>
                    </m:rPr>
                    <m:t>−</m:t>
                  </m:r>
                  <m:r>
                    <m:t>1</m:t>
                  </m:r>
                </m:sub>
              </m:sSub>
            </m:den>
          </m:f>
          <m:sSub>
            <m:e>
              <m:r>
                <m:t>γ</m:t>
              </m:r>
            </m:e>
            <m:sub>
              <m:r>
                <m:t>X</m:t>
              </m:r>
              <m:r>
                <m:rPr>
                  <m:sty m:val="p"/>
                </m:rPr>
                <m:t>,</m:t>
              </m:r>
              <m:r>
                <m:t>t</m:t>
              </m:r>
            </m:sub>
          </m:sSub>
          <m:r>
            <m:rPr>
              <m:sty m:val="p"/>
            </m:rPr>
            <m:t>−</m:t>
          </m:r>
          <m:f>
            <m:fPr>
              <m:type m:val="bar"/>
            </m:fPr>
            <m:num>
              <m:sSub>
                <m:e>
                  <m:r>
                    <m:t>M</m:t>
                  </m:r>
                </m:e>
                <m:sub>
                  <m:r>
                    <m:t>t</m:t>
                  </m:r>
                  <m:r>
                    <m:rPr>
                      <m:sty m:val="p"/>
                    </m:rPr>
                    <m:t>−</m:t>
                  </m:r>
                  <m:r>
                    <m:t>1</m:t>
                  </m:r>
                </m:sub>
              </m:sSub>
            </m:num>
            <m:den>
              <m:sSub>
                <m:e>
                  <m:r>
                    <m:t>Y</m:t>
                  </m:r>
                </m:e>
                <m:sub>
                  <m:r>
                    <m:t>t</m:t>
                  </m:r>
                  <m:r>
                    <m:rPr>
                      <m:sty m:val="p"/>
                    </m:rPr>
                    <m:t>−</m:t>
                  </m:r>
                  <m:r>
                    <m:t>1</m:t>
                  </m:r>
                </m:sub>
              </m:sSub>
            </m:den>
          </m:f>
          <m:sSub>
            <m:e>
              <m:r>
                <m:t>γ</m:t>
              </m:r>
            </m:e>
            <m:sub>
              <m:r>
                <m:t>M</m:t>
              </m:r>
              <m:r>
                <m:rPr>
                  <m:sty m:val="p"/>
                </m:rPr>
                <m:t>,</m:t>
              </m:r>
              <m:r>
                <m:t>t</m:t>
              </m:r>
            </m:sub>
          </m:sSub>
        </m:oMath>
      </m:oMathPara>
    </w:p>
    <w:p>
      <w:pPr>
        <w:numPr>
          <w:ilvl w:val="0"/>
          <w:numId w:val="1142"/>
        </w:numPr>
      </w:pPr>
      <w:r>
        <w:rPr>
          <w:i/>
          <w:iCs/>
        </w:rPr>
        <w:t xml:space="preserve">En palabras</w:t>
      </w:r>
      <w:r>
        <w:t xml:space="preserve">: el crecimiento del PIB es la suma de las contribuciones de los componentes de la demanda, y cada contribución es el</w:t>
      </w:r>
      <w:r>
        <w:t xml:space="preserve"> </w:t>
      </w:r>
      <w:r>
        <w:rPr>
          <w:i/>
          <w:iCs/>
        </w:rPr>
        <w:t xml:space="preserve">peso</w:t>
      </w:r>
      <w:r>
        <w:t xml:space="preserve"> </w:t>
      </w:r>
      <w:r>
        <w:t xml:space="preserve">del componente en el año anterior por su</w:t>
      </w:r>
      <w:r>
        <w:t xml:space="preserve"> </w:t>
      </w:r>
      <w:r>
        <w:rPr>
          <w:i/>
          <w:iCs/>
        </w:rPr>
        <w:t xml:space="preserve">crecimiento</w:t>
      </w:r>
      <w:r>
        <w:t xml:space="preserve"> </w:t>
      </w:r>
      <w:r>
        <w:t xml:space="preserve">de este año. Depende de las 2 cosas.</w:t>
      </w:r>
    </w:p>
    <w:p>
      <w:pPr>
        <w:numPr>
          <w:ilvl w:val="0"/>
          <w:numId w:val="1142"/>
        </w:numPr>
      </w:pPr>
      <w:r>
        <w:rPr>
          <w:i/>
          <w:iCs/>
        </w:rPr>
        <w:t xml:space="preserve">Ejemplo</w:t>
      </w:r>
      <w:r>
        <w:t xml:space="preserve">: si el consumo pesa el 55 % del PIB y crece un 2 %, contribuye</w:t>
      </w:r>
      <w:r>
        <w:t xml:space="preserve"> </w:t>
      </w:r>
      <m:oMath>
        <m:r>
          <m:t>0</m:t>
        </m:r>
        <m:r>
          <m:rPr>
            <m:sty m:val="p"/>
          </m:rPr>
          <m:t>,</m:t>
        </m:r>
        <m:r>
          <m:t>55</m:t>
        </m:r>
        <m:r>
          <m:rPr>
            <m:sty m:val="p"/>
          </m:rPr>
          <m:t>×</m:t>
        </m:r>
        <m:r>
          <m:t>2</m:t>
        </m:r>
        <m:r>
          <m:rPr>
            <m:sty m:val="p"/>
          </m:rPr>
          <m:t>=</m:t>
        </m:r>
        <m:r>
          <m:t>1</m:t>
        </m:r>
        <m:r>
          <m:rPr>
            <m:sty m:val="p"/>
          </m:rPr>
          <m:t>,</m:t>
        </m:r>
        <m:r>
          <m:t>1</m:t>
        </m:r>
      </m:oMath>
      <w:r>
        <w:t xml:space="preserve"> </w:t>
      </w:r>
      <w:r>
        <w:t xml:space="preserve">puntos porcentuales.</w:t>
      </w:r>
    </w:p>
    <w:p>
      <w:pPr>
        <w:numPr>
          <w:ilvl w:val="0"/>
          <w:numId w:val="1142"/>
        </w:numPr>
      </w:pPr>
      <w:r>
        <w:rPr>
          <w:i/>
          <w:iCs/>
        </w:rPr>
        <w:t xml:space="preserve">Cuidado</w:t>
      </w:r>
      <w:r>
        <w:t xml:space="preserve">: con volúmenes encadenados la suma no es exacta; si el cuadro da las contribuciones, se usan esas. Las existencias también contribuyen (si no se dan, se suponen nulas).</w:t>
      </w:r>
    </w:p>
    <w:bookmarkEnd w:id="227"/>
    <w:bookmarkStart w:id="228" w:name="brecha_de_producci__n_y_pib_potencial_1"/>
    <w:p>
      <w:pPr>
        <w:pStyle w:val="Heading4"/>
      </w:pPr>
      <w:r>
        <w:t xml:space="preserve">Brecha de producción y PIB potencial</w:t>
      </w:r>
    </w:p>
    <w:p>
      <w:pPr>
        <w:numPr>
          <w:ilvl w:val="0"/>
          <w:numId w:val="1143"/>
        </w:numPr>
      </w:pPr>
      <w:r>
        <w:t xml:space="preserve">Si el cuadro da la brecha y el crecimiento, se deduce el crecimiento del potencial; si da el crecimiento real y el potencial, se proyecta la brecha:</w:t>
      </w:r>
    </w:p>
    <w:p>
      <w:pPr>
        <w:pStyle w:val="Funcionclave"/>
        <w:keepLines/>
      </w:pPr>
      <m:oMathPara>
        <m:oMathParaPr>
          <m:jc m:val="center"/>
        </m:oMathParaPr>
        <m:oMath>
          <m:sSub>
            <m:e>
              <m:r>
                <m:t>γ</m:t>
              </m:r>
            </m:e>
            <m:sub>
              <m:sSup>
                <m:e>
                  <m:r>
                    <m:t>Y</m:t>
                  </m:r>
                </m:e>
                <m:sup>
                  <m:r>
                    <m:t>p</m:t>
                  </m:r>
                </m:sup>
              </m:sSup>
              <m:r>
                <m:rPr>
                  <m:sty m:val="p"/>
                </m:rPr>
                <m:t>,</m:t>
              </m:r>
              <m:r>
                <m:t>t</m:t>
              </m:r>
            </m:sub>
          </m:sSub>
          <m:r>
            <m:rPr>
              <m:sty m:val="p"/>
            </m:rPr>
            <m:t>≈</m:t>
          </m:r>
          <m:sSub>
            <m:e>
              <m:r>
                <m:t>γ</m:t>
              </m:r>
            </m:e>
            <m:sub>
              <m:r>
                <m:t>Y</m:t>
              </m:r>
              <m:r>
                <m:rPr>
                  <m:sty m:val="p"/>
                </m:rPr>
                <m:t>,</m:t>
              </m:r>
              <m:r>
                <m:t>t</m:t>
              </m:r>
            </m:sub>
          </m:sSub>
          <m:r>
            <m:rPr>
              <m:sty m:val="p"/>
            </m:rPr>
            <m:t>−</m:t>
          </m:r>
          <m:d>
            <m:dPr>
              <m:begChr m:val="("/>
              <m:sepChr m:val=""/>
              <m:endChr m:val=")"/>
              <m:grow/>
            </m:dPr>
            <m:e>
              <m:sSub>
                <m:e>
                  <m:r>
                    <m:rPr>
                      <m:sty m:val="p"/>
                    </m:rPr>
                    <m:t>O</m:t>
                  </m:r>
                  <m:r>
                    <m:rPr>
                      <m:sty m:val="p"/>
                    </m:rPr>
                    <m:t>G</m:t>
                  </m:r>
                </m:e>
                <m:sub>
                  <m:r>
                    <m:t>t</m:t>
                  </m:r>
                </m:sub>
              </m:sSub>
              <m:r>
                <m:rPr>
                  <m:sty m:val="p"/>
                </m:rPr>
                <m:t>−</m:t>
              </m:r>
              <m:sSub>
                <m:e>
                  <m:r>
                    <m:rPr>
                      <m:sty m:val="p"/>
                    </m:rPr>
                    <m:t>O</m:t>
                  </m:r>
                  <m:r>
                    <m:rPr>
                      <m:sty m:val="p"/>
                    </m:rPr>
                    <m:t>G</m:t>
                  </m:r>
                </m:e>
                <m:sub>
                  <m:r>
                    <m:t>t</m:t>
                  </m:r>
                  <m:r>
                    <m:rPr>
                      <m:sty m:val="p"/>
                    </m:rPr>
                    <m:t>−</m:t>
                  </m:r>
                  <m:r>
                    <m:t>1</m:t>
                  </m:r>
                </m:sub>
              </m:sSub>
            </m:e>
          </m:d>
          <m:r>
            <m:rPr>
              <m:sty m:val="p"/>
            </m:rPr>
            <m:t>,</m:t>
          </m:r>
          <m:r>
            <m:t>  </m:t>
          </m:r>
          <m:sSub>
            <m:e>
              <m:r>
                <m:rPr>
                  <m:sty m:val="p"/>
                </m:rPr>
                <m:t>O</m:t>
              </m:r>
              <m:r>
                <m:rPr>
                  <m:sty m:val="p"/>
                </m:rPr>
                <m:t>G</m:t>
              </m:r>
            </m:e>
            <m:sub>
              <m:r>
                <m:t>t</m:t>
              </m:r>
            </m:sub>
          </m:sSub>
          <m:r>
            <m:rPr>
              <m:sty m:val="p"/>
            </m:rPr>
            <m:t>≈</m:t>
          </m:r>
          <m:sSub>
            <m:e>
              <m:r>
                <m:rPr>
                  <m:sty m:val="p"/>
                </m:rPr>
                <m:t>O</m:t>
              </m:r>
              <m:r>
                <m:rPr>
                  <m:sty m:val="p"/>
                </m:rPr>
                <m:t>G</m:t>
              </m:r>
            </m:e>
            <m:sub>
              <m:r>
                <m:t>t</m:t>
              </m:r>
              <m:r>
                <m:rPr>
                  <m:sty m:val="p"/>
                </m:rPr>
                <m:t>−</m:t>
              </m:r>
              <m:r>
                <m:t>1</m:t>
              </m:r>
            </m:sub>
          </m:sSub>
          <m:r>
            <m:rPr>
              <m:sty m:val="p"/>
            </m:rPr>
            <m:t>+</m:t>
          </m:r>
          <m:sSub>
            <m:e>
              <m:r>
                <m:t>γ</m:t>
              </m:r>
            </m:e>
            <m:sub>
              <m:r>
                <m:t>Y</m:t>
              </m:r>
              <m:r>
                <m:rPr>
                  <m:sty m:val="p"/>
                </m:rPr>
                <m:t>,</m:t>
              </m:r>
              <m:r>
                <m:t>t</m:t>
              </m:r>
            </m:sub>
          </m:sSub>
          <m:r>
            <m:rPr>
              <m:sty m:val="p"/>
            </m:rPr>
            <m:t>−</m:t>
          </m:r>
          <m:sSub>
            <m:e>
              <m:r>
                <m:t>γ</m:t>
              </m:r>
            </m:e>
            <m:sub>
              <m:sSup>
                <m:e>
                  <m:r>
                    <m:t>Y</m:t>
                  </m:r>
                </m:e>
                <m:sup>
                  <m:r>
                    <m:t>p</m:t>
                  </m:r>
                </m:sup>
              </m:sSup>
              <m:r>
                <m:rPr>
                  <m:sty m:val="p"/>
                </m:rPr>
                <m:t>,</m:t>
              </m:r>
              <m:r>
                <m:t>t</m:t>
              </m:r>
            </m:sub>
          </m:sSub>
        </m:oMath>
      </m:oMathPara>
    </w:p>
    <w:p>
      <w:pPr>
        <w:numPr>
          <w:ilvl w:val="0"/>
          <w:numId w:val="1143"/>
        </w:numPr>
      </w:pPr>
      <w:r>
        <w:rPr>
          <w:i/>
          <w:iCs/>
        </w:rPr>
        <w:t xml:space="preserve">Ejemplo</w:t>
      </w:r>
      <w:r>
        <w:t xml:space="preserve">: con una brecha de</w:t>
      </w:r>
      <w:r>
        <w:t xml:space="preserve"> </w:t>
      </w:r>
      <m:oMath>
        <m:r>
          <m:rPr>
            <m:sty m:val="p"/>
          </m:rPr>
          <m:t>−</m:t>
        </m:r>
        <m:r>
          <m:t>1</m:t>
        </m:r>
        <m:r>
          <m:t> </m:t>
        </m:r>
        <m:r>
          <m:rPr>
            <m:sty m:val="p"/>
          </m:rPr>
          <m:t>%</m:t>
        </m:r>
      </m:oMath>
      <w:r>
        <w:t xml:space="preserve">, un crecimiento del 3 % y un potencial del 1,5 %, la brecha pasa a</w:t>
      </w:r>
      <w:r>
        <w:t xml:space="preserve"> </w:t>
      </w:r>
      <m:oMath>
        <m:r>
          <m:rPr>
            <m:sty m:val="p"/>
          </m:rPr>
          <m:t>+</m:t>
        </m:r>
        <m:r>
          <m:t>0</m:t>
        </m:r>
        <m:r>
          <m:rPr>
            <m:sty m:val="p"/>
          </m:rPr>
          <m:t>,</m:t>
        </m:r>
        <m:r>
          <m:t>5</m:t>
        </m:r>
        <m:r>
          <m:t> </m:t>
        </m:r>
        <m:r>
          <m:rPr>
            <m:sty m:val="p"/>
          </m:rPr>
          <m:t>%</m:t>
        </m:r>
      </m:oMath>
      <w:r>
        <w:t xml:space="preserve">: se cierra y se abre por arriba.</w:t>
      </w:r>
    </w:p>
    <w:bookmarkEnd w:id="228"/>
    <w:bookmarkStart w:id="229" w:name="tasas_a_partir_de_datos_trimestrales"/>
    <w:p>
      <w:pPr>
        <w:pStyle w:val="Heading4"/>
      </w:pPr>
      <w:r>
        <w:t xml:space="preserve">Tasas a partir de datos trimestrales</w:t>
      </w:r>
    </w:p>
    <w:p>
      <w:pPr>
        <w:numPr>
          <w:ilvl w:val="0"/>
          <w:numId w:val="1144"/>
        </w:numPr>
      </w:pPr>
      <w:r>
        <w:rPr>
          <w:i/>
          <w:iCs/>
        </w:rPr>
        <w:t xml:space="preserve">Tasa media anual</w:t>
      </w:r>
      <w:r>
        <w:t xml:space="preserve">: la media de los 4 niveles del año frente a la del año anterior (no la suma de las tasas intertrimestrales).</w:t>
      </w:r>
    </w:p>
    <w:p>
      <w:pPr>
        <w:numPr>
          <w:ilvl w:val="0"/>
          <w:numId w:val="1144"/>
        </w:numPr>
      </w:pPr>
      <w:r>
        <w:rPr>
          <w:i/>
          <w:iCs/>
        </w:rPr>
        <w:t xml:space="preserve">Tasa anualizada</w:t>
      </w:r>
      <w:r>
        <w:t xml:space="preserve"> </w:t>
      </w:r>
      <w:r>
        <w:t xml:space="preserve">de una tasa trimestral</w:t>
      </w:r>
      <w:r>
        <w:t xml:space="preserve"> </w:t>
      </w:r>
      <m:oMath>
        <m:r>
          <m:t>g</m:t>
        </m:r>
      </m:oMath>
      <w:r>
        <w:t xml:space="preserve">:</w:t>
      </w:r>
    </w:p>
    <w:p>
      <w:pPr>
        <w:pStyle w:val="Funcionclave"/>
        <w:keepLines/>
      </w:pPr>
      <m:oMathPara>
        <m:oMathParaPr>
          <m:jc m:val="center"/>
        </m:oMathParaPr>
        <m:oMath>
          <m:sSup>
            <m:e>
              <m:r>
                <m:t>g</m:t>
              </m:r>
            </m:e>
            <m:sup>
              <m:r>
                <m:rPr>
                  <m:nor/>
                  <m:sty m:val="p"/>
                </m:rPr>
                <m:t>anual</m:t>
              </m:r>
            </m:sup>
          </m:sSup>
          <m:r>
            <m:rPr>
              <m:sty m:val="p"/>
            </m:rPr>
            <m:t>=</m:t>
          </m:r>
          <m:sSup>
            <m:e>
              <m:d>
                <m:dPr>
                  <m:begChr m:val="("/>
                  <m:sepChr m:val=""/>
                  <m:endChr m:val=")"/>
                  <m:grow/>
                </m:dPr>
                <m:e>
                  <m:r>
                    <m:t>1</m:t>
                  </m:r>
                  <m:r>
                    <m:rPr>
                      <m:sty m:val="p"/>
                    </m:rPr>
                    <m:t>+</m:t>
                  </m:r>
                  <m:r>
                    <m:t>g</m:t>
                  </m:r>
                </m:e>
              </m:d>
            </m:e>
            <m:sup>
              <m:r>
                <m:t>4</m:t>
              </m:r>
            </m:sup>
          </m:sSup>
          <m:r>
            <m:rPr>
              <m:sty m:val="p"/>
            </m:rPr>
            <m:t>−</m:t>
          </m:r>
          <m:r>
            <m:t>1</m:t>
          </m:r>
          <m:r>
            <m:rPr>
              <m:sty m:val="p"/>
            </m:rPr>
            <m:t>≈</m:t>
          </m:r>
          <m:r>
            <m:t>4</m:t>
          </m:r>
          <m:r>
            <m:t>g</m:t>
          </m:r>
        </m:oMath>
      </m:oMathPara>
    </w:p>
    <w:p>
      <w:pPr>
        <w:numPr>
          <w:ilvl w:val="0"/>
          <w:numId w:val="1144"/>
        </w:numPr>
      </w:pPr>
      <w:r>
        <w:rPr>
          <w:i/>
          <w:iCs/>
        </w:rPr>
        <w:t xml:space="preserve">Ejemplo</w:t>
      </w:r>
      <w:r>
        <w:t xml:space="preserve">: con</w:t>
      </w:r>
      <w:r>
        <w:t xml:space="preserve"> </w:t>
      </w:r>
      <m:oMath>
        <m:r>
          <m:t>g</m:t>
        </m:r>
        <m:r>
          <m:rPr>
            <m:sty m:val="p"/>
          </m:rPr>
          <m:t>=</m:t>
        </m:r>
        <m:r>
          <m:t>0</m:t>
        </m:r>
        <m:r>
          <m:rPr>
            <m:sty m:val="p"/>
          </m:rPr>
          <m:t>,</m:t>
        </m:r>
        <m:r>
          <m:t>5</m:t>
        </m:r>
        <m:r>
          <m:t> </m:t>
        </m:r>
        <m:r>
          <m:rPr>
            <m:sty m:val="p"/>
          </m:rPr>
          <m:t>%</m:t>
        </m:r>
      </m:oMath>
      <w:r>
        <w:t xml:space="preserve">, en torno al 2 % anual.</w:t>
      </w:r>
    </w:p>
    <w:bookmarkEnd w:id="229"/>
    <w:bookmarkEnd w:id="230"/>
    <w:bookmarkStart w:id="235" w:name="anexo_calc_precios"/>
    <w:p>
      <w:pPr>
        <w:pStyle w:val="Heading2"/>
      </w:pPr>
      <w:r>
        <w:t xml:space="preserve">C.3. Precios y tipos de interés</w:t>
      </w:r>
    </w:p>
    <w:bookmarkStart w:id="231" w:name="deflactor_del_pib"/>
    <w:p>
      <w:pPr>
        <w:pStyle w:val="Heading4"/>
      </w:pPr>
      <w:r>
        <w:t xml:space="preserve">Deflactor del PIB</w:t>
      </w:r>
    </w:p>
    <w:p>
      <w:pPr>
        <w:numPr>
          <w:ilvl w:val="0"/>
          <w:numId w:val="1145"/>
        </w:numPr>
      </w:pPr>
      <w:r>
        <w:t xml:space="preserve">Es el cociente entre el PIB a precios corrientes y el PIB en volumen; su tasa de variación es, aproximadamente, la diferencia de las tasas:</w:t>
      </w:r>
    </w:p>
    <w:p>
      <w:pPr>
        <w:pStyle w:val="Funcionclave"/>
        <w:keepLines/>
      </w:pPr>
      <m:oMathPara>
        <m:oMathParaPr>
          <m:jc m:val="center"/>
        </m:oMathParaPr>
        <m:oMath>
          <m:sSub>
            <m:e>
              <m:r>
                <m:rPr>
                  <m:nor/>
                  <m:sty m:val="p"/>
                </m:rPr>
                <m:t>Deflactor</m:t>
              </m:r>
            </m:e>
            <m:sub>
              <m:r>
                <m:t>t</m:t>
              </m:r>
            </m:sub>
          </m:sSub>
          <m:r>
            <m:rPr>
              <m:sty m:val="p"/>
            </m:rPr>
            <m:t>=</m:t>
          </m:r>
          <m:f>
            <m:fPr>
              <m:type m:val="bar"/>
            </m:fPr>
            <m:num>
              <m:sSub>
                <m:e>
                  <m:r>
                    <m:rPr>
                      <m:nor/>
                      <m:sty m:val="p"/>
                    </m:rPr>
                    <m:t>PIB nominal</m:t>
                  </m:r>
                </m:e>
                <m:sub>
                  <m:r>
                    <m:t>t</m:t>
                  </m:r>
                </m:sub>
              </m:sSub>
            </m:num>
            <m:den>
              <m:sSub>
                <m:e>
                  <m:r>
                    <m:rPr>
                      <m:nor/>
                      <m:sty m:val="p"/>
                    </m:rPr>
                    <m:t>PIB real</m:t>
                  </m:r>
                </m:e>
                <m:sub>
                  <m:r>
                    <m:t>t</m:t>
                  </m:r>
                </m:sub>
              </m:sSub>
            </m:den>
          </m:f>
          <m:r>
            <m:rPr>
              <m:sty m:val="p"/>
            </m:rPr>
            <m:t>×</m:t>
          </m:r>
          <m:r>
            <m:t>100</m:t>
          </m:r>
          <m:r>
            <m:t> </m:t>
          </m:r>
          <m:r>
            <m:rPr>
              <m:sty m:val="p"/>
            </m:rPr>
            <m:t>⇒</m:t>
          </m:r>
          <m:r>
            <m:t> </m:t>
          </m:r>
          <m:sSub>
            <m:e>
              <m:r>
                <m:t>γ</m:t>
              </m:r>
            </m:e>
            <m:sub>
              <m:r>
                <m:t>P</m:t>
              </m:r>
              <m:r>
                <m:rPr>
                  <m:sty m:val="p"/>
                </m:rPr>
                <m:t>,</m:t>
              </m:r>
              <m:r>
                <m:t>t</m:t>
              </m:r>
            </m:sub>
          </m:sSub>
          <m:r>
            <m:rPr>
              <m:sty m:val="p"/>
            </m:rPr>
            <m:t>≈</m:t>
          </m:r>
          <m:sSubSup>
            <m:e>
              <m:r>
                <m:t>γ</m:t>
              </m:r>
            </m:e>
            <m:sub>
              <m:r>
                <m:t>t</m:t>
              </m:r>
            </m:sub>
            <m:sup>
              <m:r>
                <m:t>N</m:t>
              </m:r>
            </m:sup>
          </m:sSubSup>
          <m:r>
            <m:rPr>
              <m:sty m:val="p"/>
            </m:rPr>
            <m:t>−</m:t>
          </m:r>
          <m:sSub>
            <m:e>
              <m:r>
                <m:t>γ</m:t>
              </m:r>
            </m:e>
            <m:sub>
              <m:r>
                <m:t>Y</m:t>
              </m:r>
              <m:r>
                <m:rPr>
                  <m:sty m:val="p"/>
                </m:rPr>
                <m:t>,</m:t>
              </m:r>
              <m:r>
                <m:t>t</m:t>
              </m:r>
            </m:sub>
          </m:sSub>
        </m:oMath>
      </m:oMathPara>
    </w:p>
    <w:p>
      <w:pPr>
        <w:numPr>
          <w:ilvl w:val="0"/>
          <w:numId w:val="1145"/>
        </w:numPr>
      </w:pPr>
      <w:r>
        <w:rPr>
          <w:i/>
          <w:iCs/>
        </w:rPr>
        <w:t xml:space="preserve">Ejemplo</w:t>
      </w:r>
      <w:r>
        <w:t xml:space="preserve">: si el PIB nominal crece un 5 % y el real un 2 %, el deflactor crece en torno a un 3 %.</w:t>
      </w:r>
    </w:p>
    <w:bookmarkEnd w:id="231"/>
    <w:bookmarkStart w:id="232" w:name="tipos_de_inter__s_reales"/>
    <w:p>
      <w:pPr>
        <w:pStyle w:val="Heading4"/>
      </w:pPr>
      <w:r>
        <w:t xml:space="preserve">Tipos de interés reales</w:t>
      </w:r>
    </w:p>
    <w:p>
      <w:pPr>
        <w:numPr>
          <w:ilvl w:val="0"/>
          <w:numId w:val="1146"/>
        </w:numPr>
      </w:pPr>
      <w:r>
        <w:t xml:space="preserve">El tipo real es el nominal menos la inflación esperada; a falta de expectativas, se usa la del periodo (diciéndolo):</w:t>
      </w:r>
    </w:p>
    <w:p>
      <w:pPr>
        <w:pStyle w:val="Funcionclave"/>
        <w:keepLines/>
      </w:pPr>
      <m:oMathPara>
        <m:oMathParaPr>
          <m:jc m:val="center"/>
        </m:oMathParaPr>
        <m:oMath>
          <m:sSubSup>
            <m:e>
              <m:r>
                <m:t>r</m:t>
              </m:r>
            </m:e>
            <m:sub>
              <m:r>
                <m:t>t</m:t>
              </m:r>
            </m:sub>
            <m:sup>
              <m:r>
                <m:t>c</m:t>
              </m:r>
              <m:r>
                <m:t>p</m:t>
              </m:r>
            </m:sup>
          </m:sSubSup>
          <m:r>
            <m:rPr>
              <m:sty m:val="p"/>
            </m:rPr>
            <m:t>≈</m:t>
          </m:r>
          <m:sSubSup>
            <m:e>
              <m:r>
                <m:t>i</m:t>
              </m:r>
            </m:e>
            <m:sub>
              <m:r>
                <m:t>t</m:t>
              </m:r>
            </m:sub>
            <m:sup>
              <m:r>
                <m:t>c</m:t>
              </m:r>
              <m:r>
                <m:t>p</m:t>
              </m:r>
            </m:sup>
          </m:sSubSup>
          <m:r>
            <m:rPr>
              <m:sty m:val="p"/>
            </m:rPr>
            <m:t>−</m:t>
          </m:r>
          <m:sSubSup>
            <m:e>
              <m:r>
                <m:t>π</m:t>
              </m:r>
            </m:e>
            <m:sub>
              <m:r>
                <m:t>t</m:t>
              </m:r>
            </m:sub>
            <m:sup>
              <m:r>
                <m:rPr>
                  <m:sty m:val="p"/>
                </m:rPr>
                <m:t>I</m:t>
              </m:r>
              <m:r>
                <m:rPr>
                  <m:sty m:val="p"/>
                </m:rPr>
                <m:t>P</m:t>
              </m:r>
              <m:r>
                <m:rPr>
                  <m:sty m:val="p"/>
                </m:rPr>
                <m:t>C</m:t>
              </m:r>
            </m:sup>
          </m:sSubSup>
          <m:r>
            <m:rPr>
              <m:sty m:val="p"/>
            </m:rPr>
            <m:t>,</m:t>
          </m:r>
          <m:r>
            <m:t>  </m:t>
          </m:r>
          <m:sSubSup>
            <m:e>
              <m:r>
                <m:t>r</m:t>
              </m:r>
            </m:e>
            <m:sub>
              <m:r>
                <m:t>t</m:t>
              </m:r>
            </m:sub>
            <m:sup>
              <m:r>
                <m:t>l</m:t>
              </m:r>
              <m:r>
                <m:t>p</m:t>
              </m:r>
            </m:sup>
          </m:sSubSup>
          <m:r>
            <m:rPr>
              <m:sty m:val="p"/>
            </m:rPr>
            <m:t>≈</m:t>
          </m:r>
          <m:sSubSup>
            <m:e>
              <m:r>
                <m:t>i</m:t>
              </m:r>
            </m:e>
            <m:sub>
              <m:r>
                <m:t>t</m:t>
              </m:r>
            </m:sub>
            <m:sup>
              <m:r>
                <m:t>l</m:t>
              </m:r>
              <m:r>
                <m:t>p</m:t>
              </m:r>
            </m:sup>
          </m:sSubSup>
          <m:r>
            <m:rPr>
              <m:sty m:val="p"/>
            </m:rPr>
            <m:t>−</m:t>
          </m:r>
          <m:sSub>
            <m:e>
              <m:r>
                <m:t>γ</m:t>
              </m:r>
            </m:e>
            <m:sub>
              <m:r>
                <m:t>P</m:t>
              </m:r>
              <m:r>
                <m:rPr>
                  <m:sty m:val="p"/>
                </m:rPr>
                <m:t>,</m:t>
              </m:r>
              <m:r>
                <m:t>t</m:t>
              </m:r>
            </m:sub>
          </m:sSub>
        </m:oMath>
      </m:oMathPara>
    </w:p>
    <w:p>
      <w:pPr>
        <w:numPr>
          <w:ilvl w:val="0"/>
          <w:numId w:val="1146"/>
        </w:numPr>
      </w:pPr>
      <w:r>
        <w:rPr>
          <w:i/>
          <w:iCs/>
        </w:rPr>
        <w:t xml:space="preserve">Términos</w:t>
      </w:r>
      <w:r>
        <w:t xml:space="preserve">: el tipo a corto se deflacta con el IPC (lo que importa para los hogares); el tipo a largo, mejor con el deflactor del PIB (lo que importa para las empresas). Las alternativas para el largo plazo están en el apartado </w:t>
      </w:r>
      <w:hyperlink w:anchor="sec_demanda">
        <w:r>
          <w:rPr>
            <w:rStyle w:val="Hyperlink"/>
          </w:rPr>
          <w:t xml:space="preserve">I.4</w:t>
        </w:r>
      </w:hyperlink>
      <w:r>
        <w:t xml:space="preserve">.</w:t>
      </w:r>
    </w:p>
    <w:p>
      <w:pPr>
        <w:numPr>
          <w:ilvl w:val="0"/>
          <w:numId w:val="1146"/>
        </w:numPr>
      </w:pPr>
      <w:r>
        <w:rPr>
          <w:i/>
          <w:iCs/>
        </w:rPr>
        <w:t xml:space="preserve">Ejemplo</w:t>
      </w:r>
      <w:r>
        <w:t xml:space="preserve">: un tipo nominal del 1 % con una inflación del 3 % da un tipo real de</w:t>
      </w:r>
      <w:r>
        <w:t xml:space="preserve"> </w:t>
      </w:r>
      <m:oMath>
        <m:r>
          <m:rPr>
            <m:sty m:val="p"/>
          </m:rPr>
          <m:t>−</m:t>
        </m:r>
        <m:r>
          <m:t>2</m:t>
        </m:r>
        <m:r>
          <m:t> </m:t>
        </m:r>
        <m:r>
          <m:rPr>
            <m:sty m:val="p"/>
          </m:rPr>
          <m:t>%</m:t>
        </m:r>
      </m:oMath>
      <w:r>
        <w:t xml:space="preserve">: política monetaria expansiva aunque el nominal sea positivo.</w:t>
      </w:r>
    </w:p>
    <w:bookmarkEnd w:id="232"/>
    <w:bookmarkStart w:id="233" w:name="salario_real"/>
    <w:p>
      <w:pPr>
        <w:pStyle w:val="Heading4"/>
      </w:pPr>
      <w:r>
        <w:t xml:space="preserve">Salario real</w:t>
      </w:r>
    </w:p>
    <w:p>
      <w:pPr>
        <w:pStyle w:val="Funcionclave"/>
        <w:keepLines/>
      </w:pPr>
      <m:oMathPara>
        <m:oMathParaPr>
          <m:jc m:val="center"/>
        </m:oMathParaPr>
        <m:oMath>
          <m:sSub>
            <m:e>
              <m:r>
                <m:t>γ</m:t>
              </m:r>
            </m:e>
            <m:sub>
              <m:r>
                <m:t>W</m:t>
              </m:r>
              <m:r>
                <m:rPr>
                  <m:sty m:val="p"/>
                </m:rPr>
                <m:t>/</m:t>
              </m:r>
              <m:r>
                <m:rPr>
                  <m:sty m:val="p"/>
                </m:rPr>
                <m:t>I</m:t>
              </m:r>
              <m:r>
                <m:rPr>
                  <m:sty m:val="p"/>
                </m:rPr>
                <m:t>P</m:t>
              </m:r>
              <m:r>
                <m:rPr>
                  <m:sty m:val="p"/>
                </m:rPr>
                <m:t>C</m:t>
              </m:r>
            </m:sub>
          </m:sSub>
          <m:r>
            <m:rPr>
              <m:sty m:val="p"/>
            </m:rPr>
            <m:t>≈</m:t>
          </m:r>
          <m:sSub>
            <m:e>
              <m:r>
                <m:t>γ</m:t>
              </m:r>
            </m:e>
            <m:sub>
              <m:r>
                <m:t>W</m:t>
              </m:r>
            </m:sub>
          </m:sSub>
          <m:r>
            <m:rPr>
              <m:sty m:val="p"/>
            </m:rPr>
            <m:t>−</m:t>
          </m:r>
          <m:sSup>
            <m:e>
              <m:r>
                <m:t>π</m:t>
              </m:r>
            </m:e>
            <m:sup>
              <m:r>
                <m:rPr>
                  <m:sty m:val="p"/>
                </m:rPr>
                <m:t>I</m:t>
              </m:r>
              <m:r>
                <m:rPr>
                  <m:sty m:val="p"/>
                </m:rPr>
                <m:t>P</m:t>
              </m:r>
              <m:r>
                <m:rPr>
                  <m:sty m:val="p"/>
                </m:rPr>
                <m:t>C</m:t>
              </m:r>
            </m:sup>
          </m:sSup>
          <m:r>
            <m:t> </m:t>
          </m:r>
          <m:d>
            <m:dPr>
              <m:begChr m:val="("/>
              <m:sepChr m:val=""/>
              <m:endChr m:val=")"/>
              <m:grow/>
            </m:dPr>
            <m:e>
              <m:r>
                <m:rPr>
                  <m:nor/>
                  <m:sty m:val="p"/>
                </m:rPr>
                <m:t>trabajador</m:t>
              </m:r>
            </m:e>
          </m:d>
          <m:r>
            <m:rPr>
              <m:sty m:val="p"/>
            </m:rPr>
            <m:t>,</m:t>
          </m:r>
          <m:r>
            <m:t>  </m:t>
          </m:r>
          <m:sSub>
            <m:e>
              <m:r>
                <m:t>γ</m:t>
              </m:r>
            </m:e>
            <m:sub>
              <m:r>
                <m:t>W</m:t>
              </m:r>
              <m:r>
                <m:rPr>
                  <m:sty m:val="p"/>
                </m:rPr>
                <m:t>/</m:t>
              </m:r>
              <m:r>
                <m:t>P</m:t>
              </m:r>
            </m:sub>
          </m:sSub>
          <m:r>
            <m:rPr>
              <m:sty m:val="p"/>
            </m:rPr>
            <m:t>≈</m:t>
          </m:r>
          <m:sSub>
            <m:e>
              <m:r>
                <m:t>γ</m:t>
              </m:r>
            </m:e>
            <m:sub>
              <m:r>
                <m:t>W</m:t>
              </m:r>
            </m:sub>
          </m:sSub>
          <m:r>
            <m:rPr>
              <m:sty m:val="p"/>
            </m:rPr>
            <m:t>−</m:t>
          </m:r>
          <m:sSub>
            <m:e>
              <m:r>
                <m:t>γ</m:t>
              </m:r>
            </m:e>
            <m:sub>
              <m:r>
                <m:t>P</m:t>
              </m:r>
            </m:sub>
          </m:sSub>
          <m:r>
            <m:t> </m:t>
          </m:r>
          <m:d>
            <m:dPr>
              <m:begChr m:val="("/>
              <m:sepChr m:val=""/>
              <m:endChr m:val=")"/>
              <m:grow/>
            </m:dPr>
            <m:e>
              <m:r>
                <m:rPr>
                  <m:nor/>
                  <m:sty m:val="p"/>
                </m:rPr>
                <m:t>empresa</m:t>
              </m:r>
            </m:e>
          </m:d>
        </m:oMath>
      </m:oMathPara>
    </w:p>
    <w:p>
      <w:pPr>
        <w:numPr>
          <w:ilvl w:val="0"/>
          <w:numId w:val="1147"/>
        </w:numPr>
      </w:pPr>
      <w:r>
        <w:t xml:space="preserve">Con el IPC interesa el poder adquisitivo del trabajador; con el deflactor, el coste para la empresa.</w:t>
      </w:r>
    </w:p>
    <w:bookmarkEnd w:id="233"/>
    <w:bookmarkStart w:id="234" w:name="tc___ndices_y_series"/>
    <w:p>
      <w:pPr>
        <w:pStyle w:val="Heading4"/>
      </w:pPr>
      <w:r>
        <w:t xml:space="preserve">Índices y series</w:t>
      </w:r>
    </w:p>
    <w:p>
      <w:pPr>
        <w:numPr>
          <w:ilvl w:val="0"/>
          <w:numId w:val="1148"/>
        </w:numPr>
      </w:pPr>
      <w:r>
        <w:rPr>
          <w:i/>
          <w:iCs/>
        </w:rPr>
        <w:t xml:space="preserve">Índice simple</w:t>
      </w:r>
      <w:r>
        <w:t xml:space="preserve">: el valor de cada periodo dividido por el del periodo base, por 100 (el periodo base vale 100). Los índices no tienen unidades, lo que facilita comparar series.</w:t>
      </w:r>
    </w:p>
    <w:p>
      <w:pPr>
        <w:numPr>
          <w:ilvl w:val="0"/>
          <w:numId w:val="1148"/>
        </w:numPr>
      </w:pPr>
      <w:r>
        <w:rPr>
          <w:i/>
          <w:iCs/>
        </w:rPr>
        <w:t xml:space="preserve">Cambio de base</w:t>
      </w:r>
      <w:r>
        <w:t xml:space="preserve">: con una regla de 3, sin necesidad de la serie original (exacta solo en los índices de base fija; los encadenados se reescalan).</w:t>
      </w:r>
    </w:p>
    <w:p>
      <w:pPr>
        <w:numPr>
          <w:ilvl w:val="0"/>
          <w:numId w:val="1148"/>
        </w:numPr>
      </w:pPr>
      <w:r>
        <w:rPr>
          <w:i/>
          <w:iCs/>
        </w:rPr>
        <w:t xml:space="preserve">Índices encadenados</w:t>
      </w:r>
      <w:r>
        <w:t xml:space="preserve">: la base es móvil (cada periodo se compara con el anterior).</w:t>
      </w:r>
    </w:p>
    <w:p>
      <w:pPr>
        <w:numPr>
          <w:ilvl w:val="0"/>
          <w:numId w:val="1148"/>
        </w:numPr>
      </w:pPr>
      <w:r>
        <w:t xml:space="preserve">Si el dato viene en porcentaje, no es el índice sino su tasa de variación</w:t>
      </w:r>
      <w:r>
        <w:t xml:space="preserve"> </w:t>
      </w:r>
      <w:hyperlink r:id="rId34">
        <w:r>
          <w:rPr>
            <w:rStyle w:val="Referenciaatema"/>
          </w:rPr>
          <w:t xml:space="preserve">[ver tema 4.A.1]</w:t>
        </w:r>
      </w:hyperlink>
      <w:r>
        <w:t xml:space="preserve">.</w:t>
      </w:r>
    </w:p>
    <w:bookmarkEnd w:id="234"/>
    <w:bookmarkEnd w:id="235"/>
    <w:bookmarkStart w:id="238" w:name="anexo_calc_trabajo"/>
    <w:p>
      <w:pPr>
        <w:pStyle w:val="Heading2"/>
      </w:pPr>
      <w:r>
        <w:t xml:space="preserve">C.4. Trabajo y costes</w:t>
      </w:r>
    </w:p>
    <w:bookmarkStart w:id="237" w:name="productividad_clu_y_margen"/>
    <w:p>
      <w:pPr>
        <w:pStyle w:val="Heading4"/>
      </w:pPr>
      <w:r>
        <w:t xml:space="preserve">Productividad, CLU y margen</w:t>
      </w:r>
    </w:p>
    <w:p>
      <w:pPr>
        <w:numPr>
          <w:ilvl w:val="0"/>
          <w:numId w:val="1149"/>
        </w:numPr>
      </w:pPr>
      <w:r>
        <w:t xml:space="preserve">Las 4 fórmulas encadenadas:</w:t>
      </w:r>
    </w:p>
    <w:p>
      <w:pPr>
        <w:pStyle w:val="Funcionclave"/>
        <w:keepLines/>
      </w:pPr>
      <m:oMathPara>
        <m:oMathParaPr>
          <m:jc m:val="center"/>
        </m:oMathParaPr>
        <m:oMath>
          <m:m>
            <m:mPr>
              <m:baseJc m:val="center"/>
              <m:plcHide m:val="on"/>
              <m:mcs>
                <m:mc>
                  <m:mcPr>
                    <m:mcJc m:val="center"/>
                    <m:count m:val="1"/>
                  </m:mcPr>
                </m:mc>
              </m:mcs>
            </m:mPr>
            <m:mr>
              <m:e>
                <m:sSub>
                  <m:e>
                    <m:r>
                      <m:t>γ</m:t>
                    </m:r>
                  </m:e>
                  <m:sub>
                    <m:r>
                      <m:rPr>
                        <m:sty m:val="p"/>
                      </m:rPr>
                      <m:t>P</m:t>
                    </m:r>
                    <m:r>
                      <m:rPr>
                        <m:sty m:val="p"/>
                      </m:rPr>
                      <m:t>A</m:t>
                    </m:r>
                    <m:r>
                      <m:rPr>
                        <m:sty m:val="p"/>
                      </m:rPr>
                      <m:t>T</m:t>
                    </m:r>
                  </m:sub>
                </m:sSub>
                <m:r>
                  <m:rPr>
                    <m:sty m:val="p"/>
                  </m:rPr>
                  <m:t>=</m:t>
                </m:r>
                <m:sSub>
                  <m:e>
                    <m:r>
                      <m:t>γ</m:t>
                    </m:r>
                  </m:e>
                  <m:sub>
                    <m:r>
                      <m:t>Y</m:t>
                    </m:r>
                  </m:sub>
                </m:sSub>
                <m:r>
                  <m:rPr>
                    <m:sty m:val="p"/>
                  </m:rPr>
                  <m:t>−</m:t>
                </m:r>
                <m:sSub>
                  <m:e>
                    <m:r>
                      <m:t>γ</m:t>
                    </m:r>
                  </m:e>
                  <m:sub>
                    <m:r>
                      <m:t>L</m:t>
                    </m:r>
                  </m:sub>
                </m:sSub>
                <m:r>
                  <m:t> </m:t>
                </m:r>
                <m:r>
                  <m:rPr>
                    <m:sty m:val="p"/>
                  </m:rPr>
                  <m:t>→</m:t>
                </m:r>
                <m:r>
                  <m:t> </m:t>
                </m:r>
                <m:sSub>
                  <m:e>
                    <m:r>
                      <m:t>γ</m:t>
                    </m:r>
                  </m:e>
                  <m:sub>
                    <m:r>
                      <m:rPr>
                        <m:sty m:val="p"/>
                      </m:rPr>
                      <m:t>C</m:t>
                    </m:r>
                    <m:r>
                      <m:rPr>
                        <m:sty m:val="p"/>
                      </m:rPr>
                      <m:t>L</m:t>
                    </m:r>
                    <m:r>
                      <m:rPr>
                        <m:sty m:val="p"/>
                      </m:rPr>
                      <m:t>U</m:t>
                    </m:r>
                  </m:sub>
                </m:sSub>
                <m:r>
                  <m:rPr>
                    <m:sty m:val="p"/>
                  </m:rPr>
                  <m:t>=</m:t>
                </m:r>
                <m:sSub>
                  <m:e>
                    <m:r>
                      <m:t>γ</m:t>
                    </m:r>
                  </m:e>
                  <m:sub>
                    <m:r>
                      <m:t>W</m:t>
                    </m:r>
                  </m:sub>
                </m:sSub>
                <m:r>
                  <m:rPr>
                    <m:sty m:val="p"/>
                  </m:rPr>
                  <m:t>−</m:t>
                </m:r>
                <m:sSub>
                  <m:e>
                    <m:r>
                      <m:t>γ</m:t>
                    </m:r>
                  </m:e>
                  <m:sub>
                    <m:r>
                      <m:rPr>
                        <m:sty m:val="p"/>
                      </m:rPr>
                      <m:t>P</m:t>
                    </m:r>
                    <m:r>
                      <m:rPr>
                        <m:sty m:val="p"/>
                      </m:rPr>
                      <m:t>A</m:t>
                    </m:r>
                    <m:r>
                      <m:rPr>
                        <m:sty m:val="p"/>
                      </m:rPr>
                      <m:t>T</m:t>
                    </m:r>
                  </m:sub>
                </m:sSub>
              </m:e>
            </m:mr>
            <m:mr>
              <m:e>
                <m:r>
                  <m:rPr>
                    <m:sty m:val="p"/>
                  </m:rPr>
                  <m:t>→</m:t>
                </m:r>
                <m:r>
                  <m:t> </m:t>
                </m:r>
                <m:sSub>
                  <m:e>
                    <m:r>
                      <m:t>γ</m:t>
                    </m:r>
                  </m:e>
                  <m:sub>
                    <m:r>
                      <m:rPr>
                        <m:sty m:val="p"/>
                      </m:rPr>
                      <m:t>C</m:t>
                    </m:r>
                    <m:r>
                      <m:rPr>
                        <m:sty m:val="p"/>
                      </m:rPr>
                      <m:t>L</m:t>
                    </m:r>
                    <m:r>
                      <m:rPr>
                        <m:sty m:val="p"/>
                      </m:rPr>
                      <m:t>U</m:t>
                    </m:r>
                    <m:r>
                      <m:rPr>
                        <m:sty m:val="p"/>
                      </m:rPr>
                      <m:t>/</m:t>
                    </m:r>
                    <m:r>
                      <m:t>P</m:t>
                    </m:r>
                  </m:sub>
                </m:sSub>
                <m:r>
                  <m:rPr>
                    <m:sty m:val="p"/>
                  </m:rPr>
                  <m:t>=</m:t>
                </m:r>
                <m:sSub>
                  <m:e>
                    <m:r>
                      <m:t>γ</m:t>
                    </m:r>
                  </m:e>
                  <m:sub>
                    <m:r>
                      <m:rPr>
                        <m:sty m:val="p"/>
                      </m:rPr>
                      <m:t>C</m:t>
                    </m:r>
                    <m:r>
                      <m:rPr>
                        <m:sty m:val="p"/>
                      </m:rPr>
                      <m:t>L</m:t>
                    </m:r>
                    <m:r>
                      <m:rPr>
                        <m:sty m:val="p"/>
                      </m:rPr>
                      <m:t>U</m:t>
                    </m:r>
                  </m:sub>
                </m:sSub>
                <m:r>
                  <m:rPr>
                    <m:sty m:val="p"/>
                  </m:rPr>
                  <m:t>−</m:t>
                </m:r>
                <m:sSub>
                  <m:e>
                    <m:r>
                      <m:t>γ</m:t>
                    </m:r>
                  </m:e>
                  <m:sub>
                    <m:r>
                      <m:t>P</m:t>
                    </m:r>
                  </m:sub>
                </m:sSub>
                <m:r>
                  <m:t> </m:t>
                </m:r>
                <m:r>
                  <m:rPr>
                    <m:sty m:val="p"/>
                  </m:rPr>
                  <m:t>→</m:t>
                </m:r>
                <m:r>
                  <m:t> </m:t>
                </m:r>
                <m:sSub>
                  <m:e>
                    <m:r>
                      <m:t>γ</m:t>
                    </m:r>
                  </m:e>
                  <m:sub>
                    <m:r>
                      <m:t>1</m:t>
                    </m:r>
                    <m:r>
                      <m:rPr>
                        <m:sty m:val="p"/>
                      </m:rPr>
                      <m:t>+</m:t>
                    </m:r>
                    <m:r>
                      <m:t>μ</m:t>
                    </m:r>
                  </m:sub>
                </m:sSub>
                <m:r>
                  <m:rPr>
                    <m:sty m:val="p"/>
                  </m:rPr>
                  <m:t>≈</m:t>
                </m:r>
                <m:sSub>
                  <m:e>
                    <m:r>
                      <m:t>γ</m:t>
                    </m:r>
                  </m:e>
                  <m:sub>
                    <m:r>
                      <m:t>P</m:t>
                    </m:r>
                  </m:sub>
                </m:sSub>
                <m:r>
                  <m:rPr>
                    <m:sty m:val="p"/>
                  </m:rPr>
                  <m:t>−</m:t>
                </m:r>
                <m:sSub>
                  <m:e>
                    <m:r>
                      <m:t>γ</m:t>
                    </m:r>
                  </m:e>
                  <m:sub>
                    <m:r>
                      <m:rPr>
                        <m:sty m:val="p"/>
                      </m:rPr>
                      <m:t>C</m:t>
                    </m:r>
                    <m:r>
                      <m:rPr>
                        <m:sty m:val="p"/>
                      </m:rPr>
                      <m:t>L</m:t>
                    </m:r>
                    <m:r>
                      <m:rPr>
                        <m:sty m:val="p"/>
                      </m:rPr>
                      <m:t>U</m:t>
                    </m:r>
                  </m:sub>
                </m:sSub>
              </m:e>
            </m:mr>
          </m:m>
        </m:oMath>
      </m:oMathPara>
    </w:p>
    <w:p>
      <w:pPr>
        <w:numPr>
          <w:ilvl w:val="0"/>
          <w:numId w:val="1149"/>
        </w:numPr>
      </w:pPr>
      <w:r>
        <w:rPr>
          <w:i/>
          <w:iCs/>
        </w:rPr>
        <w:t xml:space="preserve">Términos</w:t>
      </w:r>
      <w:r>
        <w:t xml:space="preserve">:</w:t>
      </w:r>
      <w:r>
        <w:t xml:space="preserve"> </w:t>
      </w:r>
      <m:oMath>
        <m:r>
          <m:t>W</m:t>
        </m:r>
      </m:oMath>
      <w:r>
        <w:t xml:space="preserve">, remuneración por asalariado (si se da la remuneración total y la tasa de asalarización es 1, el salario medio);</w:t>
      </w:r>
      <w:r>
        <w:t xml:space="preserve"> </w:t>
      </w:r>
      <m:oMath>
        <m:r>
          <m:t>L</m:t>
        </m:r>
      </m:oMath>
      <w:r>
        <w:t xml:space="preserve">, empleo (o horas);</w:t>
      </w:r>
      <w:r>
        <w:t xml:space="preserve"> </w:t>
      </w:r>
      <m:oMath>
        <m:r>
          <m:t>P</m:t>
        </m:r>
      </m:oMath>
      <w:r>
        <w:t xml:space="preserve">, deflactor del PIB;</w:t>
      </w:r>
      <w:r>
        <w:t xml:space="preserve"> </w:t>
      </w:r>
      <m:oMath>
        <m:r>
          <m:t>μ</m:t>
        </m:r>
      </m:oMath>
      <w:r>
        <w:t xml:space="preserve">, margen sobre los costes laborales.</w:t>
      </w:r>
    </w:p>
    <w:p>
      <w:pPr>
        <w:numPr>
          <w:ilvl w:val="0"/>
          <w:numId w:val="1149"/>
        </w:numPr>
      </w:pPr>
      <w:r>
        <w:rPr>
          <w:i/>
          <w:iCs/>
        </w:rPr>
        <w:t xml:space="preserve">En niveles</w:t>
      </w:r>
      <w:r>
        <w:t xml:space="preserve">:</w:t>
      </w:r>
      <w:r>
        <w:t xml:space="preserve"> </w:t>
      </w:r>
      <m:oMath>
        <m:r>
          <m:rPr>
            <m:sty m:val="p"/>
          </m:rPr>
          <m:t>C</m:t>
        </m:r>
        <m:r>
          <m:rPr>
            <m:sty m:val="p"/>
          </m:rPr>
          <m:t>L</m:t>
        </m:r>
        <m:r>
          <m:rPr>
            <m:sty m:val="p"/>
          </m:rPr>
          <m:t>U</m:t>
        </m:r>
        <m:r>
          <m:rPr>
            <m:sty m:val="p"/>
          </m:rPr>
          <m:t>=</m:t>
        </m:r>
        <m:f>
          <m:fPr>
            <m:type m:val="bar"/>
          </m:fPr>
          <m:num>
            <m:r>
              <m:t>W</m:t>
            </m:r>
            <m:r>
              <m:t>L</m:t>
            </m:r>
          </m:num>
          <m:den>
            <m:r>
              <m:t>Y</m:t>
            </m:r>
          </m:den>
        </m:f>
        <m:r>
          <m:rPr>
            <m:sty m:val="p"/>
          </m:rPr>
          <m:t>=</m:t>
        </m:r>
        <m:f>
          <m:fPr>
            <m:type m:val="bar"/>
          </m:fPr>
          <m:num>
            <m:r>
              <m:t>W</m:t>
            </m:r>
          </m:num>
          <m:den>
            <m:r>
              <m:t>Y</m:t>
            </m:r>
            <m:r>
              <m:rPr>
                <m:sty m:val="p"/>
              </m:rPr>
              <m:t>/</m:t>
            </m:r>
            <m:r>
              <m:t>L</m:t>
            </m:r>
          </m:den>
        </m:f>
      </m:oMath>
      <w:r>
        <w:t xml:space="preserve"> </w:t>
      </w:r>
      <w:r>
        <w:t xml:space="preserve">(salario nominal sobre productividad); el CLU real,</w:t>
      </w:r>
      <w:r>
        <w:t xml:space="preserve"> </w:t>
      </w:r>
      <m:oMath>
        <m:f>
          <m:fPr>
            <m:type m:val="bar"/>
          </m:fPr>
          <m:num>
            <m:r>
              <m:t>W</m:t>
            </m:r>
            <m:r>
              <m:t>L</m:t>
            </m:r>
          </m:num>
          <m:den>
            <m:r>
              <m:t>P</m:t>
            </m:r>
            <m:r>
              <m:t>Y</m:t>
            </m:r>
          </m:den>
        </m:f>
      </m:oMath>
      <w:r>
        <w:t xml:space="preserve">, es la participación de la remuneración de los asalariados en el PIB.</w:t>
      </w:r>
    </w:p>
    <w:bookmarkStart w:id="236" w:name="tab_ejemplo_clu"/>
    <w:p>
      <w:pPr>
        <w:pStyle w:val="TableCaption"/>
      </w:pPr>
      <w:r>
        <w:t xml:space="preserve">Tabla 12.–</w:t>
      </w:r>
      <w:r>
        <w:t xml:space="preserve"> </w:t>
      </w:r>
      <w:r>
        <w:t xml:space="preserve">Ejemplo de cálculo de la productividad, los CLU y el margen</w:t>
      </w:r>
    </w:p>
    <w:tbl>
      <w:tblPr>
        <w:tblStyle w:val="Table"/>
        <w:tblW w:type="auto" w:w="0"/>
        <w:tblLook w:firstRow="1" w:lastRow="0" w:firstColumn="0" w:lastColumn="0" w:noHBand="0" w:noVBand="0" w:val="0020"/>
        <w:tblCaption w:val="Tabla 12.– Ejemplo de cálculo de la productividad, los CLU y el margen"/>
      </w:tblPr>
      <w:tblGrid>
        <w:gridCol w:w="2640"/>
        <w:gridCol w:w="2640"/>
        <w:gridCol w:w="2640"/>
      </w:tblGrid>
      <w:tr>
        <w:trPr>
          <w:cantSplit/>
          <w:tblHeader w:val="on"/>
        </w:trPr>
        <w:tc>
          <w:tcPr>
            <w:shd w:val="clear" w:color="auto" w:fill="DDEBF7"/>
            <w:vAlign w:val="center"/>
          </w:tcPr>
          <w:p>
            <w:pPr>
              <w:pStyle w:val="Celdatceeazulpalido"/>
              <w:keepNext/>
              <w:jc w:val="left"/>
            </w:pPr>
            <w:r>
              <w:t xml:space="preserve"> </w:t>
            </w:r>
            <w:r>
              <w:rPr>
                <w:b/>
                <w:bCs/>
              </w:rPr>
              <w:t xml:space="preserve">Qué se calcula</w:t>
            </w:r>
          </w:p>
        </w:tc>
        <w:tc>
          <w:tcPr>
            <w:shd w:val="clear" w:color="auto" w:fill="DDEBF7"/>
            <w:vAlign w:val="center"/>
          </w:tcPr>
          <w:p>
            <w:pPr>
              <w:pStyle w:val="Celdatceeazulpalido"/>
              <w:keepNext/>
              <w:jc w:val="center"/>
            </w:pPr>
            <w:r>
              <w:rPr>
                <w:b/>
                <w:bCs/>
              </w:rPr>
              <w:t xml:space="preserve">Cálculo</w:t>
            </w:r>
          </w:p>
        </w:tc>
        <w:tc>
          <w:tcPr>
            <w:shd w:val="clear" w:color="auto" w:fill="DDEBF7"/>
            <w:vAlign w:val="center"/>
          </w:tcPr>
          <w:p>
            <w:pPr>
              <w:pStyle w:val="Celdatceeazulpalido"/>
              <w:keepNext/>
              <w:jc w:val="center"/>
            </w:pPr>
            <w:r>
              <w:rPr>
                <w:b/>
                <w:bCs/>
              </w:rPr>
              <w:t xml:space="preserve">Resultado</w:t>
            </w:r>
          </w:p>
        </w:tc>
      </w:tr>
      <w:tr>
        <w:trPr>
          <w:cantSplit/>
        </w:trPr>
        <w:tc>
          <w:tcPr>
            <w:vAlign w:val="center"/>
          </w:tcPr>
          <w:p>
            <w:pPr>
              <w:pStyle w:val="Compact"/>
              <w:jc w:val="left"/>
            </w:pPr>
            <w:r>
              <w:t xml:space="preserve">Datos</w:t>
            </w:r>
          </w:p>
        </w:tc>
        <w:tc>
          <w:tcPr>
            <w:vAlign w:val="center"/>
          </w:tcPr>
          <w:p>
            <w:pPr>
              <w:pStyle w:val="Compact"/>
              <w:jc w:val="center"/>
            </w:pPr>
            <w:r>
              <w:t xml:space="preserve">PIB real</w:t>
            </w:r>
            <w:r>
              <w:t xml:space="preserve"> </w:t>
            </w:r>
            <m:oMath>
              <m:r>
                <m:rPr>
                  <m:sty m:val="p"/>
                </m:rPr>
                <m:t>+</m:t>
              </m:r>
              <m:r>
                <m:t>2</m:t>
              </m:r>
            </m:oMath>
            <w:r>
              <w:t xml:space="preserve">; empleo</w:t>
            </w:r>
            <w:r>
              <w:t xml:space="preserve"> </w:t>
            </w:r>
            <m:oMath>
              <m:r>
                <m:rPr>
                  <m:sty m:val="p"/>
                </m:rPr>
                <m:t>+</m:t>
              </m:r>
              <m:r>
                <m:t>1</m:t>
              </m:r>
              <m:r>
                <m:rPr>
                  <m:sty m:val="p"/>
                </m:rPr>
                <m:t>,</m:t>
              </m:r>
              <m:r>
                <m:t>5</m:t>
              </m:r>
            </m:oMath>
            <w:r>
              <w:t xml:space="preserve">; remuneración por asalariado</w:t>
            </w:r>
            <w:r>
              <w:t xml:space="preserve"> </w:t>
            </w:r>
            <m:oMath>
              <m:r>
                <m:rPr>
                  <m:sty m:val="p"/>
                </m:rPr>
                <m:t>+</m:t>
              </m:r>
              <m:r>
                <m:t>3</m:t>
              </m:r>
            </m:oMath>
            <w:r>
              <w:t xml:space="preserve">; deflactor</w:t>
            </w:r>
            <w:r>
              <w:t xml:space="preserve"> </w:t>
            </w:r>
            <m:oMath>
              <m:r>
                <m:rPr>
                  <m:sty m:val="p"/>
                </m:rPr>
                <m:t>+</m:t>
              </m:r>
              <m:r>
                <m:t>2</m:t>
              </m:r>
            </m:oMath>
          </w:p>
        </w:tc>
        <w:tc>
          <w:tcPr>
            <w:vAlign w:val="center"/>
          </w:tcPr>
          <w:p>
            <w:pPr>
              <w:pStyle w:val="Compact"/>
              <w:jc w:val="center"/>
            </w:pPr>
            <w:r>
              <w:t xml:space="preserve">(%)</w:t>
            </w:r>
          </w:p>
        </w:tc>
      </w:tr>
      <w:tr>
        <w:trPr>
          <w:cantSplit/>
        </w:trPr>
        <w:tc>
          <w:tcPr>
            <w:vAlign w:val="center"/>
          </w:tcPr>
          <w:p>
            <w:pPr>
              <w:pStyle w:val="Compact"/>
              <w:jc w:val="left"/>
            </w:pPr>
            <w:r>
              <w:t xml:space="preserve">Productividad aparente</w:t>
            </w:r>
          </w:p>
        </w:tc>
        <w:tc>
          <w:tcPr>
            <w:vAlign w:val="center"/>
          </w:tcPr>
          <w:p>
            <w:pPr>
              <w:pStyle w:val="Compact"/>
              <w:jc w:val="center"/>
            </w:pPr>
            <m:oMath>
              <m:r>
                <m:t>2</m:t>
              </m:r>
              <m:r>
                <m:rPr>
                  <m:sty m:val="p"/>
                </m:rPr>
                <m:t>−</m:t>
              </m:r>
              <m:r>
                <m:t>1</m:t>
              </m:r>
              <m:r>
                <m:rPr>
                  <m:sty m:val="p"/>
                </m:rPr>
                <m:t>,</m:t>
              </m:r>
              <m:r>
                <m:t>5</m:t>
              </m:r>
            </m:oMath>
          </w:p>
        </w:tc>
        <w:tc>
          <w:tcPr>
            <w:vAlign w:val="center"/>
          </w:tcPr>
          <w:p>
            <w:pPr>
              <w:pStyle w:val="Compact"/>
              <w:jc w:val="center"/>
            </w:pPr>
            <m:oMath>
              <m:r>
                <m:rPr>
                  <m:sty m:val="p"/>
                </m:rPr>
                <m:t>+</m:t>
              </m:r>
              <m:r>
                <m:t>0</m:t>
              </m:r>
              <m:r>
                <m:rPr>
                  <m:sty m:val="p"/>
                </m:rPr>
                <m:t>,</m:t>
              </m:r>
              <m:r>
                <m:t>5</m:t>
              </m:r>
              <m:r>
                <m:t> </m:t>
              </m:r>
              <m:r>
                <m:rPr>
                  <m:sty m:val="p"/>
                </m:rPr>
                <m:t>%</m:t>
              </m:r>
            </m:oMath>
          </w:p>
        </w:tc>
      </w:tr>
      <w:tr>
        <w:trPr>
          <w:cantSplit/>
        </w:trPr>
        <w:tc>
          <w:tcPr>
            <w:vAlign w:val="center"/>
          </w:tcPr>
          <w:p>
            <w:pPr>
              <w:pStyle w:val="Compact"/>
              <w:jc w:val="left"/>
            </w:pPr>
            <w:r>
              <w:t xml:space="preserve">CLU nominales</w:t>
            </w:r>
          </w:p>
        </w:tc>
        <w:tc>
          <w:tcPr>
            <w:vAlign w:val="center"/>
          </w:tcPr>
          <w:p>
            <w:pPr>
              <w:pStyle w:val="Compact"/>
              <w:jc w:val="center"/>
            </w:pPr>
            <m:oMath>
              <m:r>
                <m:t>3</m:t>
              </m:r>
              <m:r>
                <m:rPr>
                  <m:sty m:val="p"/>
                </m:rPr>
                <m:t>−</m:t>
              </m:r>
              <m:r>
                <m:t>0</m:t>
              </m:r>
              <m:r>
                <m:rPr>
                  <m:sty m:val="p"/>
                </m:rPr>
                <m:t>,</m:t>
              </m:r>
              <m:r>
                <m:t>5</m:t>
              </m:r>
            </m:oMath>
          </w:p>
        </w:tc>
        <w:tc>
          <w:tcPr>
            <w:vAlign w:val="center"/>
          </w:tcPr>
          <w:p>
            <w:pPr>
              <w:pStyle w:val="Compact"/>
              <w:jc w:val="center"/>
            </w:pPr>
            <m:oMath>
              <m:r>
                <m:rPr>
                  <m:sty m:val="p"/>
                </m:rPr>
                <m:t>+</m:t>
              </m:r>
              <m:r>
                <m:t>2</m:t>
              </m:r>
              <m:r>
                <m:rPr>
                  <m:sty m:val="p"/>
                </m:rPr>
                <m:t>,</m:t>
              </m:r>
              <m:r>
                <m:t>5</m:t>
              </m:r>
              <m:r>
                <m:t> </m:t>
              </m:r>
              <m:r>
                <m:rPr>
                  <m:sty m:val="p"/>
                </m:rPr>
                <m:t>%</m:t>
              </m:r>
            </m:oMath>
          </w:p>
        </w:tc>
      </w:tr>
      <w:tr>
        <w:trPr>
          <w:cantSplit/>
        </w:trPr>
        <w:tc>
          <w:tcPr>
            <w:vAlign w:val="center"/>
          </w:tcPr>
          <w:p>
            <w:pPr>
              <w:pStyle w:val="Compact"/>
              <w:jc w:val="left"/>
            </w:pPr>
            <w:r>
              <w:t xml:space="preserve">CLU reales</w:t>
            </w:r>
          </w:p>
        </w:tc>
        <w:tc>
          <w:tcPr>
            <w:vAlign w:val="center"/>
          </w:tcPr>
          <w:p>
            <w:pPr>
              <w:pStyle w:val="Compact"/>
              <w:jc w:val="center"/>
            </w:pPr>
            <m:oMath>
              <m:r>
                <m:t>2</m:t>
              </m:r>
              <m:r>
                <m:rPr>
                  <m:sty m:val="p"/>
                </m:rPr>
                <m:t>,</m:t>
              </m:r>
              <m:r>
                <m:t>5</m:t>
              </m:r>
              <m:r>
                <m:rPr>
                  <m:sty m:val="p"/>
                </m:rPr>
                <m:t>−</m:t>
              </m:r>
              <m:r>
                <m:t>2</m:t>
              </m:r>
            </m:oMath>
          </w:p>
        </w:tc>
        <w:tc>
          <w:tcPr>
            <w:vAlign w:val="center"/>
          </w:tcPr>
          <w:p>
            <w:pPr>
              <w:pStyle w:val="Compact"/>
              <w:jc w:val="center"/>
            </w:pPr>
            <m:oMath>
              <m:r>
                <m:rPr>
                  <m:sty m:val="p"/>
                </m:rPr>
                <m:t>+</m:t>
              </m:r>
              <m:r>
                <m:t>0</m:t>
              </m:r>
              <m:r>
                <m:rPr>
                  <m:sty m:val="p"/>
                </m:rPr>
                <m:t>,</m:t>
              </m:r>
              <m:r>
                <m:t>5</m:t>
              </m:r>
              <m:r>
                <m:t> </m:t>
              </m:r>
              <m:r>
                <m:rPr>
                  <m:sty m:val="p"/>
                </m:rPr>
                <m:t>%</m:t>
              </m:r>
            </m:oMath>
          </w:p>
        </w:tc>
      </w:tr>
      <w:tr>
        <w:trPr>
          <w:cantSplit/>
        </w:trPr>
        <w:tc>
          <w:tcPr>
            <w:shd w:val="clear" w:color="auto" w:fill="E2EFD9"/>
            <w:vAlign w:val="center"/>
          </w:tcPr>
          <w:p>
            <w:pPr>
              <w:pStyle w:val="Celdatceesalvia"/>
              <w:jc w:val="left"/>
            </w:pPr>
            <w:r>
              <w:t xml:space="preserve"> </w:t>
            </w:r>
            <w:r>
              <w:t xml:space="preserve">Margen</w:t>
            </w:r>
          </w:p>
        </w:tc>
        <w:tc>
          <w:tcPr>
            <w:shd w:val="clear" w:color="auto" w:fill="E2EFD9"/>
            <w:vAlign w:val="center"/>
          </w:tcPr>
          <w:p>
            <w:pPr>
              <w:pStyle w:val="Celdatceesalvia"/>
              <w:jc w:val="center"/>
            </w:pPr>
            <m:oMath>
              <m:r>
                <m:t>2</m:t>
              </m:r>
              <m:r>
                <m:rPr>
                  <m:sty m:val="p"/>
                </m:rPr>
                <m:t>−</m:t>
              </m:r>
              <m:r>
                <m:t>2</m:t>
              </m:r>
              <m:r>
                <m:rPr>
                  <m:sty m:val="p"/>
                </m:rPr>
                <m:t>,</m:t>
              </m:r>
              <m:r>
                <m:t>5</m:t>
              </m:r>
            </m:oMath>
          </w:p>
        </w:tc>
        <w:tc>
          <w:tcPr>
            <w:shd w:val="clear" w:color="auto" w:fill="E2EFD9"/>
            <w:vAlign w:val="center"/>
          </w:tcPr>
          <w:p>
            <w:pPr>
              <w:pStyle w:val="Celdatceesalvia"/>
              <w:jc w:val="center"/>
            </w:pPr>
            <m:oMath>
              <m:r>
                <m:rPr>
                  <m:sty m:val="p"/>
                </m:rPr>
                <m:t>−</m:t>
              </m:r>
              <m:r>
                <m:t>0</m:t>
              </m:r>
              <m:r>
                <m:rPr>
                  <m:sty m:val="p"/>
                </m:rPr>
                <m:t>,</m:t>
              </m:r>
              <m:r>
                <m:t>5</m:t>
              </m:r>
              <m:r>
                <m:t> </m:t>
              </m:r>
              <m:r>
                <m:rPr>
                  <m:sty m:val="p"/>
                </m:rPr>
                <m:t>%</m:t>
              </m:r>
            </m:oMath>
          </w:p>
        </w:tc>
      </w:tr>
    </w:tbl>
    <w:bookmarkEnd w:id="236"/>
    <w:p>
      <w:pPr>
        <w:pStyle w:val="BodyText"/>
      </w:pPr>
      <w:r>
        <w:rPr>
          <w:i/>
          <w:iCs/>
        </w:rPr>
        <w:t xml:space="preserve">Fuente: Elaboración propia. Qué hay que ver: los salarios crecen más que la productividad más la inflación, los CLU reales suben y el margen se estrecha.</w:t>
      </w:r>
    </w:p>
    <w:bookmarkEnd w:id="237"/>
    <w:bookmarkEnd w:id="238"/>
    <w:bookmarkStart w:id="242" w:name="anexo_calc_exterior"/>
    <w:p>
      <w:pPr>
        <w:pStyle w:val="Heading2"/>
      </w:pPr>
      <w:r>
        <w:t xml:space="preserve">C.5. Sector exterior</w:t>
      </w:r>
    </w:p>
    <w:bookmarkStart w:id="239" w:name="balanza_de_pagos_ahorro_e_inversi__n"/>
    <w:p>
      <w:pPr>
        <w:pStyle w:val="Heading4"/>
      </w:pPr>
      <w:r>
        <w:t xml:space="preserve">Balanza de pagos, ahorro e inversión</w:t>
      </w:r>
    </w:p>
    <w:p>
      <w:pPr>
        <w:numPr>
          <w:ilvl w:val="0"/>
          <w:numId w:val="1150"/>
        </w:numPr>
      </w:pPr>
      <w:r>
        <w:t xml:space="preserve">La identidad completa es la de la ecuación (</w:t>
      </w:r>
      <w:hyperlink w:anchor="eq_identidad_bp">
        <w:r>
          <w:rPr>
            <w:rStyle w:val="Hyperlink"/>
          </w:rPr>
          <w:t xml:space="preserve">1</w:t>
        </w:r>
      </w:hyperlink>
      <w:r>
        <w:t xml:space="preserve">). De ella salen las tasas de inversión y de ahorro nacional:</w:t>
      </w:r>
    </w:p>
    <w:p>
      <w:pPr>
        <w:pStyle w:val="Funcionclave"/>
        <w:keepLines/>
      </w:pPr>
      <m:oMathPara>
        <m:oMathParaPr>
          <m:jc m:val="center"/>
        </m:oMathParaPr>
        <m:oMath>
          <m:f>
            <m:fPr>
              <m:type m:val="bar"/>
            </m:fPr>
            <m:num>
              <m:r>
                <m:t>S</m:t>
              </m:r>
            </m:num>
            <m:den>
              <m:r>
                <m:rPr>
                  <m:sty m:val="p"/>
                </m:rPr>
                <m:t>P</m:t>
              </m:r>
              <m:r>
                <m:rPr>
                  <m:sty m:val="p"/>
                </m:rPr>
                <m:t>I</m:t>
              </m:r>
              <m:r>
                <m:rPr>
                  <m:sty m:val="p"/>
                </m:rPr>
                <m:t>B</m:t>
              </m:r>
            </m:den>
          </m:f>
          <m:r>
            <m:rPr>
              <m:sty m:val="p"/>
            </m:rPr>
            <m:t>=</m:t>
          </m:r>
          <m:f>
            <m:fPr>
              <m:type m:val="bar"/>
            </m:fPr>
            <m:num>
              <m:r>
                <m:t>I</m:t>
              </m:r>
            </m:num>
            <m:den>
              <m:r>
                <m:rPr>
                  <m:sty m:val="p"/>
                </m:rPr>
                <m:t>P</m:t>
              </m:r>
              <m:r>
                <m:rPr>
                  <m:sty m:val="p"/>
                </m:rPr>
                <m:t>I</m:t>
              </m:r>
              <m:r>
                <m:rPr>
                  <m:sty m:val="p"/>
                </m:rPr>
                <m:t>B</m:t>
              </m:r>
            </m:den>
          </m:f>
          <m:r>
            <m:rPr>
              <m:sty m:val="p"/>
            </m:rPr>
            <m:t>+</m:t>
          </m:r>
          <m:f>
            <m:fPr>
              <m:type m:val="bar"/>
            </m:fPr>
            <m:num>
              <m:r>
                <m:rPr>
                  <m:sty m:val="p"/>
                </m:rPr>
                <m:t>C</m:t>
              </m:r>
              <m:r>
                <m:rPr>
                  <m:sty m:val="p"/>
                </m:rPr>
                <m:t>C</m:t>
              </m:r>
            </m:num>
            <m:den>
              <m:r>
                <m:rPr>
                  <m:sty m:val="p"/>
                </m:rPr>
                <m:t>P</m:t>
              </m:r>
              <m:r>
                <m:rPr>
                  <m:sty m:val="p"/>
                </m:rPr>
                <m:t>I</m:t>
              </m:r>
              <m:r>
                <m:rPr>
                  <m:sty m:val="p"/>
                </m:rPr>
                <m:t>B</m:t>
              </m:r>
            </m:den>
          </m:f>
        </m:oMath>
      </m:oMathPara>
    </w:p>
    <w:p>
      <w:pPr>
        <w:numPr>
          <w:ilvl w:val="0"/>
          <w:numId w:val="1150"/>
        </w:numPr>
      </w:pPr>
      <w:r>
        <w:rPr>
          <w:i/>
          <w:iCs/>
        </w:rPr>
        <w:t xml:space="preserve">Ejemplo</w:t>
      </w:r>
      <w:r>
        <w:t xml:space="preserve">: con una tasa de inversión del 20 % y un déficit corriente del 3 % del PIB, la tasa de ahorro nacional es del 17 %.</w:t>
      </w:r>
    </w:p>
    <w:bookmarkEnd w:id="239"/>
    <w:bookmarkStart w:id="240" w:name="posici__n_de_inversi__n_internacional"/>
    <w:p>
      <w:pPr>
        <w:pStyle w:val="Heading4"/>
      </w:pPr>
      <w:r>
        <w:t xml:space="preserve">Posición de inversión internacional</w:t>
      </w:r>
    </w:p>
    <w:p>
      <w:pPr>
        <w:numPr>
          <w:ilvl w:val="0"/>
          <w:numId w:val="1151"/>
        </w:numPr>
      </w:pPr>
      <w:r>
        <w:t xml:space="preserve">La PIIN cambia por los flujos de la cuenta financiera y por las otras variaciones (precios y tipo de cambio):</w:t>
      </w:r>
    </w:p>
    <w:p>
      <w:pPr>
        <w:pStyle w:val="Funcionclave"/>
        <w:keepLines/>
      </w:pPr>
      <m:oMathPara>
        <m:oMathParaPr>
          <m:jc m:val="center"/>
        </m:oMathParaPr>
        <m:oMath>
          <m:sSub>
            <m:e>
              <m:r>
                <m:rPr>
                  <m:sty m:val="p"/>
                </m:rPr>
                <m:t>P</m:t>
              </m:r>
              <m:r>
                <m:rPr>
                  <m:sty m:val="p"/>
                </m:rPr>
                <m:t>I</m:t>
              </m:r>
              <m:r>
                <m:rPr>
                  <m:sty m:val="p"/>
                </m:rPr>
                <m:t>I</m:t>
              </m:r>
              <m:r>
                <m:rPr>
                  <m:sty m:val="p"/>
                </m:rPr>
                <m:t>N</m:t>
              </m:r>
            </m:e>
            <m:sub>
              <m:r>
                <m:t>t</m:t>
              </m:r>
            </m:sub>
          </m:sSub>
          <m:r>
            <m:rPr>
              <m:sty m:val="p"/>
            </m:rPr>
            <m:t>=</m:t>
          </m:r>
          <m:sSub>
            <m:e>
              <m:r>
                <m:rPr>
                  <m:sty m:val="p"/>
                </m:rPr>
                <m:t>P</m:t>
              </m:r>
              <m:r>
                <m:rPr>
                  <m:sty m:val="p"/>
                </m:rPr>
                <m:t>I</m:t>
              </m:r>
              <m:r>
                <m:rPr>
                  <m:sty m:val="p"/>
                </m:rPr>
                <m:t>I</m:t>
              </m:r>
              <m:r>
                <m:rPr>
                  <m:sty m:val="p"/>
                </m:rPr>
                <m:t>N</m:t>
              </m:r>
            </m:e>
            <m:sub>
              <m:r>
                <m:t>t</m:t>
              </m:r>
              <m:r>
                <m:rPr>
                  <m:sty m:val="p"/>
                </m:rPr>
                <m:t>−</m:t>
              </m:r>
              <m:r>
                <m:t>1</m:t>
              </m:r>
            </m:sub>
          </m:sSub>
          <m:r>
            <m:rPr>
              <m:sty m:val="p"/>
            </m:rPr>
            <m:t>+</m:t>
          </m:r>
          <m:sSub>
            <m:e>
              <m:r>
                <m:rPr>
                  <m:sty m:val="p"/>
                </m:rPr>
                <m:t>C</m:t>
              </m:r>
              <m:r>
                <m:rPr>
                  <m:sty m:val="p"/>
                </m:rPr>
                <m:t>F</m:t>
              </m:r>
            </m:e>
            <m:sub>
              <m:r>
                <m:t>t</m:t>
              </m:r>
            </m:sub>
          </m:sSub>
          <m:r>
            <m:rPr>
              <m:sty m:val="p"/>
            </m:rPr>
            <m:t>+</m:t>
          </m:r>
          <m:sSub>
            <m:e>
              <m:r>
                <m:rPr>
                  <m:sty m:val="p"/>
                </m:rPr>
                <m:t>O</m:t>
              </m:r>
              <m:r>
                <m:rPr>
                  <m:sty m:val="p"/>
                </m:rPr>
                <m:t>V</m:t>
              </m:r>
            </m:e>
            <m:sub>
              <m:r>
                <m:t>t</m:t>
              </m:r>
            </m:sub>
          </m:sSub>
          <m:r>
            <m:t> </m:t>
          </m:r>
          <m:r>
            <m:rPr>
              <m:sty m:val="p"/>
            </m:rPr>
            <m:t>⇒</m:t>
          </m:r>
          <m:r>
            <m:t> </m:t>
          </m:r>
          <m:sSub>
            <m:e>
              <m:r>
                <m:rPr>
                  <m:sty m:val="p"/>
                </m:rPr>
                <m:t>O</m:t>
              </m:r>
              <m:r>
                <m:rPr>
                  <m:sty m:val="p"/>
                </m:rPr>
                <m:t>V</m:t>
              </m:r>
            </m:e>
            <m:sub>
              <m:r>
                <m:t>t</m:t>
              </m:r>
            </m:sub>
          </m:sSub>
          <m:r>
            <m:rPr>
              <m:sty m:val="p"/>
            </m:rPr>
            <m:t>=</m:t>
          </m:r>
          <m:r>
            <m:t>Δ</m:t>
          </m:r>
          <m:sSub>
            <m:e>
              <m:r>
                <m:rPr>
                  <m:sty m:val="p"/>
                </m:rPr>
                <m:t>P</m:t>
              </m:r>
              <m:r>
                <m:rPr>
                  <m:sty m:val="p"/>
                </m:rPr>
                <m:t>I</m:t>
              </m:r>
              <m:r>
                <m:rPr>
                  <m:sty m:val="p"/>
                </m:rPr>
                <m:t>I</m:t>
              </m:r>
              <m:r>
                <m:rPr>
                  <m:sty m:val="p"/>
                </m:rPr>
                <m:t>N</m:t>
              </m:r>
            </m:e>
            <m:sub>
              <m:r>
                <m:t>t</m:t>
              </m:r>
            </m:sub>
          </m:sSub>
          <m:r>
            <m:rPr>
              <m:sty m:val="p"/>
            </m:rPr>
            <m:t>−</m:t>
          </m:r>
          <m:sSub>
            <m:e>
              <m:r>
                <m:rPr>
                  <m:sty m:val="p"/>
                </m:rPr>
                <m:t>C</m:t>
              </m:r>
              <m:r>
                <m:rPr>
                  <m:sty m:val="p"/>
                </m:rPr>
                <m:t>F</m:t>
              </m:r>
            </m:e>
            <m:sub>
              <m:r>
                <m:t>t</m:t>
              </m:r>
            </m:sub>
          </m:sSub>
        </m:oMath>
      </m:oMathPara>
    </w:p>
    <w:p>
      <w:pPr>
        <w:numPr>
          <w:ilvl w:val="0"/>
          <w:numId w:val="1151"/>
        </w:numPr>
      </w:pPr>
      <w:r>
        <w:t xml:space="preserve">En porcentaje del PIB hay que añadir el efecto del crecimiento nominal (ecuación (</w:t>
      </w:r>
      <w:hyperlink w:anchor="eq_dinamica_piin">
        <w:r>
          <w:rPr>
            <w:rStyle w:val="Hyperlink"/>
          </w:rPr>
          <w:t xml:space="preserve">2</w:t>
        </w:r>
      </w:hyperlink>
      <w:r>
        <w:t xml:space="preserve">)).</w:t>
      </w:r>
    </w:p>
    <w:p>
      <w:pPr>
        <w:numPr>
          <w:ilvl w:val="0"/>
          <w:numId w:val="1151"/>
        </w:numPr>
      </w:pPr>
      <w:r>
        <w:rPr>
          <w:i/>
          <w:iCs/>
        </w:rPr>
        <w:t xml:space="preserve">Ejemplo</w:t>
      </w:r>
      <w:r>
        <w:t xml:space="preserve">: si la PIIN empeora 5 puntos y la cuenta financiera es de</w:t>
      </w:r>
      <w:r>
        <w:t xml:space="preserve"> </w:t>
      </w:r>
      <m:oMath>
        <m:r>
          <m:rPr>
            <m:sty m:val="p"/>
          </m:rPr>
          <m:t>−</m:t>
        </m:r>
        <m:r>
          <m:t>2</m:t>
        </m:r>
      </m:oMath>
      <w:r>
        <w:t xml:space="preserve">, el efecto valoración es de</w:t>
      </w:r>
      <w:r>
        <w:t xml:space="preserve"> </w:t>
      </w:r>
      <m:oMath>
        <m:r>
          <m:rPr>
            <m:sty m:val="p"/>
          </m:rPr>
          <m:t>−</m:t>
        </m:r>
        <m:r>
          <m:t>3</m:t>
        </m:r>
      </m:oMath>
      <w:r>
        <w:t xml:space="preserve"> </w:t>
      </w:r>
      <w:r>
        <w:t xml:space="preserve">puntos.</w:t>
      </w:r>
    </w:p>
    <w:bookmarkEnd w:id="240"/>
    <w:bookmarkStart w:id="241" w:name="exportaciones_y_renta_exterior"/>
    <w:p>
      <w:pPr>
        <w:pStyle w:val="Heading4"/>
      </w:pPr>
      <w:r>
        <w:t xml:space="preserve">Exportaciones y renta exterior</w:t>
      </w:r>
    </w:p>
    <w:p>
      <w:pPr>
        <w:numPr>
          <w:ilvl w:val="0"/>
          <w:numId w:val="1152"/>
        </w:numPr>
      </w:pPr>
      <w:r>
        <w:t xml:space="preserve">Con competitividad constante, las exportaciones crecen con la renta del resto del mundo según su elasticidad:</w:t>
      </w:r>
    </w:p>
    <w:p>
      <w:pPr>
        <w:pStyle w:val="Funcionclave"/>
        <w:keepLines/>
      </w:pPr>
      <m:oMathPara>
        <m:oMathParaPr>
          <m:jc m:val="center"/>
        </m:oMathParaPr>
        <m:oMath>
          <m:sSub>
            <m:e>
              <m:r>
                <m:t>γ</m:t>
              </m:r>
            </m:e>
            <m:sub>
              <m:r>
                <m:t>X</m:t>
              </m:r>
            </m:sub>
          </m:sSub>
          <m:r>
            <m:rPr>
              <m:sty m:val="p"/>
            </m:rPr>
            <m:t>≈</m:t>
          </m:r>
          <m:sSub>
            <m:e>
              <m:r>
                <m:t>ε</m:t>
              </m:r>
            </m:e>
            <m:sub>
              <m:r>
                <m:t>X</m:t>
              </m:r>
              <m:r>
                <m:rPr>
                  <m:sty m:val="p"/>
                </m:rPr>
                <m:t>,</m:t>
              </m:r>
              <m:sSup>
                <m:e>
                  <m:r>
                    <m:t>Y</m:t>
                  </m:r>
                </m:e>
                <m:sup>
                  <m:r>
                    <m:rPr>
                      <m:sty m:val="p"/>
                    </m:rPr>
                    <m:t>*</m:t>
                  </m:r>
                </m:sup>
              </m:sSup>
            </m:sub>
          </m:sSub>
          <m:r>
            <m:t> </m:t>
          </m:r>
          <m:sSub>
            <m:e>
              <m:r>
                <m:t>γ</m:t>
              </m:r>
            </m:e>
            <m:sub>
              <m:sSup>
                <m:e>
                  <m:r>
                    <m:t>Y</m:t>
                  </m:r>
                </m:e>
                <m:sup>
                  <m:r>
                    <m:rPr>
                      <m:sty m:val="p"/>
                    </m:rPr>
                    <m:t>*</m:t>
                  </m:r>
                </m:sup>
              </m:sSup>
            </m:sub>
          </m:sSub>
        </m:oMath>
      </m:oMathPara>
    </w:p>
    <w:p>
      <w:pPr>
        <w:numPr>
          <w:ilvl w:val="0"/>
          <w:numId w:val="1152"/>
        </w:numPr>
      </w:pPr>
      <w:r>
        <w:rPr>
          <w:i/>
          <w:iCs/>
        </w:rPr>
        <w:t xml:space="preserve">Ejemplo</w:t>
      </w:r>
      <w:r>
        <w:t xml:space="preserve">: con una elasticidad de 1,1 y un comercio mundial que crece un 7,3 %, las exportaciones crecen en torno a un 8 %.</w:t>
      </w:r>
    </w:p>
    <w:bookmarkEnd w:id="241"/>
    <w:bookmarkEnd w:id="242"/>
    <w:bookmarkStart w:id="245" w:name="anexo_calc_fiscal"/>
    <w:p>
      <w:pPr>
        <w:pStyle w:val="Heading2"/>
      </w:pPr>
      <w:r>
        <w:t xml:space="preserve">C.6. Cuentas públicas</w:t>
      </w:r>
    </w:p>
    <w:bookmarkStart w:id="243" w:name="saldos_y_esfuerzo_fiscal"/>
    <w:p>
      <w:pPr>
        <w:pStyle w:val="Heading4"/>
      </w:pPr>
      <w:r>
        <w:t xml:space="preserve">Saldos y esfuerzo fiscal</w:t>
      </w:r>
    </w:p>
    <w:p>
      <w:pPr>
        <w:numPr>
          <w:ilvl w:val="0"/>
          <w:numId w:val="1153"/>
        </w:numPr>
      </w:pPr>
      <w:r>
        <w:t xml:space="preserve">Del saldo total al estructural primario, y su variación:</w:t>
      </w:r>
    </w:p>
    <w:p>
      <w:pPr>
        <w:pStyle w:val="Funcionclave"/>
        <w:keepLines/>
      </w:pPr>
      <m:oMathPara>
        <m:oMathParaPr>
          <m:jc m:val="center"/>
        </m:oMathParaPr>
        <m:oMath>
          <m:sSup>
            <m:e>
              <m:r>
                <m:t>b</m:t>
              </m:r>
            </m:e>
            <m:sup>
              <m:r>
                <m:t>p</m:t>
              </m:r>
              <m:r>
                <m:t>e</m:t>
              </m:r>
            </m:sup>
          </m:sSup>
          <m:r>
            <m:rPr>
              <m:sty m:val="p"/>
            </m:rPr>
            <m:t>=</m:t>
          </m:r>
          <m:r>
            <m:t>b</m:t>
          </m:r>
          <m:r>
            <m:rPr>
              <m:sty m:val="p"/>
            </m:rPr>
            <m:t>−</m:t>
          </m:r>
          <m:r>
            <m:t>ε</m:t>
          </m:r>
          <m:r>
            <m:rPr>
              <m:sty m:val="p"/>
            </m:rPr>
            <m:t>⋅</m:t>
          </m:r>
          <m:r>
            <m:rPr>
              <m:sty m:val="p"/>
            </m:rPr>
            <m:t>O</m:t>
          </m:r>
          <m:r>
            <m:rPr>
              <m:sty m:val="p"/>
            </m:rPr>
            <m:t>G</m:t>
          </m:r>
          <m:r>
            <m:rPr>
              <m:sty m:val="p"/>
            </m:rPr>
            <m:t>−</m:t>
          </m:r>
          <m:r>
            <m:rPr>
              <m:nor/>
              <m:sty m:val="p"/>
            </m:rPr>
            <m:t>medidas puntuales</m:t>
          </m:r>
          <m:r>
            <m:rPr>
              <m:sty m:val="p"/>
            </m:rPr>
            <m:t>+</m:t>
          </m:r>
          <m:r>
            <m:rPr>
              <m:nor/>
              <m:sty m:val="p"/>
            </m:rPr>
            <m:t>intereses</m:t>
          </m:r>
          <m:r>
            <m:rPr>
              <m:sty m:val="p"/>
            </m:rPr>
            <m:t>,</m:t>
          </m:r>
          <m:r>
            <m:t>  </m:t>
          </m:r>
          <m:sSub>
            <m:e>
              <m:r>
                <m:rPr>
                  <m:nor/>
                  <m:sty m:val="p"/>
                </m:rPr>
                <m:t>esfuerzo</m:t>
              </m:r>
            </m:e>
            <m:sub>
              <m:r>
                <m:t>t</m:t>
              </m:r>
            </m:sub>
          </m:sSub>
          <m:r>
            <m:rPr>
              <m:sty m:val="p"/>
            </m:rPr>
            <m:t>=</m:t>
          </m:r>
          <m:sSubSup>
            <m:e>
              <m:r>
                <m:t>b</m:t>
              </m:r>
            </m:e>
            <m:sub>
              <m:r>
                <m:t>t</m:t>
              </m:r>
            </m:sub>
            <m:sup>
              <m:r>
                <m:t>p</m:t>
              </m:r>
              <m:r>
                <m:t>e</m:t>
              </m:r>
            </m:sup>
          </m:sSubSup>
          <m:r>
            <m:rPr>
              <m:sty m:val="p"/>
            </m:rPr>
            <m:t>−</m:t>
          </m:r>
          <m:sSubSup>
            <m:e>
              <m:r>
                <m:t>b</m:t>
              </m:r>
            </m:e>
            <m:sub>
              <m:r>
                <m:t>t</m:t>
              </m:r>
              <m:r>
                <m:rPr>
                  <m:sty m:val="p"/>
                </m:rPr>
                <m:t>−</m:t>
              </m:r>
              <m:r>
                <m:t>1</m:t>
              </m:r>
            </m:sub>
            <m:sup>
              <m:r>
                <m:t>p</m:t>
              </m:r>
              <m:r>
                <m:t>e</m:t>
              </m:r>
            </m:sup>
          </m:sSubSup>
        </m:oMath>
      </m:oMathPara>
    </w:p>
    <w:p>
      <w:pPr>
        <w:numPr>
          <w:ilvl w:val="0"/>
          <w:numId w:val="1153"/>
        </w:numPr>
      </w:pPr>
      <w:r>
        <w:rPr>
          <w:i/>
          <w:iCs/>
        </w:rPr>
        <w:t xml:space="preserve">Términos</w:t>
      </w:r>
      <w:r>
        <w:t xml:space="preserve">:</w:t>
      </w:r>
      <w:r>
        <w:t xml:space="preserve"> </w:t>
      </w:r>
      <m:oMath>
        <m:r>
          <m:t>ε</m:t>
        </m:r>
      </m:oMath>
      <w:r>
        <w:t xml:space="preserve">, semielasticidad del saldo a la brecha (0,5-0,6 en la UE); las medidas puntuales se restan con su signo; los intereses se suman porque el saldo primario los excluye.</w:t>
      </w:r>
    </w:p>
    <w:p>
      <w:pPr>
        <w:numPr>
          <w:ilvl w:val="0"/>
          <w:numId w:val="1153"/>
        </w:numPr>
      </w:pPr>
      <w:r>
        <w:rPr>
          <w:i/>
          <w:iCs/>
        </w:rPr>
        <w:t xml:space="preserve">Ejemplo</w:t>
      </w:r>
      <w:r>
        <w:t xml:space="preserve">: un saldo de</w:t>
      </w:r>
      <w:r>
        <w:t xml:space="preserve"> </w:t>
      </w:r>
      <m:oMath>
        <m:r>
          <m:rPr>
            <m:sty m:val="p"/>
          </m:rPr>
          <m:t>−</m:t>
        </m:r>
        <m:r>
          <m:t>4</m:t>
        </m:r>
        <m:r>
          <m:t> </m:t>
        </m:r>
        <m:r>
          <m:rPr>
            <m:sty m:val="p"/>
          </m:rPr>
          <m:t>%</m:t>
        </m:r>
      </m:oMath>
      <w:r>
        <w:t xml:space="preserve"> </w:t>
      </w:r>
      <w:r>
        <w:t xml:space="preserve">con una brecha de</w:t>
      </w:r>
      <w:r>
        <w:t xml:space="preserve"> </w:t>
      </w:r>
      <m:oMath>
        <m:r>
          <m:rPr>
            <m:sty m:val="p"/>
          </m:rPr>
          <m:t>−</m:t>
        </m:r>
        <m:r>
          <m:t>2</m:t>
        </m:r>
        <m:r>
          <m:t> </m:t>
        </m:r>
        <m:r>
          <m:rPr>
            <m:sty m:val="p"/>
          </m:rPr>
          <m:t>%</m:t>
        </m:r>
      </m:oMath>
      <w:r>
        <w:t xml:space="preserve"> </w:t>
      </w:r>
      <w:r>
        <w:t xml:space="preserve">(</w:t>
      </w:r>
      <m:oMath>
        <m:r>
          <m:t>ε</m:t>
        </m:r>
        <m:r>
          <m:rPr>
            <m:sty m:val="p"/>
          </m:rPr>
          <m:t>=</m:t>
        </m:r>
        <m:r>
          <m:t>0</m:t>
        </m:r>
        <m:r>
          <m:rPr>
            <m:sty m:val="p"/>
          </m:rPr>
          <m:t>,</m:t>
        </m:r>
        <m:r>
          <m:t>5</m:t>
        </m:r>
      </m:oMath>
      <w:r>
        <w:t xml:space="preserve">) e intereses del 2 % da</w:t>
      </w:r>
      <w:r>
        <w:t xml:space="preserve"> </w:t>
      </w:r>
      <m:oMath>
        <m:sSup>
          <m:e>
            <m:r>
              <m:t>b</m:t>
            </m:r>
          </m:e>
          <m:sup>
            <m:r>
              <m:t>p</m:t>
            </m:r>
            <m:r>
              <m:t>e</m:t>
            </m:r>
          </m:sup>
        </m:sSup>
        <m:r>
          <m:rPr>
            <m:sty m:val="p"/>
          </m:rPr>
          <m:t>=</m:t>
        </m:r>
        <m:r>
          <m:rPr>
            <m:sty m:val="p"/>
          </m:rPr>
          <m:t>−</m:t>
        </m:r>
        <m:r>
          <m:t>4</m:t>
        </m:r>
        <m:r>
          <m:rPr>
            <m:sty m:val="p"/>
          </m:rPr>
          <m:t>+</m:t>
        </m:r>
        <m:r>
          <m:t>1</m:t>
        </m:r>
        <m:r>
          <m:rPr>
            <m:sty m:val="p"/>
          </m:rPr>
          <m:t>+</m:t>
        </m:r>
        <m:r>
          <m:t>2</m:t>
        </m:r>
        <m:r>
          <m:rPr>
            <m:sty m:val="p"/>
          </m:rPr>
          <m:t>=</m:t>
        </m:r>
        <m:r>
          <m:rPr>
            <m:sty m:val="p"/>
          </m:rPr>
          <m:t>−</m:t>
        </m:r>
        <m:r>
          <m:t>1</m:t>
        </m:r>
        <m:r>
          <m:t> </m:t>
        </m:r>
        <m:r>
          <m:rPr>
            <m:sty m:val="p"/>
          </m:rPr>
          <m:t>%</m:t>
        </m:r>
      </m:oMath>
      <w:r>
        <w:t xml:space="preserve">; si el año anterior era</w:t>
      </w:r>
      <w:r>
        <w:t xml:space="preserve"> </w:t>
      </w:r>
      <m:oMath>
        <m:r>
          <m:rPr>
            <m:sty m:val="p"/>
          </m:rPr>
          <m:t>−</m:t>
        </m:r>
        <m:r>
          <m:t>2</m:t>
        </m:r>
        <m:r>
          <m:t> </m:t>
        </m:r>
        <m:r>
          <m:rPr>
            <m:sty m:val="p"/>
          </m:rPr>
          <m:t>%</m:t>
        </m:r>
      </m:oMath>
      <w:r>
        <w:t xml:space="preserve">, el esfuerzo es de</w:t>
      </w:r>
      <w:r>
        <w:t xml:space="preserve"> </w:t>
      </w:r>
      <m:oMath>
        <m:r>
          <m:rPr>
            <m:sty m:val="p"/>
          </m:rPr>
          <m:t>+</m:t>
        </m:r>
        <m:r>
          <m:t>1</m:t>
        </m:r>
      </m:oMath>
      <w:r>
        <w:t xml:space="preserve"> </w:t>
      </w:r>
      <w:r>
        <w:t xml:space="preserve">punto (contractivo).</w:t>
      </w:r>
    </w:p>
    <w:p>
      <w:pPr>
        <w:numPr>
          <w:ilvl w:val="0"/>
          <w:numId w:val="1153"/>
        </w:numPr>
      </w:pPr>
      <w:r>
        <w:rPr>
          <w:i/>
          <w:iCs/>
        </w:rPr>
        <w:t xml:space="preserve">Estabilizadores automáticos</w:t>
      </w:r>
      <w:r>
        <w:t xml:space="preserve">:</w:t>
      </w:r>
      <w:r>
        <w:t xml:space="preserve"> </w:t>
      </w:r>
      <m:oMath>
        <m:r>
          <m:t>b</m:t>
        </m:r>
        <m:r>
          <m:rPr>
            <m:sty m:val="p"/>
          </m:rPr>
          <m:t>−</m:t>
        </m:r>
        <m:sSup>
          <m:e>
            <m:r>
              <m:t>b</m:t>
            </m:r>
          </m:e>
          <m:sup>
            <m:r>
              <m:t>c</m:t>
            </m:r>
            <m:r>
              <m:t>a</m:t>
            </m:r>
          </m:sup>
        </m:sSup>
        <m:r>
          <m:rPr>
            <m:sty m:val="p"/>
          </m:rPr>
          <m:t>=</m:t>
        </m:r>
        <m:r>
          <m:t>ε</m:t>
        </m:r>
        <m:r>
          <m:rPr>
            <m:sty m:val="p"/>
          </m:rPr>
          <m:t>⋅</m:t>
        </m:r>
        <m:r>
          <m:rPr>
            <m:sty m:val="p"/>
          </m:rPr>
          <m:t>O</m:t>
        </m:r>
        <m:r>
          <m:rPr>
            <m:sty m:val="p"/>
          </m:rPr>
          <m:t>G</m:t>
        </m:r>
      </m:oMath>
      <w:r>
        <w:t xml:space="preserve"> </w:t>
      </w:r>
      <w:r>
        <w:t xml:space="preserve">mide cuánto del saldo explica el ciclo.</w:t>
      </w:r>
    </w:p>
    <w:bookmarkEnd w:id="243"/>
    <w:bookmarkStart w:id="244" w:name="saldo_primario_que_estabiliza_la_deuda"/>
    <w:p>
      <w:pPr>
        <w:pStyle w:val="Heading4"/>
      </w:pPr>
      <w:r>
        <w:t xml:space="preserve">Saldo primario que estabiliza la deuda</w:t>
      </w:r>
    </w:p>
    <w:p>
      <w:pPr>
        <w:pStyle w:val="Funcionclave"/>
        <w:keepLines/>
      </w:pPr>
      <m:oMathPara>
        <m:oMathParaPr>
          <m:jc m:val="center"/>
        </m:oMathParaPr>
        <m:oMath>
          <m:r>
            <m:t>τ</m:t>
          </m:r>
          <m:r>
            <m:rPr>
              <m:sty m:val="p"/>
            </m:rPr>
            <m:t>−</m:t>
          </m:r>
          <m:r>
            <m:t>g</m:t>
          </m:r>
          <m:r>
            <m:rPr>
              <m:sty m:val="p"/>
            </m:rPr>
            <m:t>=</m:t>
          </m:r>
          <m:f>
            <m:fPr>
              <m:type m:val="bar"/>
            </m:fPr>
            <m:num>
              <m:r>
                <m:t>i</m:t>
              </m:r>
              <m:r>
                <m:rPr>
                  <m:sty m:val="p"/>
                </m:rPr>
                <m:t>−</m:t>
              </m:r>
              <m:sSup>
                <m:e>
                  <m:r>
                    <m:t>γ</m:t>
                  </m:r>
                </m:e>
                <m:sup>
                  <m:r>
                    <m:t>N</m:t>
                  </m:r>
                </m:sup>
              </m:sSup>
            </m:num>
            <m:den>
              <m:r>
                <m:t>1</m:t>
              </m:r>
              <m:r>
                <m:rPr>
                  <m:sty m:val="p"/>
                </m:rPr>
                <m:t>+</m:t>
              </m:r>
              <m:sSup>
                <m:e>
                  <m:r>
                    <m:t>γ</m:t>
                  </m:r>
                </m:e>
                <m:sup>
                  <m:r>
                    <m:t>N</m:t>
                  </m:r>
                </m:sup>
              </m:sSup>
            </m:den>
          </m:f>
          <m:r>
            <m:t> </m:t>
          </m:r>
          <m:r>
            <m:t>d</m:t>
          </m:r>
        </m:oMath>
      </m:oMathPara>
    </w:p>
    <w:p>
      <w:pPr>
        <w:numPr>
          <w:ilvl w:val="0"/>
          <w:numId w:val="1154"/>
        </w:numPr>
      </w:pPr>
      <w:r>
        <w:rPr>
          <w:i/>
          <w:iCs/>
        </w:rPr>
        <w:t xml:space="preserve">Ejemplo</w:t>
      </w:r>
      <w:r>
        <w:t xml:space="preserve">: con una deuda del 100 % del PIB, un tipo implícito del 3 % y un crecimiento nominal del 4 %,</w:t>
      </w:r>
      <w:r>
        <w:t xml:space="preserve"> </w:t>
      </w:r>
      <m:oMath>
        <m:f>
          <m:fPr>
            <m:type m:val="bar"/>
          </m:fPr>
          <m:num>
            <m:r>
              <m:t>0</m:t>
            </m:r>
            <m:r>
              <m:rPr>
                <m:sty m:val="p"/>
              </m:rPr>
              <m:t>,</m:t>
            </m:r>
            <m:r>
              <m:t>03</m:t>
            </m:r>
            <m:r>
              <m:rPr>
                <m:sty m:val="p"/>
              </m:rPr>
              <m:t>−</m:t>
            </m:r>
            <m:r>
              <m:t>0</m:t>
            </m:r>
            <m:r>
              <m:rPr>
                <m:sty m:val="p"/>
              </m:rPr>
              <m:t>,</m:t>
            </m:r>
            <m:r>
              <m:t>04</m:t>
            </m:r>
          </m:num>
          <m:den>
            <m:r>
              <m:t>1</m:t>
            </m:r>
            <m:r>
              <m:rPr>
                <m:sty m:val="p"/>
              </m:rPr>
              <m:t>,</m:t>
            </m:r>
            <m:r>
              <m:t>04</m:t>
            </m:r>
          </m:den>
        </m:f>
        <m:r>
          <m:rPr>
            <m:sty m:val="p"/>
          </m:rPr>
          <m:t>×</m:t>
        </m:r>
        <m:r>
          <m:t>100</m:t>
        </m:r>
        <m:r>
          <m:rPr>
            <m:sty m:val="p"/>
          </m:rPr>
          <m:t>=</m:t>
        </m:r>
        <m:r>
          <m:rPr>
            <m:sty m:val="p"/>
          </m:rPr>
          <m:t>−</m:t>
        </m:r>
        <m:r>
          <m:t>0</m:t>
        </m:r>
        <m:r>
          <m:rPr>
            <m:sty m:val="p"/>
          </m:rPr>
          <m:t>,</m:t>
        </m:r>
        <m:r>
          <m:t>96</m:t>
        </m:r>
      </m:oMath>
      <w:r>
        <w:t xml:space="preserve">: la deuda se estabiliza con un déficit primario de casi 1 punto.</w:t>
      </w:r>
    </w:p>
    <w:bookmarkEnd w:id="244"/>
    <w:bookmarkEnd w:id="245"/>
    <w:bookmarkEnd w:id="246"/>
    <w:bookmarkStart w:id="275" w:name="anexo_graficos_lectura"/>
    <w:p>
      <w:pPr>
        <w:pStyle w:val="Heading1"/>
      </w:pPr>
      <w:r>
        <w:t xml:space="preserve">D. Gráficos de lectura</w:t>
      </w:r>
    </w:p>
    <w:p>
      <w:pPr>
        <w:numPr>
          <w:ilvl w:val="0"/>
          <w:numId w:val="1155"/>
        </w:numPr>
      </w:pPr>
      <w:r>
        <w:t xml:space="preserve">Ejemplos de lectura con datos recientes, para practicar el «qué hay que ver» de cada indicador: qué mide la serie, en qué fase está y qué conclusión se saca. Cada uno se cita en el cuerpo junto a su indicador.</w:t>
      </w:r>
    </w:p>
    <w:bookmarkStart w:id="250" w:name="fig_pib_comercio_mundial"/>
    <w:p>
      <w:pPr>
        <w:pStyle w:val="ImageCaption"/>
      </w:pPr>
      <w:r>
        <w:t xml:space="preserve">Gráfico 8.–</w:t>
      </w:r>
      <w:r>
        <w:t xml:space="preserve"> </w:t>
      </w:r>
      <w:r>
        <w:t xml:space="preserve">Crecimiento del PIB y del volumen de comercio mundiales</w:t>
      </w:r>
    </w:p>
    <w:p>
      <w:pPr>
        <w:pStyle w:val="CaptionedFigure"/>
      </w:pPr>
      <w:r>
        <w:drawing>
          <wp:inline>
            <wp:extent cx="4775200" cy="2735171"/>
            <wp:effectExtent b="0" l="0" r="0" t="0"/>
            <wp:docPr descr="Gráfico 8.– Crecimiento del PIB y del volumen de comercio mundiales" title="" id="248" name="Picture"/>
            <a:graphic>
              <a:graphicData uri="http://schemas.openxmlformats.org/drawingml/2006/picture">
                <pic:pic>
                  <pic:nvPicPr>
                    <pic:cNvPr descr="C:\Users\vgutierrez\Documents\src\victorgutierrezmarcos.github.io-revision\oposicion\temario\fuentes\1D01\graficos/pib-comercio-mundial.png" id="249" name="Picture"/>
                    <pic:cNvPicPr>
                      <a:picLocks noChangeArrowheads="1" noChangeAspect="1"/>
                    </pic:cNvPicPr>
                  </pic:nvPicPr>
                  <pic:blipFill>
                    <a:blip r:embed="rId247"/>
                    <a:stretch>
                      <a:fillRect/>
                    </a:stretch>
                  </pic:blipFill>
                  <pic:spPr bwMode="auto">
                    <a:xfrm>
                      <a:off x="0" y="0"/>
                      <a:ext cx="4775200" cy="2735171"/>
                    </a:xfrm>
                    <a:prstGeom prst="rect">
                      <a:avLst/>
                    </a:prstGeom>
                    <a:noFill/>
                    <a:ln w="9525">
                      <a:noFill/>
                      <a:headEnd/>
                      <a:tailEnd/>
                    </a:ln>
                  </pic:spPr>
                </pic:pic>
              </a:graphicData>
            </a:graphic>
          </wp:inline>
        </w:drawing>
      </w:r>
    </w:p>
    <w:bookmarkEnd w:id="250"/>
    <w:p>
      <w:pPr>
        <w:pStyle w:val="Piedeimagen"/>
      </w:pPr>
      <w:r>
        <w:t xml:space="preserve">Fuente:</w:t>
      </w:r>
      <w:r>
        <w:t xml:space="preserve"> </w:t>
      </w:r>
      <w:r>
        <w:rPr>
          <w:smallCaps/>
        </w:rPr>
        <w:t xml:space="preserve">Fondo Monetario Internacional</w:t>
      </w:r>
      <w:r>
        <w:t xml:space="preserve"> </w:t>
      </w:r>
      <w:r>
        <w:t xml:space="preserve">(</w:t>
      </w:r>
      <w:hyperlink w:anchor="ref_FMI2026WEO">
        <w:r>
          <w:rPr>
            <w:rStyle w:val="Hyperlink"/>
          </w:rPr>
          <w:t xml:space="preserve">2026d</w:t>
        </w:r>
      </w:hyperlink>
      <w:r>
        <w:t xml:space="preserve">)</w:t>
      </w:r>
      <w:r>
        <w:t xml:space="preserve">; 2026 y 2027, previsiones. Qué hay que ver: el comercio es más volátil que el PIB (cae un 10 % en 2009 y un 8 % en 2020); antes de 2012 crecía bastante más que el PIB y desde entonces lo hace a un ritmo parecido.</w:t>
      </w:r>
    </w:p>
    <w:bookmarkStart w:id="254" w:name="fig_consumo_renta_ahorro"/>
    <w:p>
      <w:pPr>
        <w:pStyle w:val="ImageCaption"/>
      </w:pPr>
      <w:r>
        <w:t xml:space="preserve">Gráfico 9.–</w:t>
      </w:r>
      <w:r>
        <w:t xml:space="preserve"> </w:t>
      </w:r>
      <w:r>
        <w:t xml:space="preserve">Consumo, renta disponible y tasa de ahorro de los hogares de la zona del euro</w:t>
      </w:r>
    </w:p>
    <w:p>
      <w:pPr>
        <w:pStyle w:val="CaptionedFigure"/>
      </w:pPr>
      <w:r>
        <w:drawing>
          <wp:inline>
            <wp:extent cx="4775200" cy="2351686"/>
            <wp:effectExtent b="0" l="0" r="0" t="0"/>
            <wp:docPr descr="Gráfico 9.– Consumo, renta disponible y tasa de ahorro de los hogares de la zona del euro" title="" id="252" name="Picture"/>
            <a:graphic>
              <a:graphicData uri="http://schemas.openxmlformats.org/drawingml/2006/picture">
                <pic:pic>
                  <pic:nvPicPr>
                    <pic:cNvPr descr="C:\Users\vgutierrez\Documents\src\victorgutierrezmarcos.github.io-revision\oposicion\temario\fuentes\1D01\graficos/consumo-renta-ahorro-zona-euro.png" id="253" name="Picture"/>
                    <pic:cNvPicPr>
                      <a:picLocks noChangeArrowheads="1" noChangeAspect="1"/>
                    </pic:cNvPicPr>
                  </pic:nvPicPr>
                  <pic:blipFill>
                    <a:blip r:embed="rId251"/>
                    <a:stretch>
                      <a:fillRect/>
                    </a:stretch>
                  </pic:blipFill>
                  <pic:spPr bwMode="auto">
                    <a:xfrm>
                      <a:off x="0" y="0"/>
                      <a:ext cx="4775200" cy="2351686"/>
                    </a:xfrm>
                    <a:prstGeom prst="rect">
                      <a:avLst/>
                    </a:prstGeom>
                    <a:noFill/>
                    <a:ln w="9525">
                      <a:noFill/>
                      <a:headEnd/>
                      <a:tailEnd/>
                    </a:ln>
                  </pic:spPr>
                </pic:pic>
              </a:graphicData>
            </a:graphic>
          </wp:inline>
        </w:drawing>
      </w:r>
    </w:p>
    <w:bookmarkEnd w:id="254"/>
    <w:p>
      <w:pPr>
        <w:pStyle w:val="Piedeimagen"/>
      </w:pPr>
      <w:r>
        <w:t xml:space="preserve">Fuente:</w:t>
      </w:r>
      <w:r>
        <w:t xml:space="preserve"> </w:t>
      </w:r>
      <w:r>
        <w:rPr>
          <w:smallCaps/>
        </w:rPr>
        <w:t xml:space="preserve">Eurostat</w:t>
      </w:r>
      <w:r>
        <w:t xml:space="preserve"> </w:t>
      </w:r>
      <w:r>
        <w:t xml:space="preserve">(</w:t>
      </w:r>
      <w:hyperlink w:anchor="ref_Eurostat2026nama10gdp">
        <w:r>
          <w:rPr>
            <w:rStyle w:val="Hyperlink"/>
          </w:rPr>
          <w:t xml:space="preserve">2026e</w:t>
        </w:r>
      </w:hyperlink>
      <w:r>
        <w:t xml:space="preserve">)</w:t>
      </w:r>
      <w:r>
        <w:t xml:space="preserve">; elaboración propia de la renta disponible real. Qué hay que ver: en 2020 la renta disponible apenas cae (</w:t>
      </w:r>
      <m:oMath>
        <m:r>
          <m:rPr>
            <m:sty m:val="p"/>
          </m:rPr>
          <m:t>−</m:t>
        </m:r>
        <m:r>
          <m:t>0</m:t>
        </m:r>
        <m:r>
          <m:rPr>
            <m:sty m:val="p"/>
          </m:rPr>
          <m:t>,</m:t>
        </m:r>
        <m:r>
          <m:t>3</m:t>
        </m:r>
      </m:oMath>
      <w:r>
        <w:t xml:space="preserve"> %) y el consumo se desploma (</w:t>
      </w:r>
      <m:oMath>
        <m:r>
          <m:rPr>
            <m:sty m:val="p"/>
          </m:rPr>
          <m:t>−</m:t>
        </m:r>
        <m:r>
          <m:t>7</m:t>
        </m:r>
        <m:r>
          <m:rPr>
            <m:sty m:val="p"/>
          </m:rPr>
          <m:t>,</m:t>
        </m:r>
        <m:r>
          <m:t>7</m:t>
        </m:r>
      </m:oMath>
      <w:r>
        <w:t xml:space="preserve"> %): la tasa de ahorro sube al 19 % (ahorro forzoso y por precaución) y se gasta en 2021-2022. Desde 2023 el ahorro sigue alto (en torno al 15 %) y el consumo crece menos que la renta.</w:t>
      </w:r>
    </w:p>
    <w:bookmarkStart w:id="258" w:name="fig_empleo_horas"/>
    <w:p>
      <w:pPr>
        <w:pStyle w:val="ImageCaption"/>
      </w:pPr>
      <w:r>
        <w:t xml:space="preserve">Gráfico 10.–</w:t>
      </w:r>
      <w:r>
        <w:t xml:space="preserve"> </w:t>
      </w:r>
      <w:r>
        <w:t xml:space="preserve">Zona del euro: empleo, horas trabajadas, tasa de actividad y tasa de paro</w:t>
      </w:r>
    </w:p>
    <w:p>
      <w:pPr>
        <w:pStyle w:val="CaptionedFigure"/>
      </w:pPr>
      <w:r>
        <w:drawing>
          <wp:inline>
            <wp:extent cx="5073650" cy="2320925"/>
            <wp:effectExtent b="0" l="0" r="0" t="0"/>
            <wp:docPr descr="Gráfico 10.– Zona del euro: empleo, horas trabajadas, tasa de actividad y tasa de paro" title="" id="256" name="Picture"/>
            <a:graphic>
              <a:graphicData uri="http://schemas.openxmlformats.org/drawingml/2006/picture">
                <pic:pic>
                  <pic:nvPicPr>
                    <pic:cNvPr descr="C:\Users\vgutierrez\Documents\src\victorgutierrezmarcos.github.io-revision\oposicion\temario\fuentes\1D01\graficos/empleo-horas-actividad-zona-euro.png" id="257" name="Picture"/>
                    <pic:cNvPicPr>
                      <a:picLocks noChangeArrowheads="1" noChangeAspect="1"/>
                    </pic:cNvPicPr>
                  </pic:nvPicPr>
                  <pic:blipFill>
                    <a:blip r:embed="rId255"/>
                    <a:stretch>
                      <a:fillRect/>
                    </a:stretch>
                  </pic:blipFill>
                  <pic:spPr bwMode="auto">
                    <a:xfrm>
                      <a:off x="0" y="0"/>
                      <a:ext cx="5073650" cy="2320925"/>
                    </a:xfrm>
                    <a:prstGeom prst="rect">
                      <a:avLst/>
                    </a:prstGeom>
                    <a:noFill/>
                    <a:ln w="9525">
                      <a:noFill/>
                      <a:headEnd/>
                      <a:tailEnd/>
                    </a:ln>
                  </pic:spPr>
                </pic:pic>
              </a:graphicData>
            </a:graphic>
          </wp:inline>
        </w:drawing>
      </w:r>
    </w:p>
    <w:bookmarkEnd w:id="258"/>
    <w:p>
      <w:pPr>
        <w:pStyle w:val="Piedeimagen"/>
      </w:pPr>
      <w:r>
        <w:t xml:space="preserve">Fuente:</w:t>
      </w:r>
      <w:r>
        <w:t xml:space="preserve"> </w:t>
      </w:r>
      <w:r>
        <w:rPr>
          <w:smallCaps/>
        </w:rPr>
        <w:t xml:space="preserve">Eurostat</w:t>
      </w:r>
      <w:r>
        <w:t xml:space="preserve"> </w:t>
      </w:r>
      <w:r>
        <w:t xml:space="preserve">(</w:t>
      </w:r>
      <w:hyperlink w:anchor="ref_Eurostat2026namq10a10e">
        <w:r>
          <w:rPr>
            <w:rStyle w:val="Hyperlink"/>
          </w:rPr>
          <w:t xml:space="preserve">2026c</w:t>
        </w:r>
      </w:hyperlink>
      <w:r>
        <w:t xml:space="preserve">,</w:t>
      </w:r>
      <w:r>
        <w:t xml:space="preserve"> </w:t>
      </w:r>
      <w:hyperlink w:anchor="ref_Eurostat2026lfsq">
        <w:r>
          <w:rPr>
            <w:rStyle w:val="Hyperlink"/>
          </w:rPr>
          <w:t xml:space="preserve">2026a</w:t>
        </w:r>
      </w:hyperlink>
      <w:r>
        <w:t xml:space="preserve">,</w:t>
      </w:r>
      <w:r>
        <w:t xml:space="preserve"> </w:t>
      </w:r>
      <w:hyperlink w:anchor="ref_Eurostat2026une">
        <w:r>
          <w:rPr>
            <w:rStyle w:val="Hyperlink"/>
          </w:rPr>
          <w:t xml:space="preserve">2026i</w:t>
        </w:r>
      </w:hyperlink>
      <w:r>
        <w:t xml:space="preserve">)</w:t>
      </w:r>
      <w:r>
        <w:t xml:space="preserve">. Qué hay que ver: el empleo supera en un 6 % el nivel de 2019 y las horas solo en un 5 % (baja la jornada media); el paro, del 6,4 % a mediados de 2026, está cerca de su mínimo.</w:t>
      </w:r>
    </w:p>
    <w:bookmarkStart w:id="262" w:name="fig_pib_por_pet"/>
    <w:p>
      <w:pPr>
        <w:pStyle w:val="ImageCaption"/>
      </w:pPr>
      <w:r>
        <w:t xml:space="preserve">Gráfico 11.–</w:t>
      </w:r>
      <w:r>
        <w:t xml:space="preserve"> </w:t>
      </w:r>
      <w:r>
        <w:t xml:space="preserve">España: PIB por persona en edad de trabajar, por hora y horas por persona (variación acumulada desde el cuarto trimestre de 2019)</w:t>
      </w:r>
    </w:p>
    <w:p>
      <w:pPr>
        <w:pStyle w:val="CaptionedFigure"/>
      </w:pPr>
      <w:r>
        <w:drawing>
          <wp:inline>
            <wp:extent cx="4775200" cy="2437232"/>
            <wp:effectExtent b="0" l="0" r="0" t="0"/>
            <wp:docPr descr="Gráfico 11.– España: PIB por persona en edad de trabajar, por hora y horas por persona (variación acumulada desde el cuarto trimestre de 2019)" title="" id="260" name="Picture"/>
            <a:graphic>
              <a:graphicData uri="http://schemas.openxmlformats.org/drawingml/2006/picture">
                <pic:pic>
                  <pic:nvPicPr>
                    <pic:cNvPr descr="C:\Users\vgutierrez\Documents\src\victorgutierrezmarcos.github.io-revision\oposicion\temario\fuentes\1D01\graficos/pib-por-pet-espana.png" id="261" name="Picture"/>
                    <pic:cNvPicPr>
                      <a:picLocks noChangeArrowheads="1" noChangeAspect="1"/>
                    </pic:cNvPicPr>
                  </pic:nvPicPr>
                  <pic:blipFill>
                    <a:blip r:embed="rId259"/>
                    <a:stretch>
                      <a:fillRect/>
                    </a:stretch>
                  </pic:blipFill>
                  <pic:spPr bwMode="auto">
                    <a:xfrm>
                      <a:off x="0" y="0"/>
                      <a:ext cx="4775200" cy="2437232"/>
                    </a:xfrm>
                    <a:prstGeom prst="rect">
                      <a:avLst/>
                    </a:prstGeom>
                    <a:noFill/>
                    <a:ln w="9525">
                      <a:noFill/>
                      <a:headEnd/>
                      <a:tailEnd/>
                    </a:ln>
                  </pic:spPr>
                </pic:pic>
              </a:graphicData>
            </a:graphic>
          </wp:inline>
        </w:drawing>
      </w:r>
    </w:p>
    <w:bookmarkEnd w:id="262"/>
    <w:p>
      <w:pPr>
        <w:pStyle w:val="Piedeimagen"/>
      </w:pPr>
      <w:r>
        <w:t xml:space="preserve">Fuente:</w:t>
      </w:r>
      <w:r>
        <w:t xml:space="preserve"> </w:t>
      </w:r>
      <w:r>
        <w:rPr>
          <w:smallCaps/>
        </w:rPr>
        <w:t xml:space="preserve">Eurostat</w:t>
      </w:r>
      <w:r>
        <w:t xml:space="preserve"> </w:t>
      </w:r>
      <w:r>
        <w:t xml:space="preserve">(</w:t>
      </w:r>
      <w:hyperlink w:anchor="ref_Eurostat2026namq10gdp">
        <w:r>
          <w:rPr>
            <w:rStyle w:val="Hyperlink"/>
          </w:rPr>
          <w:t xml:space="preserve">2026d</w:t>
        </w:r>
      </w:hyperlink>
      <w:r>
        <w:t xml:space="preserve">,</w:t>
      </w:r>
      <w:r>
        <w:t xml:space="preserve"> </w:t>
      </w:r>
      <w:hyperlink w:anchor="ref_Eurostat2026namq10a10e">
        <w:r>
          <w:rPr>
            <w:rStyle w:val="Hyperlink"/>
          </w:rPr>
          <w:t xml:space="preserve">2026c</w:t>
        </w:r>
      </w:hyperlink>
      <w:r>
        <w:t xml:space="preserve">,</w:t>
      </w:r>
      <w:r>
        <w:t xml:space="preserve"> </w:t>
      </w:r>
      <w:hyperlink w:anchor="ref_Eurostat2026lfsq">
        <w:r>
          <w:rPr>
            <w:rStyle w:val="Hyperlink"/>
          </w:rPr>
          <w:t xml:space="preserve">2026a</w:t>
        </w:r>
      </w:hyperlink>
      <w:r>
        <w:t xml:space="preserve">)</w:t>
      </w:r>
      <w:r>
        <w:t xml:space="preserve">; cálculo propio. Qué hay que ver: desde 2019 el PIB por persona en edad de trabajar crece sobre todo porque se trabajan más horas por persona (</w:t>
      </w:r>
      <m:oMath>
        <m:r>
          <m:rPr>
            <m:sty m:val="p"/>
          </m:rPr>
          <m:t>+</m:t>
        </m:r>
        <m:r>
          <m:t>3</m:t>
        </m:r>
        <m:r>
          <m:rPr>
            <m:sty m:val="p"/>
          </m:rPr>
          <m:t>,</m:t>
        </m:r>
        <m:r>
          <m:t>9</m:t>
        </m:r>
        <m:r>
          <m:t> </m:t>
        </m:r>
        <m:r>
          <m:rPr>
            <m:sty m:val="p"/>
          </m:rPr>
          <m:t>%</m:t>
        </m:r>
      </m:oMath>
      <w:r>
        <w:t xml:space="preserve">) y poco por la productividad por hora (</w:t>
      </w:r>
      <m:oMath>
        <m:r>
          <m:rPr>
            <m:sty m:val="p"/>
          </m:rPr>
          <m:t>+</m:t>
        </m:r>
        <m:r>
          <m:t>1</m:t>
        </m:r>
        <m:r>
          <m:rPr>
            <m:sty m:val="p"/>
          </m:rPr>
          <m:t>,</m:t>
        </m:r>
        <m:r>
          <m:t>7</m:t>
        </m:r>
        <m:r>
          <m:t> </m:t>
        </m:r>
        <m:r>
          <m:rPr>
            <m:sty m:val="p"/>
          </m:rPr>
          <m:t>%</m:t>
        </m:r>
      </m:oMath>
      <w:r>
        <w:t xml:space="preserve">).</w:t>
      </w:r>
    </w:p>
    <w:bookmarkStart w:id="266" w:name="fig_impulso_fiscal"/>
    <w:p>
      <w:pPr>
        <w:pStyle w:val="ImageCaption"/>
      </w:pPr>
      <w:r>
        <w:t xml:space="preserve">Gráfico 12.–</w:t>
      </w:r>
      <w:r>
        <w:t xml:space="preserve"> </w:t>
      </w:r>
      <w:r>
        <w:t xml:space="preserve">Impulso fiscal en algunas economías avanzadas</w:t>
      </w:r>
    </w:p>
    <w:p>
      <w:pPr>
        <w:pStyle w:val="CaptionedFigure"/>
      </w:pPr>
      <w:r>
        <w:drawing>
          <wp:inline>
            <wp:extent cx="4775200" cy="2378162"/>
            <wp:effectExtent b="0" l="0" r="0" t="0"/>
            <wp:docPr descr="Gráfico 12.– Impulso fiscal en algunas economías avanzadas" title="" id="264" name="Picture"/>
            <a:graphic>
              <a:graphicData uri="http://schemas.openxmlformats.org/drawingml/2006/picture">
                <pic:pic>
                  <pic:nvPicPr>
                    <pic:cNvPr descr="C:\Users\vgutierrez\Documents\src\victorgutierrezmarcos.github.io-revision\oposicion\temario\fuentes\1D01\graficos/impulso-fiscal.png" id="265" name="Picture"/>
                    <pic:cNvPicPr>
                      <a:picLocks noChangeArrowheads="1" noChangeAspect="1"/>
                    </pic:cNvPicPr>
                  </pic:nvPicPr>
                  <pic:blipFill>
                    <a:blip r:embed="rId263"/>
                    <a:stretch>
                      <a:fillRect/>
                    </a:stretch>
                  </pic:blipFill>
                  <pic:spPr bwMode="auto">
                    <a:xfrm>
                      <a:off x="0" y="0"/>
                      <a:ext cx="4775200" cy="2378162"/>
                    </a:xfrm>
                    <a:prstGeom prst="rect">
                      <a:avLst/>
                    </a:prstGeom>
                    <a:noFill/>
                    <a:ln w="9525">
                      <a:noFill/>
                      <a:headEnd/>
                      <a:tailEnd/>
                    </a:ln>
                  </pic:spPr>
                </pic:pic>
              </a:graphicData>
            </a:graphic>
          </wp:inline>
        </w:drawing>
      </w:r>
    </w:p>
    <w:bookmarkEnd w:id="266"/>
    <w:p>
      <w:pPr>
        <w:pStyle w:val="Piedeimagen"/>
      </w:pPr>
      <w:r>
        <w:t xml:space="preserve">Fuente:</w:t>
      </w:r>
      <w:r>
        <w:t xml:space="preserve"> </w:t>
      </w:r>
      <w:r>
        <w:rPr>
          <w:smallCaps/>
        </w:rPr>
        <w:t xml:space="preserve">Fondo Monetario Internacional</w:t>
      </w:r>
      <w:r>
        <w:t xml:space="preserve"> </w:t>
      </w:r>
      <w:r>
        <w:t xml:space="preserve">(</w:t>
      </w:r>
      <w:hyperlink w:anchor="ref_FMI2026FMdatos">
        <w:r>
          <w:rPr>
            <w:rStyle w:val="Hyperlink"/>
          </w:rPr>
          <w:t xml:space="preserve">2026a</w:t>
        </w:r>
      </w:hyperlink>
      <w:r>
        <w:t xml:space="preserve">)</w:t>
      </w:r>
      <w:r>
        <w:t xml:space="preserve">; impulso</w:t>
      </w:r>
      <w:r>
        <w:t xml:space="preserve"> </w:t>
      </w:r>
      <m:oMath>
        <m:r>
          <m:rPr>
            <m:sty m:val="p"/>
          </m:rPr>
          <m:t>=</m:t>
        </m:r>
        <m:r>
          <m:rPr>
            <m:sty m:val="p"/>
          </m:rPr>
          <m:t>−</m:t>
        </m:r>
        <m:r>
          <m:t>Δ</m:t>
        </m:r>
      </m:oMath>
      <w:r>
        <w:t xml:space="preserve"> </w:t>
      </w:r>
      <w:r>
        <w:t xml:space="preserve">saldo primario ajustado por el ciclo; 2026 y 2027, previsiones. Qué hay que ver: positivo es expansivo; 2020 lo es en todos, en 2021-2022 se retira y EE. UU. vuelve a expandir en 2023.</w:t>
      </w:r>
    </w:p>
    <w:bookmarkStart w:id="270" w:name="fig_inflacion_cuentas"/>
    <w:p>
      <w:pPr>
        <w:pStyle w:val="ImageCaption"/>
      </w:pPr>
      <w:r>
        <w:t xml:space="preserve">Gráfico 13.–</w:t>
      </w:r>
      <w:r>
        <w:t xml:space="preserve"> </w:t>
      </w:r>
      <w:r>
        <w:t xml:space="preserve">Efectos inmediatos de la inflación en las cuentas públicas</w:t>
      </w:r>
    </w:p>
    <w:p>
      <w:pPr>
        <w:pStyle w:val="CaptionedFigure"/>
      </w:pPr>
      <w:r>
        <w:drawing>
          <wp:inline>
            <wp:extent cx="4476750" cy="2098641"/>
            <wp:effectExtent b="0" l="0" r="0" t="0"/>
            <wp:docPr descr="Gráfico 13.– Efectos inmediatos de la inflación en las cuentas públicas" title="" id="268" name="Picture"/>
            <a:graphic>
              <a:graphicData uri="http://schemas.openxmlformats.org/drawingml/2006/picture">
                <pic:pic>
                  <pic:nvPicPr>
                    <pic:cNvPr descr="C:\Users\vgutierrez\Documents\src\victorgutierrezmarcos.github.io-revision\oposicion\temario\fuentes\1D01\graficos/inflacion-cuentas-publicas.png" id="269" name="Picture"/>
                    <pic:cNvPicPr>
                      <a:picLocks noChangeArrowheads="1" noChangeAspect="1"/>
                    </pic:cNvPicPr>
                  </pic:nvPicPr>
                  <pic:blipFill>
                    <a:blip r:embed="rId267"/>
                    <a:stretch>
                      <a:fillRect/>
                    </a:stretch>
                  </pic:blipFill>
                  <pic:spPr bwMode="auto">
                    <a:xfrm>
                      <a:off x="0" y="0"/>
                      <a:ext cx="4476750" cy="2098641"/>
                    </a:xfrm>
                    <a:prstGeom prst="rect">
                      <a:avLst/>
                    </a:prstGeom>
                    <a:noFill/>
                    <a:ln w="9525">
                      <a:noFill/>
                      <a:headEnd/>
                      <a:tailEnd/>
                    </a:ln>
                  </pic:spPr>
                </pic:pic>
              </a:graphicData>
            </a:graphic>
          </wp:inline>
        </w:drawing>
      </w:r>
    </w:p>
    <w:bookmarkEnd w:id="270"/>
    <w:p>
      <w:pPr>
        <w:pStyle w:val="Piedeimagen"/>
      </w:pPr>
      <w:r>
        <w:t xml:space="preserve">Fuente: Elaboración propia a partir de</w:t>
      </w:r>
      <w:r>
        <w:t xml:space="preserve"> </w:t>
      </w:r>
      <w:r>
        <w:rPr>
          <w:smallCaps/>
        </w:rPr>
        <w:t xml:space="preserve">Fondo Monetario Internacional</w:t>
      </w:r>
      <w:r>
        <w:t xml:space="preserve"> </w:t>
      </w:r>
      <w:r>
        <w:t xml:space="preserve">(</w:t>
      </w:r>
      <w:hyperlink w:anchor="ref_FMI2023FiscalMonitor">
        <w:r>
          <w:rPr>
            <w:rStyle w:val="Hyperlink"/>
          </w:rPr>
          <w:t xml:space="preserve">2023a</w:t>
        </w:r>
      </w:hyperlink>
      <w:r>
        <w:t xml:space="preserve">)</w:t>
      </w:r>
      <w:r>
        <w:t xml:space="preserve">. Qué hay que ver: los ingresos y el PIB nominal suben enseguida y el gasto indexado y los intereses, con retraso; a corto plazo mejoran el déficit y la ratio de deuda, y a medio plazo el efecto se invierte.</w:t>
      </w:r>
    </w:p>
    <w:bookmarkStart w:id="274" w:name="fig_brent"/>
    <w:p>
      <w:pPr>
        <w:pStyle w:val="ImageCaption"/>
      </w:pPr>
      <w:r>
        <w:t xml:space="preserve">Gráfico 14.–</w:t>
      </w:r>
      <w:r>
        <w:t xml:space="preserve"> </w:t>
      </w:r>
      <w:r>
        <w:t xml:space="preserve">Precio del petróleo Brent en dólares y en euros</w:t>
      </w:r>
    </w:p>
    <w:p>
      <w:pPr>
        <w:pStyle w:val="CaptionedFigure"/>
      </w:pPr>
      <w:r>
        <w:drawing>
          <wp:inline>
            <wp:extent cx="4775200" cy="2396727"/>
            <wp:effectExtent b="0" l="0" r="0" t="0"/>
            <wp:docPr descr="Gráfico 14.– Precio del petróleo Brent en dólares y en euros" title="" id="272" name="Picture"/>
            <a:graphic>
              <a:graphicData uri="http://schemas.openxmlformats.org/drawingml/2006/picture">
                <pic:pic>
                  <pic:nvPicPr>
                    <pic:cNvPr descr="C:\Users\vgutierrez\Documents\src\victorgutierrezmarcos.github.io-revision\oposicion\temario\fuentes\1D01\graficos/brent.png" id="273" name="Picture"/>
                    <pic:cNvPicPr>
                      <a:picLocks noChangeArrowheads="1" noChangeAspect="1"/>
                    </pic:cNvPicPr>
                  </pic:nvPicPr>
                  <pic:blipFill>
                    <a:blip r:embed="rId271"/>
                    <a:stretch>
                      <a:fillRect/>
                    </a:stretch>
                  </pic:blipFill>
                  <pic:spPr bwMode="auto">
                    <a:xfrm>
                      <a:off x="0" y="0"/>
                      <a:ext cx="4775200" cy="2396727"/>
                    </a:xfrm>
                    <a:prstGeom prst="rect">
                      <a:avLst/>
                    </a:prstGeom>
                    <a:noFill/>
                    <a:ln w="9525">
                      <a:noFill/>
                      <a:headEnd/>
                      <a:tailEnd/>
                    </a:ln>
                  </pic:spPr>
                </pic:pic>
              </a:graphicData>
            </a:graphic>
          </wp:inline>
        </w:drawing>
      </w:r>
    </w:p>
    <w:bookmarkEnd w:id="274"/>
    <w:p>
      <w:pPr>
        <w:pStyle w:val="Piedeimagen"/>
      </w:pPr>
      <w:r>
        <w:t xml:space="preserve">Fuente:</w:t>
      </w:r>
      <w:r>
        <w:t xml:space="preserve"> </w:t>
      </w:r>
      <w:r>
        <w:rPr>
          <w:smallCaps/>
        </w:rPr>
        <w:t xml:space="preserve">U.S. Energy Information Administration</w:t>
      </w:r>
      <w:r>
        <w:t xml:space="preserve"> </w:t>
      </w:r>
      <w:r>
        <w:t xml:space="preserve">(</w:t>
      </w:r>
      <w:hyperlink w:anchor="ref_EIA2026Brent">
        <w:r>
          <w:rPr>
            <w:rStyle w:val="Hyperlink"/>
          </w:rPr>
          <w:t xml:space="preserve">2026</w:t>
        </w:r>
      </w:hyperlink>
      <w:r>
        <w:t xml:space="preserve">)</w:t>
      </w:r>
      <w:r>
        <w:t xml:space="preserve">; en euros con el tipo de referencia del BCE</w:t>
      </w:r>
      <w:r>
        <w:t xml:space="preserve"> </w:t>
      </w:r>
      <w:r>
        <w:t xml:space="preserve">(</w:t>
      </w:r>
      <w:hyperlink w:anchor="ref_BCE2026EXR">
        <w:r>
          <w:rPr>
            <w:rStyle w:val="Hyperlink"/>
            <w:smallCaps/>
          </w:rPr>
          <w:t xml:space="preserve">Banco Central Europeo</w:t>
        </w:r>
        <w:r>
          <w:rPr>
            <w:rStyle w:val="Hyperlink"/>
          </w:rPr>
          <w:t xml:space="preserve">, 2026b</w:t>
        </w:r>
      </w:hyperlink>
      <w:r>
        <w:t xml:space="preserve">)</w:t>
      </w:r>
      <w:r>
        <w:t xml:space="preserve">. Qué hay que ver: los grandes picos, 2008 (133 dólares), 2011-2012 (125 dólares en marzo de 2012), 2022 (123 dólares; en euros, 116, por la depreciación del euro) y 2026 (117 dólares en abril y 114 en septiembre, por el conflicto de Oriente Medio).</w:t>
      </w:r>
    </w:p>
    <w:bookmarkEnd w:id="275"/>
    <w:bookmarkStart w:id="294" w:name="anexo_casos"/>
    <w:p>
      <w:pPr>
        <w:pStyle w:val="Heading1"/>
      </w:pPr>
      <w:r>
        <w:t xml:space="preserve">E. Análisis de casos frecuentes</w:t>
      </w:r>
    </w:p>
    <w:p>
      <w:pPr>
        <w:numPr>
          <w:ilvl w:val="0"/>
          <w:numId w:val="1156"/>
        </w:numPr>
      </w:pPr>
      <w:r>
        <w:t xml:space="preserve">Choques y situaciones concretas que han aparecido en los dictámenes y que se analizan con las herramientas de cada capítulo: un sector dominante, la demografía, la migración y el salario mínimo, los aranceles de un tercero, la lectura de una curva de</w:t>
      </w:r>
      <w:r>
        <w:t xml:space="preserve"> </w:t>
      </w:r>
      <w:r>
        <w:rPr>
          <w:smallCaps/>
        </w:rPr>
        <w:t xml:space="preserve">Beveridge</w:t>
      </w:r>
      <w:r>
        <w:t xml:space="preserve"> </w:t>
      </w:r>
      <w:r>
        <w:t xml:space="preserve">y los fondos europeos en la balanza de pagos.</w:t>
      </w:r>
    </w:p>
    <w:bookmarkStart w:id="278" w:name="un_sector_dominante_petr__leo_y_ma_15552"/>
    <w:p>
      <w:pPr>
        <w:pStyle w:val="Heading4"/>
      </w:pPr>
      <w:r>
        <w:t xml:space="preserve">Un sector dominante: petróleo y materias primas</w:t>
      </w:r>
    </w:p>
    <w:p>
      <w:pPr>
        <w:numPr>
          <w:ilvl w:val="0"/>
          <w:numId w:val="1157"/>
        </w:numPr>
      </w:pPr>
      <w:r>
        <w:rPr>
          <w:i/>
          <w:iCs/>
        </w:rPr>
        <w:t xml:space="preserve">Qué hay que mirar</w:t>
      </w:r>
      <w:r>
        <w:t xml:space="preserve">: el peso del sector en el VAB, en las exportaciones y en los ingresos públicos, y el precio internacional, en dólares (gráfico </w:t>
      </w:r>
      <w:hyperlink w:anchor="fig_brent">
        <w:r>
          <w:rPr>
            <w:rStyle w:val="Hyperlink"/>
          </w:rPr>
          <w:t xml:space="preserve">14</w:t>
        </w:r>
      </w:hyperlink>
      <w:r>
        <w:t xml:space="preserve">, en los anexos).</w:t>
      </w:r>
    </w:p>
    <w:p>
      <w:pPr>
        <w:keepNext/>
        <w:numPr>
          <w:ilvl w:val="0"/>
          <w:numId w:val="1157"/>
        </w:numPr>
      </w:pPr>
      <w:r>
        <w:rPr>
          <w:i/>
          <w:iCs/>
        </w:rPr>
        <w:t xml:space="preserve">Canales de un cambio del precio del petróleo</w:t>
      </w:r>
      <w:r>
        <w:t xml:space="preserve">:</w:t>
      </w:r>
    </w:p>
    <w:p>
      <w:pPr>
        <w:numPr>
          <w:ilvl w:val="1"/>
          <w:numId w:val="1158"/>
        </w:numPr>
      </w:pPr>
      <w:r>
        <w:rPr>
          <w:i/>
          <w:iCs/>
        </w:rPr>
        <w:t xml:space="preserve">PIB y precios</w:t>
      </w:r>
      <w:r>
        <w:t xml:space="preserve">: en un exportador, una subida eleva la renta y la inversión del sector y el deflactor del PIB más que el IPC (mejora la relación real de intercambio); en un importador, sube el IPC (inflación importada) y baja la renta disponible.</w:t>
      </w:r>
    </w:p>
    <w:p>
      <w:pPr>
        <w:numPr>
          <w:ilvl w:val="1"/>
          <w:numId w:val="1158"/>
        </w:numPr>
      </w:pPr>
      <w:r>
        <w:rPr>
          <w:i/>
          <w:iCs/>
        </w:rPr>
        <w:t xml:space="preserve">Sector exterior</w:t>
      </w:r>
      <w:r>
        <w:t xml:space="preserve">: la balanza de bienes y la cuenta corriente siguen al precio; con tipo flexible, la moneda del exportador se aprecia.</w:t>
      </w:r>
    </w:p>
    <w:p>
      <w:pPr>
        <w:numPr>
          <w:ilvl w:val="1"/>
          <w:numId w:val="1158"/>
        </w:numPr>
      </w:pPr>
      <w:r>
        <w:rPr>
          <w:i/>
          <w:iCs/>
        </w:rPr>
        <w:t xml:space="preserve">Cuentas públicas</w:t>
      </w:r>
      <w:r>
        <w:t xml:space="preserve">: regalías e impuestos sobre el sector (exportador) o subvenciones a los combustibles; los ingresos se vuelven volátiles y procíclicos.</w:t>
      </w:r>
    </w:p>
    <w:p>
      <w:pPr>
        <w:numPr>
          <w:ilvl w:val="0"/>
          <w:numId w:val="1157"/>
        </w:numPr>
      </w:pPr>
      <w:r>
        <w:rPr>
          <w:i/>
          <w:iCs/>
        </w:rPr>
        <w:t xml:space="preserve">Riesgos</w:t>
      </w:r>
      <w:r>
        <w:t xml:space="preserve">: la</w:t>
      </w:r>
      <w:r>
        <w:t xml:space="preserve"> </w:t>
      </w:r>
      <w:r>
        <w:rPr>
          <w:b/>
          <w:bCs/>
        </w:rPr>
        <w:t xml:space="preserve">enfermedad holandesa</w:t>
      </w:r>
      <w:r>
        <w:t xml:space="preserve">, en la que el auge del sector aprecia el tipo de cambio real y expulsa a otros sectores exportadores</w:t>
      </w:r>
      <w:r>
        <w:t xml:space="preserve"> </w:t>
      </w:r>
      <w:r>
        <w:t xml:space="preserve">(</w:t>
      </w:r>
      <w:hyperlink w:anchor="ref_CordenNeary1982">
        <w:r>
          <w:rPr>
            <w:rStyle w:val="Hyperlink"/>
            <w:smallCaps/>
          </w:rPr>
          <w:t xml:space="preserve">Corden</w:t>
        </w:r>
        <w:r>
          <w:rPr>
            <w:rStyle w:val="Hyperlink"/>
          </w:rPr>
          <w:t xml:space="preserve"> </w:t>
        </w:r>
        <w:r>
          <w:rPr>
            <w:rStyle w:val="Hyperlink"/>
          </w:rPr>
          <w:t xml:space="preserve">y</w:t>
        </w:r>
        <w:r>
          <w:rPr>
            <w:rStyle w:val="Hyperlink"/>
          </w:rPr>
          <w:t xml:space="preserve"> </w:t>
        </w:r>
        <w:r>
          <w:rPr>
            <w:rStyle w:val="Hyperlink"/>
            <w:smallCaps/>
          </w:rPr>
          <w:t xml:space="preserve">Neary</w:t>
        </w:r>
        <w:r>
          <w:rPr>
            <w:rStyle w:val="Hyperlink"/>
          </w:rPr>
          <w:t xml:space="preserve">, 1982</w:t>
        </w:r>
      </w:hyperlink>
      <w:r>
        <w:t xml:space="preserve">)</w:t>
      </w:r>
      <w:r>
        <w:t xml:space="preserve">, y una política fiscal procíclica, que gasta en el auge y recorta en la caída</w:t>
      </w:r>
      <w:r>
        <w:t xml:space="preserve"> </w:t>
      </w:r>
      <w:r>
        <w:t xml:space="preserve">(</w:t>
      </w:r>
      <w:hyperlink w:anchor="ref_Kaminsky2004Rains">
        <w:r>
          <w:rPr>
            <w:rStyle w:val="Hyperlink"/>
            <w:smallCaps/>
          </w:rPr>
          <w:t xml:space="preserve">Kaminsky</w:t>
        </w:r>
        <w:r>
          <w:rPr>
            <w:rStyle w:val="Hyperlink"/>
          </w:rPr>
          <w:t xml:space="preserve">,</w:t>
        </w:r>
        <w:r>
          <w:rPr>
            <w:rStyle w:val="Hyperlink"/>
          </w:rPr>
          <w:t xml:space="preserve"> </w:t>
        </w:r>
        <w:r>
          <w:rPr>
            <w:rStyle w:val="Hyperlink"/>
            <w:smallCaps/>
          </w:rPr>
          <w:t xml:space="preserve">Reinhart</w:t>
        </w:r>
        <w:r>
          <w:rPr>
            <w:rStyle w:val="Hyperlink"/>
          </w:rPr>
          <w:t xml:space="preserve"> </w:t>
        </w:r>
        <w:r>
          <w:rPr>
            <w:rStyle w:val="Hyperlink"/>
          </w:rPr>
          <w:t xml:space="preserve">y</w:t>
        </w:r>
        <w:r>
          <w:rPr>
            <w:rStyle w:val="Hyperlink"/>
          </w:rPr>
          <w:t xml:space="preserve"> </w:t>
        </w:r>
        <w:r>
          <w:rPr>
            <w:rStyle w:val="Hyperlink"/>
            <w:smallCaps/>
          </w:rPr>
          <w:t xml:space="preserve">Végh</w:t>
        </w:r>
        <w:r>
          <w:rPr>
            <w:rStyle w:val="Hyperlink"/>
          </w:rPr>
          <w:t xml:space="preserve">, 2004</w:t>
        </w:r>
      </w:hyperlink>
      <w:r>
        <w:t xml:space="preserve">)</w:t>
      </w:r>
      <w:r>
        <w:t xml:space="preserve">.</w:t>
      </w:r>
    </w:p>
    <w:p>
      <w:pPr>
        <w:numPr>
          <w:ilvl w:val="0"/>
          <w:numId w:val="1157"/>
        </w:numPr>
      </w:pPr>
      <w:r>
        <w:rPr>
          <w:i/>
          <w:iCs/>
        </w:rPr>
        <w:t xml:space="preserve">Recomendaciones</w:t>
      </w:r>
      <w:r>
        <w:t xml:space="preserve">: un fondo soberano o una regla fiscal estructural que ahorre los ingresos extraordinarios, diversificar la producción y las exportaciones, y retirar poco a poco las subvenciones a los combustibles con ayudas focalizadas.</w:t>
      </w:r>
    </w:p>
    <w:p>
      <w:pPr>
        <w:numPr>
          <w:ilvl w:val="0"/>
          <w:numId w:val="1157"/>
        </w:numPr>
      </w:pPr>
      <w:r>
        <w:rPr>
          <w:i/>
          <w:iCs/>
        </w:rPr>
        <w:t xml:space="preserve">Tema</w:t>
      </w:r>
      <w:r>
        <w:t xml:space="preserve">:</w:t>
      </w:r>
      <w:r>
        <w:t xml:space="preserve"> </w:t>
      </w:r>
      <w:hyperlink r:id="rId276">
        <w:r>
          <w:rPr>
            <w:rStyle w:val="Referenciaatema"/>
          </w:rPr>
          <w:t xml:space="preserve">[ver tema 3.B.28]</w:t>
        </w:r>
      </w:hyperlink>
      <w:r>
        <w:t xml:space="preserve"> </w:t>
      </w:r>
      <w:hyperlink r:id="rId277">
        <w:r>
          <w:rPr>
            <w:rStyle w:val="Referenciaatema"/>
          </w:rPr>
          <w:t xml:space="preserve">[ver tema 3.B.32]</w:t>
        </w:r>
      </w:hyperlink>
      <w:r>
        <w:t xml:space="preserve"> </w:t>
      </w:r>
      <w:hyperlink r:id="rId76">
        <w:r>
          <w:rPr>
            <w:rStyle w:val="Referenciaatema"/>
          </w:rPr>
          <w:t xml:space="preserve">[ver tema 4.A.5]</w:t>
        </w:r>
      </w:hyperlink>
      <w:r>
        <w:t xml:space="preserve">.</w:t>
      </w:r>
    </w:p>
    <w:bookmarkEnd w:id="278"/>
    <w:bookmarkStart w:id="281" w:name="demograf__a_migraci__n_y_salario_m_06732"/>
    <w:p>
      <w:pPr>
        <w:pStyle w:val="Heading4"/>
      </w:pPr>
      <w:r>
        <w:t xml:space="preserve">Demografía, migración y salario mínimo</w:t>
      </w:r>
    </w:p>
    <w:p>
      <w:pPr>
        <w:numPr>
          <w:ilvl w:val="0"/>
          <w:numId w:val="1159"/>
        </w:numPr>
      </w:pPr>
      <w:r>
        <w:rPr>
          <w:i/>
          <w:iCs/>
        </w:rPr>
        <w:t xml:space="preserve">Demografía</w:t>
      </w:r>
      <w:r>
        <w:t xml:space="preserve">: el envejecimiento (más población de 65 y más años por cada persona de 15 a 64) reduce el crecimiento del empleo y del PIB potencial si no lo compensan la productividad, la participación o la inmigración; crea escasez de mano de obra en algunos sectores (vacantes altas con paro bajo) y eleva el gasto en pensiones, sanidad y cuidados</w:t>
      </w:r>
      <w:r>
        <w:t xml:space="preserve"> </w:t>
      </w:r>
      <w:r>
        <w:t xml:space="preserve">(</w:t>
      </w:r>
      <w:hyperlink w:anchor="ref_CE2024Envejecimiento">
        <w:r>
          <w:rPr>
            <w:rStyle w:val="Hyperlink"/>
            <w:smallCaps/>
          </w:rPr>
          <w:t xml:space="preserve">Comisión Europea</w:t>
        </w:r>
        <w:r>
          <w:rPr>
            <w:rStyle w:val="Hyperlink"/>
          </w:rPr>
          <w:t xml:space="preserve">, 2024</w:t>
        </w:r>
      </w:hyperlink>
      <w:r>
        <w:t xml:space="preserve">)</w:t>
      </w:r>
      <w:r>
        <w:t xml:space="preserve">. Medidas de oferta: más actividad de mujeres y mayores, inmigración ordenada e integrada, capital humano y automatización, y pensiones ligadas a la esperanza de vida</w:t>
      </w:r>
      <w:r>
        <w:t xml:space="preserve"> </w:t>
      </w:r>
      <w:hyperlink r:id="rId279">
        <w:r>
          <w:rPr>
            <w:rStyle w:val="Referenciaatema"/>
          </w:rPr>
          <w:t xml:space="preserve">[ver tema 4.A.2]</w:t>
        </w:r>
      </w:hyperlink>
      <w:r>
        <w:t xml:space="preserve">.</w:t>
      </w:r>
    </w:p>
    <w:p>
      <w:pPr>
        <w:numPr>
          <w:ilvl w:val="0"/>
          <w:numId w:val="1159"/>
        </w:numPr>
      </w:pPr>
      <w:r>
        <w:rPr>
          <w:i/>
          <w:iCs/>
        </w:rPr>
        <w:t xml:space="preserve">Un endurecimiento de los visados de trabajo</w:t>
      </w:r>
      <w:r>
        <w:t xml:space="preserve">: menos oferta de trabajo, más tensión salarial en los sectores con más inmigrantes, más vacantes sin cubrir, menos PIB potencial y, si los inmigrantes eran contribuyentes netos, peor saldo público. Al revés, la inmigración eleva primero el paro y después el crecimiento potencial.</w:t>
      </w:r>
    </w:p>
    <w:p>
      <w:pPr>
        <w:numPr>
          <w:ilvl w:val="0"/>
          <w:numId w:val="1159"/>
        </w:numPr>
      </w:pPr>
      <w:r>
        <w:rPr>
          <w:i/>
          <w:iCs/>
        </w:rPr>
        <w:t xml:space="preserve">Una subida del salario mínimo</w:t>
      </w:r>
      <w:r>
        <w:t xml:space="preserve"> </w:t>
      </w:r>
      <w:r>
        <w:t xml:space="preserve">sube los salarios bajos y comprime la distribución, eleva el consumo (alta propensión a consumir) y los CLU de los sectores intensivos en salarios bajos (algo de inflación y de pérdida de competitividad). Su efecto sobre el empleo depende del poder de mercado de los empleadores (con monopsonio puede no reducirlo) y del tamaño de la subida respecto al salario mediano: la evidencia encuentra efectos pequeños con subidas moderadas</w:t>
      </w:r>
      <w:r>
        <w:t xml:space="preserve"> </w:t>
      </w:r>
      <w:r>
        <w:t xml:space="preserve">(</w:t>
      </w:r>
      <w:hyperlink w:anchor="ref_CardKrueger1994">
        <w:r>
          <w:rPr>
            <w:rStyle w:val="Hyperlink"/>
            <w:smallCaps/>
          </w:rPr>
          <w:t xml:space="preserve">Card</w:t>
        </w:r>
        <w:r>
          <w:rPr>
            <w:rStyle w:val="Hyperlink"/>
          </w:rPr>
          <w:t xml:space="preserve"> </w:t>
        </w:r>
        <w:r>
          <w:rPr>
            <w:rStyle w:val="Hyperlink"/>
          </w:rPr>
          <w:t xml:space="preserve">y</w:t>
        </w:r>
        <w:r>
          <w:rPr>
            <w:rStyle w:val="Hyperlink"/>
          </w:rPr>
          <w:t xml:space="preserve"> </w:t>
        </w:r>
        <w:r>
          <w:rPr>
            <w:rStyle w:val="Hyperlink"/>
            <w:smallCaps/>
          </w:rPr>
          <w:t xml:space="preserve">Krueger</w:t>
        </w:r>
        <w:r>
          <w:rPr>
            <w:rStyle w:val="Hyperlink"/>
          </w:rPr>
          <w:t xml:space="preserve">, 1994</w:t>
        </w:r>
      </w:hyperlink>
      <w:r>
        <w:t xml:space="preserve">;</w:t>
      </w:r>
      <w:r>
        <w:t xml:space="preserve"> </w:t>
      </w:r>
      <w:hyperlink w:anchor="ref_Manning2021SMI">
        <w:r>
          <w:rPr>
            <w:rStyle w:val="Hyperlink"/>
            <w:smallCaps/>
          </w:rPr>
          <w:t xml:space="preserve">Manning</w:t>
        </w:r>
        <w:r>
          <w:rPr>
            <w:rStyle w:val="Hyperlink"/>
          </w:rPr>
          <w:t xml:space="preserve">, 2021</w:t>
        </w:r>
      </w:hyperlink>
      <w:r>
        <w:t xml:space="preserve">)</w:t>
      </w:r>
      <w:r>
        <w:t xml:space="preserve"> </w:t>
      </w:r>
      <w:hyperlink r:id="rId280">
        <w:r>
          <w:rPr>
            <w:rStyle w:val="Referenciaatema"/>
          </w:rPr>
          <w:t xml:space="preserve">[ver tema 3.A.17]</w:t>
        </w:r>
      </w:hyperlink>
      <w:r>
        <w:t xml:space="preserve">. El saldo público mejora por las cotizaciones de quienes conservan el empleo y empeora por los que lo pierden.</w:t>
      </w:r>
    </w:p>
    <w:bookmarkEnd w:id="281"/>
    <w:bookmarkStart w:id="285" w:name="aranceles_y_fragmentaci__n_del_com_04988"/>
    <w:p>
      <w:pPr>
        <w:pStyle w:val="Heading4"/>
      </w:pPr>
      <w:r>
        <w:t xml:space="preserve">Aranceles y fragmentación del comercio</w:t>
      </w:r>
    </w:p>
    <w:p>
      <w:pPr>
        <w:numPr>
          <w:ilvl w:val="0"/>
          <w:numId w:val="1160"/>
        </w:numPr>
      </w:pPr>
      <w:r>
        <w:rPr>
          <w:i/>
          <w:iCs/>
        </w:rPr>
        <w:t xml:space="preserve">Medir la protección</w:t>
      </w:r>
      <w:r>
        <w:t xml:space="preserve">: el</w:t>
      </w:r>
      <w:r>
        <w:t xml:space="preserve"> </w:t>
      </w:r>
      <w:r>
        <w:rPr>
          <w:b/>
          <w:bCs/>
        </w:rPr>
        <w:t xml:space="preserve">arancel medio simple</w:t>
      </w:r>
      <w:r>
        <w:t xml:space="preserve"> </w:t>
      </w:r>
      <w:r>
        <w:t xml:space="preserve">da el mismo peso a cada partida (sencillo y comparable, pero cuenta igual una partida que apenas se importa); el</w:t>
      </w:r>
      <w:r>
        <w:t xml:space="preserve"> </w:t>
      </w:r>
      <w:r>
        <w:rPr>
          <w:b/>
          <w:bCs/>
        </w:rPr>
        <w:t xml:space="preserve">medio ponderado por el comercio</w:t>
      </w:r>
      <w:r>
        <w:t xml:space="preserve"> </w:t>
      </w:r>
      <w:r>
        <w:t xml:space="preserve">pesa por lo que se importa (más representativo, pero infravalora los aranceles muy altos, que reducen precisamente lo que se importa).</w:t>
      </w:r>
    </w:p>
    <w:p>
      <w:pPr>
        <w:keepNext/>
        <w:numPr>
          <w:ilvl w:val="0"/>
          <w:numId w:val="1160"/>
        </w:numPr>
      </w:pPr>
      <w:r>
        <w:rPr>
          <w:i/>
          <w:iCs/>
        </w:rPr>
        <w:t xml:space="preserve">Efecto de los aranceles de un tercero</w:t>
      </w:r>
      <w:r>
        <w:t xml:space="preserve"> </w:t>
      </w:r>
      <w:r>
        <w:t xml:space="preserve">sobre el país (como los de Estados Unidos desde 2025):</w:t>
      </w:r>
    </w:p>
    <w:p>
      <w:pPr>
        <w:numPr>
          <w:ilvl w:val="1"/>
          <w:numId w:val="1161"/>
        </w:numPr>
      </w:pPr>
      <w:r>
        <w:rPr>
          <w:i/>
          <w:iCs/>
        </w:rPr>
        <w:t xml:space="preserve">directo</w:t>
      </w:r>
      <w:r>
        <w:t xml:space="preserve">: caen las exportaciones a ese destino, según su peso y la elasticidad de cada producto;</w:t>
      </w:r>
    </w:p>
    <w:p>
      <w:pPr>
        <w:numPr>
          <w:ilvl w:val="1"/>
          <w:numId w:val="1161"/>
        </w:numPr>
      </w:pPr>
      <w:r>
        <w:rPr>
          <w:i/>
          <w:iCs/>
        </w:rPr>
        <w:t xml:space="preserve">indirecto</w:t>
      </w:r>
      <w:r>
        <w:t xml:space="preserve">: por las cadenas de valor y la menor demanda mundial;</w:t>
      </w:r>
    </w:p>
    <w:p>
      <w:pPr>
        <w:numPr>
          <w:ilvl w:val="1"/>
          <w:numId w:val="1161"/>
        </w:numPr>
      </w:pPr>
      <w:r>
        <w:rPr>
          <w:i/>
          <w:iCs/>
        </w:rPr>
        <w:t xml:space="preserve">desviación de comercio</w:t>
      </w:r>
      <w:r>
        <w:t xml:space="preserve">: productos de terceros que ya no entran en el mercado protegido llegan a otros, abaratan las importaciones y presionan a los productores locales;</w:t>
      </w:r>
    </w:p>
    <w:p>
      <w:pPr>
        <w:numPr>
          <w:ilvl w:val="1"/>
          <w:numId w:val="1161"/>
        </w:numPr>
      </w:pPr>
      <w:r>
        <w:rPr>
          <w:i/>
          <w:iCs/>
        </w:rPr>
        <w:t xml:space="preserve">incertidumbre</w:t>
      </w:r>
      <w:r>
        <w:t xml:space="preserve">, que retrasa la inversión, y</w:t>
      </w:r>
      <w:r>
        <w:t xml:space="preserve"> </w:t>
      </w:r>
      <w:r>
        <w:rPr>
          <w:i/>
          <w:iCs/>
        </w:rPr>
        <w:t xml:space="preserve">tipo de cambio</w:t>
      </w:r>
      <w:r>
        <w:t xml:space="preserve">, que cambia la competitividad y la inflación.</w:t>
      </w:r>
    </w:p>
    <w:p>
      <w:pPr>
        <w:numPr>
          <w:ilvl w:val="0"/>
          <w:numId w:val="1160"/>
        </w:numPr>
      </w:pPr>
      <w:r>
        <w:rPr>
          <w:i/>
          <w:iCs/>
        </w:rPr>
        <w:t xml:space="preserve">Cómo se lee en el cuadro</w:t>
      </w:r>
      <w:r>
        <w:t xml:space="preserve">: peso del destino en las exportaciones, evolución reciente de esas exportaciones, inflación de los bienes importados, confianza y PMI de manufacturas. En la guerra comercial de 2018-2019, los aranceles de EE. UU. se trasladaron casi por completo a los precios que pagaron sus importadores y consumidores</w:t>
      </w:r>
      <w:r>
        <w:t xml:space="preserve"> </w:t>
      </w:r>
      <w:r>
        <w:t xml:space="preserve">(</w:t>
      </w:r>
      <w:hyperlink w:anchor="ref_Amiti2019Aranceles">
        <w:r>
          <w:rPr>
            <w:rStyle w:val="Hyperlink"/>
            <w:smallCaps/>
          </w:rPr>
          <w:t xml:space="preserve">Amiti</w:t>
        </w:r>
        <w:r>
          <w:rPr>
            <w:rStyle w:val="Hyperlink"/>
          </w:rPr>
          <w:t xml:space="preserve">,</w:t>
        </w:r>
        <w:r>
          <w:rPr>
            <w:rStyle w:val="Hyperlink"/>
          </w:rPr>
          <w:t xml:space="preserve"> </w:t>
        </w:r>
        <w:r>
          <w:rPr>
            <w:rStyle w:val="Hyperlink"/>
            <w:smallCaps/>
          </w:rPr>
          <w:t xml:space="preserve">Redding</w:t>
        </w:r>
        <w:r>
          <w:rPr>
            <w:rStyle w:val="Hyperlink"/>
          </w:rPr>
          <w:t xml:space="preserve"> </w:t>
        </w:r>
        <w:r>
          <w:rPr>
            <w:rStyle w:val="Hyperlink"/>
          </w:rPr>
          <w:t xml:space="preserve">y</w:t>
        </w:r>
        <w:r>
          <w:rPr>
            <w:rStyle w:val="Hyperlink"/>
          </w:rPr>
          <w:t xml:space="preserve"> </w:t>
        </w:r>
        <w:r>
          <w:rPr>
            <w:rStyle w:val="Hyperlink"/>
            <w:smallCaps/>
          </w:rPr>
          <w:t xml:space="preserve">Weinstein</w:t>
        </w:r>
        <w:r>
          <w:rPr>
            <w:rStyle w:val="Hyperlink"/>
          </w:rPr>
          <w:t xml:space="preserve">, 2019</w:t>
        </w:r>
      </w:hyperlink>
      <w:r>
        <w:t xml:space="preserve">;</w:t>
      </w:r>
      <w:r>
        <w:t xml:space="preserve"> </w:t>
      </w:r>
      <w:hyperlink w:anchor="ref_Fajgelbaum2020Proteccionismo">
        <w:r>
          <w:rPr>
            <w:rStyle w:val="Hyperlink"/>
            <w:smallCaps/>
          </w:rPr>
          <w:t xml:space="preserve">Fajgelbaum</w:t>
        </w:r>
        <w:r>
          <w:rPr>
            <w:rStyle w:val="Hyperlink"/>
          </w:rPr>
          <w:t xml:space="preserve"> </w:t>
        </w:r>
        <w:r>
          <w:rPr>
            <w:rStyle w:val="Hyperlink"/>
          </w:rPr>
          <w:t xml:space="preserve">et al., 2020</w:t>
        </w:r>
      </w:hyperlink>
      <w:r>
        <w:t xml:space="preserve">)</w:t>
      </w:r>
      <w:r>
        <w:t xml:space="preserve">.</w:t>
      </w:r>
    </w:p>
    <w:p>
      <w:pPr>
        <w:numPr>
          <w:ilvl w:val="0"/>
          <w:numId w:val="1160"/>
        </w:numPr>
      </w:pPr>
      <w:r>
        <w:rPr>
          <w:i/>
          <w:iCs/>
        </w:rPr>
        <w:t xml:space="preserve">Integración comercial asimétrica</w:t>
      </w:r>
      <w:r>
        <w:t xml:space="preserve">: con más apertura ganan los sectores con ventaja comparativa y pierden los manufactureros menos productivos; se recomiendan plazos de desarme, ayudas a la reasignación y formación</w:t>
      </w:r>
      <w:r>
        <w:t xml:space="preserve"> </w:t>
      </w:r>
      <w:hyperlink r:id="rId282">
        <w:r>
          <w:rPr>
            <w:rStyle w:val="Referenciaatema"/>
          </w:rPr>
          <w:t xml:space="preserve">[ver tema 3.B.7]</w:t>
        </w:r>
      </w:hyperlink>
      <w:r>
        <w:t xml:space="preserve"> </w:t>
      </w:r>
      <w:hyperlink r:id="rId283">
        <w:r>
          <w:rPr>
            <w:rStyle w:val="Referenciaatema"/>
          </w:rPr>
          <w:t xml:space="preserve">[ver tema 3.B.33]</w:t>
        </w:r>
      </w:hyperlink>
      <w:r>
        <w:t xml:space="preserve"> </w:t>
      </w:r>
      <w:hyperlink r:id="rId284">
        <w:r>
          <w:rPr>
            <w:rStyle w:val="Referenciaatema"/>
          </w:rPr>
          <w:t xml:space="preserve">[ver tema 3.B.41]</w:t>
        </w:r>
      </w:hyperlink>
      <w:r>
        <w:t xml:space="preserve">.</w:t>
      </w:r>
    </w:p>
    <w:bookmarkEnd w:id="285"/>
    <w:bookmarkStart w:id="290" w:name="un_brote_de_inflaci__n_resistencia_43506"/>
    <w:p>
      <w:pPr>
        <w:pStyle w:val="Heading4"/>
      </w:pPr>
      <w:r>
        <w:t xml:space="preserve">Un brote de inflación: resistencia, cambio de tendencia y última milla</w:t>
      </w:r>
    </w:p>
    <w:p>
      <w:pPr>
        <w:numPr>
          <w:ilvl w:val="0"/>
          <w:numId w:val="1162"/>
        </w:numPr>
      </w:pPr>
      <w:r>
        <w:rPr>
          <w:i/>
          <w:iCs/>
        </w:rPr>
        <w:t xml:space="preserve">Resistencia inicial y cambio de tendencia</w:t>
      </w:r>
      <w:r>
        <w:t xml:space="preserve"> </w:t>
      </w:r>
      <w:r>
        <w:t xml:space="preserve">de un brote inflacionista: al principio, choques de oferta (energía, cuellos de botella) con demanda fuerte (ahorro acumulado, estímulos) y traspaso de la depreciación; después, la bajada de la energía, el efecto base, el endurecimiento monetario y la normalización de las cadenas de suministro.</w:t>
      </w:r>
    </w:p>
    <w:bookmarkStart w:id="289" w:name="fig_iapc_zona_euro"/>
    <w:p>
      <w:pPr>
        <w:pStyle w:val="ImageCaption"/>
      </w:pPr>
      <w:r>
        <w:t xml:space="preserve">Gráfico 15.–</w:t>
      </w:r>
      <w:r>
        <w:t xml:space="preserve"> </w:t>
      </w:r>
      <w:r>
        <w:t xml:space="preserve">Inflación de la zona del euro y contribuciones de sus componentes</w:t>
      </w:r>
    </w:p>
    <w:p>
      <w:pPr>
        <w:pStyle w:val="CaptionedFigure"/>
      </w:pPr>
      <w:r>
        <w:drawing>
          <wp:inline>
            <wp:extent cx="4297680" cy="2378162"/>
            <wp:effectExtent b="0" l="0" r="0" t="0"/>
            <wp:docPr descr="Gráfico 15.– Inflación de la zona del euro y contribuciones de sus componentes" title="" id="287" name="Picture"/>
            <a:graphic>
              <a:graphicData uri="http://schemas.openxmlformats.org/drawingml/2006/picture">
                <pic:pic>
                  <pic:nvPicPr>
                    <pic:cNvPr descr="C:\Users\vgutierrez\Documents\src\victorgutierrezmarcos.github.io-revision\oposicion\temario\fuentes\1D01\graficos/iapc-zona-euro.png" id="288" name="Picture"/>
                    <pic:cNvPicPr>
                      <a:picLocks noChangeArrowheads="1" noChangeAspect="1"/>
                    </pic:cNvPicPr>
                  </pic:nvPicPr>
                  <pic:blipFill>
                    <a:blip r:embed="rId286"/>
                    <a:stretch>
                      <a:fillRect/>
                    </a:stretch>
                  </pic:blipFill>
                  <pic:spPr bwMode="auto">
                    <a:xfrm>
                      <a:off x="0" y="0"/>
                      <a:ext cx="4297680" cy="2378162"/>
                    </a:xfrm>
                    <a:prstGeom prst="rect">
                      <a:avLst/>
                    </a:prstGeom>
                    <a:noFill/>
                    <a:ln w="9525">
                      <a:noFill/>
                      <a:headEnd/>
                      <a:tailEnd/>
                    </a:ln>
                  </pic:spPr>
                </pic:pic>
              </a:graphicData>
            </a:graphic>
          </wp:inline>
        </w:drawing>
      </w:r>
    </w:p>
    <w:bookmarkEnd w:id="289"/>
    <w:p>
      <w:pPr>
        <w:pStyle w:val="Piedeimagen"/>
      </w:pPr>
      <w:r>
        <w:t xml:space="preserve">Fuente:</w:t>
      </w:r>
      <w:r>
        <w:t xml:space="preserve"> </w:t>
      </w:r>
      <w:r>
        <w:rPr>
          <w:smallCaps/>
        </w:rPr>
        <w:t xml:space="preserve">Eurostat</w:t>
      </w:r>
      <w:r>
        <w:t xml:space="preserve"> </w:t>
      </w:r>
      <w:r>
        <w:t xml:space="preserve">(</w:t>
      </w:r>
      <w:hyperlink w:anchor="ref_Eurostat2026hicp">
        <w:r>
          <w:rPr>
            <w:rStyle w:val="Hyperlink"/>
          </w:rPr>
          <w:t xml:space="preserve">2026g</w:t>
        </w:r>
      </w:hyperlink>
      <w:r>
        <w:t xml:space="preserve">)</w:t>
      </w:r>
      <w:r>
        <w:t xml:space="preserve">; tasas interanuales y contribuciones en puntos, enero de 2017-septiembre de 2026. Qué hay que ver: el brote de 2021-2022 empieza en la energía y se traslada a alimentos y bienes; la subyacente baja más despacio, por los servicios. En 2026 la energía vuelve a empujar (IAPC del 3,8 % en septiembre) con la subyacente estable en el 2,5 %.</w:t>
      </w:r>
    </w:p>
    <w:bookmarkEnd w:id="290"/>
    <w:bookmarkStart w:id="291" w:name="qu___pol__tica_requiere"/>
    <w:p>
      <w:pPr>
        <w:pStyle w:val="Heading4"/>
      </w:pPr>
      <w:r>
        <w:t xml:space="preserve">Qué política requiere</w:t>
      </w:r>
    </w:p>
    <w:p>
      <w:pPr>
        <w:numPr>
          <w:ilvl w:val="0"/>
          <w:numId w:val="1163"/>
        </w:numPr>
      </w:pPr>
      <w:r>
        <w:rPr>
          <w:i/>
          <w:iCs/>
        </w:rPr>
        <w:t xml:space="preserve">La «última milla» de la desinflación</w:t>
      </w:r>
      <w:r>
        <w:t xml:space="preserve">: tras bajar la energía y los bienes, lo difícil es pasar del 3 al 2 %, porque la inflación de los servicios depende de salarios que se ajustan con retraso. El riesgo es bajar tipos demasiado pronto (repunte) o demasiado tarde (recesión innecesaria)</w:t>
      </w:r>
      <w:r>
        <w:t xml:space="preserve"> </w:t>
      </w:r>
      <w:r>
        <w:t xml:space="preserve">(</w:t>
      </w:r>
      <w:hyperlink w:anchor="ref_BPI2024Informe">
        <w:r>
          <w:rPr>
            <w:rStyle w:val="Hyperlink"/>
            <w:smallCaps/>
          </w:rPr>
          <w:t xml:space="preserve">Banco de Pagos Internacionales</w:t>
        </w:r>
        <w:r>
          <w:rPr>
            <w:rStyle w:val="Hyperlink"/>
          </w:rPr>
          <w:t xml:space="preserve">, 2024</w:t>
        </w:r>
      </w:hyperlink>
      <w:r>
        <w:t xml:space="preserve">)</w:t>
      </w:r>
      <w:r>
        <w:t xml:space="preserve">.</w:t>
      </w:r>
    </w:p>
    <w:bookmarkEnd w:id="291"/>
    <w:bookmarkStart w:id="293" w:name="las_reglas_fiscales_de_la_ue_desde_2024"/>
    <w:p>
      <w:pPr>
        <w:pStyle w:val="Heading4"/>
      </w:pPr>
      <w:r>
        <w:t xml:space="preserve">Las reglas fiscales de la UE desde 2024</w:t>
      </w:r>
    </w:p>
    <w:p>
      <w:pPr>
        <w:numPr>
          <w:ilvl w:val="0"/>
          <w:numId w:val="1164"/>
        </w:numPr>
      </w:pPr>
      <w:r>
        <w:rPr>
          <w:i/>
          <w:iCs/>
        </w:rPr>
        <w:t xml:space="preserve">Qué se mantiene</w:t>
      </w:r>
      <w:r>
        <w:t xml:space="preserve">: los valores de referencia del Tratado (déficit del 3 % y deuda del 60 % del PIB) y el procedimiento de déficit excesivo</w:t>
      </w:r>
      <w:r>
        <w:t xml:space="preserve"> </w:t>
      </w:r>
      <w:r>
        <w:t xml:space="preserve">(</w:t>
      </w:r>
      <w:hyperlink w:anchor="ref_TFUE2012Protocolo12">
        <w:r>
          <w:rPr>
            <w:rStyle w:val="Hyperlink"/>
            <w:smallCaps/>
          </w:rPr>
          <w:t xml:space="preserve">Unión Europea</w:t>
        </w:r>
        <w:r>
          <w:rPr>
            <w:rStyle w:val="Hyperlink"/>
          </w:rPr>
          <w:t xml:space="preserve">, 2012</w:t>
        </w:r>
      </w:hyperlink>
      <w:r>
        <w:t xml:space="preserve">)</w:t>
      </w:r>
      <w:r>
        <w:t xml:space="preserve">.</w:t>
      </w:r>
    </w:p>
    <w:p>
      <w:pPr>
        <w:keepNext/>
        <w:numPr>
          <w:ilvl w:val="0"/>
          <w:numId w:val="1164"/>
        </w:numPr>
      </w:pPr>
      <w:r>
        <w:rPr>
          <w:i/>
          <w:iCs/>
        </w:rPr>
        <w:t xml:space="preserve">Qué cambia</w:t>
      </w:r>
      <w:r>
        <w:t xml:space="preserve"> </w:t>
      </w:r>
      <w:r>
        <w:t xml:space="preserve">(</w:t>
      </w:r>
      <w:hyperlink w:anchor="ref_RegUE2024Preventivo">
        <w:r>
          <w:rPr>
            <w:rStyle w:val="Hyperlink"/>
            <w:smallCaps/>
          </w:rPr>
          <w:t xml:space="preserve">Parlamento Europeo y Consejo de la Unión Europea</w:t>
        </w:r>
        <w:r>
          <w:rPr>
            <w:rStyle w:val="Hyperlink"/>
          </w:rPr>
          <w:t xml:space="preserve">, 2024a</w:t>
        </w:r>
      </w:hyperlink>
      <w:r>
        <w:t xml:space="preserve">;</w:t>
      </w:r>
      <w:r>
        <w:t xml:space="preserve"> </w:t>
      </w:r>
      <w:hyperlink w:anchor="ref_RegUE2024Correctivo">
        <w:r>
          <w:rPr>
            <w:rStyle w:val="Hyperlink"/>
            <w:smallCaps/>
          </w:rPr>
          <w:t xml:space="preserve">Consejo de la Unión Europea</w:t>
        </w:r>
        <w:r>
          <w:rPr>
            <w:rStyle w:val="Hyperlink"/>
          </w:rPr>
          <w:t xml:space="preserve">, 2024</w:t>
        </w:r>
      </w:hyperlink>
      <w:r>
        <w:t xml:space="preserve">)</w:t>
      </w:r>
      <w:r>
        <w:t xml:space="preserve"> </w:t>
      </w:r>
      <w:hyperlink r:id="rId176">
        <w:r>
          <w:rPr>
            <w:rStyle w:val="Referenciaatema"/>
          </w:rPr>
          <w:t xml:space="preserve">[ver tema 3.B.45]</w:t>
        </w:r>
      </w:hyperlink>
      <w:r>
        <w:t xml:space="preserve">:</w:t>
      </w:r>
    </w:p>
    <w:p>
      <w:pPr>
        <w:numPr>
          <w:ilvl w:val="1"/>
          <w:numId w:val="1165"/>
        </w:numPr>
      </w:pPr>
      <w:r>
        <w:t xml:space="preserve">un solo indicador operativo, la senda de</w:t>
      </w:r>
      <w:r>
        <w:t xml:space="preserve"> </w:t>
      </w:r>
      <w:r>
        <w:rPr>
          <w:b/>
          <w:bCs/>
        </w:rPr>
        <w:t xml:space="preserve">gasto primario neto</w:t>
      </w:r>
      <w:r>
        <w:t xml:space="preserve"> </w:t>
      </w:r>
      <w:r>
        <w:t xml:space="preserve">(sin intereses, sin el gasto cíclico en desempleo y sin las medidas discrecionales de ingresos);</w:t>
      </w:r>
    </w:p>
    <w:p>
      <w:pPr>
        <w:numPr>
          <w:ilvl w:val="1"/>
          <w:numId w:val="1165"/>
        </w:numPr>
      </w:pPr>
      <w:r>
        <w:t xml:space="preserve">un plan fiscal-estructural a 4 años, ampliable a 7 con reformas e inversiones, que debe dejar la deuda en una trayectoria descendente plausible;</w:t>
      </w:r>
    </w:p>
    <w:p>
      <w:pPr>
        <w:numPr>
          <w:ilvl w:val="1"/>
          <w:numId w:val="1165"/>
        </w:numPr>
      </w:pPr>
      <w:r>
        <w:t xml:space="preserve">salvaguardas: la deuda debe bajar al menos 1 punto al año de media si supera el 90 % del PIB (0,5 entre el 60 y el 90 %), y el déficit estructural converger a un margen del 1,5 % del PIB;</w:t>
      </w:r>
    </w:p>
    <w:p>
      <w:pPr>
        <w:numPr>
          <w:ilvl w:val="1"/>
          <w:numId w:val="1165"/>
        </w:numPr>
      </w:pPr>
      <w:r>
        <w:t xml:space="preserve">una cuenta de control de las desviaciones y cláusulas de escape; en 2025-2026 se activó la nacional para el gasto en defensa (hasta el 1,5 % del PIB) en 17 Estados.</w:t>
      </w:r>
    </w:p>
    <w:p>
      <w:pPr>
        <w:numPr>
          <w:ilvl w:val="0"/>
          <w:numId w:val="1164"/>
        </w:numPr>
      </w:pPr>
      <w:r>
        <w:rPr>
          <w:i/>
          <w:iCs/>
        </w:rPr>
        <w:t xml:space="preserve">Cómo se aplica</w:t>
      </w:r>
      <w:r>
        <w:t xml:space="preserve">: para un país con déficit y deuda altos, el marco pide una consolidación gradual y plurianual, con más margen si hace reformas e inversiones</w:t>
      </w:r>
      <w:r>
        <w:t xml:space="preserve"> </w:t>
      </w:r>
      <w:hyperlink r:id="rId292">
        <w:r>
          <w:rPr>
            <w:rStyle w:val="Referenciaatema"/>
          </w:rPr>
          <w:t xml:space="preserve">[ver tema 4.B.21]</w:t>
        </w:r>
      </w:hyperlink>
      <w:r>
        <w:t xml:space="preserve">.</w:t>
      </w:r>
    </w:p>
    <w:p>
      <w:pPr>
        <w:pStyle w:val="Cajadeanotaciones"/>
        <w:keepNext/>
        <w:keepLines/>
      </w:pPr>
      <w:r>
        <w:rPr>
          <w:b/>
          <w:bCs/>
        </w:rPr>
        <w:t xml:space="preserve">Cómo se lee una curva de</w:t>
      </w:r>
      <w:r>
        <w:rPr>
          <w:b/>
          <w:bCs/>
        </w:rPr>
        <w:t xml:space="preserve"> </w:t>
      </w:r>
      <w:r>
        <w:rPr>
          <w:b/>
          <w:bCs/>
          <w:smallCaps/>
        </w:rPr>
        <w:t xml:space="preserve">Beveridge</w:t>
      </w:r>
      <w:r>
        <w:rPr>
          <w:b/>
          <w:bCs/>
        </w:rPr>
        <w:t xml:space="preserve">: España, 1994-2022.</w:t>
      </w:r>
      <w:r>
        <w:t xml:space="preserve"> </w:t>
      </w:r>
      <w:r>
        <w:t xml:space="preserve">Con la serie trimestral de vacantes sobre activos y la tasa de paro</w:t>
      </w:r>
      <w:r>
        <w:t xml:space="preserve"> </w:t>
      </w:r>
      <w:r>
        <w:t xml:space="preserve">(</w:t>
      </w:r>
      <w:hyperlink w:anchor="ref_Bosca2023Ucrania">
        <w:r>
          <w:rPr>
            <w:rStyle w:val="Hyperlink"/>
            <w:smallCaps/>
          </w:rPr>
          <w:t xml:space="preserve">Boscá</w:t>
        </w:r>
        <w:r>
          <w:rPr>
            <w:rStyle w:val="Hyperlink"/>
          </w:rPr>
          <w:t xml:space="preserve"> </w:t>
        </w:r>
        <w:r>
          <w:rPr>
            <w:rStyle w:val="Hyperlink"/>
          </w:rPr>
          <w:t xml:space="preserve">et al., 2023</w:t>
        </w:r>
      </w:hyperlink>
      <w:r>
        <w:t xml:space="preserve">;</w:t>
      </w:r>
      <w:r>
        <w:t xml:space="preserve"> </w:t>
      </w:r>
      <w:hyperlink w:anchor="ref_FMI2023ArticuloIV2022">
        <w:r>
          <w:rPr>
            <w:rStyle w:val="Hyperlink"/>
            <w:smallCaps/>
          </w:rPr>
          <w:t xml:space="preserve">Fondo Monetario Internacional</w:t>
        </w:r>
        <w:r>
          <w:rPr>
            <w:rStyle w:val="Hyperlink"/>
          </w:rPr>
          <w:t xml:space="preserve">, 2023b</w:t>
        </w:r>
      </w:hyperlink>
      <w:r>
        <w:t xml:space="preserve">)</w:t>
      </w:r>
      <w:r>
        <w:t xml:space="preserve">:</w:t>
      </w:r>
    </w:p>
    <w:p>
      <w:pPr>
        <w:pStyle w:val="Cajadeanotaciones"/>
        <w:keepNext/>
        <w:keepLines/>
        <w:numPr>
          <w:ilvl w:val="0"/>
          <w:numId w:val="1166"/>
        </w:numPr>
      </w:pPr>
      <w:r>
        <w:t xml:space="preserve">entre 1994 y 2007 la economía recorre la curva hacia arriba y a la izquierda (el paro baja del 22 al 8 % y las vacantes suben): es el ciclo expansivo;</w:t>
      </w:r>
    </w:p>
    <w:p>
      <w:pPr>
        <w:pStyle w:val="Cajadeanotaciones"/>
        <w:keepNext/>
        <w:keepLines/>
        <w:numPr>
          <w:ilvl w:val="0"/>
          <w:numId w:val="1166"/>
        </w:numPr>
      </w:pPr>
      <w:r>
        <w:t xml:space="preserve">entre 2007 y 2009 la curva se</w:t>
      </w:r>
      <w:r>
        <w:t xml:space="preserve"> </w:t>
      </w:r>
      <w:r>
        <w:rPr>
          <w:i/>
          <w:iCs/>
        </w:rPr>
        <w:t xml:space="preserve">desplaza hacia fuera</w:t>
      </w:r>
      <w:r>
        <w:t xml:space="preserve">: más desajuste y peor emparejamiento entre parados y vacantes;</w:t>
      </w:r>
    </w:p>
    <w:p>
      <w:pPr>
        <w:pStyle w:val="Cajadeanotaciones"/>
        <w:keepNext/>
        <w:keepLines/>
        <w:numPr>
          <w:ilvl w:val="0"/>
          <w:numId w:val="1166"/>
        </w:numPr>
      </w:pPr>
      <w:r>
        <w:t xml:space="preserve">entre 2010 y 2013 la economía se mueve</w:t>
      </w:r>
      <w:r>
        <w:t xml:space="preserve"> </w:t>
      </w:r>
      <w:r>
        <w:rPr>
          <w:i/>
          <w:iCs/>
        </w:rPr>
        <w:t xml:space="preserve">a lo largo</w:t>
      </w:r>
      <w:r>
        <w:t xml:space="preserve"> </w:t>
      </w:r>
      <w:r>
        <w:t xml:space="preserve">de la curva hacia abajo (el paro llega al 26 %), por el ciclo;</w:t>
      </w:r>
    </w:p>
    <w:p>
      <w:pPr>
        <w:pStyle w:val="Cajadeanotaciones"/>
        <w:keepNext/>
        <w:keepLines/>
        <w:numPr>
          <w:ilvl w:val="0"/>
          <w:numId w:val="1166"/>
        </w:numPr>
      </w:pPr>
      <w:r>
        <w:t xml:space="preserve">entre 2013 y 2019 deshace el camino hacia el origen: a principios de 2020 la relación entre vacantes y paro era la del ciclo anterior a la Gran Recesión (la más parecida, la de 1999);</w:t>
      </w:r>
    </w:p>
    <w:p>
      <w:pPr>
        <w:pStyle w:val="Cajadeanotaciones"/>
        <w:keepNext/>
        <w:keepLines/>
        <w:numPr>
          <w:ilvl w:val="0"/>
          <w:numId w:val="1166"/>
        </w:numPr>
      </w:pPr>
      <w:r>
        <w:t xml:space="preserve">desde finales de 2021 el mercado está más tensionado que en 2019, y en la segunda mitad de 2022 suben las vacantes (del 0,58 al 0,66 %) con algo más de paro (del 12,5 al 13 %), lo que aleja algo la economía de la curva inicial. La ratio vacantes/parados pasó de 0,03 de media en 2019 a 0,05 a finales de 2022: más presión sobre los salarios y la inflación.</w:t>
      </w:r>
    </w:p>
    <w:p>
      <w:pPr>
        <w:pStyle w:val="Cajadeanotaciones"/>
        <w:keepLines/>
      </w:pPr>
      <w:r>
        <w:rPr>
          <w:b/>
          <w:bCs/>
        </w:rPr>
        <w:t xml:space="preserve">Los fondos europeos en la balanza de pagos.</w:t>
      </w:r>
      <w:r>
        <w:t xml:space="preserve"> </w:t>
      </w:r>
      <w:r>
        <w:t xml:space="preserve">Las subvenciones del Mecanismo de Recuperación y Resiliencia se anotan en 2 momentos: cuando llegan los fondos, en la cuenta financiera (otra inversión del banco central, frente a un pasivo con la Comisión), y cuando se gastan, como transferencia de la Comisión, en la renta secundaria si financian gasto corriente o en la cuenta de capital si financian inversión. Los préstamos del Mecanismo son deuda frente a las instituciones de la UE (otra inversión de las administraciones públicas) y sus intereses van a la renta primaria</w:t>
      </w:r>
      <w:r>
        <w:t xml:space="preserve"> </w:t>
      </w:r>
      <w:r>
        <w:t xml:space="preserve">(</w:t>
      </w:r>
      <w:hyperlink w:anchor="ref_BdE2021NGEU">
        <w:r>
          <w:rPr>
            <w:rStyle w:val="Hyperlink"/>
            <w:smallCaps/>
          </w:rPr>
          <w:t xml:space="preserve">Banco de España</w:t>
        </w:r>
        <w:r>
          <w:rPr>
            <w:rStyle w:val="Hyperlink"/>
          </w:rPr>
          <w:t xml:space="preserve">, 2021</w:t>
        </w:r>
      </w:hyperlink>
      <w:r>
        <w:t xml:space="preserve">)</w:t>
      </w:r>
      <w:r>
        <w:t xml:space="preserve">. Por eso los fondos pueden explicar saltos de la cuenta de capital y de la capacidad de financiación.</w:t>
      </w:r>
    </w:p>
    <w:bookmarkEnd w:id="293"/>
    <w:bookmarkEnd w:id="294"/>
    <w:bookmarkStart w:id="296" w:name="anexo_fmi"/>
    <w:p>
      <w:pPr>
        <w:pStyle w:val="Heading1"/>
      </w:pPr>
      <w:r>
        <w:t xml:space="preserve">F. El FMI: programación financiera y programas</w:t>
      </w:r>
    </w:p>
    <w:p>
      <w:pPr>
        <w:numPr>
          <w:ilvl w:val="0"/>
          <w:numId w:val="1167"/>
        </w:numPr>
      </w:pPr>
      <w:r>
        <w:rPr>
          <w:i/>
          <w:iCs/>
        </w:rPr>
        <w:t xml:space="preserve">Qué es</w:t>
      </w:r>
      <w:r>
        <w:t xml:space="preserve">: un</w:t>
      </w:r>
      <w:r>
        <w:t xml:space="preserve"> </w:t>
      </w:r>
      <w:r>
        <w:rPr>
          <w:i/>
          <w:iCs/>
        </w:rPr>
        <w:t xml:space="preserve">marco</w:t>
      </w:r>
      <w:r>
        <w:t xml:space="preserve"> </w:t>
      </w:r>
      <w:r>
        <w:t xml:space="preserve">(no un modelo de la economía: usa modelos, pero va más allá) para formular políticas fiscales, monetarias y estructurales que mantengan o recuperen la estabilidad macroeconómica: crecimiento duradero, inflación bajo control, sistema financiero sólido, finanzas públicas sin grandes desajustes y resistencia a los choques</w:t>
      </w:r>
      <w:r>
        <w:t xml:space="preserve"> </w:t>
      </w:r>
      <w:r>
        <w:t xml:space="preserve">(</w:t>
      </w:r>
      <w:hyperlink w:anchor="ref_FMI2022edXFPP">
        <w:r>
          <w:rPr>
            <w:rStyle w:val="Hyperlink"/>
            <w:smallCaps/>
          </w:rPr>
          <w:t xml:space="preserve">Fondo Monetario Internacional</w:t>
        </w:r>
        <w:r>
          <w:rPr>
            <w:rStyle w:val="Hyperlink"/>
          </w:rPr>
          <w:t xml:space="preserve">, 2022a</w:t>
        </w:r>
      </w:hyperlink>
      <w:r>
        <w:t xml:space="preserve">)</w:t>
      </w:r>
      <w:r>
        <w:t xml:space="preserve">.</w:t>
      </w:r>
    </w:p>
    <w:p>
      <w:pPr>
        <w:keepNext/>
        <w:numPr>
          <w:ilvl w:val="0"/>
          <w:numId w:val="1167"/>
        </w:numPr>
      </w:pPr>
      <w:r>
        <w:rPr>
          <w:i/>
          <w:iCs/>
        </w:rPr>
        <w:t xml:space="preserve">De qué depende la estabilidad</w:t>
      </w:r>
      <w:r>
        <w:t xml:space="preserve">: de factores externos (crisis de los socios, catástrofes), de factores propios difíciles de cambiar (desarrollo, demografía) y de las políticas, que son lo que se puede modificar:</w:t>
      </w:r>
    </w:p>
    <w:p>
      <w:pPr>
        <w:numPr>
          <w:ilvl w:val="1"/>
          <w:numId w:val="1168"/>
        </w:numPr>
      </w:pPr>
      <w:r>
        <w:rPr>
          <w:i/>
          <w:iCs/>
        </w:rPr>
        <w:t xml:space="preserve">fiscales</w:t>
      </w:r>
      <w:r>
        <w:t xml:space="preserve">: la gestión de los recursos del Estado (impuestos y gasto público);</w:t>
      </w:r>
    </w:p>
    <w:p>
      <w:pPr>
        <w:numPr>
          <w:ilvl w:val="1"/>
          <w:numId w:val="1168"/>
        </w:numPr>
      </w:pPr>
      <w:r>
        <w:rPr>
          <w:i/>
          <w:iCs/>
        </w:rPr>
        <w:t xml:space="preserve">monetarias</w:t>
      </w:r>
      <w:r>
        <w:t xml:space="preserve">: el control de los factores monetarios (tipos de interés, oferta monetaria, tipo de cambio y crédito) para la estabilidad de precios y el crecimiento;</w:t>
      </w:r>
    </w:p>
    <w:p>
      <w:pPr>
        <w:numPr>
          <w:ilvl w:val="1"/>
          <w:numId w:val="1168"/>
        </w:numPr>
      </w:pPr>
      <w:r>
        <w:rPr>
          <w:i/>
          <w:iCs/>
        </w:rPr>
        <w:t xml:space="preserve">estructurales</w:t>
      </w:r>
      <w:r>
        <w:t xml:space="preserve">: las regulaciones e instituciones que determinan cómo funciona la economía.</w:t>
      </w:r>
    </w:p>
    <w:p>
      <w:pPr>
        <w:keepNext/>
        <w:numPr>
          <w:ilvl w:val="0"/>
          <w:numId w:val="1167"/>
        </w:numPr>
      </w:pPr>
      <w:r>
        <w:rPr>
          <w:i/>
          <w:iCs/>
        </w:rPr>
        <w:t xml:space="preserve">Los 2 objetivos</w:t>
      </w:r>
      <w:r>
        <w:t xml:space="preserve">:</w:t>
      </w:r>
    </w:p>
    <w:p>
      <w:pPr>
        <w:numPr>
          <w:ilvl w:val="1"/>
          <w:numId w:val="1169"/>
        </w:numPr>
      </w:pPr>
      <w:r>
        <w:rPr>
          <w:i/>
          <w:iCs/>
        </w:rPr>
        <w:t xml:space="preserve">equilibrio interno</w:t>
      </w:r>
      <w:r>
        <w:t xml:space="preserve">: producción en su potencial con una inflación baja y estable;</w:t>
      </w:r>
    </w:p>
    <w:p>
      <w:pPr>
        <w:numPr>
          <w:ilvl w:val="1"/>
          <w:numId w:val="1169"/>
        </w:numPr>
      </w:pPr>
      <w:r>
        <w:rPr>
          <w:i/>
          <w:iCs/>
        </w:rPr>
        <w:t xml:space="preserve">equilibrio externo</w:t>
      </w:r>
      <w:r>
        <w:t xml:space="preserve">: una cuenta corriente que se pueda financiar de forma sostenible, con reservas suficientes.</w:t>
      </w:r>
    </w:p>
    <w:p>
      <w:pPr>
        <w:numPr>
          <w:ilvl w:val="0"/>
          <w:numId w:val="1167"/>
        </w:numPr>
      </w:pPr>
      <w:r>
        <w:rPr>
          <w:i/>
          <w:iCs/>
        </w:rPr>
        <w:t xml:space="preserve">Qué los rompe</w:t>
      </w:r>
      <w:r>
        <w:t xml:space="preserve">: una demanda excesiva o insuficiente, que aleja la producción de su potencial o lleva la inflación a niveles demasiado altos o bajos; la incertidumbre, porque el sistema financiero no es sólido o las finanzas públicas no están sanas; una combinación de inflación y tipo de cambio que hace conveniente comprar fuera y poco atractivo exportar, y lleva a desequilibrios externos; y las burbujas en los precios de los activos (como la vivienda). Si se agravan, desembocan en una</w:t>
      </w:r>
      <w:r>
        <w:t xml:space="preserve"> </w:t>
      </w:r>
      <w:r>
        <w:rPr>
          <w:i/>
          <w:iCs/>
        </w:rPr>
        <w:t xml:space="preserve">crisis</w:t>
      </w:r>
      <w:r>
        <w:t xml:space="preserve">: cae la producción, la gente consume menos, sube el paro, quiebran bancos y los activos pierden valor, con lo que se pierden ahorros.</w:t>
      </w:r>
    </w:p>
    <w:p>
      <w:pPr>
        <w:numPr>
          <w:ilvl w:val="0"/>
          <w:numId w:val="1167"/>
        </w:numPr>
      </w:pPr>
      <w:r>
        <w:rPr>
          <w:i/>
          <w:iCs/>
        </w:rPr>
        <w:t xml:space="preserve">Las 4 cuentas y sus vínculos</w:t>
      </w:r>
      <w:r>
        <w:t xml:space="preserve">: la real (producción y gasto), la fiscal (ingresos, gastos y financiación del Estado), la monetaria (balance del banco central y de los bancos) y la exterior (balanza de pagos). Se relacionan por identidades: la necesidad de financiación de la nación es la suma de la de sus sectores (capítulo </w:t>
      </w:r>
      <w:hyperlink w:anchor="sec_exterior">
        <w:r>
          <w:rPr>
            <w:rStyle w:val="Hyperlink"/>
          </w:rPr>
          <w:t xml:space="preserve">IV</w:t>
        </w:r>
      </w:hyperlink>
      <w:r>
        <w:t xml:space="preserve">); el déficit público se financia con deuda interna, externa o con el banco central; la variación de las reservas cambia la base monetaria. Un programa fija metas coherentes para las 4 a la vez</w:t>
      </w:r>
      <w:r>
        <w:t xml:space="preserve"> </w:t>
      </w:r>
      <w:hyperlink r:id="rId144">
        <w:r>
          <w:rPr>
            <w:rStyle w:val="Referenciaatema"/>
          </w:rPr>
          <w:t xml:space="preserve">[ver tema 3.B.22]</w:t>
        </w:r>
      </w:hyperlink>
      <w:r>
        <w:t xml:space="preserve">.</w:t>
      </w:r>
    </w:p>
    <w:bookmarkStart w:id="295" w:name="anexo_programa_fmi"/>
    <w:p>
      <w:pPr>
        <w:pStyle w:val="Heading4"/>
      </w:pPr>
      <w:r>
        <w:t xml:space="preserve">Un programa del FMI</w:t>
      </w:r>
    </w:p>
    <w:p>
      <w:pPr>
        <w:pStyle w:val="Cajadeanotaciones"/>
        <w:keepNext/>
        <w:keepLines/>
      </w:pPr>
      <w:r>
        <w:rPr>
          <w:i/>
          <w:iCs/>
        </w:rPr>
        <w:t xml:space="preserve">Tipos de programa</w:t>
      </w:r>
      <w:r>
        <w:t xml:space="preserve">: acuerdos de derecho de giro (</w:t>
      </w:r>
      <w:r>
        <w:rPr>
          <w:i/>
          <w:iCs/>
        </w:rPr>
        <w:t xml:space="preserve">Stand-By</w:t>
      </w:r>
      <w:r>
        <w:t xml:space="preserve">, problemas de balanza de pagos a corto plazo), Servicio Ampliado (problemas estructurales, plazos más largos), líneas de crédito flexible y de precaución (países con buenos fundamentos, como seguro) y programas concesionarios para los países de renta baja. El desembolso se hace por tramos, si se cumplen criterios cuantitativos (saldo primario, reservas netas, crédito del banco central al Estado) y referencias estructurales</w:t>
      </w:r>
      <w:r>
        <w:t xml:space="preserve"> </w:t>
      </w:r>
      <w:r>
        <w:t xml:space="preserve">(</w:t>
      </w:r>
      <w:hyperlink w:anchor="ref_FMI2025Condicionalidad">
        <w:r>
          <w:rPr>
            <w:rStyle w:val="Hyperlink"/>
            <w:smallCaps/>
          </w:rPr>
          <w:t xml:space="preserve">Fondo Monetario Internacional</w:t>
        </w:r>
        <w:r>
          <w:rPr>
            <w:rStyle w:val="Hyperlink"/>
          </w:rPr>
          <w:t xml:space="preserve">, 2025b</w:t>
        </w:r>
      </w:hyperlink>
      <w:r>
        <w:t xml:space="preserve">)</w:t>
      </w:r>
      <w:r>
        <w:t xml:space="preserve"> </w:t>
      </w:r>
      <w:hyperlink r:id="rId144">
        <w:r>
          <w:rPr>
            <w:rStyle w:val="Referenciaatema"/>
          </w:rPr>
          <w:t xml:space="preserve">[ver tema 3.B.22]</w:t>
        </w:r>
      </w:hyperlink>
      <w:r>
        <w:t xml:space="preserve">.</w:t>
      </w:r>
    </w:p>
    <w:p>
      <w:pPr>
        <w:pStyle w:val="Cajadeanotaciones"/>
        <w:keepNext/>
        <w:keepLines/>
      </w:pPr>
      <w:r>
        <w:rPr>
          <w:i/>
          <w:iCs/>
        </w:rPr>
        <w:t xml:space="preserve">Efecto típico de un programa de ajuste</w:t>
      </w:r>
      <w:r>
        <w:t xml:space="preserve"> </w:t>
      </w:r>
      <w:r>
        <w:t xml:space="preserve">(2021 y 2022):</w:t>
      </w:r>
    </w:p>
    <w:p>
      <w:pPr>
        <w:pStyle w:val="Cajadeanotaciones"/>
        <w:keepNext/>
        <w:keepLines/>
        <w:numPr>
          <w:ilvl w:val="0"/>
          <w:numId w:val="1170"/>
        </w:numPr>
      </w:pPr>
      <w:r>
        <w:rPr>
          <w:i/>
          <w:iCs/>
        </w:rPr>
        <w:t xml:space="preserve">a corto plazo</w:t>
      </w:r>
      <w:r>
        <w:t xml:space="preserve">: menos crecimiento por el ajuste fiscal y la contracción del crédito; sube la ratio de deuda (cae el denominador); mejora la cuenta corriente al caer la absorción; el tipo de cambio se deprecia hacia su nivel de equilibrio y se estabiliza pronto gracias a la financiación del FMI;</w:t>
      </w:r>
    </w:p>
    <w:p>
      <w:pPr>
        <w:pStyle w:val="Cajadeanotaciones"/>
        <w:keepNext/>
        <w:keepLines/>
        <w:numPr>
          <w:ilvl w:val="0"/>
          <w:numId w:val="1170"/>
        </w:numPr>
      </w:pPr>
      <w:r>
        <w:rPr>
          <w:i/>
          <w:iCs/>
        </w:rPr>
        <w:t xml:space="preserve">a medio plazo</w:t>
      </w:r>
      <w:r>
        <w:t xml:space="preserve"> </w:t>
      </w:r>
      <w:r>
        <w:t xml:space="preserve">(de 6 meses a 2 años, según la senda de ajuste): vuelve el crecimiento, se estabiliza la inflación en niveles menores, aumentan las reservas, baja el déficit y se estabiliza la deuda.</w:t>
      </w:r>
    </w:p>
    <w:p>
      <w:pPr>
        <w:pStyle w:val="Cajadeanotaciones"/>
        <w:keepLines/>
      </w:pPr>
      <w:r>
        <w:t xml:space="preserve">Si nada de eso se ve en el cuadro, el programa no se habría cumplido o habría sido insuficiente.</w:t>
      </w:r>
    </w:p>
    <w:bookmarkEnd w:id="295"/>
    <w:bookmarkEnd w:id="296"/>
    <w:bookmarkStart w:id="297" w:name="anexo_espana"/>
    <w:p>
      <w:pPr>
        <w:pStyle w:val="Heading1"/>
      </w:pPr>
      <w:r>
        <w:t xml:space="preserve">G. Un caso: la economía española</w:t>
      </w:r>
    </w:p>
    <w:p>
      <w:pPr>
        <w:numPr>
          <w:ilvl w:val="0"/>
          <w:numId w:val="1171"/>
        </w:numPr>
      </w:pPr>
      <w:r>
        <w:rPr>
          <w:i/>
          <w:iCs/>
        </w:rPr>
        <w:t xml:space="preserve">Para qué</w:t>
      </w:r>
      <w:r>
        <w:t xml:space="preserve">: aplicar el método a un país conocido, con datos recientes, como ejercicio. La situación y las políticas de España se estudian en</w:t>
      </w:r>
      <w:r>
        <w:t xml:space="preserve"> </w:t>
      </w:r>
      <w:hyperlink r:id="rId49">
        <w:r>
          <w:rPr>
            <w:rStyle w:val="Referenciaatema"/>
          </w:rPr>
          <w:t xml:space="preserve">[ver tema 4.A.29]</w:t>
        </w:r>
      </w:hyperlink>
      <w:r>
        <w:t xml:space="preserve">.</w:t>
      </w:r>
    </w:p>
    <w:p>
      <w:pPr>
        <w:numPr>
          <w:ilvl w:val="0"/>
          <w:numId w:val="1171"/>
        </w:numPr>
      </w:pPr>
      <w:r>
        <w:rPr>
          <w:i/>
          <w:iCs/>
        </w:rPr>
        <w:t xml:space="preserve">El contexto reciente</w:t>
      </w:r>
      <w:r>
        <w:t xml:space="preserve"> </w:t>
      </w:r>
      <w:r>
        <w:t xml:space="preserve">(útil porque los dictámenes de 2021 a 2026 usan esos años): en 2020 la pandemia fue un choque de oferta (la respuesta sanitaria limitó la movilidad y la producción) que se convirtió en uno de demanda (ahorro forzoso y por precaución). En 2021, con la vacunación, se superó la fase más aguda y la economía se recuperó, frenada por la situación sanitaria, la subida de la energía y los cuellos de botella de la oferta. La inflación repuntó en todo el mundo: primero en las materias primas y los alimentos, con apariencia transitoria, y desde 2022 se extendió al resto de la cesta y se hizo más persistente, agravada por la invasión rusa de Ucrania en febrero de 2022, los cuellos de botella, la caída de la confianza y la del comercio. El impacto fue muy desigual entre países, por su estructura productiva, su acceso a las vacunas, su margen fiscal y su dependencia energética: Estados Unidos recuperó el nivel previo a la pandemia en la primera mitad de 2021, la zona del euro a finales de 2021 y España en el segundo trimestre de 2022</w:t>
      </w:r>
      <w:r>
        <w:t xml:space="preserve"> </w:t>
      </w:r>
      <w:r>
        <w:t xml:space="preserve">(</w:t>
      </w:r>
      <w:hyperlink w:anchor="ref_BEA2026GDP">
        <w:r>
          <w:rPr>
            <w:rStyle w:val="Hyperlink"/>
            <w:smallCaps/>
          </w:rPr>
          <w:t xml:space="preserve">U.S. Bureau of Economic Analysis</w:t>
        </w:r>
        <w:r>
          <w:rPr>
            <w:rStyle w:val="Hyperlink"/>
          </w:rPr>
          <w:t xml:space="preserve">, 2026</w:t>
        </w:r>
      </w:hyperlink>
      <w:r>
        <w:t xml:space="preserve">;</w:t>
      </w:r>
      <w:r>
        <w:t xml:space="preserve"> </w:t>
      </w:r>
      <w:hyperlink w:anchor="ref_Eurostat2026namq10gdp">
        <w:r>
          <w:rPr>
            <w:rStyle w:val="Hyperlink"/>
            <w:smallCaps/>
          </w:rPr>
          <w:t xml:space="preserve">Eurostat</w:t>
        </w:r>
        <w:r>
          <w:rPr>
            <w:rStyle w:val="Hyperlink"/>
          </w:rPr>
          <w:t xml:space="preserve">, 2026d</w:t>
        </w:r>
      </w:hyperlink>
      <w:r>
        <w:t xml:space="preserve">)</w:t>
      </w:r>
      <w:r>
        <w:t xml:space="preserve">.</w:t>
      </w:r>
    </w:p>
    <w:p>
      <w:pPr>
        <w:numPr>
          <w:ilvl w:val="0"/>
          <w:numId w:val="1171"/>
        </w:numPr>
      </w:pPr>
      <w:r>
        <w:rPr>
          <w:i/>
          <w:iCs/>
        </w:rPr>
        <w:t xml:space="preserve">Diagnóstico</w:t>
      </w:r>
      <w:r>
        <w:t xml:space="preserve">: el FMI resumía así su evaluación de 2026: la economía española «siguió creciendo más que la zona del euro pese al impacto adverso de la guerra en Oriente Medio»</w:t>
      </w:r>
      <w:r>
        <w:t xml:space="preserve"> </w:t>
      </w:r>
      <w:r>
        <w:t xml:space="preserve">(</w:t>
      </w:r>
      <w:hyperlink w:anchor="ref_FMI2026ArticuloIV">
        <w:r>
          <w:rPr>
            <w:rStyle w:val="Hyperlink"/>
            <w:smallCaps/>
          </w:rPr>
          <w:t xml:space="preserve">Fondo Monetario Internacional</w:t>
        </w:r>
        <w:r>
          <w:rPr>
            <w:rStyle w:val="Hyperlink"/>
          </w:rPr>
          <w:t xml:space="preserve">, 2026c</w:t>
        </w:r>
      </w:hyperlink>
      <w:r>
        <w:t xml:space="preserve">)</w:t>
      </w:r>
      <w:r>
        <w:t xml:space="preserve">.</w:t>
      </w:r>
    </w:p>
    <w:p>
      <w:pPr>
        <w:keepNext/>
        <w:numPr>
          <w:ilvl w:val="0"/>
          <w:numId w:val="1171"/>
        </w:numPr>
      </w:pPr>
      <w:r>
        <w:rPr>
          <w:i/>
          <w:iCs/>
        </w:rPr>
        <w:t xml:space="preserve">Fortalezas</w:t>
      </w:r>
      <w:r>
        <w:t xml:space="preserve">:</w:t>
      </w:r>
    </w:p>
    <w:p>
      <w:pPr>
        <w:numPr>
          <w:ilvl w:val="1"/>
          <w:numId w:val="1172"/>
        </w:numPr>
      </w:pPr>
      <w:r>
        <w:t xml:space="preserve">crecimiento alto para una economía avanzada: 3,5 % en 2024 y 2,8 % en 2025</w:t>
      </w:r>
      <w:r>
        <w:t xml:space="preserve"> </w:t>
      </w:r>
      <w:r>
        <w:t xml:space="preserve">(</w:t>
      </w:r>
      <w:hyperlink w:anchor="ref_FMI2026ArticuloIV">
        <w:r>
          <w:rPr>
            <w:rStyle w:val="Hyperlink"/>
            <w:smallCaps/>
          </w:rPr>
          <w:t xml:space="preserve">Fondo Monetario Internacional</w:t>
        </w:r>
        <w:r>
          <w:rPr>
            <w:rStyle w:val="Hyperlink"/>
          </w:rPr>
          <w:t xml:space="preserve">, 2026c</w:t>
        </w:r>
      </w:hyperlink>
      <w:r>
        <w:t xml:space="preserve">)</w:t>
      </w:r>
      <w:r>
        <w:t xml:space="preserve">, tras recuperar el nivel de PIB previo a la pandemia en el segundo trimestre de 2022</w:t>
      </w:r>
      <w:r>
        <w:t xml:space="preserve"> </w:t>
      </w:r>
      <w:r>
        <w:t xml:space="preserve">(</w:t>
      </w:r>
      <w:hyperlink w:anchor="ref_Eurostat2026namq10gdp">
        <w:r>
          <w:rPr>
            <w:rStyle w:val="Hyperlink"/>
            <w:smallCaps/>
          </w:rPr>
          <w:t xml:space="preserve">Eurostat</w:t>
        </w:r>
        <w:r>
          <w:rPr>
            <w:rStyle w:val="Hyperlink"/>
          </w:rPr>
          <w:t xml:space="preserve">, 2026d</w:t>
        </w:r>
      </w:hyperlink>
      <w:r>
        <w:t xml:space="preserve">)</w:t>
      </w:r>
      <w:r>
        <w:t xml:space="preserve">;</w:t>
      </w:r>
    </w:p>
    <w:p>
      <w:pPr>
        <w:numPr>
          <w:ilvl w:val="1"/>
          <w:numId w:val="1172"/>
        </w:numPr>
      </w:pPr>
      <w:r>
        <w:t xml:space="preserve">más empleo: la tasa de actividad de 15 a 64 años (74,9 % en 2025) ya está por encima de la media de la OCDE</w:t>
      </w:r>
      <w:r>
        <w:t xml:space="preserve"> </w:t>
      </w:r>
      <w:r>
        <w:t xml:space="preserve">(</w:t>
      </w:r>
      <w:hyperlink w:anchor="ref_Eurostat2026lfsa">
        <w:r>
          <w:rPr>
            <w:rStyle w:val="Hyperlink"/>
            <w:smallCaps/>
          </w:rPr>
          <w:t xml:space="preserve">Eurostat</w:t>
        </w:r>
        <w:r>
          <w:rPr>
            <w:rStyle w:val="Hyperlink"/>
          </w:rPr>
          <w:t xml:space="preserve">, 2026b</w:t>
        </w:r>
      </w:hyperlink>
      <w:r>
        <w:t xml:space="preserve">;</w:t>
      </w:r>
      <w:r>
        <w:t xml:space="preserve"> </w:t>
      </w:r>
      <w:hyperlink w:anchor="ref_OCDE2026LFS">
        <w:r>
          <w:rPr>
            <w:rStyle w:val="Hyperlink"/>
            <w:smallCaps/>
          </w:rPr>
          <w:t xml:space="preserve">OCDE</w:t>
        </w:r>
        <w:r>
          <w:rPr>
            <w:rStyle w:val="Hyperlink"/>
          </w:rPr>
          <w:t xml:space="preserve">, 2026a</w:t>
        </w:r>
      </w:hyperlink>
      <w:r>
        <w:t xml:space="preserve">)</w:t>
      </w:r>
      <w:r>
        <w:t xml:space="preserve">;</w:t>
      </w:r>
    </w:p>
    <w:p>
      <w:pPr>
        <w:numPr>
          <w:ilvl w:val="1"/>
          <w:numId w:val="1172"/>
        </w:numPr>
      </w:pPr>
      <w:r>
        <w:t xml:space="preserve">una economía abierta (exportaciones más importaciones en torno al 70 % del PIB)</w:t>
      </w:r>
      <w:r>
        <w:t xml:space="preserve"> </w:t>
      </w:r>
      <w:r>
        <w:t xml:space="preserve">(</w:t>
      </w:r>
      <w:hyperlink w:anchor="ref_Eurostat2026nama10gdp">
        <w:r>
          <w:rPr>
            <w:rStyle w:val="Hyperlink"/>
            <w:smallCaps/>
          </w:rPr>
          <w:t xml:space="preserve">Eurostat</w:t>
        </w:r>
        <w:r>
          <w:rPr>
            <w:rStyle w:val="Hyperlink"/>
          </w:rPr>
          <w:t xml:space="preserve">, 2026e</w:t>
        </w:r>
      </w:hyperlink>
      <w:r>
        <w:t xml:space="preserve">)</w:t>
      </w:r>
      <w:r>
        <w:t xml:space="preserve">;</w:t>
      </w:r>
    </w:p>
    <w:p>
      <w:pPr>
        <w:numPr>
          <w:ilvl w:val="1"/>
          <w:numId w:val="1172"/>
        </w:numPr>
      </w:pPr>
      <w:r>
        <w:t xml:space="preserve">una banca rentable (ROE del 16 % a mediados de 2026)</w:t>
      </w:r>
      <w:r>
        <w:t xml:space="preserve"> </w:t>
      </w:r>
      <w:r>
        <w:t xml:space="preserve">(</w:t>
      </w:r>
      <w:hyperlink w:anchor="ref_BdE2026EstadSupervisoras">
        <w:r>
          <w:rPr>
            <w:rStyle w:val="Hyperlink"/>
            <w:smallCaps/>
          </w:rPr>
          <w:t xml:space="preserve">Banco de España</w:t>
        </w:r>
        <w:r>
          <w:rPr>
            <w:rStyle w:val="Hyperlink"/>
          </w:rPr>
          <w:t xml:space="preserve">, 2026a</w:t>
        </w:r>
      </w:hyperlink>
      <w:r>
        <w:t xml:space="preserve">)</w:t>
      </w:r>
      <w:r>
        <w:t xml:space="preserve">.</w:t>
      </w:r>
    </w:p>
    <w:p>
      <w:pPr>
        <w:keepNext/>
        <w:numPr>
          <w:ilvl w:val="0"/>
          <w:numId w:val="1171"/>
        </w:numPr>
      </w:pPr>
      <w:r>
        <w:rPr>
          <w:i/>
          <w:iCs/>
        </w:rPr>
        <w:t xml:space="preserve">Debilidades</w:t>
      </w:r>
      <w:r>
        <w:t xml:space="preserve">:</w:t>
      </w:r>
    </w:p>
    <w:p>
      <w:pPr>
        <w:numPr>
          <w:ilvl w:val="1"/>
          <w:numId w:val="1173"/>
        </w:numPr>
      </w:pPr>
      <w:r>
        <w:t xml:space="preserve">el paro sigue siendo alto (10,5 % en 2025) con muy pocas vacantes, una curva de</w:t>
      </w:r>
      <w:r>
        <w:t xml:space="preserve"> </w:t>
      </w:r>
      <w:r>
        <w:rPr>
          <w:smallCaps/>
        </w:rPr>
        <w:t xml:space="preserve">Beveridge</w:t>
      </w:r>
      <w:r>
        <w:t xml:space="preserve"> </w:t>
      </w:r>
      <w:r>
        <w:t xml:space="preserve">lejos del origen</w:t>
      </w:r>
      <w:r>
        <w:t xml:space="preserve"> </w:t>
      </w:r>
      <w:r>
        <w:t xml:space="preserve">(</w:t>
      </w:r>
      <w:hyperlink w:anchor="ref_Eurostat2026une">
        <w:r>
          <w:rPr>
            <w:rStyle w:val="Hyperlink"/>
            <w:smallCaps/>
          </w:rPr>
          <w:t xml:space="preserve">Eurostat</w:t>
        </w:r>
        <w:r>
          <w:rPr>
            <w:rStyle w:val="Hyperlink"/>
          </w:rPr>
          <w:t xml:space="preserve">, 2026i</w:t>
        </w:r>
      </w:hyperlink>
      <w:r>
        <w:t xml:space="preserve">,</w:t>
      </w:r>
      <w:r>
        <w:t xml:space="preserve"> </w:t>
      </w:r>
      <w:hyperlink w:anchor="ref_Eurostat2026jvs">
        <w:r>
          <w:rPr>
            <w:rStyle w:val="Hyperlink"/>
          </w:rPr>
          <w:t xml:space="preserve">2026h</w:t>
        </w:r>
      </w:hyperlink>
      <w:r>
        <w:t xml:space="preserve">)</w:t>
      </w:r>
      <w:r>
        <w:t xml:space="preserve">;</w:t>
      </w:r>
    </w:p>
    <w:p>
      <w:pPr>
        <w:numPr>
          <w:ilvl w:val="1"/>
          <w:numId w:val="1173"/>
        </w:numPr>
      </w:pPr>
      <w:r>
        <w:t xml:space="preserve">productividad que crece poco: desde 2019 el PIB por persona en edad de trabajar ha subido sobre todo por más horas por persona y poco por la productividad por hora (gráfico </w:t>
      </w:r>
      <w:hyperlink w:anchor="fig_pib_por_pet">
        <w:r>
          <w:rPr>
            <w:rStyle w:val="Hyperlink"/>
          </w:rPr>
          <w:t xml:space="preserve">11</w:t>
        </w:r>
      </w:hyperlink>
      <w:r>
        <w:t xml:space="preserve">);</w:t>
      </w:r>
    </w:p>
    <w:p>
      <w:pPr>
        <w:numPr>
          <w:ilvl w:val="1"/>
          <w:numId w:val="1173"/>
        </w:numPr>
      </w:pPr>
      <w:r>
        <w:t xml:space="preserve">cuentas públicas con déficit (2,5 % del PIB en 2025) y deuda alta, ante el gasto del envejecimiento</w:t>
      </w:r>
      <w:r>
        <w:t xml:space="preserve"> </w:t>
      </w:r>
      <w:r>
        <w:t xml:space="preserve">(</w:t>
      </w:r>
      <w:hyperlink w:anchor="ref_FMI2026ArticuloIV">
        <w:r>
          <w:rPr>
            <w:rStyle w:val="Hyperlink"/>
            <w:smallCaps/>
          </w:rPr>
          <w:t xml:space="preserve">Fondo Monetario Internacional</w:t>
        </w:r>
        <w:r>
          <w:rPr>
            <w:rStyle w:val="Hyperlink"/>
          </w:rPr>
          <w:t xml:space="preserve">, 2026c</w:t>
        </w:r>
      </w:hyperlink>
      <w:r>
        <w:t xml:space="preserve">;</w:t>
      </w:r>
      <w:r>
        <w:t xml:space="preserve"> </w:t>
      </w:r>
      <w:hyperlink w:anchor="ref_CE2024Envejecimiento">
        <w:r>
          <w:rPr>
            <w:rStyle w:val="Hyperlink"/>
            <w:smallCaps/>
          </w:rPr>
          <w:t xml:space="preserve">Comisión Europea</w:t>
        </w:r>
        <w:r>
          <w:rPr>
            <w:rStyle w:val="Hyperlink"/>
          </w:rPr>
          <w:t xml:space="preserve">, 2024</w:t>
        </w:r>
      </w:hyperlink>
      <w:r>
        <w:t xml:space="preserve">)</w:t>
      </w:r>
      <w:r>
        <w:t xml:space="preserve">;</w:t>
      </w:r>
    </w:p>
    <w:p>
      <w:pPr>
        <w:numPr>
          <w:ilvl w:val="1"/>
          <w:numId w:val="1173"/>
        </w:numPr>
      </w:pPr>
      <w:r>
        <w:t xml:space="preserve">menos capital de máxima calidad en la banca que la media europea (CET1 del 14 %, frente al 16 %)</w:t>
      </w:r>
      <w:r>
        <w:t xml:space="preserve"> </w:t>
      </w:r>
      <w:r>
        <w:t xml:space="preserve">(</w:t>
      </w:r>
      <w:hyperlink w:anchor="ref_BdE2026EstadSupervisoras">
        <w:r>
          <w:rPr>
            <w:rStyle w:val="Hyperlink"/>
            <w:smallCaps/>
          </w:rPr>
          <w:t xml:space="preserve">Banco de España</w:t>
        </w:r>
        <w:r>
          <w:rPr>
            <w:rStyle w:val="Hyperlink"/>
          </w:rPr>
          <w:t xml:space="preserve">, 2026a</w:t>
        </w:r>
      </w:hyperlink>
      <w:r>
        <w:t xml:space="preserve">;</w:t>
      </w:r>
      <w:r>
        <w:t xml:space="preserve"> </w:t>
      </w:r>
      <w:hyperlink w:anchor="ref_ABE2026RiskDashboard">
        <w:r>
          <w:rPr>
            <w:rStyle w:val="Hyperlink"/>
            <w:smallCaps/>
          </w:rPr>
          <w:t xml:space="preserve">European Banking Authority</w:t>
        </w:r>
        <w:r>
          <w:rPr>
            <w:rStyle w:val="Hyperlink"/>
          </w:rPr>
          <w:t xml:space="preserve">, 2026</w:t>
        </w:r>
      </w:hyperlink>
      <w:r>
        <w:t xml:space="preserve">)</w:t>
      </w:r>
      <w:r>
        <w:t xml:space="preserve">.</w:t>
      </w:r>
    </w:p>
    <w:p>
      <w:pPr>
        <w:numPr>
          <w:ilvl w:val="0"/>
          <w:numId w:val="1171"/>
        </w:numPr>
      </w:pPr>
      <w:r>
        <w:rPr>
          <w:i/>
          <w:iCs/>
        </w:rPr>
        <w:t xml:space="preserve">Recomendaciones</w:t>
      </w:r>
      <w:r>
        <w:t xml:space="preserve"> </w:t>
      </w:r>
      <w:r>
        <w:t xml:space="preserve">(tabla </w:t>
      </w:r>
      <w:hyperlink w:anchor="tab_recomendaciones">
        <w:r>
          <w:rPr>
            <w:rStyle w:val="Hyperlink"/>
          </w:rPr>
          <w:t xml:space="preserve">3</w:t>
        </w:r>
      </w:hyperlink>
      <w:r>
        <w:t xml:space="preserve">): un ajuste fiscal gradual (el FMI proponía unos 0,5 puntos del PIB al año entre 2026 y 2030)</w:t>
      </w:r>
      <w:r>
        <w:t xml:space="preserve"> </w:t>
      </w:r>
      <w:r>
        <w:t xml:space="preserve">(</w:t>
      </w:r>
      <w:hyperlink w:anchor="ref_FMI2026ArticuloIV">
        <w:r>
          <w:rPr>
            <w:rStyle w:val="Hyperlink"/>
            <w:smallCaps/>
          </w:rPr>
          <w:t xml:space="preserve">Fondo Monetario Internacional</w:t>
        </w:r>
        <w:r>
          <w:rPr>
            <w:rStyle w:val="Hyperlink"/>
          </w:rPr>
          <w:t xml:space="preserve">, 2026c</w:t>
        </w:r>
      </w:hyperlink>
      <w:r>
        <w:t xml:space="preserve">)</w:t>
      </w:r>
      <w:r>
        <w:t xml:space="preserve">; políticas activas de empleo y de vivienda que mejoren el emparejamiento; y reformas que eleven la productividad (capital humano, tamaño empresarial, inversión en I+D).</w:t>
      </w:r>
    </w:p>
    <w:bookmarkEnd w:id="297"/>
    <w:bookmarkStart w:id="312" w:name="anexo_metodo"/>
    <w:p>
      <w:pPr>
        <w:pStyle w:val="Heading1"/>
      </w:pPr>
      <w:r>
        <w:t xml:space="preserve">H. El ejercicio y el método</w:t>
      </w:r>
    </w:p>
    <w:p>
      <w:pPr>
        <w:numPr>
          <w:ilvl w:val="0"/>
          <w:numId w:val="1174"/>
        </w:numPr>
      </w:pPr>
      <w:r>
        <w:t xml:space="preserve">Este anexo recoge lo que se refiere al examen: qué es, cómo se califica, qué valora el tribunal, cómo se reparte el tiempo, cómo se lee el cuadernillo, cómo se redacta, qué errores evitar y la matriz de fortalezas y debilidades. La conclusión por adelantado: el dictamen se gana</w:t>
      </w:r>
      <w:r>
        <w:t xml:space="preserve"> </w:t>
      </w:r>
      <w:r>
        <w:rPr>
          <w:i/>
          <w:iCs/>
        </w:rPr>
        <w:t xml:space="preserve">antes</w:t>
      </w:r>
      <w:r>
        <w:t xml:space="preserve"> </w:t>
      </w:r>
      <w:r>
        <w:t xml:space="preserve">de escribir, en los 10-12 primeros minutos de lectura, y</w:t>
      </w:r>
      <w:r>
        <w:t xml:space="preserve"> </w:t>
      </w:r>
      <w:r>
        <w:rPr>
          <w:i/>
          <w:iCs/>
        </w:rPr>
        <w:t xml:space="preserve">mientras</w:t>
      </w:r>
      <w:r>
        <w:t xml:space="preserve"> </w:t>
      </w:r>
      <w:r>
        <w:t xml:space="preserve">se escribe, con unas reglas de reparto del tiempo decididas en casa y aplicadas con flexibilidad en el examen.</w:t>
      </w:r>
    </w:p>
    <w:bookmarkStart w:id="299" w:name="anexo_ejercicio"/>
    <w:p>
      <w:pPr>
        <w:pStyle w:val="Heading2"/>
      </w:pPr>
      <w:r>
        <w:t xml:space="preserve">H.1. Qué es el ejercicio y cómo se califica</w:t>
      </w:r>
    </w:p>
    <w:p>
      <w:pPr>
        <w:numPr>
          <w:ilvl w:val="0"/>
          <w:numId w:val="1175"/>
        </w:numPr>
      </w:pPr>
      <w:r>
        <w:rPr>
          <w:i/>
          <w:iCs/>
        </w:rPr>
        <w:t xml:space="preserve">Qué dice la convocatoria</w:t>
      </w:r>
      <w:r>
        <w:t xml:space="preserve">: la segunda parte del primer ejercicio «será de carácter práctico y consistirá en la elaboración por escrito de un dictamen sobre un escenario macroeconómico con las informaciones o datos que hayan sido suministrados por el Tribunal. La duración máxima de esta segunda parte será de una hora y cuarenta y cinco minutos»</w:t>
      </w:r>
      <w:r>
        <w:t xml:space="preserve"> </w:t>
      </w:r>
      <w:r>
        <w:t xml:space="preserve">(</w:t>
      </w:r>
      <w:hyperlink w:anchor="ref_BOE2025ConvocatoriaTCEE">
        <w:r>
          <w:rPr>
            <w:rStyle w:val="Hyperlink"/>
            <w:smallCaps/>
          </w:rPr>
          <w:t xml:space="preserve">Ministerio de Economía, Comercio y Empresa</w:t>
        </w:r>
        <w:r>
          <w:rPr>
            <w:rStyle w:val="Hyperlink"/>
          </w:rPr>
          <w:t xml:space="preserve">, 2025</w:t>
        </w:r>
      </w:hyperlink>
      <w:r>
        <w:t xml:space="preserve">)</w:t>
      </w:r>
      <w:r>
        <w:t xml:space="preserve">. El texto es el mismo que el de la convocatoria anterior</w:t>
      </w:r>
      <w:r>
        <w:t xml:space="preserve"> </w:t>
      </w:r>
      <w:r>
        <w:t xml:space="preserve">(</w:t>
      </w:r>
      <w:hyperlink w:anchor="ref_BOE2024ConvocatoriaTCEE">
        <w:r>
          <w:rPr>
            <w:rStyle w:val="Hyperlink"/>
            <w:smallCaps/>
          </w:rPr>
          <w:t xml:space="preserve">Ministerio de Economía, Comercio y Empresa</w:t>
        </w:r>
        <w:r>
          <w:rPr>
            <w:rStyle w:val="Hyperlink"/>
          </w:rPr>
          <w:t xml:space="preserve">, 2024</w:t>
        </w:r>
      </w:hyperlink>
      <w:r>
        <w:t xml:space="preserve">)</w:t>
      </w:r>
      <w:r>
        <w:t xml:space="preserve">.</w:t>
      </w:r>
    </w:p>
    <w:p>
      <w:pPr>
        <w:keepNext/>
        <w:numPr>
          <w:ilvl w:val="0"/>
          <w:numId w:val="1175"/>
        </w:numPr>
      </w:pPr>
      <w:r>
        <w:rPr>
          <w:i/>
          <w:iCs/>
        </w:rPr>
        <w:t xml:space="preserve">Qué trae el cuadernillo</w:t>
      </w:r>
      <w:r>
        <w:t xml:space="preserve">:</w:t>
      </w:r>
    </w:p>
    <w:p>
      <w:pPr>
        <w:numPr>
          <w:ilvl w:val="1"/>
          <w:numId w:val="1176"/>
        </w:numPr>
      </w:pPr>
      <w:r>
        <w:t xml:space="preserve">un cuadro macroeconómico de unos 8-12 años (a veces con previsiones), con el PIB y sus componentes, el mercado de trabajo, los precios, el sector exterior, las cuentas públicas y los tipos de interés;</w:t>
      </w:r>
    </w:p>
    <w:p>
      <w:pPr>
        <w:numPr>
          <w:ilvl w:val="1"/>
          <w:numId w:val="1176"/>
        </w:numPr>
      </w:pPr>
      <w:r>
        <w:t xml:space="preserve">gráficos (indicadores de alta frecuencia, tipo de cambio, balance del banco central, curva de</w:t>
      </w:r>
      <w:r>
        <w:t xml:space="preserve"> </w:t>
      </w:r>
      <w:r>
        <w:rPr>
          <w:smallCaps/>
        </w:rPr>
        <w:t xml:space="preserve">Beveridge</w:t>
      </w:r>
      <w:r>
        <w:t xml:space="preserve">, aranceles…);</w:t>
      </w:r>
    </w:p>
    <w:p>
      <w:pPr>
        <w:numPr>
          <w:ilvl w:val="1"/>
          <w:numId w:val="1176"/>
        </w:numPr>
      </w:pPr>
      <w:r>
        <w:t xml:space="preserve">a veces, unas líneas de contexto: régimen cambiario, objetivo de inflación, pertenencia al euro o al G-20, un programa del FMI, un sector dominante;</w:t>
      </w:r>
    </w:p>
    <w:p>
      <w:pPr>
        <w:numPr>
          <w:ilvl w:val="1"/>
          <w:numId w:val="1176"/>
        </w:numPr>
      </w:pPr>
      <w:r>
        <w:t xml:space="preserve">5 o 6 preguntas con subpreguntas (desde 2023)</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p>
      <w:pPr>
        <w:numPr>
          <w:ilvl w:val="0"/>
          <w:numId w:val="1175"/>
        </w:numPr>
      </w:pPr>
      <w:r>
        <w:rPr>
          <w:i/>
          <w:iCs/>
        </w:rPr>
        <w:t xml:space="preserve">Cómo se escribe</w:t>
      </w:r>
      <w:r>
        <w:t xml:space="preserve">: a mano, en hojas autocopiativas, con bolígrafo azul o negro y sin calculadora. No se pueden usar abreviaturas personales, porque la lectura es literal: en 2022 solo se permitían las siglas PIB e IPC, y en 2026 las del enunciado y las convencionales del análisis económico (PIB, pp, pb, FMI); las demás se escriben completas</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p>
      <w:pPr>
        <w:keepNext/>
        <w:numPr>
          <w:ilvl w:val="0"/>
          <w:numId w:val="1175"/>
        </w:numPr>
      </w:pPr>
      <w:r>
        <w:rPr>
          <w:i/>
          <w:iCs/>
        </w:rPr>
        <w:t xml:space="preserve">Las normas de la sala</w:t>
      </w:r>
      <w:r>
        <w:t xml:space="preserve"> </w:t>
      </w:r>
      <w:r>
        <w:t xml:space="preserve">(instrucciones del examen de 2022, que se repiten con pocos cambios)</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p>
      <w:pPr>
        <w:numPr>
          <w:ilvl w:val="1"/>
          <w:numId w:val="1177"/>
        </w:numPr>
      </w:pPr>
      <w:r>
        <w:t xml:space="preserve">no se da la vuelta al cuadernillo hasta que lo indique el tribunal, so pena de eliminación;</w:t>
      </w:r>
    </w:p>
    <w:p>
      <w:pPr>
        <w:numPr>
          <w:ilvl w:val="1"/>
          <w:numId w:val="1177"/>
        </w:numPr>
      </w:pPr>
      <w:r>
        <w:t xml:space="preserve">nombre y apellidos en la parte superior de cada hoja, antes de que acabe la prueba, y hojas numeradas;</w:t>
      </w:r>
    </w:p>
    <w:p>
      <w:pPr>
        <w:numPr>
          <w:ilvl w:val="1"/>
          <w:numId w:val="1177"/>
        </w:numPr>
      </w:pPr>
      <w:r>
        <w:t xml:space="preserve">el tribunal no contesta preguntas: en caso de duda, cada aspirante interpreta lo que está escrito;</w:t>
      </w:r>
    </w:p>
    <w:p>
      <w:pPr>
        <w:numPr>
          <w:ilvl w:val="1"/>
          <w:numId w:val="1177"/>
        </w:numPr>
      </w:pPr>
      <w:r>
        <w:t xml:space="preserve">no se puede salir de la sala en los 10 primeros ni en los 10 últimos minutos (para salir, se levanta la mano y se espera a que recojan las hojas);</w:t>
      </w:r>
    </w:p>
    <w:p>
      <w:pPr>
        <w:numPr>
          <w:ilvl w:val="1"/>
          <w:numId w:val="1177"/>
        </w:numPr>
      </w:pPr>
      <w:r>
        <w:t xml:space="preserve">al anunciarse el final hay que dejar de escribir inmediatamente, también so pena de eliminación;</w:t>
      </w:r>
    </w:p>
    <w:p>
      <w:pPr>
        <w:numPr>
          <w:ilvl w:val="1"/>
          <w:numId w:val="1177"/>
        </w:numPr>
      </w:pPr>
      <w:r>
        <w:t xml:space="preserve">las hojas se meten en un sobre cerrado, con el nombre delante y la firma por detrás, abarcando la solapa y el sobre, que se abre delante del aspirante el día de su lectura;</w:t>
      </w:r>
    </w:p>
    <w:p>
      <w:pPr>
        <w:numPr>
          <w:ilvl w:val="1"/>
          <w:numId w:val="1177"/>
        </w:numPr>
      </w:pPr>
      <w:r>
        <w:t xml:space="preserve">tapones sí, cascos no; móviles y dispositivos, apagados y lejos.</w:t>
      </w:r>
    </w:p>
    <w:p>
      <w:pPr>
        <w:numPr>
          <w:ilvl w:val="0"/>
          <w:numId w:val="1175"/>
        </w:numPr>
      </w:pPr>
      <w:r>
        <w:rPr>
          <w:i/>
          <w:iCs/>
        </w:rPr>
        <w:t xml:space="preserve">La lectura</w:t>
      </w:r>
      <w:r>
        <w:t xml:space="preserve">: quienes superan el test leen el dictamen en sesión pública y el tribunal puede hacer preguntas «durante un período máximo de quince minutos»</w:t>
      </w:r>
      <w:r>
        <w:t xml:space="preserve"> </w:t>
      </w:r>
      <w:r>
        <w:t xml:space="preserve">(</w:t>
      </w:r>
      <w:hyperlink w:anchor="ref_BOE2025ConvocatoriaTCEE">
        <w:r>
          <w:rPr>
            <w:rStyle w:val="Hyperlink"/>
            <w:smallCaps/>
          </w:rPr>
          <w:t xml:space="preserve">Ministerio de Economía, Comercio y Empresa</w:t>
        </w:r>
        <w:r>
          <w:rPr>
            <w:rStyle w:val="Hyperlink"/>
          </w:rPr>
          <w:t xml:space="preserve">, 2025</w:t>
        </w:r>
      </w:hyperlink>
      <w:r>
        <w:t xml:space="preserve">)</w:t>
      </w:r>
      <w:r>
        <w:t xml:space="preserve">.</w:t>
      </w:r>
    </w:p>
    <w:p>
      <w:pPr>
        <w:numPr>
          <w:ilvl w:val="0"/>
          <w:numId w:val="1175"/>
        </w:numPr>
      </w:pPr>
      <w:r>
        <w:rPr>
          <w:i/>
          <w:iCs/>
        </w:rPr>
        <w:t xml:space="preserve">Calificación</w:t>
      </w:r>
      <w:r>
        <w:t xml:space="preserve">: el dictamen se puntúa de 0 a 10 y hay que obtener al menos un 4; el primer ejercicio exige, además, 12 de los 30 puntos del conjunto (test, 0-20; dictamen, 0-10). Solo leen el dictamen quienes superan en el test la nota que fije el tribunal, que no puede ser inferior a 8</w:t>
      </w:r>
      <w:r>
        <w:t xml:space="preserve"> </w:t>
      </w:r>
      <w:r>
        <w:t xml:space="preserve">(</w:t>
      </w:r>
      <w:hyperlink w:anchor="ref_BOE2025ConvocatoriaTCEE">
        <w:r>
          <w:rPr>
            <w:rStyle w:val="Hyperlink"/>
            <w:smallCaps/>
          </w:rPr>
          <w:t xml:space="preserve">Ministerio de Economía, Comercio y Empresa</w:t>
        </w:r>
        <w:r>
          <w:rPr>
            <w:rStyle w:val="Hyperlink"/>
          </w:rPr>
          <w:t xml:space="preserve">, 2025</w:t>
        </w:r>
      </w:hyperlink>
      <w:r>
        <w:t xml:space="preserve">)</w:t>
      </w:r>
      <w:r>
        <w:t xml:space="preserve">.</w:t>
      </w:r>
    </w:p>
    <w:p>
      <w:pPr>
        <w:numPr>
          <w:ilvl w:val="0"/>
          <w:numId w:val="1175"/>
        </w:numPr>
      </w:pPr>
      <w:r>
        <w:rPr>
          <w:i/>
          <w:iCs/>
        </w:rPr>
        <w:t xml:space="preserve">El formato cambia</w:t>
      </w:r>
      <w:r>
        <w:t xml:space="preserve">: en 15 años el tiempo ha pasado de 2 horas a 2 horas y 15 minutos y luego a 1 hora y 45 minutos, y el número de preguntas, de 7-10 a 5-6 (tabla </w:t>
      </w:r>
      <w:hyperlink w:anchor="tab_formato">
        <w:r>
          <w:rPr>
            <w:rStyle w:val="Hyperlink"/>
          </w:rPr>
          <w:t xml:space="preserve">13</w:t>
        </w:r>
      </w:hyperlink>
      <w:r>
        <w:t xml:space="preserve">). La guía, por eso, da reglas que valen para cualquier formato y no un horario cerrado.</w:t>
      </w:r>
    </w:p>
    <w:bookmarkStart w:id="298" w:name="tab_formato"/>
    <w:p>
      <w:pPr>
        <w:pStyle w:val="TableCaption"/>
      </w:pPr>
      <w:r>
        <w:t xml:space="preserve">Tabla 13.–</w:t>
      </w:r>
      <w:r>
        <w:t xml:space="preserve"> </w:t>
      </w:r>
      <w:r>
        <w:t xml:space="preserve">Formato del dictamen en las convocatorias de 2011 a 2026</w:t>
      </w:r>
    </w:p>
    <w:tbl>
      <w:tblPr>
        <w:tblStyle w:val="Table"/>
        <w:tblW w:type="auto" w:w="0"/>
        <w:tblLook w:firstRow="1" w:lastRow="0" w:firstColumn="0" w:lastColumn="0" w:noHBand="0" w:noVBand="0" w:val="0020"/>
        <w:tblCaption w:val="Tabla 13.– Formato del dictamen en las convocatorias de 2011 a 2026"/>
      </w:tblPr>
      <w:tblGrid>
        <w:gridCol w:w="1584"/>
        <w:gridCol w:w="1584"/>
        <w:gridCol w:w="1584"/>
        <w:gridCol w:w="1584"/>
        <w:gridCol w:w="1584"/>
      </w:tblGrid>
      <w:tr>
        <w:trPr>
          <w:cantSplit/>
          <w:tblHeader w:val="on"/>
        </w:trPr>
        <w:tc>
          <w:tcPr>
            <w:shd w:val="clear" w:color="auto" w:fill="DDEBF7"/>
            <w:vAlign w:val="center"/>
          </w:tcPr>
          <w:p>
            <w:pPr>
              <w:pStyle w:val="Celdatceeazulpalido"/>
              <w:keepNext/>
              <w:jc w:val="left"/>
            </w:pPr>
            <w:r>
              <w:t xml:space="preserve"> </w:t>
            </w:r>
            <w:r>
              <w:rPr>
                <w:b/>
                <w:bCs/>
              </w:rPr>
              <w:t xml:space="preserve">Examen</w:t>
            </w:r>
          </w:p>
        </w:tc>
        <w:tc>
          <w:tcPr>
            <w:shd w:val="clear" w:color="auto" w:fill="DDEBF7"/>
            <w:vAlign w:val="center"/>
          </w:tcPr>
          <w:p>
            <w:pPr>
              <w:pStyle w:val="Celdatceeazulpalido"/>
              <w:keepNext/>
              <w:jc w:val="center"/>
            </w:pPr>
            <w:r>
              <w:rPr>
                <w:b/>
                <w:bCs/>
              </w:rPr>
              <w:t xml:space="preserve">Tiempo</w:t>
            </w:r>
          </w:p>
        </w:tc>
        <w:tc>
          <w:tcPr>
            <w:shd w:val="clear" w:color="auto" w:fill="DDEBF7"/>
            <w:vAlign w:val="center"/>
          </w:tcPr>
          <w:p>
            <w:pPr>
              <w:pStyle w:val="Celdatceeazulpalido"/>
              <w:keepNext/>
              <w:jc w:val="center"/>
            </w:pPr>
            <w:r>
              <w:rPr>
                <w:b/>
                <w:bCs/>
              </w:rPr>
              <w:t xml:space="preserve">Preguntas</w:t>
            </w:r>
          </w:p>
        </w:tc>
        <w:tc>
          <w:tcPr>
            <w:shd w:val="clear" w:color="auto" w:fill="DDEBF7"/>
            <w:vAlign w:val="center"/>
          </w:tcPr>
          <w:p>
            <w:pPr>
              <w:pStyle w:val="Celdatceeazulpalido"/>
              <w:keepNext/>
              <w:jc w:val="center"/>
            </w:pPr>
            <w:r>
              <w:rPr>
                <w:b/>
                <w:bCs/>
              </w:rPr>
              <w:t xml:space="preserve">Puntos por pregunta</w:t>
            </w:r>
          </w:p>
        </w:tc>
        <w:tc>
          <w:tcPr>
            <w:shd w:val="clear" w:color="auto" w:fill="DDEBF7"/>
            <w:vAlign w:val="center"/>
          </w:tcPr>
          <w:p>
            <w:pPr>
              <w:pStyle w:val="Celdatceeazulpalido"/>
              <w:keepNext/>
              <w:jc w:val="left"/>
            </w:pPr>
            <w:r>
              <w:rPr>
                <w:b/>
                <w:bCs/>
              </w:rPr>
              <w:t xml:space="preserve">Rasgos</w:t>
            </w:r>
          </w:p>
        </w:tc>
      </w:tr>
      <w:tr>
        <w:trPr>
          <w:cantSplit/>
        </w:trPr>
        <w:tc>
          <w:tcPr>
            <w:shd w:val="clear" w:color="auto" w:fill="E2EFD9"/>
            <w:vAlign w:val="center"/>
          </w:tcPr>
          <w:p>
            <w:pPr>
              <w:pStyle w:val="Celdatceesalvia"/>
              <w:jc w:val="left"/>
            </w:pPr>
            <w:r>
              <w:t xml:space="preserve"> </w:t>
            </w:r>
            <w:r>
              <w:t xml:space="preserve">2023, 2024, 2025, 2026</w:t>
            </w:r>
          </w:p>
        </w:tc>
        <w:tc>
          <w:tcPr>
            <w:shd w:val="clear" w:color="auto" w:fill="E2EFD9"/>
            <w:vAlign w:val="center"/>
          </w:tcPr>
          <w:p>
            <w:pPr>
              <w:pStyle w:val="Celdatceesalvia"/>
              <w:jc w:val="center"/>
            </w:pPr>
            <w:r>
              <w:t xml:space="preserve">1 h 45 min</w:t>
            </w:r>
          </w:p>
        </w:tc>
        <w:tc>
          <w:tcPr>
            <w:shd w:val="clear" w:color="auto" w:fill="E2EFD9"/>
            <w:vAlign w:val="center"/>
          </w:tcPr>
          <w:p>
            <w:pPr>
              <w:pStyle w:val="Celdatceesalvia"/>
              <w:jc w:val="center"/>
            </w:pPr>
            <w:r>
              <w:t xml:space="preserve">5-6</w:t>
            </w:r>
          </w:p>
        </w:tc>
        <w:tc>
          <w:tcPr>
            <w:shd w:val="clear" w:color="auto" w:fill="E2EFD9"/>
            <w:vAlign w:val="center"/>
          </w:tcPr>
          <w:p>
            <w:pPr>
              <w:pStyle w:val="Celdatceesalvia"/>
              <w:jc w:val="center"/>
            </w:pPr>
            <w:r>
              <w:t xml:space="preserve">no</w:t>
            </w:r>
          </w:p>
        </w:tc>
        <w:tc>
          <w:tcPr>
            <w:shd w:val="clear" w:color="auto" w:fill="E2EFD9"/>
            <w:vAlign w:val="center"/>
          </w:tcPr>
          <w:p>
            <w:pPr>
              <w:pStyle w:val="Celdatceesalvia"/>
              <w:jc w:val="left"/>
            </w:pPr>
            <w:r>
              <w:t xml:space="preserve">subpreguntas; más peso del porqué; en 2026, abreviaturas solo del enunciado</w:t>
            </w:r>
          </w:p>
        </w:tc>
      </w:tr>
      <w:tr>
        <w:trPr>
          <w:cantSplit/>
        </w:trPr>
        <w:tc>
          <w:tcPr>
            <w:vAlign w:val="center"/>
          </w:tcPr>
          <w:p>
            <w:pPr>
              <w:pStyle w:val="Compact"/>
            </w:pPr>
          </w:p>
        </w:tc>
        <w:tc>
          <w:tcPr>
            <w:vAlign w:val="center"/>
          </w:tcPr>
          <w:p>
            <w:pPr>
              <w:pStyle w:val="Compact"/>
              <w:jc w:val="center"/>
            </w:pPr>
            <w:r>
              <w:t xml:space="preserve">2 h 15 min</w:t>
            </w:r>
          </w:p>
        </w:tc>
        <w:tc>
          <w:tcPr>
            <w:vAlign w:val="center"/>
          </w:tcPr>
          <w:p>
            <w:pPr>
              <w:pStyle w:val="Compact"/>
              <w:jc w:val="center"/>
            </w:pPr>
            <w:r>
              <w:t xml:space="preserve">7</w:t>
            </w:r>
          </w:p>
        </w:tc>
        <w:tc>
          <w:tcPr>
            <w:vAlign w:val="center"/>
          </w:tcPr>
          <w:p>
            <w:pPr>
              <w:pStyle w:val="Compact"/>
              <w:jc w:val="center"/>
            </w:pPr>
            <w:r>
              <w:t xml:space="preserve">sí (1-2,5)</w:t>
            </w:r>
          </w:p>
        </w:tc>
        <w:tc>
          <w:tcPr>
            <w:vAlign w:val="center"/>
          </w:tcPr>
          <w:p>
            <w:pPr>
              <w:pStyle w:val="Compact"/>
              <w:jc w:val="left"/>
            </w:pPr>
            <w:r>
              <w:t xml:space="preserve">programa del FMI; solo PIB e IPC</w:t>
            </w:r>
          </w:p>
        </w:tc>
      </w:tr>
      <w:tr>
        <w:trPr>
          <w:cantSplit/>
        </w:trPr>
        <w:tc>
          <w:tcPr>
            <w:vAlign w:val="center"/>
          </w:tcPr>
          <w:p>
            <w:pPr>
              <w:pStyle w:val="Compact"/>
            </w:pPr>
          </w:p>
        </w:tc>
        <w:tc>
          <w:tcPr>
            <w:vAlign w:val="center"/>
          </w:tcPr>
          <w:p>
            <w:pPr>
              <w:pStyle w:val="Compact"/>
              <w:jc w:val="center"/>
            </w:pPr>
            <w:r>
              <w:t xml:space="preserve">2 h 15 min</w:t>
            </w:r>
          </w:p>
        </w:tc>
        <w:tc>
          <w:tcPr>
            <w:vAlign w:val="center"/>
          </w:tcPr>
          <w:p>
            <w:pPr>
              <w:pStyle w:val="Compact"/>
              <w:jc w:val="center"/>
            </w:pPr>
            <w:r>
              <w:t xml:space="preserve">6</w:t>
            </w:r>
          </w:p>
        </w:tc>
        <w:tc>
          <w:tcPr>
            <w:vAlign w:val="center"/>
          </w:tcPr>
          <w:p>
            <w:pPr>
              <w:pStyle w:val="Compact"/>
              <w:jc w:val="center"/>
            </w:pPr>
            <w:r>
              <w:t xml:space="preserve">sí (1-2)</w:t>
            </w:r>
          </w:p>
        </w:tc>
        <w:tc>
          <w:tcPr>
            <w:vAlign w:val="center"/>
          </w:tcPr>
          <w:p>
            <w:pPr>
              <w:pStyle w:val="Compact"/>
              <w:jc w:val="left"/>
            </w:pPr>
            <w:r>
              <w:t xml:space="preserve">país del G-20 con flotación sucia</w:t>
            </w:r>
          </w:p>
        </w:tc>
      </w:tr>
      <w:tr>
        <w:trPr>
          <w:cantSplit/>
        </w:trPr>
        <w:tc>
          <w:tcPr>
            <w:vAlign w:val="center"/>
          </w:tcPr>
          <w:p>
            <w:pPr>
              <w:pStyle w:val="Compact"/>
            </w:pPr>
          </w:p>
        </w:tc>
        <w:tc>
          <w:tcPr>
            <w:vAlign w:val="center"/>
          </w:tcPr>
          <w:p>
            <w:pPr>
              <w:pStyle w:val="Compact"/>
              <w:jc w:val="center"/>
            </w:pPr>
            <w:r>
              <w:t xml:space="preserve">2 h 15 min</w:t>
            </w:r>
          </w:p>
        </w:tc>
        <w:tc>
          <w:tcPr>
            <w:vAlign w:val="center"/>
          </w:tcPr>
          <w:p>
            <w:pPr>
              <w:pStyle w:val="Compact"/>
              <w:jc w:val="center"/>
            </w:pPr>
            <w:r>
              <w:t xml:space="preserve">7</w:t>
            </w:r>
          </w:p>
        </w:tc>
        <w:tc>
          <w:tcPr>
            <w:vAlign w:val="center"/>
          </w:tcPr>
          <w:p>
            <w:pPr>
              <w:pStyle w:val="Compact"/>
              <w:jc w:val="center"/>
            </w:pPr>
            <w:r>
              <w:t xml:space="preserve">no</w:t>
            </w:r>
          </w:p>
        </w:tc>
        <w:tc>
          <w:tcPr>
            <w:vAlign w:val="center"/>
          </w:tcPr>
          <w:p>
            <w:pPr>
              <w:pStyle w:val="Compact"/>
              <w:jc w:val="left"/>
            </w:pPr>
            <w:r>
              <w:t xml:space="preserve">economía abierta agroalimentaria</w:t>
            </w:r>
          </w:p>
        </w:tc>
      </w:tr>
      <w:tr>
        <w:trPr>
          <w:cantSplit/>
        </w:trPr>
        <w:tc>
          <w:tcPr>
            <w:vAlign w:val="center"/>
          </w:tcPr>
          <w:p>
            <w:pPr>
              <w:pStyle w:val="Compact"/>
            </w:pPr>
          </w:p>
        </w:tc>
        <w:tc>
          <w:tcPr>
            <w:vAlign w:val="center"/>
          </w:tcPr>
          <w:p>
            <w:pPr>
              <w:pStyle w:val="Compact"/>
              <w:jc w:val="center"/>
            </w:pPr>
            <w:r>
              <w:t xml:space="preserve">2 h 15 min</w:t>
            </w:r>
          </w:p>
        </w:tc>
        <w:tc>
          <w:tcPr>
            <w:vAlign w:val="center"/>
          </w:tcPr>
          <w:p>
            <w:pPr>
              <w:pStyle w:val="Compact"/>
              <w:jc w:val="center"/>
            </w:pPr>
            <w:r>
              <w:t xml:space="preserve">10</w:t>
            </w:r>
          </w:p>
        </w:tc>
        <w:tc>
          <w:tcPr>
            <w:vAlign w:val="center"/>
          </w:tcPr>
          <w:p>
            <w:pPr>
              <w:pStyle w:val="Compact"/>
              <w:jc w:val="center"/>
            </w:pPr>
            <w:r>
              <w:t xml:space="preserve">sí (1 cada una)</w:t>
            </w:r>
          </w:p>
        </w:tc>
        <w:tc>
          <w:tcPr>
            <w:vAlign w:val="center"/>
          </w:tcPr>
          <w:p>
            <w:pPr>
              <w:pStyle w:val="Compact"/>
              <w:jc w:val="left"/>
            </w:pPr>
            <w:r>
              <w:t xml:space="preserve">cálculos de CLU y esfuerzo estructural</w:t>
            </w:r>
          </w:p>
        </w:tc>
      </w:tr>
      <w:tr>
        <w:trPr>
          <w:cantSplit/>
        </w:trPr>
        <w:tc>
          <w:tcPr>
            <w:vAlign w:val="center"/>
          </w:tcPr>
          <w:p>
            <w:pPr>
              <w:pStyle w:val="Compact"/>
            </w:pPr>
          </w:p>
        </w:tc>
        <w:tc>
          <w:tcPr>
            <w:vAlign w:val="center"/>
          </w:tcPr>
          <w:p>
            <w:pPr>
              <w:pStyle w:val="Compact"/>
              <w:jc w:val="center"/>
            </w:pPr>
            <w:r>
              <w:t xml:space="preserve">2 h</w:t>
            </w:r>
          </w:p>
        </w:tc>
        <w:tc>
          <w:tcPr>
            <w:vAlign w:val="center"/>
          </w:tcPr>
          <w:p>
            <w:pPr>
              <w:pStyle w:val="Compact"/>
              <w:jc w:val="center"/>
            </w:pPr>
            <w:r>
              <w:t xml:space="preserve">7</w:t>
            </w:r>
          </w:p>
        </w:tc>
        <w:tc>
          <w:tcPr>
            <w:vAlign w:val="center"/>
          </w:tcPr>
          <w:p>
            <w:pPr>
              <w:pStyle w:val="Compact"/>
              <w:jc w:val="center"/>
            </w:pPr>
            <w:r>
              <w:t xml:space="preserve">sí (1-2)</w:t>
            </w:r>
          </w:p>
        </w:tc>
        <w:tc>
          <w:tcPr>
            <w:vAlign w:val="center"/>
          </w:tcPr>
          <w:p>
            <w:pPr>
              <w:pStyle w:val="Compact"/>
              <w:jc w:val="left"/>
            </w:pPr>
            <w:r>
              <w:t xml:space="preserve">proyecciones y brecha de producción</w:t>
            </w:r>
          </w:p>
        </w:tc>
      </w:tr>
      <w:tr>
        <w:trPr>
          <w:cantSplit/>
        </w:trPr>
        <w:tc>
          <w:tcPr>
            <w:vAlign w:val="center"/>
          </w:tcPr>
          <w:p>
            <w:pPr>
              <w:pStyle w:val="Compact"/>
              <w:jc w:val="left"/>
            </w:pPr>
            <w:r>
              <w:t xml:space="preserve">(enero y noviembre)</w:t>
            </w:r>
          </w:p>
        </w:tc>
        <w:tc>
          <w:tcPr>
            <w:vAlign w:val="center"/>
          </w:tcPr>
          <w:p>
            <w:pPr>
              <w:pStyle w:val="Compact"/>
              <w:jc w:val="center"/>
            </w:pPr>
            <w:r>
              <w:t xml:space="preserve">2 h 15 min</w:t>
            </w:r>
          </w:p>
        </w:tc>
        <w:tc>
          <w:tcPr>
            <w:vAlign w:val="center"/>
          </w:tcPr>
          <w:p>
            <w:pPr>
              <w:pStyle w:val="Compact"/>
              <w:jc w:val="center"/>
            </w:pPr>
            <w:r>
              <w:t xml:space="preserve">8</w:t>
            </w:r>
          </w:p>
        </w:tc>
        <w:tc>
          <w:tcPr>
            <w:vAlign w:val="center"/>
          </w:tcPr>
          <w:p>
            <w:pPr>
              <w:pStyle w:val="Compact"/>
              <w:jc w:val="center"/>
            </w:pPr>
            <w:r>
              <w:t xml:space="preserve">no</w:t>
            </w:r>
          </w:p>
        </w:tc>
        <w:tc>
          <w:tcPr>
            <w:vAlign w:val="center"/>
          </w:tcPr>
          <w:p>
            <w:pPr>
              <w:pStyle w:val="Compact"/>
              <w:jc w:val="left"/>
            </w:pPr>
            <w:r>
              <w:t xml:space="preserve">cálculos; vivienda, petróleo, PMI</w:t>
            </w:r>
          </w:p>
        </w:tc>
      </w:tr>
      <w:tr>
        <w:trPr>
          <w:cantSplit/>
        </w:trPr>
        <w:tc>
          <w:tcPr>
            <w:vAlign w:val="center"/>
          </w:tcPr>
          <w:p>
            <w:pPr>
              <w:pStyle w:val="Compact"/>
              <w:jc w:val="left"/>
            </w:pPr>
            <w:r>
              <w:t xml:space="preserve">, 2013, 2014</w:t>
            </w:r>
          </w:p>
        </w:tc>
        <w:tc>
          <w:tcPr>
            <w:vAlign w:val="center"/>
          </w:tcPr>
          <w:p>
            <w:pPr>
              <w:pStyle w:val="Compact"/>
              <w:jc w:val="center"/>
            </w:pPr>
            <w:r>
              <w:t xml:space="preserve">2 h</w:t>
            </w:r>
          </w:p>
        </w:tc>
        <w:tc>
          <w:tcPr>
            <w:vAlign w:val="center"/>
          </w:tcPr>
          <w:p>
            <w:pPr>
              <w:pStyle w:val="Compact"/>
              <w:jc w:val="center"/>
            </w:pPr>
            <w:r>
              <w:t xml:space="preserve">3-6</w:t>
            </w:r>
          </w:p>
        </w:tc>
        <w:tc>
          <w:tcPr>
            <w:vAlign w:val="center"/>
          </w:tcPr>
          <w:p>
            <w:pPr>
              <w:pStyle w:val="Compact"/>
              <w:jc w:val="center"/>
            </w:pPr>
            <w:r>
              <w:t xml:space="preserve">no</w:t>
            </w:r>
          </w:p>
        </w:tc>
        <w:tc>
          <w:tcPr>
            <w:vAlign w:val="center"/>
          </w:tcPr>
          <w:p>
            <w:pPr>
              <w:pStyle w:val="Compact"/>
              <w:jc w:val="left"/>
            </w:pPr>
            <w:r>
              <w:t xml:space="preserve">calculadora solo en 2013</w:t>
            </w:r>
          </w:p>
        </w:tc>
      </w:tr>
    </w:tbl>
    <w:bookmarkEnd w:id="298"/>
    <w:p>
      <w:pPr>
        <w:pStyle w:val="BodyText"/>
      </w:pPr>
      <w:r>
        <w:rPr>
          <w:i/>
          <w:iCs/>
        </w:rPr>
        <w:t xml:space="preserve">Fuente: Elaboración propia a partir de los enunciados oficiales</w:t>
      </w:r>
      <w:r>
        <w:rPr>
          <w:i/>
          <w:iCs/>
        </w:rPr>
        <w:t xml:space="preserve"> </w:t>
      </w:r>
      <w:r>
        <w:rPr>
          <w:i/>
          <w:iCs/>
        </w:rPr>
        <w:t xml:space="preserve">(</w:t>
      </w:r>
      <w:hyperlink w:anchor="ref_ATCEE2026Examenes">
        <w:r>
          <w:rPr>
            <w:rStyle w:val="Hyperlink"/>
            <w:i/>
            <w:iCs/>
            <w:smallCaps/>
          </w:rPr>
          <w:t xml:space="preserve">Asociación de Técnicos Comerciales y Economistas del Estado</w:t>
        </w:r>
        <w:r>
          <w:rPr>
            <w:rStyle w:val="Hyperlink"/>
            <w:i/>
            <w:iCs/>
          </w:rPr>
          <w:t xml:space="preserve">, 2026</w:t>
        </w:r>
      </w:hyperlink>
      <w:r>
        <w:rPr>
          <w:i/>
          <w:iCs/>
        </w:rPr>
        <w:t xml:space="preserve">)</w:t>
      </w:r>
      <w:r>
        <w:rPr>
          <w:i/>
          <w:iCs/>
        </w:rPr>
        <w:t xml:space="preserve">.</w:t>
      </w:r>
    </w:p>
    <w:p>
      <w:pPr>
        <w:pStyle w:val="Notaalopositor"/>
        <w:keepLines/>
      </w:pPr>
      <w:r>
        <w:rPr>
          <w:b/>
          <w:bCs/>
        </w:rPr>
        <w:t xml:space="preserve">Nota al opositor. </w:t>
      </w:r>
      <w:r>
        <w:t xml:space="preserve">El dictamen se escribe justo después del test, sin descanso y con cansancio; conviene entrenarlo también así, con un test y a continuación un dictamen completo con el reloj delante. Lo que no se ha decidido en casa (el orden de las preguntas, el reparto del tiempo, la estructura de cada bloque) no se decide bien en el examen.</w:t>
      </w:r>
    </w:p>
    <w:bookmarkEnd w:id="299"/>
    <w:bookmarkStart w:id="300" w:name="anexo_que_valora"/>
    <w:p>
      <w:pPr>
        <w:pStyle w:val="Heading2"/>
      </w:pPr>
      <w:r>
        <w:t xml:space="preserve">H.2. Qué valora el tribunal</w:t>
      </w:r>
    </w:p>
    <w:p>
      <w:pPr>
        <w:numPr>
          <w:ilvl w:val="0"/>
          <w:numId w:val="1178"/>
        </w:numPr>
      </w:pPr>
      <w:r>
        <w:rPr>
          <w:i/>
          <w:iCs/>
        </w:rPr>
        <w:t xml:space="preserve">Lo dicen las instrucciones</w:t>
      </w:r>
      <w:r>
        <w:t xml:space="preserve">. En 2023, 2024 y 2025, «la capacidad de síntesis y la capacidad de repartir adecuadamente el tiempo proporcionado entre las distintas preguntas»; en 2026, «fundamentalmente las capacidades analítica y de síntesis del aspirante, así como su claridad expositiva»</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p>
      <w:pPr>
        <w:numPr>
          <w:ilvl w:val="0"/>
          <w:numId w:val="1178"/>
        </w:numPr>
      </w:pPr>
      <w:r>
        <w:rPr>
          <w:i/>
          <w:iCs/>
        </w:rPr>
        <w:t xml:space="preserve">El objetivo</w:t>
      </w:r>
      <w:r>
        <w:t xml:space="preserve"> </w:t>
      </w:r>
      <w:r>
        <w:t xml:space="preserve">es demostrar que se domina el análisis básico de una economía: entender un cuadro macroeconómico, las relaciones entre las macromagnitudes, el efecto de las políticas y la acumulación de riesgos.</w:t>
      </w:r>
    </w:p>
    <w:p>
      <w:pPr>
        <w:keepNext/>
        <w:numPr>
          <w:ilvl w:val="0"/>
          <w:numId w:val="1178"/>
        </w:numPr>
      </w:pPr>
      <w:r>
        <w:t xml:space="preserve">De ahí salen 4 capacidades:</w:t>
      </w:r>
    </w:p>
    <w:p>
      <w:pPr>
        <w:numPr>
          <w:ilvl w:val="1"/>
          <w:numId w:val="1179"/>
        </w:numPr>
      </w:pPr>
      <w:r>
        <w:rPr>
          <w:b/>
          <w:bCs/>
        </w:rPr>
        <w:t xml:space="preserve">Capacidad de análisis</w:t>
      </w:r>
      <w:r>
        <w:t xml:space="preserve">: interpretar los datos, no describirlos. Que el consumo crece un 3 % lo ve cualquiera; lo que se valora es por qué (renta disponible, empleo, tipos, confianza) y qué implica. El examen es un puzle que siempre es parecido: conviene llevar memorizada la estructura de cada pregunta y saber dónde buscar las fortalezas y las debilidades.</w:t>
      </w:r>
    </w:p>
    <w:p>
      <w:pPr>
        <w:numPr>
          <w:ilvl w:val="1"/>
          <w:numId w:val="1179"/>
        </w:numPr>
      </w:pPr>
      <w:r>
        <w:rPr>
          <w:b/>
          <w:bCs/>
        </w:rPr>
        <w:t xml:space="preserve">Capacidad de síntesis</w:t>
      </w:r>
      <w:r>
        <w:t xml:space="preserve">: lo importante primero, con una frase de diagnóstico al empezar cada respuesta (apartado </w:t>
      </w:r>
      <w:hyperlink w:anchor="anexo_redactar">
        <w:r>
          <w:rPr>
            <w:rStyle w:val="Hyperlink"/>
          </w:rPr>
          <w:t xml:space="preserve">H.5</w:t>
        </w:r>
      </w:hyperlink>
      <w:r>
        <w:t xml:space="preserve">), y una visión de conjunto de la serie, no año a año.</w:t>
      </w:r>
    </w:p>
    <w:p>
      <w:pPr>
        <w:numPr>
          <w:ilvl w:val="1"/>
          <w:numId w:val="1179"/>
        </w:numPr>
      </w:pPr>
      <w:r>
        <w:rPr>
          <w:b/>
          <w:bCs/>
        </w:rPr>
        <w:t xml:space="preserve">Comprensión lectora</w:t>
      </w:r>
      <w:r>
        <w:t xml:space="preserve">: contestar a todo lo que se pregunta, cada subpregunta con su rótulo, y solo a eso.</w:t>
      </w:r>
    </w:p>
    <w:p>
      <w:pPr>
        <w:numPr>
          <w:ilvl w:val="1"/>
          <w:numId w:val="1179"/>
        </w:numPr>
      </w:pPr>
      <w:r>
        <w:rPr>
          <w:b/>
          <w:bCs/>
        </w:rPr>
        <w:t xml:space="preserve">Demostrar conocimiento</w:t>
      </w:r>
      <w:r>
        <w:t xml:space="preserve">: usar el temario cuando viene a cuento (una teoría, una regla fiscal, un indicador) y explicar cómo se ha obtenido cada cálculo o por qué el indicador elegido es el relevante, sin convertir la respuesta en un tema.</w:t>
      </w:r>
    </w:p>
    <w:p>
      <w:pPr>
        <w:keepNext/>
        <w:numPr>
          <w:ilvl w:val="0"/>
          <w:numId w:val="1178"/>
        </w:numPr>
      </w:pPr>
      <w:r>
        <w:t xml:space="preserve">Y 2 principios que ordenan todo el análisis:</w:t>
      </w:r>
    </w:p>
    <w:p>
      <w:pPr>
        <w:numPr>
          <w:ilvl w:val="1"/>
          <w:numId w:val="1180"/>
        </w:numPr>
      </w:pPr>
      <w:r>
        <w:rPr>
          <w:i/>
          <w:iCs/>
        </w:rPr>
        <w:t xml:space="preserve">Prudencia</w:t>
      </w:r>
      <w:r>
        <w:t xml:space="preserve">: se pide mucho para el tiempo y los datos disponibles. Si una relación no se aprecia, quizá no está en el cuadro. Cuando cuesta contestar (demasiada información o demasiado poca), un análisis básico y prudente, sin supuestos innecesarios, no se penaliza.</w:t>
      </w:r>
    </w:p>
    <w:p>
      <w:pPr>
        <w:numPr>
          <w:ilvl w:val="1"/>
          <w:numId w:val="1180"/>
        </w:numPr>
      </w:pPr>
      <w:r>
        <w:rPr>
          <w:i/>
          <w:iCs/>
        </w:rPr>
        <w:t xml:space="preserve">Coherencia entre las respuestas</w:t>
      </w:r>
      <w:r>
        <w:t xml:space="preserve">: lo que se dice del ciclo en la primera pregunta tiene que cuadrar con lo que se dice después de la inflación, la política fiscal o la monetaria.</w:t>
      </w:r>
    </w:p>
    <w:p>
      <w:pPr>
        <w:numPr>
          <w:ilvl w:val="0"/>
          <w:numId w:val="1178"/>
        </w:numPr>
      </w:pPr>
      <w:r>
        <w:t xml:space="preserve">La solución no es única: se acepta cualquier respuesta plausible, razonada, no tajante y con sentido económico. Hay años en que cambian el tiempo o el tipo de preguntas, y se valora la flexibilidad para centrarse en los retos principales del país.</w:t>
      </w:r>
    </w:p>
    <w:bookmarkEnd w:id="300"/>
    <w:bookmarkStart w:id="303" w:name="anexo_tiempo"/>
    <w:p>
      <w:pPr>
        <w:pStyle w:val="Heading2"/>
      </w:pPr>
      <w:r>
        <w:t xml:space="preserve">H.3. El reparto del tiempo</w:t>
      </w:r>
    </w:p>
    <w:p>
      <w:pPr>
        <w:numPr>
          <w:ilvl w:val="0"/>
          <w:numId w:val="1181"/>
        </w:numPr>
      </w:pPr>
      <w:r>
        <w:t xml:space="preserve">La idea: el opositor no sabe cuántas preguntas habrá hasta que abre el cuadernillo, y el formato ha cambiado varias veces. Por eso conviene llevar una regla sencilla, que valga aunque cambien la duración o el número de preguntas, y aplicarla con flexibilidad:</w:t>
      </w:r>
      <w:r>
        <w:t xml:space="preserve"> </w:t>
      </w:r>
      <w:r>
        <w:rPr>
          <w:i/>
          <w:iCs/>
        </w:rPr>
        <w:t xml:space="preserve">más tiempo a las preguntas que tocan los retos reales de esa economía</w:t>
      </w:r>
      <w:r>
        <w:t xml:space="preserve"> </w:t>
      </w:r>
      <w:r>
        <w:t xml:space="preserve">y piden un análisis más detallado, y menos a las que se contestan con una definición o un dato. La regla y las tablas siguientes son solo una referencia orientativa.</w:t>
      </w:r>
    </w:p>
    <w:p>
      <w:pPr>
        <w:numPr>
          <w:ilvl w:val="0"/>
          <w:numId w:val="1181"/>
        </w:numPr>
      </w:pPr>
      <w:r>
        <w:t xml:space="preserve">No hay tiempo que perder: si las preguntas o las tablas vienen grapadas, se separan. Si el dictamen es libre (sin preguntas), se empieza anunciando la estructura que se va a seguir.</w:t>
      </w:r>
    </w:p>
    <w:p>
      <w:pPr>
        <w:keepNext/>
        <w:numPr>
          <w:ilvl w:val="0"/>
          <w:numId w:val="1181"/>
        </w:numPr>
      </w:pPr>
      <w:r>
        <w:rPr>
          <w:i/>
          <w:iCs/>
        </w:rPr>
        <w:t xml:space="preserve">La regla</w:t>
      </w:r>
      <w:r>
        <w:t xml:space="preserve">, con</w:t>
      </w:r>
      <w:r>
        <w:t xml:space="preserve"> </w:t>
      </w:r>
      <m:oMath>
        <m:r>
          <m:t>T</m:t>
        </m:r>
      </m:oMath>
      <w:r>
        <w:t xml:space="preserve"> </w:t>
      </w:r>
      <w:r>
        <w:t xml:space="preserve">minutos y</w:t>
      </w:r>
      <w:r>
        <w:t xml:space="preserve"> </w:t>
      </w:r>
      <m:oMath>
        <m:r>
          <m:t>n</m:t>
        </m:r>
      </m:oMath>
      <w:r>
        <w:t xml:space="preserve"> </w:t>
      </w:r>
      <w:r>
        <w:t xml:space="preserve">preguntas:</w:t>
      </w:r>
    </w:p>
    <w:p>
      <w:pPr>
        <w:numPr>
          <w:ilvl w:val="1"/>
          <w:numId w:val="1182"/>
        </w:numPr>
      </w:pPr>
      <w:r>
        <w:rPr>
          <w:i/>
          <w:iCs/>
        </w:rPr>
        <w:t xml:space="preserve">Lectura y plan</w:t>
      </w:r>
      <w:r>
        <w:t xml:space="preserve">: 10′-12′ al principio, sea cual sea la duración (en torno al 10 % del tiempo). Se escribe solo en el cuadernillo (apartado </w:t>
      </w:r>
      <w:hyperlink w:anchor="anexo_leer">
        <w:r>
          <w:rPr>
            <w:rStyle w:val="Hyperlink"/>
          </w:rPr>
          <w:t xml:space="preserve">H.4</w:t>
        </w:r>
      </w:hyperlink>
      <w:r>
        <w:t xml:space="preserve">).</w:t>
      </w:r>
    </w:p>
    <w:p>
      <w:pPr>
        <w:numPr>
          <w:ilvl w:val="1"/>
          <w:numId w:val="1182"/>
        </w:numPr>
      </w:pPr>
      <w:r>
        <w:rPr>
          <w:i/>
          <w:iCs/>
        </w:rPr>
        <w:t xml:space="preserve">Repaso final</w:t>
      </w:r>
      <w:r>
        <w:t xml:space="preserve">: 4′-8′ (en torno al 5 %), para releer, completar la frase de diagnóstico y cerrar lo que haya quedado abierto.</w:t>
      </w:r>
    </w:p>
    <w:p>
      <w:pPr>
        <w:keepNext/>
        <w:numPr>
          <w:ilvl w:val="1"/>
          <w:numId w:val="1182"/>
        </w:numPr>
      </w:pPr>
      <w:r>
        <w:rPr>
          <w:i/>
          <w:iCs/>
        </w:rPr>
        <w:t xml:space="preserve">Preguntas</w:t>
      </w:r>
      <w:r>
        <w:t xml:space="preserve">: el resto,</w:t>
      </w:r>
      <w:r>
        <w:t xml:space="preserve"> </w:t>
      </w:r>
      <m:oMath>
        <m:r>
          <m:t>W</m:t>
        </m:r>
        <m:r>
          <m:rPr>
            <m:sty m:val="p"/>
          </m:rPr>
          <m:t>=</m:t>
        </m:r>
        <m:r>
          <m:t>T</m:t>
        </m:r>
        <m:r>
          <m:rPr>
            <m:sty m:val="p"/>
          </m:rPr>
          <m:t>−</m:t>
        </m:r>
        <m:r>
          <m:rPr>
            <m:nor/>
            <m:sty m:val="p"/>
          </m:rPr>
          <m:t>lectura</m:t>
        </m:r>
        <m:r>
          <m:rPr>
            <m:sty m:val="p"/>
          </m:rPr>
          <m:t>−</m:t>
        </m:r>
        <m:r>
          <m:rPr>
            <m:nor/>
            <m:sty m:val="p"/>
          </m:rPr>
          <m:t>repaso</m:t>
        </m:r>
      </m:oMath>
      <w:r>
        <w:t xml:space="preserve">.</w:t>
      </w:r>
    </w:p>
    <w:p>
      <w:pPr>
        <w:numPr>
          <w:ilvl w:val="2"/>
          <w:numId w:val="1183"/>
        </w:numPr>
      </w:pPr>
      <w:r>
        <w:t xml:space="preserve">Si las preguntas no tienen puntuación, cada una recibe</w:t>
      </w:r>
      <w:r>
        <w:t xml:space="preserve"> </w:t>
      </w:r>
      <m:oMath>
        <m:r>
          <m:t>t</m:t>
        </m:r>
        <m:r>
          <m:rPr>
            <m:sty m:val="p"/>
          </m:rPr>
          <m:t>=</m:t>
        </m:r>
        <m:r>
          <m:t>W</m:t>
        </m:r>
        <m:r>
          <m:rPr>
            <m:sty m:val="p"/>
          </m:rPr>
          <m:t>/</m:t>
        </m:r>
        <m:d>
          <m:dPr>
            <m:begChr m:val="("/>
            <m:sepChr m:val=""/>
            <m:endChr m:val=")"/>
            <m:grow/>
          </m:dPr>
          <m:e>
            <m:r>
              <m:t>n</m:t>
            </m:r>
            <m:r>
              <m:rPr>
                <m:sty m:val="p"/>
              </m:rPr>
              <m:t>+</m:t>
            </m:r>
            <m:r>
              <m:t>0</m:t>
            </m:r>
            <m:r>
              <m:rPr>
                <m:sty m:val="p"/>
              </m:rPr>
              <m:t>,</m:t>
            </m:r>
            <m:r>
              <m:t>25</m:t>
            </m:r>
          </m:e>
        </m:d>
      </m:oMath>
      <w:r>
        <w:t xml:space="preserve"> </w:t>
      </w:r>
      <w:r>
        <w:t xml:space="preserve">y el perfil cíclico, que es la más larga,</w:t>
      </w:r>
      <w:r>
        <w:t xml:space="preserve"> </w:t>
      </w:r>
      <m:oMath>
        <m:r>
          <m:t>1</m:t>
        </m:r>
        <m:r>
          <m:rPr>
            <m:sty m:val="p"/>
          </m:rPr>
          <m:t>,</m:t>
        </m:r>
        <m:r>
          <m:t>25</m:t>
        </m:r>
        <m:r>
          <m:t> </m:t>
        </m:r>
        <m:r>
          <m:t>t</m:t>
        </m:r>
      </m:oMath>
      <w:r>
        <w:t xml:space="preserve">.</w:t>
      </w:r>
    </w:p>
    <w:p>
      <w:pPr>
        <w:numPr>
          <w:ilvl w:val="2"/>
          <w:numId w:val="1183"/>
        </w:numPr>
      </w:pPr>
      <w:r>
        <w:t xml:space="preserve">Si el tribunal da la puntuación (como en 2018, 2019, 2021 y 2022</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el tiempo se reparte en proporción a los puntos:</w:t>
      </w:r>
      <w:r>
        <w:t xml:space="preserve"> </w:t>
      </w:r>
      <m:oMath>
        <m:r>
          <m:t>W</m:t>
        </m:r>
      </m:oMath>
      <w:r>
        <w:t xml:space="preserve"> </w:t>
      </w:r>
      <w:r>
        <w:t xml:space="preserve">entre los puntos totales da los minutos por punto.</w:t>
      </w:r>
    </w:p>
    <w:p>
      <w:pPr>
        <w:numPr>
          <w:ilvl w:val="0"/>
          <w:numId w:val="1181"/>
        </w:numPr>
      </w:pPr>
      <w:r>
        <w:rPr>
          <w:i/>
          <w:iCs/>
        </w:rPr>
        <w:t xml:space="preserve">Con el formato vigente</w:t>
      </w:r>
      <w:r>
        <w:t xml:space="preserve"> </w:t>
      </w:r>
      <w:r>
        <w:t xml:space="preserve">(1 hora y 45 minutos, 5 o 6 preguntas sin puntuación), la regla da 12′ de lectura y, con 5 preguntas, 21′ para el perfil cíclico y 17′ para cada una de las demás; con 6, 18′ y 14′ (tabla </w:t>
      </w:r>
      <w:hyperlink w:anchor="tab_reparto">
        <w:r>
          <w:rPr>
            <w:rStyle w:val="Hyperlink"/>
          </w:rPr>
          <w:t xml:space="preserve">14</w:t>
        </w:r>
      </w:hyperlink>
      <w:r>
        <w:t xml:space="preserve">). Son medias: dentro de ellas se da más a la pregunta del reto principal y menos a las de trámite.</w:t>
      </w:r>
    </w:p>
    <w:bookmarkStart w:id="301" w:name="tab_reparto"/>
    <w:p>
      <w:pPr>
        <w:pStyle w:val="TableCaption"/>
      </w:pPr>
      <w:r>
        <w:t xml:space="preserve">Tabla 14.–</w:t>
      </w:r>
      <w:r>
        <w:t xml:space="preserve"> </w:t>
      </w:r>
      <w:r>
        <w:t xml:space="preserve">Reparto del tiempo según la regla, por convocatoria</w:t>
      </w:r>
    </w:p>
    <w:tbl>
      <w:tblPr>
        <w:tblStyle w:val="Table"/>
        <w:tblW w:type="auto" w:w="0"/>
        <w:tblLook w:firstRow="1" w:lastRow="0" w:firstColumn="0" w:lastColumn="0" w:noHBand="0" w:noVBand="0" w:val="0020"/>
        <w:tblCaption w:val="Tabla 14.– Reparto del tiempo según la regla, por convocatoria"/>
      </w:tblPr>
      <w:tblGrid>
        <w:gridCol w:w="1320"/>
        <w:gridCol w:w="1320"/>
        <w:gridCol w:w="1320"/>
        <w:gridCol w:w="1320"/>
        <w:gridCol w:w="1320"/>
        <w:gridCol w:w="1320"/>
      </w:tblGrid>
      <w:tr>
        <w:trPr>
          <w:cantSplit/>
          <w:tblHeader w:val="on"/>
        </w:trPr>
        <w:tc>
          <w:tcPr>
            <w:shd w:val="clear" w:color="auto" w:fill="DDEBF7"/>
            <w:vAlign w:val="center"/>
          </w:tcPr>
          <w:p>
            <w:pPr>
              <w:pStyle w:val="Celdatceeazulpalido"/>
              <w:keepNext/>
              <w:jc w:val="left"/>
            </w:pPr>
            <w:r>
              <w:t xml:space="preserve"> </w:t>
            </w:r>
            <w:r>
              <w:rPr>
                <w:b/>
                <w:bCs/>
              </w:rPr>
              <w:t xml:space="preserve">Examen</w:t>
            </w:r>
          </w:p>
        </w:tc>
        <w:tc>
          <w:tcPr>
            <w:shd w:val="clear" w:color="auto" w:fill="DDEBF7"/>
            <w:vAlign w:val="center"/>
          </w:tcPr>
          <w:p>
            <w:pPr>
              <w:pStyle w:val="Celdatceeazulpalido"/>
              <w:keepNext/>
              <w:jc w:val="center"/>
            </w:pPr>
            <w:r>
              <w:rPr>
                <w:b/>
                <w:bCs/>
              </w:rPr>
              <w:t xml:space="preserve">Formato</w:t>
            </w:r>
          </w:p>
        </w:tc>
        <w:tc>
          <w:tcPr>
            <w:shd w:val="clear" w:color="auto" w:fill="DDEBF7"/>
            <w:vAlign w:val="center"/>
          </w:tcPr>
          <w:p>
            <w:pPr>
              <w:pStyle w:val="Celdatceeazulpalido"/>
              <w:keepNext/>
              <w:jc w:val="center"/>
            </w:pPr>
            <w:r>
              <w:rPr>
                <w:b/>
                <w:bCs/>
              </w:rPr>
              <w:t xml:space="preserve">Lectura</w:t>
            </w:r>
          </w:p>
        </w:tc>
        <w:tc>
          <w:tcPr>
            <w:shd w:val="clear" w:color="auto" w:fill="DDEBF7"/>
            <w:vAlign w:val="center"/>
          </w:tcPr>
          <w:p>
            <w:pPr>
              <w:pStyle w:val="Celdatceeazulpalido"/>
              <w:keepNext/>
              <w:jc w:val="center"/>
            </w:pPr>
            <w:r>
              <w:rPr>
                <w:b/>
                <w:bCs/>
              </w:rPr>
              <w:t xml:space="preserve">Perfil cíclico</w:t>
            </w:r>
          </w:p>
        </w:tc>
        <w:tc>
          <w:tcPr>
            <w:shd w:val="clear" w:color="auto" w:fill="DDEBF7"/>
            <w:vAlign w:val="center"/>
          </w:tcPr>
          <w:p>
            <w:pPr>
              <w:pStyle w:val="Celdatceeazulpalido"/>
              <w:keepNext/>
              <w:jc w:val="center"/>
            </w:pPr>
            <w:r>
              <w:rPr>
                <w:b/>
                <w:bCs/>
              </w:rPr>
              <w:t xml:space="preserve">Cada una de las demás</w:t>
            </w:r>
          </w:p>
        </w:tc>
        <w:tc>
          <w:tcPr>
            <w:shd w:val="clear" w:color="auto" w:fill="DDEBF7"/>
            <w:vAlign w:val="center"/>
          </w:tcPr>
          <w:p>
            <w:pPr>
              <w:pStyle w:val="Celdatceeazulpalido"/>
              <w:keepNext/>
              <w:jc w:val="center"/>
            </w:pPr>
            <w:r>
              <w:rPr>
                <w:b/>
                <w:bCs/>
              </w:rPr>
              <w:t xml:space="preserve">Repaso</w:t>
            </w:r>
          </w:p>
        </w:tc>
      </w:tr>
      <w:tr>
        <w:trPr>
          <w:cantSplit/>
        </w:trPr>
        <w:tc>
          <w:tcPr>
            <w:shd w:val="clear" w:color="auto" w:fill="E2EFD9"/>
            <w:vAlign w:val="center"/>
          </w:tcPr>
          <w:p>
            <w:pPr>
              <w:pStyle w:val="Celdatceesalvia"/>
              <w:jc w:val="left"/>
            </w:pPr>
            <w:r>
              <w:t xml:space="preserve"> </w:t>
            </w:r>
            <w:r>
              <w:t xml:space="preserve">2025, 2026</w:t>
            </w:r>
          </w:p>
        </w:tc>
        <w:tc>
          <w:tcPr>
            <w:shd w:val="clear" w:color="auto" w:fill="E2EFD9"/>
            <w:vAlign w:val="center"/>
          </w:tcPr>
          <w:p>
            <w:pPr>
              <w:pStyle w:val="Celdatceesalvia"/>
              <w:jc w:val="center"/>
            </w:pPr>
            <w:r>
              <w:t xml:space="preserve">105 min, 5 preg.</w:t>
            </w:r>
          </w:p>
        </w:tc>
        <w:tc>
          <w:tcPr>
            <w:shd w:val="clear" w:color="auto" w:fill="E2EFD9"/>
            <w:vAlign w:val="center"/>
          </w:tcPr>
          <w:p>
            <w:pPr>
              <w:pStyle w:val="Celdatceesalvia"/>
              <w:jc w:val="center"/>
            </w:pPr>
            <w:r>
              <w:t xml:space="preserve">12′</w:t>
            </w:r>
          </w:p>
        </w:tc>
        <w:tc>
          <w:tcPr>
            <w:shd w:val="clear" w:color="auto" w:fill="E2EFD9"/>
            <w:vAlign w:val="center"/>
          </w:tcPr>
          <w:p>
            <w:pPr>
              <w:pStyle w:val="Celdatceesalvia"/>
              <w:jc w:val="center"/>
            </w:pPr>
            <w:r>
              <w:t xml:space="preserve">21′</w:t>
            </w:r>
          </w:p>
        </w:tc>
        <w:tc>
          <w:tcPr>
            <w:shd w:val="clear" w:color="auto" w:fill="E2EFD9"/>
            <w:vAlign w:val="center"/>
          </w:tcPr>
          <w:p>
            <w:pPr>
              <w:pStyle w:val="Celdatceesalvia"/>
              <w:jc w:val="center"/>
            </w:pPr>
            <w:r>
              <w:t xml:space="preserve">17′</w:t>
            </w:r>
          </w:p>
        </w:tc>
        <w:tc>
          <w:tcPr>
            <w:shd w:val="clear" w:color="auto" w:fill="E2EFD9"/>
            <w:vAlign w:val="center"/>
          </w:tcPr>
          <w:p>
            <w:pPr>
              <w:pStyle w:val="Celdatceesalvia"/>
              <w:jc w:val="center"/>
            </w:pPr>
            <w:r>
              <w:t xml:space="preserve">4′</w:t>
            </w:r>
          </w:p>
        </w:tc>
      </w:tr>
      <w:tr>
        <w:trPr>
          <w:cantSplit/>
        </w:trPr>
        <w:tc>
          <w:tcPr>
            <w:shd w:val="clear" w:color="auto" w:fill="E2EFD9"/>
            <w:vAlign w:val="center"/>
          </w:tcPr>
          <w:p>
            <w:pPr>
              <w:pStyle w:val="Celdatceesalvia"/>
              <w:jc w:val="left"/>
            </w:pPr>
            <w:r>
              <w:t xml:space="preserve"> </w:t>
            </w:r>
            <w:r>
              <w:t xml:space="preserve">2023, 2024</w:t>
            </w:r>
          </w:p>
        </w:tc>
        <w:tc>
          <w:tcPr>
            <w:shd w:val="clear" w:color="auto" w:fill="E2EFD9"/>
            <w:vAlign w:val="center"/>
          </w:tcPr>
          <w:p>
            <w:pPr>
              <w:pStyle w:val="Celdatceesalvia"/>
              <w:jc w:val="center"/>
            </w:pPr>
            <w:r>
              <w:t xml:space="preserve">105 min, 6 preg.</w:t>
            </w:r>
          </w:p>
        </w:tc>
        <w:tc>
          <w:tcPr>
            <w:shd w:val="clear" w:color="auto" w:fill="E2EFD9"/>
            <w:vAlign w:val="center"/>
          </w:tcPr>
          <w:p>
            <w:pPr>
              <w:pStyle w:val="Celdatceesalvia"/>
              <w:jc w:val="center"/>
            </w:pPr>
            <w:r>
              <w:t xml:space="preserve">12′</w:t>
            </w:r>
          </w:p>
        </w:tc>
        <w:tc>
          <w:tcPr>
            <w:shd w:val="clear" w:color="auto" w:fill="E2EFD9"/>
            <w:vAlign w:val="center"/>
          </w:tcPr>
          <w:p>
            <w:pPr>
              <w:pStyle w:val="Celdatceesalvia"/>
              <w:jc w:val="center"/>
            </w:pPr>
            <w:r>
              <w:t xml:space="preserve">18′</w:t>
            </w:r>
          </w:p>
        </w:tc>
        <w:tc>
          <w:tcPr>
            <w:shd w:val="clear" w:color="auto" w:fill="E2EFD9"/>
            <w:vAlign w:val="center"/>
          </w:tcPr>
          <w:p>
            <w:pPr>
              <w:pStyle w:val="Celdatceesalvia"/>
              <w:jc w:val="center"/>
            </w:pPr>
            <w:r>
              <w:t xml:space="preserve">14′</w:t>
            </w:r>
          </w:p>
        </w:tc>
        <w:tc>
          <w:tcPr>
            <w:shd w:val="clear" w:color="auto" w:fill="E2EFD9"/>
            <w:vAlign w:val="center"/>
          </w:tcPr>
          <w:p>
            <w:pPr>
              <w:pStyle w:val="Celdatceesalvia"/>
              <w:jc w:val="center"/>
            </w:pPr>
            <w:r>
              <w:t xml:space="preserve">5′</w:t>
            </w:r>
          </w:p>
        </w:tc>
      </w:tr>
      <w:tr>
        <w:trPr>
          <w:cantSplit/>
        </w:trPr>
        <w:tc>
          <w:tcPr>
            <w:vAlign w:val="center"/>
          </w:tcPr>
          <w:p>
            <w:pPr>
              <w:pStyle w:val="Compact"/>
            </w:pPr>
          </w:p>
        </w:tc>
        <w:tc>
          <w:tcPr>
            <w:vAlign w:val="center"/>
          </w:tcPr>
          <w:p>
            <w:pPr>
              <w:pStyle w:val="Compact"/>
              <w:jc w:val="center"/>
            </w:pPr>
            <w:r>
              <w:t xml:space="preserve">135 min, 7 preg., 10 puntos</w:t>
            </w:r>
          </w:p>
        </w:tc>
        <w:tc>
          <w:tcPr>
            <w:vAlign w:val="center"/>
          </w:tcPr>
          <w:p>
            <w:pPr>
              <w:pStyle w:val="Compact"/>
              <w:jc w:val="center"/>
            </w:pPr>
            <w:r>
              <w:t xml:space="preserve">13′</w:t>
            </w:r>
          </w:p>
        </w:tc>
        <w:tc>
          <w:tcPr>
            <w:vAlign w:val="center"/>
          </w:tcPr>
          <w:p>
            <w:pPr>
              <w:pStyle w:val="Compact"/>
              <w:jc w:val="center"/>
            </w:pPr>
            <w:r>
              <w:t xml:space="preserve">17′30″ (1,5 puntos)</w:t>
            </w:r>
          </w:p>
        </w:tc>
        <w:tc>
          <w:tcPr>
            <w:vAlign w:val="center"/>
          </w:tcPr>
          <w:p>
            <w:pPr>
              <w:pStyle w:val="Compact"/>
              <w:jc w:val="center"/>
            </w:pPr>
            <w:r>
              <w:t xml:space="preserve">11′30″ por punto</w:t>
            </w:r>
          </w:p>
        </w:tc>
        <w:tc>
          <w:tcPr>
            <w:vAlign w:val="center"/>
          </w:tcPr>
          <w:p>
            <w:pPr>
              <w:pStyle w:val="Compact"/>
              <w:jc w:val="center"/>
            </w:pPr>
            <w:r>
              <w:t xml:space="preserve">7′</w:t>
            </w:r>
          </w:p>
        </w:tc>
      </w:tr>
      <w:tr>
        <w:trPr>
          <w:cantSplit/>
        </w:trPr>
        <w:tc>
          <w:tcPr>
            <w:vAlign w:val="center"/>
          </w:tcPr>
          <w:p>
            <w:pPr>
              <w:pStyle w:val="Compact"/>
            </w:pPr>
          </w:p>
        </w:tc>
        <w:tc>
          <w:tcPr>
            <w:vAlign w:val="center"/>
          </w:tcPr>
          <w:p>
            <w:pPr>
              <w:pStyle w:val="Compact"/>
              <w:jc w:val="center"/>
            </w:pPr>
            <w:r>
              <w:t xml:space="preserve">135 min, 6 preg., 10 puntos</w:t>
            </w:r>
          </w:p>
        </w:tc>
        <w:tc>
          <w:tcPr>
            <w:vAlign w:val="center"/>
          </w:tcPr>
          <w:p>
            <w:pPr>
              <w:pStyle w:val="Compact"/>
              <w:jc w:val="center"/>
            </w:pPr>
            <w:r>
              <w:t xml:space="preserve">13′</w:t>
            </w:r>
          </w:p>
        </w:tc>
        <w:tc>
          <w:tcPr>
            <w:vAlign w:val="center"/>
          </w:tcPr>
          <w:p>
            <w:pPr>
              <w:pStyle w:val="Compact"/>
              <w:jc w:val="center"/>
            </w:pPr>
            <w:r>
              <w:t xml:space="preserve">17′30″ (1,5 puntos)</w:t>
            </w:r>
          </w:p>
        </w:tc>
        <w:tc>
          <w:tcPr>
            <w:vAlign w:val="center"/>
          </w:tcPr>
          <w:p>
            <w:pPr>
              <w:pStyle w:val="Compact"/>
              <w:jc w:val="center"/>
            </w:pPr>
            <w:r>
              <w:t xml:space="preserve">11′30″ por punto</w:t>
            </w:r>
          </w:p>
        </w:tc>
        <w:tc>
          <w:tcPr>
            <w:vAlign w:val="center"/>
          </w:tcPr>
          <w:p>
            <w:pPr>
              <w:pStyle w:val="Compact"/>
              <w:jc w:val="center"/>
            </w:pPr>
            <w:r>
              <w:t xml:space="preserve">7′</w:t>
            </w:r>
          </w:p>
        </w:tc>
      </w:tr>
      <w:tr>
        <w:trPr>
          <w:cantSplit/>
        </w:trPr>
        <w:tc>
          <w:tcPr>
            <w:vAlign w:val="center"/>
          </w:tcPr>
          <w:p>
            <w:pPr>
              <w:pStyle w:val="Compact"/>
            </w:pPr>
          </w:p>
        </w:tc>
        <w:tc>
          <w:tcPr>
            <w:vAlign w:val="center"/>
          </w:tcPr>
          <w:p>
            <w:pPr>
              <w:pStyle w:val="Compact"/>
              <w:jc w:val="center"/>
            </w:pPr>
            <w:r>
              <w:t xml:space="preserve">135 min, 7 preg.</w:t>
            </w:r>
          </w:p>
        </w:tc>
        <w:tc>
          <w:tcPr>
            <w:vAlign w:val="center"/>
          </w:tcPr>
          <w:p>
            <w:pPr>
              <w:pStyle w:val="Compact"/>
              <w:jc w:val="center"/>
            </w:pPr>
            <w:r>
              <w:t xml:space="preserve">13′</w:t>
            </w:r>
          </w:p>
        </w:tc>
        <w:tc>
          <w:tcPr>
            <w:vAlign w:val="center"/>
          </w:tcPr>
          <w:p>
            <w:pPr>
              <w:pStyle w:val="Compact"/>
              <w:jc w:val="center"/>
            </w:pPr>
            <w:r>
              <w:t xml:space="preserve">19′</w:t>
            </w:r>
          </w:p>
        </w:tc>
        <w:tc>
          <w:tcPr>
            <w:vAlign w:val="center"/>
          </w:tcPr>
          <w:p>
            <w:pPr>
              <w:pStyle w:val="Compact"/>
              <w:jc w:val="center"/>
            </w:pPr>
            <w:r>
              <w:t xml:space="preserve">16′</w:t>
            </w:r>
          </w:p>
        </w:tc>
        <w:tc>
          <w:tcPr>
            <w:vAlign w:val="center"/>
          </w:tcPr>
          <w:p>
            <w:pPr>
              <w:pStyle w:val="Compact"/>
              <w:jc w:val="center"/>
            </w:pPr>
            <w:r>
              <w:t xml:space="preserve">7′</w:t>
            </w:r>
          </w:p>
        </w:tc>
      </w:tr>
      <w:tr>
        <w:trPr>
          <w:cantSplit/>
        </w:trPr>
        <w:tc>
          <w:tcPr>
            <w:vAlign w:val="center"/>
          </w:tcPr>
          <w:p>
            <w:pPr>
              <w:pStyle w:val="Compact"/>
            </w:pPr>
          </w:p>
        </w:tc>
        <w:tc>
          <w:tcPr>
            <w:vAlign w:val="center"/>
          </w:tcPr>
          <w:p>
            <w:pPr>
              <w:pStyle w:val="Compact"/>
              <w:jc w:val="center"/>
            </w:pPr>
            <w:r>
              <w:t xml:space="preserve">135 min, 10 preg., 1 punto cada una</w:t>
            </w:r>
          </w:p>
        </w:tc>
        <w:tc>
          <w:tcPr>
            <w:vAlign w:val="center"/>
          </w:tcPr>
          <w:p>
            <w:pPr>
              <w:pStyle w:val="Compact"/>
              <w:jc w:val="center"/>
            </w:pPr>
            <w:r>
              <w:t xml:space="preserve">13′</w:t>
            </w:r>
          </w:p>
        </w:tc>
        <w:tc>
          <w:tcPr>
            <w:vAlign w:val="center"/>
          </w:tcPr>
          <w:p>
            <w:pPr>
              <w:pStyle w:val="Compact"/>
              <w:jc w:val="center"/>
            </w:pPr>
            <w:r>
              <w:t xml:space="preserve">11′30″</w:t>
            </w:r>
          </w:p>
        </w:tc>
        <w:tc>
          <w:tcPr>
            <w:vAlign w:val="center"/>
          </w:tcPr>
          <w:p>
            <w:pPr>
              <w:pStyle w:val="Compact"/>
              <w:jc w:val="center"/>
            </w:pPr>
            <w:r>
              <w:t xml:space="preserve">11′30″</w:t>
            </w:r>
          </w:p>
        </w:tc>
        <w:tc>
          <w:tcPr>
            <w:vAlign w:val="center"/>
          </w:tcPr>
          <w:p>
            <w:pPr>
              <w:pStyle w:val="Compact"/>
              <w:jc w:val="center"/>
            </w:pPr>
            <w:r>
              <w:t xml:space="preserve">7′</w:t>
            </w:r>
          </w:p>
        </w:tc>
      </w:tr>
      <w:tr>
        <w:trPr>
          <w:cantSplit/>
        </w:trPr>
        <w:tc>
          <w:tcPr>
            <w:vAlign w:val="center"/>
          </w:tcPr>
          <w:p>
            <w:pPr>
              <w:pStyle w:val="Compact"/>
            </w:pPr>
          </w:p>
        </w:tc>
        <w:tc>
          <w:tcPr>
            <w:vAlign w:val="center"/>
          </w:tcPr>
          <w:p>
            <w:pPr>
              <w:pStyle w:val="Compact"/>
              <w:jc w:val="center"/>
            </w:pPr>
            <w:r>
              <w:t xml:space="preserve">120 min, 7 preg., 10 puntos</w:t>
            </w:r>
          </w:p>
        </w:tc>
        <w:tc>
          <w:tcPr>
            <w:vAlign w:val="center"/>
          </w:tcPr>
          <w:p>
            <w:pPr>
              <w:pStyle w:val="Compact"/>
              <w:jc w:val="center"/>
            </w:pPr>
            <w:r>
              <w:t xml:space="preserve">12′</w:t>
            </w:r>
          </w:p>
        </w:tc>
        <w:tc>
          <w:tcPr>
            <w:vAlign w:val="center"/>
          </w:tcPr>
          <w:p>
            <w:pPr>
              <w:pStyle w:val="Compact"/>
              <w:jc w:val="center"/>
            </w:pPr>
            <w:r>
              <w:t xml:space="preserve">20′ (2 puntos)</w:t>
            </w:r>
          </w:p>
        </w:tc>
        <w:tc>
          <w:tcPr>
            <w:vAlign w:val="center"/>
          </w:tcPr>
          <w:p>
            <w:pPr>
              <w:pStyle w:val="Compact"/>
              <w:jc w:val="center"/>
            </w:pPr>
            <w:r>
              <w:t xml:space="preserve">10′ por punto</w:t>
            </w:r>
          </w:p>
        </w:tc>
        <w:tc>
          <w:tcPr>
            <w:vAlign w:val="center"/>
          </w:tcPr>
          <w:p>
            <w:pPr>
              <w:pStyle w:val="Compact"/>
              <w:jc w:val="center"/>
            </w:pPr>
            <w:r>
              <w:t xml:space="preserve">8′</w:t>
            </w:r>
          </w:p>
        </w:tc>
      </w:tr>
      <w:tr>
        <w:trPr>
          <w:cantSplit/>
        </w:trPr>
        <w:tc>
          <w:tcPr>
            <w:vAlign w:val="center"/>
          </w:tcPr>
          <w:p>
            <w:pPr>
              <w:pStyle w:val="Compact"/>
              <w:jc w:val="left"/>
            </w:pPr>
            <w:r>
              <w:t xml:space="preserve">(enero y noviembre)</w:t>
            </w:r>
          </w:p>
        </w:tc>
        <w:tc>
          <w:tcPr>
            <w:vAlign w:val="center"/>
          </w:tcPr>
          <w:p>
            <w:pPr>
              <w:pStyle w:val="Compact"/>
              <w:jc w:val="center"/>
            </w:pPr>
            <w:r>
              <w:t xml:space="preserve">135 min, 8 preg.</w:t>
            </w:r>
          </w:p>
        </w:tc>
        <w:tc>
          <w:tcPr>
            <w:vAlign w:val="center"/>
          </w:tcPr>
          <w:p>
            <w:pPr>
              <w:pStyle w:val="Compact"/>
              <w:jc w:val="center"/>
            </w:pPr>
            <w:r>
              <w:t xml:space="preserve">13′</w:t>
            </w:r>
          </w:p>
        </w:tc>
        <w:tc>
          <w:tcPr>
            <w:vAlign w:val="center"/>
          </w:tcPr>
          <w:p>
            <w:pPr>
              <w:pStyle w:val="Compact"/>
              <w:jc w:val="center"/>
            </w:pPr>
            <w:r>
              <w:t xml:space="preserve">17′</w:t>
            </w:r>
          </w:p>
        </w:tc>
        <w:tc>
          <w:tcPr>
            <w:vAlign w:val="center"/>
          </w:tcPr>
          <w:p>
            <w:pPr>
              <w:pStyle w:val="Compact"/>
              <w:jc w:val="center"/>
            </w:pPr>
            <w:r>
              <w:t xml:space="preserve">14′</w:t>
            </w:r>
          </w:p>
        </w:tc>
        <w:tc>
          <w:tcPr>
            <w:vAlign w:val="center"/>
          </w:tcPr>
          <w:p>
            <w:pPr>
              <w:pStyle w:val="Compact"/>
              <w:jc w:val="center"/>
            </w:pPr>
            <w:r>
              <w:t xml:space="preserve">7′</w:t>
            </w:r>
          </w:p>
        </w:tc>
      </w:tr>
    </w:tbl>
    <w:bookmarkEnd w:id="301"/>
    <w:p>
      <w:pPr>
        <w:pStyle w:val="BodyText"/>
        <w:keepNext/>
      </w:pPr>
      <w:r>
        <w:rPr>
          <w:i/>
          <w:iCs/>
        </w:rPr>
        <w:t xml:space="preserve">Fuente: Elaboración propia con la regla del texto y los formatos de la tabla </w:t>
      </w:r>
      <w:hyperlink w:anchor="tab_formato">
        <w:r>
          <w:rPr>
            <w:rStyle w:val="Hyperlink"/>
            <w:i/>
            <w:iCs/>
          </w:rPr>
          <w:t xml:space="preserve">13</w:t>
        </w:r>
      </w:hyperlink>
      <w:r>
        <w:rPr>
          <w:i/>
          <w:iCs/>
        </w:rPr>
        <w:t xml:space="preserve">.</w:t>
      </w:r>
    </w:p>
    <w:p>
      <w:pPr>
        <w:numPr>
          <w:ilvl w:val="0"/>
          <w:numId w:val="1184"/>
        </w:numPr>
      </w:pPr>
      <w:r>
        <w:rPr>
          <w:i/>
          <w:iCs/>
        </w:rPr>
        <w:t xml:space="preserve">La tabla de la guía anterior</w:t>
      </w:r>
      <w:r>
        <w:t xml:space="preserve">: con 1 hora y 45 minutos, 10-15 minutos para leer las instrucciones y las preguntas, subrayar los periodos, decidir dónde va cada cosa y mirar cuánto vale cada pregunta; 20-30 minutos para el perfil cíclico (la composición del crecimiento por la demanda y la oferta); y unos 60 minutos para el resto, a repartir según el número de preguntas que quedan (tabla </w:t>
      </w:r>
      <w:hyperlink w:anchor="tab_reparto_anterior">
        <w:r>
          <w:rPr>
            <w:rStyle w:val="Hyperlink"/>
          </w:rPr>
          <w:t xml:space="preserve">15</w:t>
        </w:r>
      </w:hyperlink>
      <w:r>
        <w:t xml:space="preserve">). Supone que el número de preguntas incluye el perfil cíclico y no deja tiempo aparte para el repaso.</w:t>
      </w:r>
    </w:p>
    <w:bookmarkStart w:id="302" w:name="tab_reparto_anterior"/>
    <w:p>
      <w:pPr>
        <w:pStyle w:val="TableCaption"/>
      </w:pPr>
      <w:r>
        <w:t xml:space="preserve">Tabla 15.–</w:t>
      </w:r>
      <w:r>
        <w:t xml:space="preserve"> </w:t>
      </w:r>
      <w:r>
        <w:t xml:space="preserve">Minutos por pregunta en la guía anterior (60 minutos para las preguntas distintas del perfil cíclico)</w:t>
      </w:r>
    </w:p>
    <w:tbl>
      <w:tblPr>
        <w:tblStyle w:val="Table"/>
        <w:tblW w:type="auto" w:w="0"/>
        <w:tblLook w:firstRow="1" w:lastRow="0" w:firstColumn="0" w:lastColumn="0" w:noHBand="0" w:noVBand="0" w:val="0020"/>
        <w:tblCaption w:val="Tabla 15.– Minutos por pregunta en la guía anterior (60 minutos para las preguntas distintas del perfil cíclico)"/>
      </w:tblPr>
      <w:tblGrid>
        <w:gridCol w:w="1131"/>
        <w:gridCol w:w="1131"/>
        <w:gridCol w:w="1131"/>
        <w:gridCol w:w="1131"/>
        <w:gridCol w:w="1131"/>
        <w:gridCol w:w="1131"/>
        <w:gridCol w:w="1131"/>
      </w:tblGrid>
      <w:tr>
        <w:trPr>
          <w:cantSplit/>
          <w:tblHeader w:val="on"/>
        </w:trPr>
        <w:tc>
          <w:tcPr>
            <w:shd w:val="clear" w:color="auto" w:fill="DDEBF7"/>
            <w:vAlign w:val="center"/>
          </w:tcPr>
          <w:p>
            <w:pPr>
              <w:pStyle w:val="Celdatceeazulpalido"/>
              <w:keepNext/>
              <w:jc w:val="center"/>
            </w:pPr>
            <w:r>
              <w:t xml:space="preserve"> </w:t>
            </w:r>
            <w:r>
              <w:rPr>
                <w:b/>
                <w:bCs/>
              </w:rPr>
              <w:t xml:space="preserve">Preguntas en total</w:t>
            </w:r>
          </w:p>
        </w:tc>
        <w:tc>
          <w:tcPr>
            <w:shd w:val="clear" w:color="auto" w:fill="DDEBF7"/>
            <w:vAlign w:val="center"/>
          </w:tcPr>
          <w:p>
            <w:pPr>
              <w:pStyle w:val="Celdatceeazulpalido"/>
              <w:keepNext/>
              <w:jc w:val="center"/>
            </w:pPr>
            <w:r>
              <w:rPr>
                <w:b/>
                <w:bCs/>
              </w:rPr>
              <w:t xml:space="preserve">10</w:t>
            </w:r>
          </w:p>
        </w:tc>
        <w:tc>
          <w:tcPr>
            <w:shd w:val="clear" w:color="auto" w:fill="DDEBF7"/>
            <w:vAlign w:val="center"/>
          </w:tcPr>
          <w:p>
            <w:pPr>
              <w:pStyle w:val="Celdatceeazulpalido"/>
              <w:keepNext/>
              <w:jc w:val="center"/>
            </w:pPr>
            <w:r>
              <w:rPr>
                <w:b/>
                <w:bCs/>
              </w:rPr>
              <w:t xml:space="preserve">9</w:t>
            </w:r>
          </w:p>
        </w:tc>
        <w:tc>
          <w:tcPr>
            <w:shd w:val="clear" w:color="auto" w:fill="DDEBF7"/>
            <w:vAlign w:val="center"/>
          </w:tcPr>
          <w:p>
            <w:pPr>
              <w:pStyle w:val="Celdatceeazulpalido"/>
              <w:keepNext/>
              <w:jc w:val="center"/>
            </w:pPr>
            <w:r>
              <w:rPr>
                <w:b/>
                <w:bCs/>
              </w:rPr>
              <w:t xml:space="preserve">8</w:t>
            </w:r>
          </w:p>
        </w:tc>
        <w:tc>
          <w:tcPr>
            <w:shd w:val="clear" w:color="auto" w:fill="DDEBF7"/>
            <w:vAlign w:val="center"/>
          </w:tcPr>
          <w:p>
            <w:pPr>
              <w:pStyle w:val="Celdatceeazulpalido"/>
              <w:keepNext/>
              <w:jc w:val="center"/>
            </w:pPr>
            <w:r>
              <w:rPr>
                <w:b/>
                <w:bCs/>
              </w:rPr>
              <w:t xml:space="preserve">7</w:t>
            </w:r>
          </w:p>
        </w:tc>
        <w:tc>
          <w:tcPr>
            <w:shd w:val="clear" w:color="auto" w:fill="DDEBF7"/>
            <w:vAlign w:val="center"/>
          </w:tcPr>
          <w:p>
            <w:pPr>
              <w:pStyle w:val="Celdatceeazulpalido"/>
              <w:keepNext/>
              <w:jc w:val="center"/>
            </w:pPr>
            <w:r>
              <w:rPr>
                <w:b/>
                <w:bCs/>
              </w:rPr>
              <w:t xml:space="preserve">6</w:t>
            </w:r>
          </w:p>
        </w:tc>
        <w:tc>
          <w:tcPr>
            <w:shd w:val="clear" w:color="auto" w:fill="DDEBF7"/>
            <w:vAlign w:val="center"/>
          </w:tcPr>
          <w:p>
            <w:pPr>
              <w:pStyle w:val="Celdatceeazulpalido"/>
              <w:keepNext/>
              <w:jc w:val="center"/>
            </w:pPr>
            <w:r>
              <w:rPr>
                <w:b/>
                <w:bCs/>
              </w:rPr>
              <w:t xml:space="preserve">5</w:t>
            </w:r>
          </w:p>
        </w:tc>
      </w:tr>
      <w:tr>
        <w:trPr>
          <w:cantSplit/>
        </w:trPr>
        <w:tc>
          <w:tcPr>
            <w:vAlign w:val="center"/>
          </w:tcPr>
          <w:p>
            <w:pPr>
              <w:pStyle w:val="Compact"/>
              <w:jc w:val="center"/>
            </w:pPr>
            <w:r>
              <w:t xml:space="preserve">Minutos por pregunta</w:t>
            </w:r>
          </w:p>
        </w:tc>
        <w:tc>
          <w:tcPr>
            <w:vAlign w:val="center"/>
          </w:tcPr>
          <w:p>
            <w:pPr>
              <w:pStyle w:val="Compact"/>
              <w:jc w:val="center"/>
            </w:pPr>
            <w:r>
              <w:t xml:space="preserve">6′</w:t>
            </w:r>
          </w:p>
        </w:tc>
        <w:tc>
          <w:tcPr>
            <w:vAlign w:val="center"/>
          </w:tcPr>
          <w:p>
            <w:pPr>
              <w:pStyle w:val="Compact"/>
              <w:jc w:val="center"/>
            </w:pPr>
            <w:r>
              <w:t xml:space="preserve">6′30″</w:t>
            </w:r>
          </w:p>
        </w:tc>
        <w:tc>
          <w:tcPr>
            <w:vAlign w:val="center"/>
          </w:tcPr>
          <w:p>
            <w:pPr>
              <w:pStyle w:val="Compact"/>
              <w:jc w:val="center"/>
            </w:pPr>
            <w:r>
              <w:t xml:space="preserve">7′30″</w:t>
            </w:r>
          </w:p>
        </w:tc>
        <w:tc>
          <w:tcPr>
            <w:vAlign w:val="center"/>
          </w:tcPr>
          <w:p>
            <w:pPr>
              <w:pStyle w:val="Compact"/>
              <w:jc w:val="center"/>
            </w:pPr>
            <w:r>
              <w:t xml:space="preserve">8′30″</w:t>
            </w:r>
          </w:p>
        </w:tc>
        <w:tc>
          <w:tcPr>
            <w:vAlign w:val="center"/>
          </w:tcPr>
          <w:p>
            <w:pPr>
              <w:pStyle w:val="Compact"/>
              <w:jc w:val="center"/>
            </w:pPr>
            <w:r>
              <w:t xml:space="preserve">10′</w:t>
            </w:r>
          </w:p>
        </w:tc>
        <w:tc>
          <w:tcPr>
            <w:vAlign w:val="center"/>
          </w:tcPr>
          <w:p>
            <w:pPr>
              <w:pStyle w:val="Compact"/>
              <w:jc w:val="center"/>
            </w:pPr>
            <w:r>
              <w:t xml:space="preserve">12′</w:t>
            </w:r>
          </w:p>
        </w:tc>
      </w:tr>
    </w:tbl>
    <w:bookmarkEnd w:id="302"/>
    <w:p>
      <w:pPr>
        <w:pStyle w:val="BodyText"/>
        <w:keepNext/>
      </w:pPr>
      <w:r>
        <w:rPr>
          <w:i/>
          <w:iCs/>
        </w:rPr>
        <w:t xml:space="preserve">Fuente: Guía anterior (versión de 2025). Qué hay que ver: las cifras son medias; las preguntas con más peso o más análisis reciben más.</w:t>
      </w:r>
    </w:p>
    <w:p>
      <w:pPr>
        <w:numPr>
          <w:ilvl w:val="0"/>
          <w:numId w:val="1185"/>
        </w:numPr>
      </w:pPr>
      <w:r>
        <w:rPr>
          <w:i/>
          <w:iCs/>
        </w:rPr>
        <w:t xml:space="preserve">Ninguna pregunta en blanco</w:t>
      </w:r>
      <w:r>
        <w:t xml:space="preserve">: si se acaba el tiempo de una, se cierra con una frase de conclusión y se pasa a la siguiente; al final, si sobra, se vuelve. Un esquema en viñetas es mejor que nada. Cada pregunta se relee nada más redactarla.</w:t>
      </w:r>
    </w:p>
    <w:p>
      <w:pPr>
        <w:numPr>
          <w:ilvl w:val="0"/>
          <w:numId w:val="1185"/>
        </w:numPr>
      </w:pPr>
      <w:r>
        <w:rPr>
          <w:i/>
          <w:iCs/>
        </w:rPr>
        <w:t xml:space="preserve">El perfil cíclico es el que más se alarga</w:t>
      </w:r>
      <w:r>
        <w:t xml:space="preserve">: cayó en 13 de los 14 dictámenes de 2011 a 2026 (no en 2025) y casi siempre es la primera pregunta</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Ordena todo lo demás, pero lo que se diga de la inflación, el paro o el sector exterior va en su pregunta.</w:t>
      </w:r>
    </w:p>
    <w:p>
      <w:pPr>
        <w:numPr>
          <w:ilvl w:val="0"/>
          <w:numId w:val="1185"/>
        </w:numPr>
      </w:pPr>
      <w:r>
        <w:rPr>
          <w:i/>
          <w:iCs/>
        </w:rPr>
        <w:t xml:space="preserve">Antes de cada pregunta</w:t>
      </w:r>
      <w:r>
        <w:t xml:space="preserve">, si el tiempo lo permite, 1 o 2 minutos para pensar la frase que anticipa el diagnóstico de ese bloque.</w:t>
      </w:r>
    </w:p>
    <w:bookmarkEnd w:id="303"/>
    <w:bookmarkStart w:id="306" w:name="anexo_leer"/>
    <w:p>
      <w:pPr>
        <w:pStyle w:val="Heading2"/>
      </w:pPr>
      <w:r>
        <w:t xml:space="preserve">H.4. Cómo leer el cuadernillo</w:t>
      </w:r>
    </w:p>
    <w:p>
      <w:pPr>
        <w:numPr>
          <w:ilvl w:val="0"/>
          <w:numId w:val="1186"/>
        </w:numPr>
      </w:pPr>
      <w:r>
        <w:t xml:space="preserve">La idea: en los 10-12 primeros minutos no se escribe nada en las hojas de respuesta. Se trabaja sobre el cuadernillo, en el que sí se puede anotar, y se sale de ahí con el dictamen pensado.</w:t>
      </w:r>
    </w:p>
    <w:p>
      <w:pPr>
        <w:keepNext/>
        <w:numPr>
          <w:ilvl w:val="0"/>
          <w:numId w:val="1186"/>
        </w:numPr>
      </w:pPr>
      <w:r>
        <w:t xml:space="preserve">Los pasos, por este orden:</w:t>
      </w:r>
    </w:p>
    <w:p>
      <w:pPr>
        <w:numPr>
          <w:ilvl w:val="1"/>
          <w:numId w:val="1187"/>
        </w:numPr>
      </w:pPr>
      <w:r>
        <w:rPr>
          <w:i/>
          <w:iCs/>
        </w:rPr>
        <w:t xml:space="preserve">Leer las instrucciones y todas las preguntas enteras</w:t>
      </w:r>
      <w:r>
        <w:t xml:space="preserve">, subrayando los periodos («entre 20xx y 20xx») y lo que pide cada subpregunta. Si las preguntas o las tablas vienen grapadas, se separan para tenerlas a la vista.</w:t>
      </w:r>
    </w:p>
    <w:p>
      <w:pPr>
        <w:numPr>
          <w:ilvl w:val="1"/>
          <w:numId w:val="1187"/>
        </w:numPr>
      </w:pPr>
      <w:r>
        <w:rPr>
          <w:i/>
          <w:iCs/>
        </w:rPr>
        <w:t xml:space="preserve">Mirar las unidades</w:t>
      </w:r>
      <w:r>
        <w:t xml:space="preserve"> </w:t>
      </w:r>
      <w:r>
        <w:t xml:space="preserve">de cada fila: tasa de variación, nivel, porcentaje del PIB, puntos porcentuales, moneda nacional por dólar o al revés. En 2026 el tribunal tuvo que rectificar las unidades del tipo de cambio y de otros cuadros del enunciado</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p>
      <w:pPr>
        <w:numPr>
          <w:ilvl w:val="1"/>
          <w:numId w:val="1187"/>
        </w:numPr>
      </w:pPr>
      <w:r>
        <w:rPr>
          <w:i/>
          <w:iCs/>
        </w:rPr>
        <w:t xml:space="preserve">Dividir el ciclo</w:t>
      </w:r>
      <w:r>
        <w:t xml:space="preserve">: con el crecimiento del PIB real y, si la hay, la brecha de producción, trazar líneas verticales en el cuadro entre las fases (apartado </w:t>
      </w:r>
      <w:hyperlink w:anchor="sec_etapas">
        <w:r>
          <w:rPr>
            <w:rStyle w:val="Hyperlink"/>
          </w:rPr>
          <w:t xml:space="preserve">I.2</w:t>
        </w:r>
      </w:hyperlink>
      <w:r>
        <w:t xml:space="preserve">) y ponerles nombre.</w:t>
      </w:r>
    </w:p>
    <w:p>
      <w:pPr>
        <w:numPr>
          <w:ilvl w:val="1"/>
          <w:numId w:val="1187"/>
        </w:numPr>
      </w:pPr>
      <w:r>
        <w:rPr>
          <w:i/>
          <w:iCs/>
        </w:rPr>
        <w:t xml:space="preserve">Marcar en verde las fortalezas y en rojo las debilidades</w:t>
      </w:r>
      <w:r>
        <w:t xml:space="preserve">: datos anómalos, máximos y mínimos, cambios de tendencia. Un indicador poco habitual suele estar ahí para que se use.</w:t>
      </w:r>
    </w:p>
    <w:p>
      <w:pPr>
        <w:numPr>
          <w:ilvl w:val="1"/>
          <w:numId w:val="1187"/>
        </w:numPr>
      </w:pPr>
      <w:r>
        <w:rPr>
          <w:i/>
          <w:iCs/>
        </w:rPr>
        <w:t xml:space="preserve">Emparejar cada gráfico, tabla y fila con su pregunta</w:t>
      </w:r>
      <w:r>
        <w:t xml:space="preserve">: escribir al lado «P2», «P4». Ningún gráfico está de adorno (días de huelga, uso de la capacidad productiva, precios de los activos…).</w:t>
      </w:r>
    </w:p>
    <w:p>
      <w:pPr>
        <w:numPr>
          <w:ilvl w:val="1"/>
          <w:numId w:val="1187"/>
        </w:numPr>
      </w:pPr>
      <w:r>
        <w:rPr>
          <w:i/>
          <w:iCs/>
        </w:rPr>
        <w:t xml:space="preserve">Hacer al principio los cálculos que se pidan</w:t>
      </w:r>
      <w:r>
        <w:t xml:space="preserve"> </w:t>
      </w:r>
      <w:r>
        <w:t xml:space="preserve">(y los que se vayan a usar), por 2 motivos: se está más fresco y se evita contradecirse en la primera respuesta.</w:t>
      </w:r>
      <w:r>
        <w:rPr>
          <w:rStyle w:val="FootnoteReference"/>
        </w:rPr>
        <w:footnoteReference w:id="304"/>
      </w:r>
    </w:p>
    <w:p>
      <w:pPr>
        <w:numPr>
          <w:ilvl w:val="1"/>
          <w:numId w:val="1187"/>
        </w:numPr>
      </w:pPr>
      <w:r>
        <w:rPr>
          <w:i/>
          <w:iCs/>
        </w:rPr>
        <w:t xml:space="preserve">Anotar las 2 o 3 ideas del temario</w:t>
      </w:r>
      <w:r>
        <w:t xml:space="preserve"> </w:t>
      </w:r>
      <w:r>
        <w:t xml:space="preserve">que encajan (una regla fiscal, el traspaso del tipo de cambio, la curva de</w:t>
      </w:r>
      <w:r>
        <w:t xml:space="preserve"> </w:t>
      </w:r>
      <w:r>
        <w:rPr>
          <w:smallCaps/>
        </w:rPr>
        <w:t xml:space="preserve">Beveridge</w:t>
      </w:r>
      <w:r>
        <w:t xml:space="preserve">) y empezar la lista de fortalezas y debilidades (apartado </w:t>
      </w:r>
      <w:hyperlink w:anchor="anexo_matriz">
        <w:r>
          <w:rPr>
            <w:rStyle w:val="Hyperlink"/>
          </w:rPr>
          <w:t xml:space="preserve">H.7</w:t>
        </w:r>
      </w:hyperlink>
      <w:r>
        <w:t xml:space="preserve">).</w:t>
      </w:r>
    </w:p>
    <w:bookmarkStart w:id="305" w:name="tab_cuadernillo"/>
    <w:p>
      <w:pPr>
        <w:pStyle w:val="TableCaption"/>
      </w:pPr>
      <w:r>
        <w:t xml:space="preserve">Tabla 16.–</w:t>
      </w:r>
      <w:r>
        <w:t xml:space="preserve"> </w:t>
      </w:r>
      <w:r>
        <w:t xml:space="preserve">Un cuadro macroeconómico leído: el dictamen de 2026</w:t>
      </w:r>
    </w:p>
    <w:tbl>
      <w:tblPr>
        <w:tblStyle w:val="Table"/>
        <w:tblW w:type="auto" w:w="0"/>
        <w:tblLook w:firstRow="0" w:lastRow="0" w:firstColumn="0" w:lastColumn="0" w:noHBand="0" w:noVBand="0" w:val="0000"/>
        <w:tblCaption w:val="Tabla 16.– Un cuadro macroeconómico leído: el dictamen de 2026"/>
      </w:tblPr>
      <w:tblGrid>
        <w:gridCol w:w="660"/>
        <w:gridCol w:w="660"/>
        <w:gridCol w:w="660"/>
        <w:gridCol w:w="660"/>
        <w:gridCol w:w="660"/>
        <w:gridCol w:w="660"/>
        <w:gridCol w:w="660"/>
        <w:gridCol w:w="660"/>
        <w:gridCol w:w="660"/>
        <w:gridCol w:w="660"/>
        <w:gridCol w:w="660"/>
        <w:gridCol w:w="660"/>
      </w:tblGrid>
      <w:tr>
        <w:trPr>
          <w:cantSplit/>
        </w:trPr>
        <w:tc>
          <w:tcPr>
            <w:shd w:val="clear" w:color="auto" w:fill="DDEBF7"/>
            <w:vAlign w:val="center"/>
          </w:tcPr>
          <w:p>
            <w:pPr>
              <w:pStyle w:val="Celdatceeazulpalido"/>
              <w:keepNext/>
              <w:jc w:val="left"/>
            </w:pPr>
            <w:r>
              <w:t/>
            </w:r>
          </w:p>
        </w:tc>
        <w:tc>
          <w:tcPr>
            <w:gridSpan w:val="5"/>
            <w:shd w:val="clear" w:color="auto" w:fill="DDEBF7"/>
            <w:vAlign w:val="center"/>
          </w:tcPr>
          <w:p>
            <w:pPr>
              <w:pStyle w:val="Celdatceeazulpalido"/>
              <w:keepNext/>
              <w:jc w:val="center"/>
            </w:pPr>
            <w:r>
              <w:rPr>
                <w:b/>
                <w:bCs/>
              </w:rPr>
              <w:t xml:space="preserve">Crecimiento débil o moderado</w:t>
            </w:r>
          </w:p>
        </w:tc>
        <w:tc>
          <w:tcPr>
            <w:gridSpan w:val="2"/>
            <w:shd w:val="clear" w:color="auto" w:fill="DDEBF7"/>
            <w:vAlign w:val="center"/>
          </w:tcPr>
          <w:p>
            <w:pPr>
              <w:pStyle w:val="Celdatceeazulpalido"/>
              <w:keepNext/>
              <w:jc w:val="center"/>
            </w:pPr>
            <w:r>
              <w:rPr>
                <w:b/>
                <w:bCs/>
              </w:rPr>
              <w:t xml:space="preserve">Recesión</w:t>
            </w:r>
          </w:p>
        </w:tc>
        <w:tc>
          <w:tcPr>
            <w:shd w:val="clear" w:color="auto" w:fill="DDEBF7"/>
            <w:vAlign w:val="center"/>
          </w:tcPr>
          <w:p>
            <w:pPr>
              <w:pStyle w:val="Celdatceeazulpalido"/>
              <w:keepNext/>
              <w:jc w:val="center"/>
            </w:pPr>
            <w:r>
              <w:rPr>
                <w:b/>
                <w:bCs/>
              </w:rPr>
              <w:t xml:space="preserve">Rec.</w:t>
            </w:r>
          </w:p>
        </w:tc>
        <w:tc>
          <w:tcPr>
            <w:gridSpan w:val="3"/>
            <w:shd w:val="clear" w:color="auto" w:fill="DDEBF7"/>
            <w:vAlign w:val="center"/>
          </w:tcPr>
          <w:p>
            <w:pPr>
              <w:pStyle w:val="Celdatceeazulpalido"/>
              <w:keepNext/>
              <w:jc w:val="center"/>
            </w:pPr>
            <w:r>
              <w:rPr>
                <w:b/>
                <w:bCs/>
              </w:rPr>
              <w:t xml:space="preserve">Desaceleración</w:t>
            </w:r>
          </w:p>
        </w:tc>
      </w:tr>
      <w:tr>
        <w:trPr>
          <w:cantSplit/>
        </w:trPr>
        <w:tc>
          <w:tcPr>
            <w:shd w:val="clear" w:color="auto" w:fill="DDEBF7"/>
            <w:vAlign w:val="center"/>
          </w:tcPr>
          <w:p>
            <w:pPr>
              <w:pStyle w:val="Celdatceeazulpalido"/>
              <w:jc w:val="left"/>
            </w:pPr>
            <w:r>
              <w:t xml:space="preserve"> </w:t>
            </w:r>
            <w:r>
              <w:rPr>
                <w:b/>
                <w:bCs/>
              </w:rPr>
              <w:t xml:space="preserve">Indicador</w:t>
            </w:r>
          </w:p>
        </w:tc>
        <w:tc>
          <w:tcPr>
            <w:shd w:val="clear" w:color="auto" w:fill="DDEBF7"/>
            <w:vAlign w:val="center"/>
          </w:tcPr>
          <w:p>
            <w:pPr>
              <w:pStyle w:val="Celdatceeazulpalido"/>
              <w:jc w:val="center"/>
            </w:pPr>
            <w:r>
              <w:rPr>
                <w:b/>
                <w:bCs/>
              </w:rPr>
              <w:t xml:space="preserve">2014</w:t>
            </w:r>
          </w:p>
        </w:tc>
        <w:tc>
          <w:tcPr>
            <w:shd w:val="clear" w:color="auto" w:fill="DDEBF7"/>
            <w:vAlign w:val="center"/>
          </w:tcPr>
          <w:p>
            <w:pPr>
              <w:pStyle w:val="Celdatceeazulpalido"/>
              <w:jc w:val="center"/>
            </w:pPr>
            <w:r>
              <w:rPr>
                <w:b/>
                <w:bCs/>
              </w:rPr>
              <w:t xml:space="preserve">2015</w:t>
            </w:r>
          </w:p>
        </w:tc>
        <w:tc>
          <w:tcPr>
            <w:shd w:val="clear" w:color="auto" w:fill="DDEBF7"/>
            <w:vAlign w:val="center"/>
          </w:tcPr>
          <w:p>
            <w:pPr>
              <w:pStyle w:val="Celdatceeazulpalido"/>
              <w:jc w:val="center"/>
            </w:pPr>
            <w:r>
              <w:rPr>
                <w:b/>
                <w:bCs/>
              </w:rPr>
              <w:t xml:space="preserve">2016</w:t>
            </w:r>
          </w:p>
        </w:tc>
        <w:tc>
          <w:tcPr>
            <w:shd w:val="clear" w:color="auto" w:fill="DDEBF7"/>
            <w:vAlign w:val="center"/>
          </w:tcPr>
          <w:p>
            <w:pPr>
              <w:pStyle w:val="Celdatceeazulpalido"/>
              <w:jc w:val="center"/>
            </w:pPr>
            <w:r>
              <w:rPr>
                <w:b/>
                <w:bCs/>
              </w:rPr>
              <w:t xml:space="preserve">2017</w:t>
            </w:r>
          </w:p>
        </w:tc>
        <w:tc>
          <w:tcPr>
            <w:shd w:val="clear" w:color="auto" w:fill="DDEBF7"/>
            <w:vAlign w:val="center"/>
          </w:tcPr>
          <w:p>
            <w:pPr>
              <w:pStyle w:val="Celdatceeazulpalido"/>
              <w:jc w:val="center"/>
            </w:pPr>
            <w:r>
              <w:rPr>
                <w:b/>
                <w:bCs/>
              </w:rPr>
              <w:t xml:space="preserve">2018</w:t>
            </w:r>
          </w:p>
        </w:tc>
        <w:tc>
          <w:tcPr>
            <w:shd w:val="clear" w:color="auto" w:fill="DDEBF7"/>
            <w:vAlign w:val="center"/>
          </w:tcPr>
          <w:p>
            <w:pPr>
              <w:pStyle w:val="Celdatceeazulpalido"/>
              <w:jc w:val="center"/>
            </w:pPr>
            <w:r>
              <w:rPr>
                <w:b/>
                <w:bCs/>
              </w:rPr>
              <w:t xml:space="preserve">2019</w:t>
            </w:r>
          </w:p>
        </w:tc>
        <w:tc>
          <w:tcPr>
            <w:shd w:val="clear" w:color="auto" w:fill="DDEBF7"/>
            <w:vAlign w:val="center"/>
          </w:tcPr>
          <w:p>
            <w:pPr>
              <w:pStyle w:val="Celdatceeazulpalido"/>
              <w:jc w:val="center"/>
            </w:pPr>
            <w:r>
              <w:rPr>
                <w:b/>
                <w:bCs/>
              </w:rPr>
              <w:t xml:space="preserve">2020</w:t>
            </w:r>
          </w:p>
        </w:tc>
        <w:tc>
          <w:tcPr>
            <w:shd w:val="clear" w:color="auto" w:fill="DDEBF7"/>
            <w:vAlign w:val="center"/>
          </w:tcPr>
          <w:p>
            <w:pPr>
              <w:pStyle w:val="Celdatceeazulpalido"/>
              <w:jc w:val="center"/>
            </w:pPr>
            <w:r>
              <w:rPr>
                <w:b/>
                <w:bCs/>
              </w:rPr>
              <w:t xml:space="preserve">2021</w:t>
            </w:r>
          </w:p>
        </w:tc>
        <w:tc>
          <w:tcPr>
            <w:shd w:val="clear" w:color="auto" w:fill="DDEBF7"/>
            <w:vAlign w:val="center"/>
          </w:tcPr>
          <w:p>
            <w:pPr>
              <w:pStyle w:val="Celdatceeazulpalido"/>
              <w:jc w:val="center"/>
            </w:pPr>
            <w:r>
              <w:rPr>
                <w:b/>
                <w:bCs/>
              </w:rPr>
              <w:t xml:space="preserve">2022</w:t>
            </w:r>
          </w:p>
        </w:tc>
        <w:tc>
          <w:tcPr>
            <w:shd w:val="clear" w:color="auto" w:fill="DDEBF7"/>
            <w:vAlign w:val="center"/>
          </w:tcPr>
          <w:p>
            <w:pPr>
              <w:pStyle w:val="Celdatceeazulpalido"/>
              <w:jc w:val="center"/>
            </w:pPr>
            <w:r>
              <w:rPr>
                <w:b/>
                <w:bCs/>
              </w:rPr>
              <w:t xml:space="preserve">2023</w:t>
            </w:r>
          </w:p>
        </w:tc>
        <w:tc>
          <w:tcPr>
            <w:shd w:val="clear" w:color="auto" w:fill="DDEBF7"/>
            <w:vAlign w:val="center"/>
          </w:tcPr>
          <w:p>
            <w:pPr>
              <w:pStyle w:val="Celdatceeazulpalido"/>
              <w:jc w:val="center"/>
            </w:pPr>
            <w:r>
              <w:rPr>
                <w:b/>
                <w:bCs/>
              </w:rPr>
              <w:t xml:space="preserve">2024</w:t>
            </w:r>
          </w:p>
        </w:tc>
      </w:tr>
      <w:tr>
        <w:trPr>
          <w:cantSplit/>
        </w:trPr>
        <w:tc>
          <w:tcPr>
            <w:vAlign w:val="center"/>
          </w:tcPr>
          <w:p>
            <w:pPr>
              <w:pStyle w:val="Compact"/>
              <w:jc w:val="left"/>
            </w:pPr>
            <w:r>
              <w:t xml:space="preserve">PIB real (%)</w:t>
            </w:r>
          </w:p>
        </w:tc>
        <w:tc>
          <w:tcPr>
            <w:vAlign w:val="center"/>
          </w:tcPr>
          <w:p>
            <w:pPr>
              <w:pStyle w:val="Compact"/>
              <w:jc w:val="center"/>
            </w:pPr>
            <w:r>
              <w:t xml:space="preserve">0,9</w:t>
            </w:r>
          </w:p>
        </w:tc>
        <w:tc>
          <w:tcPr>
            <w:vAlign w:val="center"/>
          </w:tcPr>
          <w:p>
            <w:pPr>
              <w:pStyle w:val="Compact"/>
              <w:jc w:val="center"/>
            </w:pPr>
            <w:r>
              <w:t xml:space="preserve">1,8</w:t>
            </w:r>
          </w:p>
        </w:tc>
        <w:tc>
          <w:tcPr>
            <w:vAlign w:val="center"/>
          </w:tcPr>
          <w:p>
            <w:pPr>
              <w:pStyle w:val="Compact"/>
              <w:jc w:val="center"/>
            </w:pPr>
            <w:r>
              <w:t xml:space="preserve">0,7</w:t>
            </w:r>
          </w:p>
        </w:tc>
        <w:tc>
          <w:tcPr>
            <w:vAlign w:val="center"/>
          </w:tcPr>
          <w:p>
            <w:pPr>
              <w:pStyle w:val="Compact"/>
              <w:jc w:val="center"/>
            </w:pPr>
            <w:r>
              <w:t xml:space="preserve">1,6</w:t>
            </w:r>
          </w:p>
        </w:tc>
        <w:tc>
          <w:tcPr>
            <w:vAlign w:val="center"/>
          </w:tcPr>
          <w:p>
            <w:pPr>
              <w:pStyle w:val="Compact"/>
              <w:jc w:val="center"/>
            </w:pPr>
            <w:r>
              <w:t xml:space="preserve">0,8</w:t>
            </w:r>
          </w:p>
        </w:tc>
        <w:tc>
          <w:tcPr>
            <w:vAlign w:val="center"/>
          </w:tcPr>
          <w:p>
            <w:pPr>
              <w:pStyle w:val="Compact"/>
              <w:jc w:val="center"/>
            </w:pPr>
            <m:oMath>
              <m:r>
                <m:rPr>
                  <m:sty m:val="p"/>
                </m:rPr>
                <m:t>−</m:t>
              </m:r>
            </m:oMath>
            <w:r>
              <w:t xml:space="preserve">0,3</w:t>
            </w:r>
          </w:p>
        </w:tc>
        <w:tc>
          <w:tcPr>
            <w:shd w:val="clear" w:color="auto" w:fill="FBE4D5"/>
            <w:vAlign w:val="center"/>
          </w:tcPr>
          <w:p>
            <w:pPr>
              <w:pStyle w:val="Celdatceesalmon"/>
              <w:jc w:val="center"/>
            </w:pPr>
            <m:oMath>
              <m:r>
                <m:rPr>
                  <m:sty m:val="p"/>
                </m:rPr>
                <m:t>−</m:t>
              </m:r>
            </m:oMath>
            <w:r>
              <w:t xml:space="preserve">4,3</w:t>
            </w:r>
          </w:p>
        </w:tc>
        <w:tc>
          <w:tcPr>
            <w:vAlign w:val="center"/>
          </w:tcPr>
          <w:p>
            <w:pPr>
              <w:pStyle w:val="Compact"/>
              <w:jc w:val="center"/>
            </w:pPr>
            <w:r>
              <w:t xml:space="preserve">3,6</w:t>
            </w:r>
          </w:p>
        </w:tc>
        <w:tc>
          <w:tcPr>
            <w:vAlign w:val="center"/>
          </w:tcPr>
          <w:p>
            <w:pPr>
              <w:pStyle w:val="Compact"/>
              <w:jc w:val="center"/>
            </w:pPr>
            <w:r>
              <w:t xml:space="preserve">1,3</w:t>
            </w:r>
          </w:p>
        </w:tc>
        <w:tc>
          <w:tcPr>
            <w:vAlign w:val="center"/>
          </w:tcPr>
          <w:p>
            <w:pPr>
              <w:pStyle w:val="Compact"/>
              <w:jc w:val="center"/>
            </w:pPr>
            <w:r>
              <w:t xml:space="preserve">0,7</w:t>
            </w:r>
          </w:p>
        </w:tc>
        <w:tc>
          <w:tcPr>
            <w:shd w:val="clear" w:color="auto" w:fill="FBE4D5"/>
            <w:vAlign w:val="center"/>
          </w:tcPr>
          <w:p>
            <w:pPr>
              <w:pStyle w:val="Celdatceesalmon"/>
              <w:jc w:val="center"/>
            </w:pPr>
            <m:oMath>
              <m:r>
                <m:rPr>
                  <m:sty m:val="p"/>
                </m:rPr>
                <m:t>−</m:t>
              </m:r>
            </m:oMath>
            <w:r>
              <w:t xml:space="preserve">0,2</w:t>
            </w:r>
          </w:p>
        </w:tc>
      </w:tr>
      <w:tr>
        <w:trPr>
          <w:cantSplit/>
        </w:trPr>
        <w:tc>
          <w:tcPr>
            <w:vAlign w:val="center"/>
          </w:tcPr>
          <w:p>
            <w:pPr>
              <w:pStyle w:val="Compact"/>
              <w:jc w:val="left"/>
            </w:pPr>
            <w:r>
              <w:t xml:space="preserve">Contrib. demanda interna (pp)</w:t>
            </w:r>
          </w:p>
        </w:tc>
        <w:tc>
          <w:tcPr>
            <w:vAlign w:val="center"/>
          </w:tcPr>
          <w:p>
            <w:pPr>
              <w:pStyle w:val="Compact"/>
              <w:jc w:val="center"/>
            </w:pPr>
            <w:r>
              <w:t xml:space="preserve">0,9</w:t>
            </w:r>
          </w:p>
        </w:tc>
        <w:tc>
          <w:tcPr>
            <w:vAlign w:val="center"/>
          </w:tcPr>
          <w:p>
            <w:pPr>
              <w:pStyle w:val="Compact"/>
              <w:jc w:val="center"/>
            </w:pPr>
            <w:r>
              <w:t xml:space="preserve">1,3</w:t>
            </w:r>
          </w:p>
        </w:tc>
        <w:tc>
          <w:tcPr>
            <w:vAlign w:val="center"/>
          </w:tcPr>
          <w:p>
            <w:pPr>
              <w:pStyle w:val="Compact"/>
              <w:jc w:val="center"/>
            </w:pPr>
            <w:r>
              <w:t xml:space="preserve">0,2</w:t>
            </w:r>
          </w:p>
        </w:tc>
        <w:tc>
          <w:tcPr>
            <w:vAlign w:val="center"/>
          </w:tcPr>
          <w:p>
            <w:pPr>
              <w:pStyle w:val="Compact"/>
              <w:jc w:val="center"/>
            </w:pPr>
            <w:r>
              <w:t xml:space="preserve">1,1</w:t>
            </w:r>
          </w:p>
        </w:tc>
        <w:tc>
          <w:tcPr>
            <w:vAlign w:val="center"/>
          </w:tcPr>
          <w:p>
            <w:pPr>
              <w:pStyle w:val="Compact"/>
              <w:jc w:val="center"/>
            </w:pPr>
            <w:r>
              <w:t xml:space="preserve">0,8</w:t>
            </w:r>
          </w:p>
        </w:tc>
        <w:tc>
          <w:tcPr>
            <w:vAlign w:val="center"/>
          </w:tcPr>
          <w:p>
            <w:pPr>
              <w:pStyle w:val="Compact"/>
              <w:jc w:val="center"/>
            </w:pPr>
            <w:r>
              <w:t xml:space="preserve">0,1</w:t>
            </w:r>
          </w:p>
        </w:tc>
        <w:tc>
          <w:tcPr>
            <w:vAlign w:val="center"/>
          </w:tcPr>
          <w:p>
            <w:pPr>
              <w:pStyle w:val="Compact"/>
              <w:jc w:val="center"/>
            </w:pPr>
            <m:oMath>
              <m:r>
                <m:rPr>
                  <m:sty m:val="p"/>
                </m:rPr>
                <m:t>−</m:t>
              </m:r>
            </m:oMath>
            <w:r>
              <w:t xml:space="preserve">3,5</w:t>
            </w:r>
          </w:p>
        </w:tc>
        <w:tc>
          <w:tcPr>
            <w:vAlign w:val="center"/>
          </w:tcPr>
          <w:p>
            <w:pPr>
              <w:pStyle w:val="Compact"/>
              <w:jc w:val="center"/>
            </w:pPr>
            <w:r>
              <w:t xml:space="preserve">2,5</w:t>
            </w:r>
          </w:p>
        </w:tc>
        <w:tc>
          <w:tcPr>
            <w:vAlign w:val="center"/>
          </w:tcPr>
          <w:p>
            <w:pPr>
              <w:pStyle w:val="Compact"/>
              <w:jc w:val="center"/>
            </w:pPr>
            <w:r>
              <w:t xml:space="preserve">1,8</w:t>
            </w:r>
          </w:p>
        </w:tc>
        <w:tc>
          <w:tcPr>
            <w:vAlign w:val="center"/>
          </w:tcPr>
          <w:p>
            <w:pPr>
              <w:pStyle w:val="Compact"/>
              <w:jc w:val="center"/>
            </w:pPr>
            <w:r>
              <w:t xml:space="preserve">0</w:t>
            </w:r>
          </w:p>
        </w:tc>
        <w:tc>
          <w:tcPr>
            <w:vAlign w:val="center"/>
          </w:tcPr>
          <w:p>
            <w:pPr>
              <w:pStyle w:val="Compact"/>
              <w:jc w:val="center"/>
            </w:pPr>
            <m:oMath>
              <m:r>
                <m:rPr>
                  <m:sty m:val="p"/>
                </m:rPr>
                <m:t>−</m:t>
              </m:r>
            </m:oMath>
            <w:r>
              <w:t xml:space="preserve">0,2</w:t>
            </w:r>
          </w:p>
        </w:tc>
      </w:tr>
      <w:tr>
        <w:trPr>
          <w:cantSplit/>
        </w:trPr>
        <w:tc>
          <w:tcPr>
            <w:vAlign w:val="center"/>
          </w:tcPr>
          <w:p>
            <w:pPr>
              <w:pStyle w:val="Compact"/>
              <w:jc w:val="left"/>
            </w:pPr>
            <w:r>
              <w:t xml:space="preserve">Contrib. demanda externa (pp)</w:t>
            </w:r>
          </w:p>
        </w:tc>
        <w:tc>
          <w:tcPr>
            <w:vAlign w:val="center"/>
          </w:tcPr>
          <w:p>
            <w:pPr>
              <w:pStyle w:val="Compact"/>
              <w:jc w:val="center"/>
            </w:pPr>
            <w:r>
              <w:t xml:space="preserve">0</w:t>
            </w:r>
          </w:p>
        </w:tc>
        <w:tc>
          <w:tcPr>
            <w:vAlign w:val="center"/>
          </w:tcPr>
          <w:p>
            <w:pPr>
              <w:pStyle w:val="Compact"/>
              <w:jc w:val="center"/>
            </w:pPr>
            <w:r>
              <w:t xml:space="preserve">0,5</w:t>
            </w:r>
          </w:p>
        </w:tc>
        <w:tc>
          <w:tcPr>
            <w:vAlign w:val="center"/>
          </w:tcPr>
          <w:p>
            <w:pPr>
              <w:pStyle w:val="Compact"/>
              <w:jc w:val="center"/>
            </w:pPr>
            <w:r>
              <w:t xml:space="preserve">0,5</w:t>
            </w:r>
          </w:p>
        </w:tc>
        <w:tc>
          <w:tcPr>
            <w:vAlign w:val="center"/>
          </w:tcPr>
          <w:p>
            <w:pPr>
              <w:pStyle w:val="Compact"/>
              <w:jc w:val="center"/>
            </w:pPr>
            <w:r>
              <w:t xml:space="preserve">0,6</w:t>
            </w:r>
          </w:p>
        </w:tc>
        <w:tc>
          <w:tcPr>
            <w:vAlign w:val="center"/>
          </w:tcPr>
          <w:p>
            <w:pPr>
              <w:pStyle w:val="Compact"/>
              <w:jc w:val="center"/>
            </w:pPr>
            <w:r>
              <w:t xml:space="preserve">0</w:t>
            </w:r>
          </w:p>
        </w:tc>
        <w:tc>
          <w:tcPr>
            <w:vAlign w:val="center"/>
          </w:tcPr>
          <w:p>
            <w:pPr>
              <w:pStyle w:val="Compact"/>
              <w:jc w:val="center"/>
            </w:pPr>
            <m:oMath>
              <m:r>
                <m:rPr>
                  <m:sty m:val="p"/>
                </m:rPr>
                <m:t>−</m:t>
              </m:r>
            </m:oMath>
            <w:r>
              <w:t xml:space="preserve">0,5</w:t>
            </w:r>
          </w:p>
        </w:tc>
        <w:tc>
          <w:tcPr>
            <w:vAlign w:val="center"/>
          </w:tcPr>
          <w:p>
            <w:pPr>
              <w:pStyle w:val="Compact"/>
              <w:jc w:val="center"/>
            </w:pPr>
            <m:oMath>
              <m:r>
                <m:rPr>
                  <m:sty m:val="p"/>
                </m:rPr>
                <m:t>−</m:t>
              </m:r>
            </m:oMath>
            <w:r>
              <w:t xml:space="preserve">0,8</w:t>
            </w:r>
          </w:p>
        </w:tc>
        <w:tc>
          <w:tcPr>
            <w:vAlign w:val="center"/>
          </w:tcPr>
          <w:p>
            <w:pPr>
              <w:pStyle w:val="Compact"/>
              <w:jc w:val="center"/>
            </w:pPr>
            <w:r>
              <w:t xml:space="preserve">1,1</w:t>
            </w:r>
          </w:p>
        </w:tc>
        <w:tc>
          <w:tcPr>
            <w:vAlign w:val="center"/>
          </w:tcPr>
          <w:p>
            <w:pPr>
              <w:pStyle w:val="Compact"/>
              <w:jc w:val="center"/>
            </w:pPr>
            <m:oMath>
              <m:r>
                <m:rPr>
                  <m:sty m:val="p"/>
                </m:rPr>
                <m:t>−</m:t>
              </m:r>
            </m:oMath>
            <w:r>
              <w:t xml:space="preserve">0,5</w:t>
            </w:r>
          </w:p>
        </w:tc>
        <w:tc>
          <w:tcPr>
            <w:vAlign w:val="center"/>
          </w:tcPr>
          <w:p>
            <w:pPr>
              <w:pStyle w:val="Compact"/>
              <w:jc w:val="center"/>
            </w:pPr>
            <w:r>
              <w:t xml:space="preserve">0,7</w:t>
            </w:r>
          </w:p>
        </w:tc>
        <w:tc>
          <w:tcPr>
            <w:vAlign w:val="center"/>
          </w:tcPr>
          <w:p>
            <w:pPr>
              <w:pStyle w:val="Compact"/>
              <w:jc w:val="center"/>
            </w:pPr>
            <w:r>
              <w:t xml:space="preserve">0</w:t>
            </w:r>
          </w:p>
        </w:tc>
      </w:tr>
      <w:tr>
        <w:trPr>
          <w:cantSplit/>
        </w:trPr>
        <w:tc>
          <w:tcPr>
            <w:vAlign w:val="center"/>
          </w:tcPr>
          <w:p>
            <w:pPr>
              <w:pStyle w:val="Compact"/>
              <w:jc w:val="left"/>
            </w:pPr>
            <w:r>
              <w:t xml:space="preserve">RNB real (%)</w:t>
            </w:r>
          </w:p>
        </w:tc>
        <w:tc>
          <w:tcPr>
            <w:vAlign w:val="center"/>
          </w:tcPr>
          <w:p>
            <w:pPr>
              <w:pStyle w:val="Compact"/>
              <w:jc w:val="center"/>
            </w:pPr>
            <w:r>
              <w:t xml:space="preserve">0,9</w:t>
            </w:r>
          </w:p>
        </w:tc>
        <w:tc>
          <w:tcPr>
            <w:shd w:val="clear" w:color="auto" w:fill="E2EFD9"/>
            <w:vAlign w:val="center"/>
          </w:tcPr>
          <w:p>
            <w:pPr>
              <w:pStyle w:val="Celdatceesalvia"/>
              <w:jc w:val="center"/>
            </w:pPr>
            <w:r>
              <w:t xml:space="preserve">3,3</w:t>
            </w:r>
          </w:p>
        </w:tc>
        <w:tc>
          <w:tcPr>
            <w:vAlign w:val="center"/>
          </w:tcPr>
          <w:p>
            <w:pPr>
              <w:pStyle w:val="Compact"/>
              <w:jc w:val="center"/>
            </w:pPr>
            <w:r>
              <w:t xml:space="preserve">1,1</w:t>
            </w:r>
          </w:p>
        </w:tc>
        <w:tc>
          <w:tcPr>
            <w:vAlign w:val="center"/>
          </w:tcPr>
          <w:p>
            <w:pPr>
              <w:pStyle w:val="Compact"/>
              <w:jc w:val="center"/>
            </w:pPr>
            <w:r>
              <w:t xml:space="preserve">1,2</w:t>
            </w:r>
          </w:p>
        </w:tc>
        <w:tc>
          <w:tcPr>
            <w:vAlign w:val="center"/>
          </w:tcPr>
          <w:p>
            <w:pPr>
              <w:pStyle w:val="Compact"/>
              <w:jc w:val="center"/>
            </w:pPr>
            <w:r>
              <w:t xml:space="preserve">0,2</w:t>
            </w:r>
          </w:p>
        </w:tc>
        <w:tc>
          <w:tcPr>
            <w:vAlign w:val="center"/>
          </w:tcPr>
          <w:p>
            <w:pPr>
              <w:pStyle w:val="Compact"/>
              <w:jc w:val="center"/>
            </w:pPr>
            <m:oMath>
              <m:r>
                <m:rPr>
                  <m:sty m:val="p"/>
                </m:rPr>
                <m:t>−</m:t>
              </m:r>
            </m:oMath>
            <w:r>
              <w:t xml:space="preserve">0,1</w:t>
            </w:r>
          </w:p>
        </w:tc>
        <w:tc>
          <w:tcPr>
            <w:vAlign w:val="center"/>
          </w:tcPr>
          <w:p>
            <w:pPr>
              <w:pStyle w:val="Compact"/>
              <w:jc w:val="center"/>
            </w:pPr>
            <m:oMath>
              <m:r>
                <m:rPr>
                  <m:sty m:val="p"/>
                </m:rPr>
                <m:t>−</m:t>
              </m:r>
            </m:oMath>
            <w:r>
              <w:t xml:space="preserve">3,7</w:t>
            </w:r>
          </w:p>
        </w:tc>
        <w:tc>
          <w:tcPr>
            <w:vAlign w:val="center"/>
          </w:tcPr>
          <w:p>
            <w:pPr>
              <w:pStyle w:val="Compact"/>
              <w:jc w:val="center"/>
            </w:pPr>
            <w:r>
              <w:t xml:space="preserve">3,3</w:t>
            </w:r>
          </w:p>
        </w:tc>
        <w:tc>
          <w:tcPr>
            <w:vAlign w:val="center"/>
          </w:tcPr>
          <w:p>
            <w:pPr>
              <w:pStyle w:val="Compact"/>
              <w:jc w:val="center"/>
            </w:pPr>
            <w:r>
              <w:t xml:space="preserve">0,7</w:t>
            </w:r>
          </w:p>
        </w:tc>
        <w:tc>
          <w:tcPr>
            <w:shd w:val="clear" w:color="auto" w:fill="E2EFD9"/>
            <w:vAlign w:val="center"/>
          </w:tcPr>
          <w:p>
            <w:pPr>
              <w:pStyle w:val="Celdatceesalvia"/>
              <w:jc w:val="center"/>
            </w:pPr>
            <w:r>
              <w:t xml:space="preserve">1,5</w:t>
            </w:r>
          </w:p>
        </w:tc>
        <w:tc>
          <w:tcPr>
            <w:vAlign w:val="center"/>
          </w:tcPr>
          <w:p>
            <w:pPr>
              <w:pStyle w:val="Compact"/>
              <w:jc w:val="center"/>
            </w:pPr>
            <w:r>
              <w:t xml:space="preserve">0,6</w:t>
            </w:r>
          </w:p>
        </w:tc>
      </w:tr>
      <w:tr>
        <w:trPr>
          <w:cantSplit/>
        </w:trPr>
        <w:tc>
          <w:tcPr>
            <w:vAlign w:val="center"/>
          </w:tcPr>
          <w:p>
            <w:pPr>
              <w:pStyle w:val="Compact"/>
              <w:jc w:val="left"/>
            </w:pPr>
            <w:r>
              <w:t xml:space="preserve">Tasa de paro (%)</w:t>
            </w:r>
          </w:p>
        </w:tc>
        <w:tc>
          <w:tcPr>
            <w:vAlign w:val="center"/>
          </w:tcPr>
          <w:p>
            <w:pPr>
              <w:pStyle w:val="Compact"/>
              <w:jc w:val="center"/>
            </w:pPr>
            <w:r>
              <w:t xml:space="preserve">3,6</w:t>
            </w:r>
          </w:p>
        </w:tc>
        <w:tc>
          <w:tcPr>
            <w:vAlign w:val="center"/>
          </w:tcPr>
          <w:p>
            <w:pPr>
              <w:pStyle w:val="Compact"/>
              <w:jc w:val="center"/>
            </w:pPr>
            <w:r>
              <w:t xml:space="preserve">3,4</w:t>
            </w:r>
          </w:p>
        </w:tc>
        <w:tc>
          <w:tcPr>
            <w:vAlign w:val="center"/>
          </w:tcPr>
          <w:p>
            <w:pPr>
              <w:pStyle w:val="Compact"/>
              <w:jc w:val="center"/>
            </w:pPr>
            <w:r>
              <w:t xml:space="preserve">3,1</w:t>
            </w:r>
          </w:p>
        </w:tc>
        <w:tc>
          <w:tcPr>
            <w:vAlign w:val="center"/>
          </w:tcPr>
          <w:p>
            <w:pPr>
              <w:pStyle w:val="Compact"/>
              <w:jc w:val="center"/>
            </w:pPr>
            <w:r>
              <w:t xml:space="preserve">2,8</w:t>
            </w:r>
          </w:p>
        </w:tc>
        <w:tc>
          <w:tcPr>
            <w:shd w:val="clear" w:color="auto" w:fill="E2EFD9"/>
            <w:vAlign w:val="center"/>
          </w:tcPr>
          <w:p>
            <w:pPr>
              <w:pStyle w:val="Celdatceesalvia"/>
              <w:jc w:val="center"/>
            </w:pPr>
            <w:r>
              <w:t xml:space="preserve">2,4</w:t>
            </w:r>
          </w:p>
        </w:tc>
        <w:tc>
          <w:tcPr>
            <w:vAlign w:val="center"/>
          </w:tcPr>
          <w:p>
            <w:pPr>
              <w:pStyle w:val="Compact"/>
              <w:jc w:val="center"/>
            </w:pPr>
            <w:r>
              <w:t xml:space="preserve">2,4</w:t>
            </w:r>
          </w:p>
        </w:tc>
        <w:tc>
          <w:tcPr>
            <w:vAlign w:val="center"/>
          </w:tcPr>
          <w:p>
            <w:pPr>
              <w:pStyle w:val="Compact"/>
              <w:jc w:val="center"/>
            </w:pPr>
            <w:r>
              <w:t xml:space="preserve">2,8</w:t>
            </w:r>
          </w:p>
        </w:tc>
        <w:tc>
          <w:tcPr>
            <w:vAlign w:val="center"/>
          </w:tcPr>
          <w:p>
            <w:pPr>
              <w:pStyle w:val="Compact"/>
              <w:jc w:val="center"/>
            </w:pPr>
            <w:r>
              <w:t xml:space="preserve">2,8</w:t>
            </w:r>
          </w:p>
        </w:tc>
        <w:tc>
          <w:tcPr>
            <w:vAlign w:val="center"/>
          </w:tcPr>
          <w:p>
            <w:pPr>
              <w:pStyle w:val="Compact"/>
              <w:jc w:val="center"/>
            </w:pPr>
            <w:r>
              <w:t xml:space="preserve">2,6</w:t>
            </w:r>
          </w:p>
        </w:tc>
        <w:tc>
          <w:tcPr>
            <w:vAlign w:val="center"/>
          </w:tcPr>
          <w:p>
            <w:pPr>
              <w:pStyle w:val="Compact"/>
              <w:jc w:val="center"/>
            </w:pPr>
            <w:r>
              <w:t xml:space="preserve">2,6</w:t>
            </w:r>
          </w:p>
        </w:tc>
        <w:tc>
          <w:tcPr>
            <w:shd w:val="clear" w:color="auto" w:fill="E2EFD9"/>
            <w:vAlign w:val="center"/>
          </w:tcPr>
          <w:p>
            <w:pPr>
              <w:pStyle w:val="Celdatceesalvia"/>
              <w:jc w:val="center"/>
            </w:pPr>
            <w:r>
              <w:t xml:space="preserve">2,5</w:t>
            </w:r>
          </w:p>
        </w:tc>
      </w:tr>
      <w:tr>
        <w:trPr>
          <w:cantSplit/>
        </w:trPr>
        <w:tc>
          <w:tcPr>
            <w:vAlign w:val="center"/>
          </w:tcPr>
          <w:p>
            <w:pPr>
              <w:pStyle w:val="Compact"/>
              <w:jc w:val="left"/>
            </w:pPr>
            <w:r>
              <w:t xml:space="preserve">Tasa de dependencia de los mayores (%)</w:t>
            </w:r>
          </w:p>
        </w:tc>
        <w:tc>
          <w:tcPr>
            <w:vAlign w:val="center"/>
          </w:tcPr>
          <w:p>
            <w:pPr>
              <w:pStyle w:val="Compact"/>
              <w:jc w:val="center"/>
            </w:pPr>
            <w:r>
              <w:t xml:space="preserve">42,3</w:t>
            </w:r>
          </w:p>
        </w:tc>
        <w:tc>
          <w:tcPr>
            <w:vAlign w:val="center"/>
          </w:tcPr>
          <w:p>
            <w:pPr>
              <w:pStyle w:val="Compact"/>
              <w:jc w:val="center"/>
            </w:pPr>
            <w:r>
              <w:t xml:space="preserve">43,8</w:t>
            </w:r>
          </w:p>
        </w:tc>
        <w:tc>
          <w:tcPr>
            <w:vAlign w:val="center"/>
          </w:tcPr>
          <w:p>
            <w:pPr>
              <w:pStyle w:val="Compact"/>
              <w:jc w:val="center"/>
            </w:pPr>
            <w:r>
              <w:t xml:space="preserve">45,1</w:t>
            </w:r>
          </w:p>
        </w:tc>
        <w:tc>
          <w:tcPr>
            <w:vAlign w:val="center"/>
          </w:tcPr>
          <w:p>
            <w:pPr>
              <w:pStyle w:val="Compact"/>
              <w:jc w:val="center"/>
            </w:pPr>
            <w:r>
              <w:t xml:space="preserve">46,1</w:t>
            </w:r>
          </w:p>
        </w:tc>
        <w:tc>
          <w:tcPr>
            <w:vAlign w:val="center"/>
          </w:tcPr>
          <w:p>
            <w:pPr>
              <w:pStyle w:val="Compact"/>
              <w:jc w:val="center"/>
            </w:pPr>
            <w:r>
              <w:t xml:space="preserve">46,9</w:t>
            </w:r>
          </w:p>
        </w:tc>
        <w:tc>
          <w:tcPr>
            <w:vAlign w:val="center"/>
          </w:tcPr>
          <w:p>
            <w:pPr>
              <w:pStyle w:val="Compact"/>
              <w:jc w:val="center"/>
            </w:pPr>
            <w:r>
              <w:t xml:space="preserve">47,5</w:t>
            </w:r>
          </w:p>
        </w:tc>
        <w:tc>
          <w:tcPr>
            <w:vAlign w:val="center"/>
          </w:tcPr>
          <w:p>
            <w:pPr>
              <w:pStyle w:val="Compact"/>
              <w:jc w:val="center"/>
            </w:pPr>
            <w:r>
              <w:t xml:space="preserve">48,0</w:t>
            </w:r>
          </w:p>
        </w:tc>
        <w:tc>
          <w:tcPr>
            <w:vAlign w:val="center"/>
          </w:tcPr>
          <w:p>
            <w:pPr>
              <w:pStyle w:val="Compact"/>
              <w:jc w:val="center"/>
            </w:pPr>
            <w:r>
              <w:t xml:space="preserve">48,6</w:t>
            </w:r>
          </w:p>
        </w:tc>
        <w:tc>
          <w:tcPr>
            <w:vAlign w:val="center"/>
          </w:tcPr>
          <w:p>
            <w:pPr>
              <w:pStyle w:val="Compact"/>
              <w:jc w:val="center"/>
            </w:pPr>
            <w:r>
              <w:t xml:space="preserve">48,8</w:t>
            </w:r>
          </w:p>
        </w:tc>
        <w:tc>
          <w:tcPr>
            <w:vAlign w:val="center"/>
          </w:tcPr>
          <w:p>
            <w:pPr>
              <w:pStyle w:val="Compact"/>
              <w:jc w:val="center"/>
            </w:pPr>
            <w:r>
              <w:t xml:space="preserve">49,0</w:t>
            </w:r>
          </w:p>
        </w:tc>
        <w:tc>
          <w:tcPr>
            <w:shd w:val="clear" w:color="auto" w:fill="FBE4D5"/>
            <w:vAlign w:val="center"/>
          </w:tcPr>
          <w:p>
            <w:pPr>
              <w:pStyle w:val="Celdatceesalmon"/>
              <w:jc w:val="center"/>
            </w:pPr>
            <w:r>
              <w:t xml:space="preserve">49,2</w:t>
            </w:r>
          </w:p>
        </w:tc>
      </w:tr>
      <w:tr>
        <w:trPr>
          <w:cantSplit/>
        </w:trPr>
        <w:tc>
          <w:tcPr>
            <w:vAlign w:val="center"/>
          </w:tcPr>
          <w:p>
            <w:pPr>
              <w:pStyle w:val="Compact"/>
              <w:jc w:val="left"/>
            </w:pPr>
            <w:r>
              <w:t xml:space="preserve">IPC (%)</w:t>
            </w:r>
          </w:p>
        </w:tc>
        <w:tc>
          <w:tcPr>
            <w:vAlign w:val="center"/>
          </w:tcPr>
          <w:p>
            <w:pPr>
              <w:pStyle w:val="Compact"/>
              <w:jc w:val="center"/>
            </w:pPr>
            <w:r>
              <w:t xml:space="preserve">2,7</w:t>
            </w:r>
          </w:p>
        </w:tc>
        <w:tc>
          <w:tcPr>
            <w:vAlign w:val="center"/>
          </w:tcPr>
          <w:p>
            <w:pPr>
              <w:pStyle w:val="Compact"/>
              <w:jc w:val="center"/>
            </w:pPr>
            <w:r>
              <w:t xml:space="preserve">0,8</w:t>
            </w:r>
          </w:p>
        </w:tc>
        <w:tc>
          <w:tcPr>
            <w:vAlign w:val="center"/>
          </w:tcPr>
          <w:p>
            <w:pPr>
              <w:pStyle w:val="Compact"/>
              <w:jc w:val="center"/>
            </w:pPr>
            <m:oMath>
              <m:r>
                <m:rPr>
                  <m:sty m:val="p"/>
                </m:rPr>
                <m:t>−</m:t>
              </m:r>
            </m:oMath>
            <w:r>
              <w:t xml:space="preserve">0,1</w:t>
            </w:r>
          </w:p>
        </w:tc>
        <w:tc>
          <w:tcPr>
            <w:vAlign w:val="center"/>
          </w:tcPr>
          <w:p>
            <w:pPr>
              <w:pStyle w:val="Compact"/>
              <w:jc w:val="center"/>
            </w:pPr>
            <w:r>
              <w:t xml:space="preserve">0,5</w:t>
            </w:r>
          </w:p>
        </w:tc>
        <w:tc>
          <w:tcPr>
            <w:vAlign w:val="center"/>
          </w:tcPr>
          <w:p>
            <w:pPr>
              <w:pStyle w:val="Compact"/>
              <w:jc w:val="center"/>
            </w:pPr>
            <w:r>
              <w:t xml:space="preserve">1,0</w:t>
            </w:r>
          </w:p>
        </w:tc>
        <w:tc>
          <w:tcPr>
            <w:vAlign w:val="center"/>
          </w:tcPr>
          <w:p>
            <w:pPr>
              <w:pStyle w:val="Compact"/>
              <w:jc w:val="center"/>
            </w:pPr>
            <w:r>
              <w:t xml:space="preserve">0,5</w:t>
            </w:r>
          </w:p>
        </w:tc>
        <w:tc>
          <w:tcPr>
            <w:vAlign w:val="center"/>
          </w:tcPr>
          <w:p>
            <w:pPr>
              <w:pStyle w:val="Compact"/>
              <w:jc w:val="center"/>
            </w:pPr>
            <w:r>
              <w:t xml:space="preserve">0,0</w:t>
            </w:r>
          </w:p>
        </w:tc>
        <w:tc>
          <w:tcPr>
            <w:vAlign w:val="center"/>
          </w:tcPr>
          <w:p>
            <w:pPr>
              <w:pStyle w:val="Compact"/>
              <w:jc w:val="center"/>
            </w:pPr>
            <m:oMath>
              <m:r>
                <m:rPr>
                  <m:sty m:val="p"/>
                </m:rPr>
                <m:t>−</m:t>
              </m:r>
            </m:oMath>
            <w:r>
              <w:t xml:space="preserve">0,2</w:t>
            </w:r>
          </w:p>
        </w:tc>
        <w:tc>
          <w:tcPr>
            <w:vAlign w:val="center"/>
          </w:tcPr>
          <w:p>
            <w:pPr>
              <w:pStyle w:val="Compact"/>
              <w:jc w:val="center"/>
            </w:pPr>
            <w:r>
              <w:t xml:space="preserve">2,5</w:t>
            </w:r>
          </w:p>
        </w:tc>
        <w:tc>
          <w:tcPr>
            <w:shd w:val="clear" w:color="auto" w:fill="FBE4D5"/>
            <w:vAlign w:val="center"/>
          </w:tcPr>
          <w:p>
            <w:pPr>
              <w:pStyle w:val="Celdatceesalmon"/>
              <w:jc w:val="center"/>
            </w:pPr>
            <w:r>
              <w:t xml:space="preserve">3,2</w:t>
            </w:r>
          </w:p>
        </w:tc>
        <w:tc>
          <w:tcPr>
            <w:vAlign w:val="center"/>
          </w:tcPr>
          <w:p>
            <w:pPr>
              <w:pStyle w:val="Compact"/>
              <w:jc w:val="center"/>
            </w:pPr>
            <w:r>
              <w:t xml:space="preserve">2,7</w:t>
            </w:r>
          </w:p>
        </w:tc>
      </w:tr>
      <w:tr>
        <w:trPr>
          <w:cantSplit/>
        </w:trPr>
        <w:tc>
          <w:tcPr>
            <w:vAlign w:val="center"/>
          </w:tcPr>
          <w:p>
            <w:pPr>
              <w:pStyle w:val="Compact"/>
              <w:jc w:val="left"/>
            </w:pPr>
            <w:r>
              <w:t xml:space="preserve">Tipo de cambio efectivo real (2020</w:t>
            </w:r>
            <w:r>
              <w:t xml:space="preserve"> </w:t>
            </w:r>
            <m:oMath>
              <m:r>
                <m:rPr>
                  <m:sty m:val="p"/>
                </m:rPr>
                <m:t>=</m:t>
              </m:r>
            </m:oMath>
            <w:r>
              <w:t xml:space="preserve"> </w:t>
            </w:r>
            <w:r>
              <w:t xml:space="preserve">100)</w:t>
            </w:r>
          </w:p>
        </w:tc>
        <w:tc>
          <w:tcPr>
            <w:vAlign w:val="center"/>
          </w:tcPr>
          <w:p>
            <w:pPr>
              <w:pStyle w:val="Compact"/>
              <w:jc w:val="center"/>
            </w:pPr>
            <w:r>
              <w:t xml:space="preserve">96,0</w:t>
            </w:r>
          </w:p>
        </w:tc>
        <w:tc>
          <w:tcPr>
            <w:vAlign w:val="center"/>
          </w:tcPr>
          <w:p>
            <w:pPr>
              <w:pStyle w:val="Compact"/>
              <w:jc w:val="center"/>
            </w:pPr>
            <w:r>
              <w:t xml:space="preserve">91,6</w:t>
            </w:r>
          </w:p>
        </w:tc>
        <w:tc>
          <w:tcPr>
            <w:vAlign w:val="center"/>
          </w:tcPr>
          <w:p>
            <w:pPr>
              <w:pStyle w:val="Compact"/>
              <w:jc w:val="center"/>
            </w:pPr>
            <w:r>
              <w:t xml:space="preserve">102,8</w:t>
            </w:r>
          </w:p>
        </w:tc>
        <w:tc>
          <w:tcPr>
            <w:vAlign w:val="center"/>
          </w:tcPr>
          <w:p>
            <w:pPr>
              <w:pStyle w:val="Compact"/>
              <w:jc w:val="center"/>
            </w:pPr>
            <w:r>
              <w:t xml:space="preserve">97,0</w:t>
            </w:r>
          </w:p>
        </w:tc>
        <w:tc>
          <w:tcPr>
            <w:vAlign w:val="center"/>
          </w:tcPr>
          <w:p>
            <w:pPr>
              <w:pStyle w:val="Compact"/>
              <w:jc w:val="center"/>
            </w:pPr>
            <w:r>
              <w:t xml:space="preserve">95,9</w:t>
            </w:r>
          </w:p>
        </w:tc>
        <w:tc>
          <w:tcPr>
            <w:vAlign w:val="center"/>
          </w:tcPr>
          <w:p>
            <w:pPr>
              <w:pStyle w:val="Compact"/>
              <w:jc w:val="center"/>
            </w:pPr>
            <w:r>
              <w:t xml:space="preserve">99,1</w:t>
            </w:r>
          </w:p>
        </w:tc>
        <w:tc>
          <w:tcPr>
            <w:vAlign w:val="center"/>
          </w:tcPr>
          <w:p>
            <w:pPr>
              <w:pStyle w:val="Compact"/>
              <w:jc w:val="center"/>
            </w:pPr>
            <w:r>
              <w:t xml:space="preserve">100,0</w:t>
            </w:r>
          </w:p>
        </w:tc>
        <w:tc>
          <w:tcPr>
            <w:vAlign w:val="center"/>
          </w:tcPr>
          <w:p>
            <w:pPr>
              <w:pStyle w:val="Compact"/>
              <w:jc w:val="center"/>
            </w:pPr>
            <w:r>
              <w:t xml:space="preserve">91,3</w:t>
            </w:r>
          </w:p>
        </w:tc>
        <w:tc>
          <w:tcPr>
            <w:vAlign w:val="center"/>
          </w:tcPr>
          <w:p>
            <w:pPr>
              <w:pStyle w:val="Compact"/>
              <w:jc w:val="center"/>
            </w:pPr>
            <w:r>
              <w:t xml:space="preserve">78,1</w:t>
            </w:r>
          </w:p>
        </w:tc>
        <w:tc>
          <w:tcPr>
            <w:vAlign w:val="center"/>
          </w:tcPr>
          <w:p>
            <w:pPr>
              <w:pStyle w:val="Compact"/>
              <w:jc w:val="center"/>
            </w:pPr>
            <w:r>
              <w:t xml:space="preserve">71,6</w:t>
            </w:r>
          </w:p>
        </w:tc>
        <w:tc>
          <w:tcPr>
            <w:shd w:val="clear" w:color="auto" w:fill="E2EFD9"/>
            <w:vAlign w:val="center"/>
          </w:tcPr>
          <w:p>
            <w:pPr>
              <w:pStyle w:val="Celdatceesalvia"/>
              <w:jc w:val="center"/>
            </w:pPr>
            <w:r>
              <w:t xml:space="preserve">66,9</w:t>
            </w:r>
          </w:p>
        </w:tc>
      </w:tr>
      <w:tr>
        <w:trPr>
          <w:cantSplit/>
        </w:trPr>
        <w:tc>
          <w:tcPr>
            <w:vAlign w:val="center"/>
          </w:tcPr>
          <w:p>
            <w:pPr>
              <w:pStyle w:val="Compact"/>
              <w:jc w:val="left"/>
            </w:pPr>
            <w:r>
              <w:t xml:space="preserve">Saldo por cuenta corriente (% PIB)</w:t>
            </w:r>
          </w:p>
        </w:tc>
        <w:tc>
          <w:tcPr>
            <w:vAlign w:val="center"/>
          </w:tcPr>
          <w:p>
            <w:pPr>
              <w:pStyle w:val="Compact"/>
              <w:jc w:val="center"/>
            </w:pPr>
            <w:r>
              <w:t xml:space="preserve">0,7</w:t>
            </w:r>
          </w:p>
        </w:tc>
        <w:tc>
          <w:tcPr>
            <w:vAlign w:val="center"/>
          </w:tcPr>
          <w:p>
            <w:pPr>
              <w:pStyle w:val="Compact"/>
              <w:jc w:val="center"/>
            </w:pPr>
            <w:r>
              <w:t xml:space="preserve">3,0</w:t>
            </w:r>
          </w:p>
        </w:tc>
        <w:tc>
          <w:tcPr>
            <w:vAlign w:val="center"/>
          </w:tcPr>
          <w:p>
            <w:pPr>
              <w:pStyle w:val="Compact"/>
              <w:jc w:val="center"/>
            </w:pPr>
            <w:r>
              <w:t xml:space="preserve">3,8</w:t>
            </w:r>
          </w:p>
        </w:tc>
        <w:tc>
          <w:tcPr>
            <w:vAlign w:val="center"/>
          </w:tcPr>
          <w:p>
            <w:pPr>
              <w:pStyle w:val="Compact"/>
              <w:jc w:val="center"/>
            </w:pPr>
            <w:r>
              <w:t xml:space="preserve">4,0</w:t>
            </w:r>
          </w:p>
        </w:tc>
        <w:tc>
          <w:tcPr>
            <w:vAlign w:val="center"/>
          </w:tcPr>
          <w:p>
            <w:pPr>
              <w:pStyle w:val="Compact"/>
              <w:jc w:val="center"/>
            </w:pPr>
            <w:r>
              <w:t xml:space="preserve">3,4</w:t>
            </w:r>
          </w:p>
        </w:tc>
        <w:tc>
          <w:tcPr>
            <w:vAlign w:val="center"/>
          </w:tcPr>
          <w:p>
            <w:pPr>
              <w:pStyle w:val="Compact"/>
              <w:jc w:val="center"/>
            </w:pPr>
            <w:r>
              <w:t xml:space="preserve">3,4</w:t>
            </w:r>
          </w:p>
        </w:tc>
        <w:tc>
          <w:tcPr>
            <w:vAlign w:val="center"/>
          </w:tcPr>
          <w:p>
            <w:pPr>
              <w:pStyle w:val="Compact"/>
              <w:jc w:val="center"/>
            </w:pPr>
            <w:r>
              <w:t xml:space="preserve">2,9</w:t>
            </w:r>
          </w:p>
        </w:tc>
        <w:tc>
          <w:tcPr>
            <w:vAlign w:val="center"/>
          </w:tcPr>
          <w:p>
            <w:pPr>
              <w:pStyle w:val="Compact"/>
              <w:jc w:val="center"/>
            </w:pPr>
            <w:r>
              <w:t xml:space="preserve">3,7</w:t>
            </w:r>
          </w:p>
        </w:tc>
        <w:tc>
          <w:tcPr>
            <w:vAlign w:val="center"/>
          </w:tcPr>
          <w:p>
            <w:pPr>
              <w:pStyle w:val="Compact"/>
              <w:jc w:val="center"/>
            </w:pPr>
            <w:r>
              <w:t xml:space="preserve">2,0</w:t>
            </w:r>
          </w:p>
        </w:tc>
        <w:tc>
          <w:tcPr>
            <w:vAlign w:val="center"/>
          </w:tcPr>
          <w:p>
            <w:pPr>
              <w:pStyle w:val="Compact"/>
              <w:jc w:val="center"/>
            </w:pPr>
            <w:r>
              <w:t xml:space="preserve">3,6</w:t>
            </w:r>
          </w:p>
        </w:tc>
        <w:tc>
          <w:tcPr>
            <w:shd w:val="clear" w:color="auto" w:fill="E2EFD9"/>
            <w:vAlign w:val="center"/>
          </w:tcPr>
          <w:p>
            <w:pPr>
              <w:pStyle w:val="Celdatceesalvia"/>
              <w:jc w:val="center"/>
            </w:pPr>
            <w:r>
              <w:t xml:space="preserve">4,5</w:t>
            </w:r>
          </w:p>
        </w:tc>
      </w:tr>
      <w:tr>
        <w:trPr>
          <w:cantSplit/>
        </w:trPr>
        <w:tc>
          <w:tcPr>
            <w:vAlign w:val="center"/>
          </w:tcPr>
          <w:p>
            <w:pPr>
              <w:pStyle w:val="Compact"/>
              <w:jc w:val="left"/>
            </w:pPr>
            <w:r>
              <w:t xml:space="preserve">Saldo presupuestario (% PIB)</w:t>
            </w:r>
          </w:p>
        </w:tc>
        <w:tc>
          <w:tcPr>
            <w:shd w:val="clear" w:color="auto" w:fill="FBE4D5"/>
            <w:vAlign w:val="center"/>
          </w:tcPr>
          <w:p>
            <w:pPr>
              <w:pStyle w:val="Celdatceesalmon"/>
              <w:jc w:val="center"/>
            </w:pPr>
            <m:oMath>
              <m:r>
                <m:rPr>
                  <m:sty m:val="p"/>
                </m:rPr>
                <m:t>−</m:t>
              </m:r>
            </m:oMath>
            <w:r>
              <w:t xml:space="preserve">5,6</w:t>
            </w:r>
          </w:p>
        </w:tc>
        <w:tc>
          <w:tcPr>
            <w:vAlign w:val="center"/>
          </w:tcPr>
          <w:p>
            <w:pPr>
              <w:pStyle w:val="Compact"/>
              <w:jc w:val="center"/>
            </w:pPr>
            <m:oMath>
              <m:r>
                <m:rPr>
                  <m:sty m:val="p"/>
                </m:rPr>
                <m:t>−</m:t>
              </m:r>
            </m:oMath>
            <w:r>
              <w:t xml:space="preserve">3,6</w:t>
            </w:r>
          </w:p>
        </w:tc>
        <w:tc>
          <w:tcPr>
            <w:vAlign w:val="center"/>
          </w:tcPr>
          <w:p>
            <w:pPr>
              <w:pStyle w:val="Compact"/>
              <w:jc w:val="center"/>
            </w:pPr>
            <m:oMath>
              <m:r>
                <m:rPr>
                  <m:sty m:val="p"/>
                </m:rPr>
                <m:t>−</m:t>
              </m:r>
            </m:oMath>
            <w:r>
              <w:t xml:space="preserve">3,6</w:t>
            </w:r>
          </w:p>
        </w:tc>
        <w:tc>
          <w:tcPr>
            <w:vAlign w:val="center"/>
          </w:tcPr>
          <w:p>
            <w:pPr>
              <w:pStyle w:val="Compact"/>
              <w:jc w:val="center"/>
            </w:pPr>
            <m:oMath>
              <m:r>
                <m:rPr>
                  <m:sty m:val="p"/>
                </m:rPr>
                <m:t>−</m:t>
              </m:r>
            </m:oMath>
            <w:r>
              <w:t xml:space="preserve">3,0</w:t>
            </w:r>
          </w:p>
        </w:tc>
        <w:tc>
          <w:tcPr>
            <w:vAlign w:val="center"/>
          </w:tcPr>
          <w:p>
            <w:pPr>
              <w:pStyle w:val="Compact"/>
              <w:jc w:val="center"/>
            </w:pPr>
            <m:oMath>
              <m:r>
                <m:rPr>
                  <m:sty m:val="p"/>
                </m:rPr>
                <m:t>−</m:t>
              </m:r>
            </m:oMath>
            <w:r>
              <w:t xml:space="preserve">2,4</w:t>
            </w:r>
          </w:p>
        </w:tc>
        <w:tc>
          <w:tcPr>
            <w:vAlign w:val="center"/>
          </w:tcPr>
          <w:p>
            <w:pPr>
              <w:pStyle w:val="Compact"/>
              <w:jc w:val="center"/>
            </w:pPr>
            <m:oMath>
              <m:r>
                <m:rPr>
                  <m:sty m:val="p"/>
                </m:rPr>
                <m:t>−</m:t>
              </m:r>
            </m:oMath>
            <w:r>
              <w:t xml:space="preserve">3,0</w:t>
            </w:r>
          </w:p>
        </w:tc>
        <w:tc>
          <w:tcPr>
            <w:shd w:val="clear" w:color="auto" w:fill="FBE4D5"/>
            <w:vAlign w:val="center"/>
          </w:tcPr>
          <w:p>
            <w:pPr>
              <w:pStyle w:val="Celdatceesalmon"/>
              <w:jc w:val="center"/>
            </w:pPr>
            <m:oMath>
              <m:r>
                <m:rPr>
                  <m:sty m:val="p"/>
                </m:rPr>
                <m:t>−</m:t>
              </m:r>
            </m:oMath>
            <w:r>
              <w:t xml:space="preserve">9,0</w:t>
            </w:r>
          </w:p>
        </w:tc>
        <w:tc>
          <w:tcPr>
            <w:vAlign w:val="center"/>
          </w:tcPr>
          <w:p>
            <w:pPr>
              <w:pStyle w:val="Compact"/>
              <w:jc w:val="center"/>
            </w:pPr>
            <m:oMath>
              <m:r>
                <m:rPr>
                  <m:sty m:val="p"/>
                </m:rPr>
                <m:t>−</m:t>
              </m:r>
            </m:oMath>
            <w:r>
              <w:t xml:space="preserve">6,3</w:t>
            </w:r>
          </w:p>
        </w:tc>
        <w:tc>
          <w:tcPr>
            <w:vAlign w:val="center"/>
          </w:tcPr>
          <w:p>
            <w:pPr>
              <w:pStyle w:val="Compact"/>
              <w:jc w:val="center"/>
            </w:pPr>
            <m:oMath>
              <m:r>
                <m:rPr>
                  <m:sty m:val="p"/>
                </m:rPr>
                <m:t>−</m:t>
              </m:r>
            </m:oMath>
            <w:r>
              <w:t xml:space="preserve">4,2</w:t>
            </w:r>
          </w:p>
        </w:tc>
        <w:tc>
          <w:tcPr>
            <w:vAlign w:val="center"/>
          </w:tcPr>
          <w:p>
            <w:pPr>
              <w:pStyle w:val="Compact"/>
              <w:jc w:val="center"/>
            </w:pPr>
            <m:oMath>
              <m:r>
                <m:rPr>
                  <m:sty m:val="p"/>
                </m:rPr>
                <m:t>−</m:t>
              </m:r>
            </m:oMath>
            <w:r>
              <w:t xml:space="preserve">2,3</w:t>
            </w:r>
          </w:p>
        </w:tc>
        <w:tc>
          <w:tcPr>
            <w:vAlign w:val="center"/>
          </w:tcPr>
          <w:p>
            <w:pPr>
              <w:pStyle w:val="Compact"/>
              <w:jc w:val="center"/>
            </w:pPr>
            <m:oMath>
              <m:r>
                <m:rPr>
                  <m:sty m:val="p"/>
                </m:rPr>
                <m:t>−</m:t>
              </m:r>
            </m:oMath>
            <w:r>
              <w:t xml:space="preserve">1,7</w:t>
            </w:r>
          </w:p>
        </w:tc>
      </w:tr>
    </w:tbl>
    <w:bookmarkEnd w:id="305"/>
    <w:p>
      <w:pPr>
        <w:pStyle w:val="BodyText"/>
        <w:keepNext/>
      </w:pPr>
      <w:r>
        <w:rPr>
          <w:i/>
          <w:iCs/>
        </w:rPr>
        <w:t xml:space="preserve">Fuente: Selección de filas del cuadernillo del dictamen de 2026 (versión rectificada)</w:t>
      </w:r>
      <w:r>
        <w:rPr>
          <w:i/>
          <w:iCs/>
        </w:rPr>
        <w:t xml:space="preserve"> </w:t>
      </w:r>
      <w:r>
        <w:rPr>
          <w:i/>
          <w:iCs/>
        </w:rPr>
        <w:t xml:space="preserve">(</w:t>
      </w:r>
      <w:hyperlink w:anchor="ref_ATCEE2026Examenes">
        <w:r>
          <w:rPr>
            <w:rStyle w:val="Hyperlink"/>
            <w:i/>
            <w:iCs/>
            <w:smallCaps/>
          </w:rPr>
          <w:t xml:space="preserve">Asociación de Técnicos Comerciales y Economistas del Estado</w:t>
        </w:r>
        <w:r>
          <w:rPr>
            <w:rStyle w:val="Hyperlink"/>
            <w:i/>
            <w:iCs/>
          </w:rPr>
          <w:t xml:space="preserve">, 2026</w:t>
        </w:r>
      </w:hyperlink>
      <w:r>
        <w:rPr>
          <w:i/>
          <w:iCs/>
        </w:rPr>
        <w:t xml:space="preserve">)</w:t>
      </w:r>
      <w:r>
        <w:rPr>
          <w:i/>
          <w:iCs/>
        </w:rPr>
        <w:t xml:space="preserve">; las fases y los colores son de la lectura: en salvia, fortalezas; en salmón, debilidades.</w:t>
      </w:r>
    </w:p>
    <w:p>
      <w:pPr>
        <w:keepNext/>
        <w:numPr>
          <w:ilvl w:val="0"/>
          <w:numId w:val="1188"/>
        </w:numPr>
      </w:pPr>
      <w:r>
        <w:rPr>
          <w:i/>
          <w:iCs/>
        </w:rPr>
        <w:t xml:space="preserve">Qué hay que ver en la tabla </w:t>
      </w:r>
      <w:hyperlink w:anchor="tab_cuadernillo">
        <w:r>
          <w:rPr>
            <w:rStyle w:val="Hyperlink"/>
            <w:i/>
            <w:iCs/>
          </w:rPr>
          <w:t xml:space="preserve">16</w:t>
        </w:r>
      </w:hyperlink>
      <w:r>
        <w:t xml:space="preserve">: el cuadro no da la brecha de producción, así que las fases salen solo del crecimiento del PIB.</w:t>
      </w:r>
    </w:p>
    <w:p>
      <w:pPr>
        <w:numPr>
          <w:ilvl w:val="1"/>
          <w:numId w:val="1189"/>
        </w:numPr>
      </w:pPr>
      <w:r>
        <w:t xml:space="preserve">El crecimiento es bajo en toda la serie (nunca supera el 1,8 %) con un paro muy bajo (del 3,6 al 2,5 %): el potencial parece bajo, y la población que cae y la tasa de dependencia al alza apuntan a la demografía (pregunta 3).</w:t>
      </w:r>
    </w:p>
    <w:p>
      <w:pPr>
        <w:numPr>
          <w:ilvl w:val="1"/>
          <w:numId w:val="1189"/>
        </w:numPr>
      </w:pPr>
      <w:r>
        <w:t xml:space="preserve">La RNB crece más que el PIB en varios años y el superávit corriente lo explican las rentas primarias: un acreedor neto frente al exterior (preguntas 1 y 2).</w:t>
      </w:r>
    </w:p>
    <w:p>
      <w:pPr>
        <w:numPr>
          <w:ilvl w:val="1"/>
          <w:numId w:val="1189"/>
        </w:numPr>
      </w:pPr>
      <w:r>
        <w:t xml:space="preserve">El tipo de cambio real se deprecia en torno a un tercio desde 2020 mientras el IPC sube solo al 2,5-3,2 %: indicio de un traspaso bajo (pregunta 2)</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p>
      <w:pPr>
        <w:numPr>
          <w:ilvl w:val="1"/>
          <w:numId w:val="1189"/>
        </w:numPr>
      </w:pPr>
      <w:r>
        <w:t xml:space="preserve">El déficit público es persistente, con un salto en 2020, aunque se reduce desde entonces (pregunta 4)</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p>
      <w:pPr>
        <w:numPr>
          <w:ilvl w:val="0"/>
          <w:numId w:val="1188"/>
        </w:numPr>
      </w:pPr>
      <w:r>
        <w:t xml:space="preserve">Ni hace falta ni conviene adivinar el país: basta con lo que dice el cuadernillo.</w:t>
      </w:r>
    </w:p>
    <w:bookmarkEnd w:id="306"/>
    <w:bookmarkStart w:id="307" w:name="anexo_redactar"/>
    <w:p>
      <w:pPr>
        <w:pStyle w:val="Heading2"/>
      </w:pPr>
      <w:r>
        <w:t xml:space="preserve">H.5. Cómo redactar</w:t>
      </w:r>
    </w:p>
    <w:p>
      <w:pPr>
        <w:numPr>
          <w:ilvl w:val="0"/>
          <w:numId w:val="1190"/>
        </w:numPr>
      </w:pPr>
      <w:r>
        <w:rPr>
          <w:i/>
          <w:iCs/>
        </w:rPr>
        <w:t xml:space="preserve">Frase de diagnóstico</w:t>
      </w:r>
      <w:r>
        <w:t xml:space="preserve">: cada respuesta empieza con 1 o 2 frases que dan la conclusión, como un resumen ejecutivo, y el resto la justifica con datos. Así abren sus informes el FMI en las consultas del artículo IV y el Banco de España en su informe anual</w:t>
      </w:r>
      <w:r>
        <w:t xml:space="preserve"> </w:t>
      </w:r>
      <w:r>
        <w:t xml:space="preserve">(</w:t>
      </w:r>
      <w:hyperlink w:anchor="ref_FMI2026ArticuloIV">
        <w:r>
          <w:rPr>
            <w:rStyle w:val="Hyperlink"/>
            <w:smallCaps/>
          </w:rPr>
          <w:t xml:space="preserve">Fondo Monetario Internacional</w:t>
        </w:r>
        <w:r>
          <w:rPr>
            <w:rStyle w:val="Hyperlink"/>
          </w:rPr>
          <w:t xml:space="preserve">, 2026c</w:t>
        </w:r>
      </w:hyperlink>
      <w:r>
        <w:t xml:space="preserve">;</w:t>
      </w:r>
      <w:r>
        <w:t xml:space="preserve"> </w:t>
      </w:r>
      <w:hyperlink w:anchor="ref_BdE2026InformeAnual">
        <w:r>
          <w:rPr>
            <w:rStyle w:val="Hyperlink"/>
            <w:smallCaps/>
          </w:rPr>
          <w:t xml:space="preserve">Banco de España</w:t>
        </w:r>
        <w:r>
          <w:rPr>
            <w:rStyle w:val="Hyperlink"/>
          </w:rPr>
          <w:t xml:space="preserve">, 2026b</w:t>
        </w:r>
      </w:hyperlink>
      <w:r>
        <w:t xml:space="preserve">)</w:t>
      </w:r>
      <w:r>
        <w:t xml:space="preserve">. La frase de diagnóstico general de la economía se escribe al final, en un hueco que se deja al principio de la primera respuesta (apartado </w:t>
      </w:r>
      <w:hyperlink w:anchor="sec_etapas">
        <w:r>
          <w:rPr>
            <w:rStyle w:val="Hyperlink"/>
          </w:rPr>
          <w:t xml:space="preserve">I.2</w:t>
        </w:r>
      </w:hyperlink>
      <w:r>
        <w:t xml:space="preserve">).</w:t>
      </w:r>
    </w:p>
    <w:p>
      <w:pPr>
        <w:keepNext/>
        <w:numPr>
          <w:ilvl w:val="0"/>
          <w:numId w:val="1190"/>
        </w:numPr>
      </w:pPr>
      <w:r>
        <w:rPr>
          <w:i/>
          <w:iCs/>
        </w:rPr>
        <w:t xml:space="preserve">Analizar, no describir</w:t>
      </w:r>
      <w:r>
        <w:t xml:space="preserve">:</w:t>
      </w:r>
    </w:p>
    <w:p>
      <w:pPr>
        <w:numPr>
          <w:ilvl w:val="1"/>
          <w:numId w:val="1191"/>
        </w:numPr>
      </w:pPr>
      <w:r>
        <w:t xml:space="preserve">Descriptivo (a evitar): «la contribución de la demanda interna es positiva en 20x1, negativa en 20x2 y vuelve a ser positiva en 20x3».</w:t>
      </w:r>
    </w:p>
    <w:p>
      <w:pPr>
        <w:numPr>
          <w:ilvl w:val="1"/>
          <w:numId w:val="1191"/>
        </w:numPr>
      </w:pPr>
      <w:r>
        <w:t xml:space="preserve">Analítico: «la demanda interna contribuye con fuerza al crecimiento en las fases de bonanza y se desploma en las recesiones, cuando la demanda externa amortigua en parte la caída: la interna es procíclica y la externa, contracíclica».</w:t>
      </w:r>
    </w:p>
    <w:p>
      <w:pPr>
        <w:numPr>
          <w:ilvl w:val="1"/>
          <w:numId w:val="1191"/>
        </w:numPr>
      </w:pPr>
      <w:r>
        <w:t xml:space="preserve">La descripción de los datos es tarea de la estadística; al economista le toca explicar lo que hay detrás.</w:t>
      </w:r>
    </w:p>
    <w:p>
      <w:pPr>
        <w:numPr>
          <w:ilvl w:val="0"/>
          <w:numId w:val="1190"/>
        </w:numPr>
      </w:pPr>
      <w:r>
        <w:rPr>
          <w:i/>
          <w:iCs/>
        </w:rPr>
        <w:t xml:space="preserve">Estructura visible</w:t>
      </w:r>
      <w:r>
        <w:t xml:space="preserve">: rótulos («a) Perfil cíclico», «b) Determinantes de la inversión», «Pasando a la segunda cuestión…»), párrafos cortos, una idea por párrafo, interlineado amplio y márgenes grandes. Cada pregunta empieza en hoja nueva (si una se alarga, su continuación va en una hoja «1 bis», no en la de la siguiente).</w:t>
      </w:r>
    </w:p>
    <w:p>
      <w:pPr>
        <w:numPr>
          <w:ilvl w:val="0"/>
          <w:numId w:val="1190"/>
        </w:numPr>
      </w:pPr>
      <w:r>
        <w:rPr>
          <w:i/>
          <w:iCs/>
        </w:rPr>
        <w:t xml:space="preserve">Cifras justas</w:t>
      </w:r>
      <w:r>
        <w:t xml:space="preserve">: 1 o 2 datos por idea, con su año y su unidad («la contribución de la demanda externa pasa de</w:t>
      </w:r>
      <w:r>
        <w:t xml:space="preserve"> </w:t>
      </w:r>
      <m:oMath>
        <m:r>
          <m:rPr>
            <m:sty m:val="p"/>
          </m:rPr>
          <m:t>−</m:t>
        </m:r>
        <m:r>
          <m:t>1</m:t>
        </m:r>
        <m:r>
          <m:rPr>
            <m:sty m:val="p"/>
          </m:rPr>
          <m:t>,</m:t>
        </m:r>
        <m:r>
          <m:t>2</m:t>
        </m:r>
      </m:oMath>
      <w:r>
        <w:t xml:space="preserve"> pp a</w:t>
      </w:r>
      <w:r>
        <w:t xml:space="preserve"> </w:t>
      </w:r>
      <m:oMath>
        <m:r>
          <m:rPr>
            <m:sty m:val="p"/>
          </m:rPr>
          <m:t>+</m:t>
        </m:r>
        <m:r>
          <m:t>0</m:t>
        </m:r>
        <m:r>
          <m:rPr>
            <m:sty m:val="p"/>
          </m:rPr>
          <m:t>,</m:t>
        </m:r>
        <m:r>
          <m:t>8</m:t>
        </m:r>
      </m:oMath>
      <w:r>
        <w:t xml:space="preserve"> pp»). No se copian filas enteras.</w:t>
      </w:r>
    </w:p>
    <w:p>
      <w:pPr>
        <w:numPr>
          <w:ilvl w:val="0"/>
          <w:numId w:val="1190"/>
        </w:numPr>
      </w:pPr>
      <w:r>
        <w:rPr>
          <w:i/>
          <w:iCs/>
        </w:rPr>
        <w:t xml:space="preserve">Condicionales y matices</w:t>
      </w:r>
      <w:r>
        <w:t xml:space="preserve">: con pocos datos y poco tiempo solo se ven correlaciones, no causalidad (</w:t>
      </w:r>
      <w:hyperlink r:id="rId202">
        <w:r>
          <w:rPr>
            <w:rStyle w:val="Referenciaatema"/>
          </w:rPr>
          <w:t xml:space="preserve">[ver tema 5.B.4]</w:t>
        </w:r>
      </w:hyperlink>
      <w:r>
        <w:t xml:space="preserve">). «Podría deberse a…», «parece reflejar…», «sería coherente con…». «</w:t>
      </w:r>
      <w:r>
        <w:rPr>
          <w:i/>
          <w:iCs/>
        </w:rPr>
        <w:t xml:space="preserve">An economist is an expert who will know tomorrow why the things he predicted yesterday didn’t happen today</w:t>
      </w:r>
      <w:r>
        <w:t xml:space="preserve">», reza una frase atribuida a Laurence J.</w:t>
      </w:r>
      <w:r>
        <w:t xml:space="preserve"> </w:t>
      </w:r>
      <w:r>
        <w:rPr>
          <w:smallCaps/>
        </w:rPr>
        <w:t xml:space="preserve">Peter</w:t>
      </w:r>
      <w:r>
        <w:t xml:space="preserve"> </w:t>
      </w:r>
      <w:r>
        <w:t xml:space="preserve">(</w:t>
      </w:r>
      <w:hyperlink w:anchor="ref_Peter1977">
        <w:r>
          <w:rPr>
            <w:rStyle w:val="Hyperlink"/>
            <w:smallCaps/>
          </w:rPr>
          <w:t xml:space="preserve">Peter</w:t>
        </w:r>
        <w:r>
          <w:rPr>
            <w:rStyle w:val="Hyperlink"/>
          </w:rPr>
          <w:t xml:space="preserve">, 1977</w:t>
        </w:r>
      </w:hyperlink>
      <w:r>
        <w:t xml:space="preserve">)</w:t>
      </w:r>
      <w:r>
        <w:t xml:space="preserve">. Tampoco hay que ir al extremo contrario: cada respuesta tiene que llegar a una conclusión.</w:t>
      </w:r>
    </w:p>
    <w:p>
      <w:pPr>
        <w:numPr>
          <w:ilvl w:val="0"/>
          <w:numId w:val="1190"/>
        </w:numPr>
      </w:pPr>
      <w:r>
        <w:rPr>
          <w:i/>
          <w:iCs/>
        </w:rPr>
        <w:t xml:space="preserve">Sin solapes</w:t>
      </w:r>
      <w:r>
        <w:t xml:space="preserve">: cada cosa en su pregunta, tratadas como estancas. Si algo ya se ha explicado, basta una remisión («como se ha visto al analizar la demanda…»).</w:t>
      </w:r>
    </w:p>
    <w:p>
      <w:pPr>
        <w:numPr>
          <w:ilvl w:val="0"/>
          <w:numId w:val="1190"/>
        </w:numPr>
      </w:pPr>
      <w:r>
        <w:rPr>
          <w:i/>
          <w:iCs/>
        </w:rPr>
        <w:t xml:space="preserve">Conocimiento a cuento</w:t>
      </w:r>
      <w:r>
        <w:t xml:space="preserve">: una línea de teoría que explique un dato vale más que un párrafo de teoría sin datos. Se evitan las frases hechas sin contenido («la brecha de producción es el mejor indicador de la posición cíclica»).</w:t>
      </w:r>
    </w:p>
    <w:p>
      <w:pPr>
        <w:numPr>
          <w:ilvl w:val="0"/>
          <w:numId w:val="1190"/>
        </w:numPr>
      </w:pPr>
      <w:r>
        <w:rPr>
          <w:i/>
          <w:iCs/>
        </w:rPr>
        <w:t xml:space="preserve">Recomendaciones concretas</w:t>
      </w:r>
      <w:r>
        <w:t xml:space="preserve">: qué medida, para qué desequilibrio y con qué riesgo («una consolidación gradual, centrada en el gasto corriente, para no frenar la recuperación»).</w:t>
      </w:r>
    </w:p>
    <w:bookmarkEnd w:id="307"/>
    <w:bookmarkStart w:id="308" w:name="anexo_errores"/>
    <w:p>
      <w:pPr>
        <w:pStyle w:val="Heading2"/>
      </w:pPr>
      <w:r>
        <w:t xml:space="preserve">H.6. Errores típicos y la lectura</w:t>
      </w:r>
    </w:p>
    <w:p>
      <w:pPr>
        <w:keepNext/>
        <w:numPr>
          <w:ilvl w:val="0"/>
          <w:numId w:val="1192"/>
        </w:numPr>
      </w:pPr>
      <w:r>
        <w:rPr>
          <w:i/>
          <w:iCs/>
        </w:rPr>
        <w:t xml:space="preserve">Errores que más se repiten</w:t>
      </w:r>
      <w:r>
        <w:t xml:space="preserve">:</w:t>
      </w:r>
    </w:p>
    <w:p>
      <w:pPr>
        <w:numPr>
          <w:ilvl w:val="1"/>
          <w:numId w:val="1193"/>
        </w:numPr>
      </w:pPr>
      <w:r>
        <w:t xml:space="preserve">describir sin analizar («en 20x1 sube, en 20x2 baja, en 20x3 sube»);</w:t>
      </w:r>
    </w:p>
    <w:p>
      <w:pPr>
        <w:numPr>
          <w:ilvl w:val="1"/>
          <w:numId w:val="1193"/>
        </w:numPr>
      </w:pPr>
      <w:r>
        <w:t xml:space="preserve">confundir porcentajes con puntos porcentuales, niveles con variaciones o tasas nominales con reales;</w:t>
      </w:r>
    </w:p>
    <w:p>
      <w:pPr>
        <w:numPr>
          <w:ilvl w:val="1"/>
          <w:numId w:val="1193"/>
        </w:numPr>
      </w:pPr>
      <w:r>
        <w:t xml:space="preserve">hablar de «recuperación» cuando el PIB cae menos que el año anterior (pasar de</w:t>
      </w:r>
      <w:r>
        <w:t xml:space="preserve"> </w:t>
      </w:r>
      <m:oMath>
        <m:r>
          <m:rPr>
            <m:sty m:val="p"/>
          </m:rPr>
          <m:t>−</m:t>
        </m:r>
        <m:r>
          <m:t>7</m:t>
        </m:r>
      </m:oMath>
      <w:r>
        <w:t xml:space="preserve"> % a</w:t>
      </w:r>
      <w:r>
        <w:t xml:space="preserve"> </w:t>
      </w:r>
      <m:oMath>
        <m:r>
          <m:rPr>
            <m:sty m:val="p"/>
          </m:rPr>
          <m:t>−</m:t>
        </m:r>
        <m:r>
          <m:t>1</m:t>
        </m:r>
      </m:oMath>
      <w:r>
        <w:t xml:space="preserve"> % sigue siendo contracción);</w:t>
      </w:r>
    </w:p>
    <w:p>
      <w:pPr>
        <w:numPr>
          <w:ilvl w:val="1"/>
          <w:numId w:val="1193"/>
        </w:numPr>
      </w:pPr>
      <w:r>
        <w:t xml:space="preserve">leer al revés el tipo de cambio (directo o indirecto) o la posición de inversión internacional;</w:t>
      </w:r>
    </w:p>
    <w:p>
      <w:pPr>
        <w:numPr>
          <w:ilvl w:val="1"/>
          <w:numId w:val="1193"/>
        </w:numPr>
      </w:pPr>
      <w:r>
        <w:t xml:space="preserve">juzgar el tono de la política monetaria solo por si el tipo nominal sube o baja, o el de la fiscal por el saldo total y no por el estructural primario;</w:t>
      </w:r>
    </w:p>
    <w:p>
      <w:pPr>
        <w:numPr>
          <w:ilvl w:val="1"/>
          <w:numId w:val="1193"/>
        </w:numPr>
      </w:pPr>
      <w:r>
        <w:t xml:space="preserve">dedicar demasiado tiempo al perfil cíclico y dejar a medias las últimas preguntas;</w:t>
      </w:r>
    </w:p>
    <w:p>
      <w:pPr>
        <w:numPr>
          <w:ilvl w:val="1"/>
          <w:numId w:val="1193"/>
        </w:numPr>
      </w:pPr>
      <w:r>
        <w:t xml:space="preserve">no contestar a una subpregunta, o contestar a lo que no se pregunta.</w:t>
      </w:r>
    </w:p>
    <w:p>
      <w:pPr>
        <w:numPr>
          <w:ilvl w:val="0"/>
          <w:numId w:val="1192"/>
        </w:numPr>
      </w:pPr>
      <w:r>
        <w:rPr>
          <w:i/>
          <w:iCs/>
        </w:rPr>
        <w:t xml:space="preserve">No adivinar el país</w:t>
      </w:r>
      <w:r>
        <w:t xml:space="preserve">: aunque el país suele ser real (no suelen ser países de renta baja, por la falta de datos, aunque sí emergentes), no es lo que se pide y, si se falla, lleva a errores graves (atribuirle un régimen cambiario, unas instituciones o una historia que no tiene). Se analiza en abstracto («esta economía») y solo con la información del cuadernillo, salvo que el enunciado diga otra cosa.</w:t>
      </w:r>
    </w:p>
    <w:p>
      <w:pPr>
        <w:numPr>
          <w:ilvl w:val="0"/>
          <w:numId w:val="1192"/>
        </w:numPr>
      </w:pPr>
      <w:r>
        <w:rPr>
          <w:i/>
          <w:iCs/>
        </w:rPr>
        <w:t xml:space="preserve">La lectura</w:t>
      </w:r>
      <w:r>
        <w:t xml:space="preserve">: lo escrito no se puede cambiar. Se lee tal cual, con buena dicción, a un ritmo pausado y marcando los rótulos para que el tribunal sepa en qué pregunta está; por eso la redacción tiene que poder seguirse de oído. Si el tribunal pregunta (hasta 15 minutos), suele pedir que se aclare o justifique algo del texto o que se complete una respuesta corta: se contesta con calma, con la misma prudencia, y si se detecta un error propio se reconoce.</w:t>
      </w:r>
    </w:p>
    <w:p>
      <w:pPr>
        <w:pStyle w:val="Notaalopositor"/>
        <w:keepLines/>
      </w:pPr>
      <w:r>
        <w:rPr>
          <w:b/>
          <w:bCs/>
        </w:rPr>
        <w:t xml:space="preserve">Nota al opositor. </w:t>
      </w:r>
      <w:r>
        <w:t xml:space="preserve">Formato práctico: no usar corrector (lo que esté mal se tacha con una raya); cuidado con el papel autocopiativo, que calca lo que se apoye encima (separar las hojas ya escritas); numerar las hojas.</w:t>
      </w:r>
    </w:p>
    <w:bookmarkEnd w:id="308"/>
    <w:bookmarkStart w:id="311" w:name="anexo_matriz"/>
    <w:p>
      <w:pPr>
        <w:pStyle w:val="Heading2"/>
      </w:pPr>
      <w:r>
        <w:t xml:space="preserve">H.7. La matriz de fortalezas y debilidades</w:t>
      </w:r>
    </w:p>
    <w:p>
      <w:pPr>
        <w:numPr>
          <w:ilvl w:val="0"/>
          <w:numId w:val="1194"/>
        </w:numPr>
      </w:pPr>
      <w:r>
        <w:t xml:space="preserve">La idea: durante todo el examen se va rellenando, en una hoja aparte o en el margen del cuadernillo, una lista de fortalezas (en verde) y debilidades (en rojo) por bloque, con el indicador que las muestra y su importancia.</w:t>
      </w:r>
    </w:p>
    <w:p>
      <w:pPr>
        <w:keepNext/>
        <w:numPr>
          <w:ilvl w:val="0"/>
          <w:numId w:val="1194"/>
        </w:numPr>
      </w:pPr>
      <w:r>
        <w:t xml:space="preserve">Sirve para 3 cosas:</w:t>
      </w:r>
    </w:p>
    <w:p>
      <w:pPr>
        <w:numPr>
          <w:ilvl w:val="1"/>
          <w:numId w:val="1195"/>
        </w:numPr>
      </w:pPr>
      <w:r>
        <w:t xml:space="preserve">anticipar el diagnóstico en la primera pregunta (apartado </w:t>
      </w:r>
      <w:hyperlink w:anchor="sec_anticipar">
        <w:r>
          <w:rPr>
            <w:rStyle w:val="Hyperlink"/>
          </w:rPr>
          <w:t xml:space="preserve">I.6</w:t>
        </w:r>
      </w:hyperlink>
      <w:r>
        <w:t xml:space="preserve">);</w:t>
      </w:r>
    </w:p>
    <w:p>
      <w:pPr>
        <w:numPr>
          <w:ilvl w:val="1"/>
          <w:numId w:val="1195"/>
        </w:numPr>
      </w:pPr>
      <w:r>
        <w:t xml:space="preserve">no contradecirse entre preguntas;</w:t>
      </w:r>
    </w:p>
    <w:p>
      <w:pPr>
        <w:numPr>
          <w:ilvl w:val="1"/>
          <w:numId w:val="1195"/>
        </w:numPr>
      </w:pPr>
      <w:r>
        <w:t xml:space="preserve">contestar la pregunta final de desequilibrios y recomendaciones, que cayó en 12 de los 14 dictámenes, casi siempre en último lugar</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bookmarkStart w:id="309" w:name="tab_matriz"/>
    <w:p>
      <w:pPr>
        <w:pStyle w:val="TableCaption"/>
      </w:pPr>
      <w:r>
        <w:t xml:space="preserve">Tabla 17.–</w:t>
      </w:r>
      <w:r>
        <w:t xml:space="preserve"> </w:t>
      </w:r>
      <w:r>
        <w:t xml:space="preserve">Matriz de fortalezas y debilidades (plantilla con ejemplos)</w:t>
      </w:r>
    </w:p>
    <w:tbl>
      <w:tblPr>
        <w:tblStyle w:val="Table"/>
        <w:tblW w:type="auto" w:w="0"/>
        <w:tblLook w:firstRow="1" w:lastRow="0" w:firstColumn="0" w:lastColumn="0" w:noHBand="0" w:noVBand="0" w:val="0020"/>
        <w:tblCaption w:val="Tabla 17.– Matriz de fortalezas y debilidades (plantilla con ejemplos)"/>
      </w:tblPr>
      <w:tblGrid>
        <w:gridCol w:w="1980"/>
        <w:gridCol w:w="1980"/>
        <w:gridCol w:w="1980"/>
        <w:gridCol w:w="1980"/>
      </w:tblGrid>
      <w:tr>
        <w:trPr>
          <w:cantSplit/>
          <w:tblHeader w:val="on"/>
        </w:trPr>
        <w:tc>
          <w:tcPr>
            <w:shd w:val="clear" w:color="auto" w:fill="DDEBF7"/>
            <w:vAlign w:val="center"/>
          </w:tcPr>
          <w:p>
            <w:pPr>
              <w:pStyle w:val="Celdatceeazulpalido"/>
              <w:keepNext/>
              <w:jc w:val="left"/>
            </w:pPr>
            <w:r>
              <w:t xml:space="preserve"> </w:t>
            </w:r>
            <w:r>
              <w:rPr>
                <w:b/>
                <w:bCs/>
              </w:rPr>
              <w:t xml:space="preserve">Bloque</w:t>
            </w:r>
          </w:p>
        </w:tc>
        <w:tc>
          <w:tcPr>
            <w:shd w:val="clear" w:color="auto" w:fill="DDEBF7"/>
            <w:vAlign w:val="center"/>
          </w:tcPr>
          <w:p>
            <w:pPr>
              <w:pStyle w:val="Celdatceeazulpalido"/>
              <w:keepNext/>
              <w:jc w:val="left"/>
            </w:pPr>
            <w:r>
              <w:rPr>
                <w:rStyle w:val="Textoverde"/>
                <w:b/>
                <w:bCs/>
              </w:rPr>
              <w:t xml:space="preserve">Fortalezas</w:t>
            </w:r>
            <w:r>
              <w:rPr>
                <w:b/>
                <w:bCs/>
              </w:rPr>
              <w:t xml:space="preserve"> </w:t>
            </w:r>
            <w:r>
              <w:rPr>
                <w:b/>
                <w:bCs/>
              </w:rPr>
              <w:t xml:space="preserve">(indicador)</w:t>
            </w:r>
          </w:p>
        </w:tc>
        <w:tc>
          <w:tcPr>
            <w:shd w:val="clear" w:color="auto" w:fill="DDEBF7"/>
            <w:vAlign w:val="center"/>
          </w:tcPr>
          <w:p>
            <w:pPr>
              <w:pStyle w:val="Celdatceeazulpalido"/>
              <w:keepNext/>
              <w:jc w:val="left"/>
            </w:pPr>
            <w:r>
              <w:rPr>
                <w:rStyle w:val="Textorojo"/>
                <w:b/>
                <w:bCs/>
              </w:rPr>
              <w:t xml:space="preserve">Debilidades</w:t>
            </w:r>
            <w:r>
              <w:rPr>
                <w:b/>
                <w:bCs/>
              </w:rPr>
              <w:t xml:space="preserve"> </w:t>
            </w:r>
            <w:r>
              <w:rPr>
                <w:b/>
                <w:bCs/>
              </w:rPr>
              <w:t xml:space="preserve">(indicador)</w:t>
            </w:r>
          </w:p>
        </w:tc>
        <w:tc>
          <w:tcPr>
            <w:shd w:val="clear" w:color="auto" w:fill="DDEBF7"/>
            <w:vAlign w:val="center"/>
          </w:tcPr>
          <w:p>
            <w:pPr>
              <w:pStyle w:val="Celdatceeazulpalido"/>
              <w:keepNext/>
              <w:jc w:val="center"/>
            </w:pPr>
            <w:r>
              <w:rPr>
                <w:b/>
                <w:bCs/>
              </w:rPr>
              <w:t xml:space="preserve">Peso</w:t>
            </w:r>
          </w:p>
        </w:tc>
      </w:tr>
      <w:tr>
        <w:trPr>
          <w:cantSplit/>
        </w:trPr>
        <w:tc>
          <w:tcPr>
            <w:vAlign w:val="center"/>
          </w:tcPr>
          <w:p>
            <w:pPr>
              <w:pStyle w:val="Compact"/>
              <w:jc w:val="left"/>
            </w:pPr>
            <w:r>
              <w:t xml:space="preserve">Perfil cíclico</w:t>
            </w:r>
          </w:p>
        </w:tc>
        <w:tc>
          <w:tcPr>
            <w:vAlign w:val="center"/>
          </w:tcPr>
          <w:p>
            <w:pPr>
              <w:pStyle w:val="Compact"/>
              <w:jc w:val="left"/>
            </w:pPr>
            <w:r>
              <w:t xml:space="preserve">crecimiento sostenido y equilibrado (contribuciones de demanda interna y externa positivas)</w:t>
            </w:r>
          </w:p>
        </w:tc>
        <w:tc>
          <w:tcPr>
            <w:vAlign w:val="center"/>
          </w:tcPr>
          <w:p>
            <w:pPr>
              <w:pStyle w:val="Compact"/>
              <w:jc w:val="left"/>
            </w:pPr>
            <w:r>
              <w:t xml:space="preserve">débil crecimiento o recesión; consumo anémico; dependencia de un sector</w:t>
            </w:r>
          </w:p>
        </w:tc>
        <w:tc>
          <w:tcPr>
            <w:vAlign w:val="center"/>
          </w:tcPr>
          <w:p>
            <w:pPr>
              <w:pStyle w:val="Compact"/>
              <w:jc w:val="center"/>
            </w:pPr>
            <w:r>
              <w:t xml:space="preserve">***</w:t>
            </w:r>
          </w:p>
        </w:tc>
      </w:tr>
      <w:tr>
        <w:trPr>
          <w:cantSplit/>
        </w:trPr>
        <w:tc>
          <w:tcPr>
            <w:vAlign w:val="center"/>
          </w:tcPr>
          <w:p>
            <w:pPr>
              <w:pStyle w:val="Compact"/>
              <w:jc w:val="left"/>
            </w:pPr>
            <w:r>
              <w:t xml:space="preserve">Mercado de trabajo</w:t>
            </w:r>
          </w:p>
        </w:tc>
        <w:tc>
          <w:tcPr>
            <w:vAlign w:val="center"/>
          </w:tcPr>
          <w:p>
            <w:pPr>
              <w:pStyle w:val="Compact"/>
              <w:jc w:val="left"/>
            </w:pPr>
            <w:r>
              <w:t xml:space="preserve">creación de empleo; paro a la baja</w:t>
            </w:r>
          </w:p>
        </w:tc>
        <w:tc>
          <w:tcPr>
            <w:vAlign w:val="center"/>
          </w:tcPr>
          <w:p>
            <w:pPr>
              <w:pStyle w:val="Compact"/>
              <w:jc w:val="left"/>
            </w:pPr>
            <w:r>
              <w:t xml:space="preserve">paro alto y persistente; CLU que crecen más que en los socios</w:t>
            </w:r>
          </w:p>
        </w:tc>
        <w:tc>
          <w:tcPr>
            <w:vAlign w:val="center"/>
          </w:tcPr>
          <w:p>
            <w:pPr>
              <w:pStyle w:val="Compact"/>
              <w:jc w:val="center"/>
            </w:pPr>
            <w:r>
              <w:t xml:space="preserve">***</w:t>
            </w:r>
          </w:p>
        </w:tc>
      </w:tr>
      <w:tr>
        <w:trPr>
          <w:cantSplit/>
        </w:trPr>
        <w:tc>
          <w:tcPr>
            <w:vAlign w:val="center"/>
          </w:tcPr>
          <w:p>
            <w:pPr>
              <w:pStyle w:val="Compact"/>
              <w:jc w:val="left"/>
            </w:pPr>
            <w:r>
              <w:t xml:space="preserve">Sistema financiero</w:t>
            </w:r>
          </w:p>
        </w:tc>
        <w:tc>
          <w:tcPr>
            <w:vAlign w:val="center"/>
          </w:tcPr>
          <w:p>
            <w:pPr>
              <w:pStyle w:val="Compact"/>
              <w:jc w:val="left"/>
            </w:pPr>
            <w:r>
              <w:t xml:space="preserve">solvencia y liquidez holgadas</w:t>
            </w:r>
          </w:p>
        </w:tc>
        <w:tc>
          <w:tcPr>
            <w:vAlign w:val="center"/>
          </w:tcPr>
          <w:p>
            <w:pPr>
              <w:pStyle w:val="Compact"/>
              <w:jc w:val="left"/>
            </w:pPr>
            <w:r>
              <w:t xml:space="preserve">endeudamiento privado alto; morosidad; racionamiento del crédito</w:t>
            </w:r>
          </w:p>
        </w:tc>
        <w:tc>
          <w:tcPr>
            <w:vAlign w:val="center"/>
          </w:tcPr>
          <w:p>
            <w:pPr>
              <w:pStyle w:val="Compact"/>
              <w:jc w:val="center"/>
            </w:pPr>
            <w:r>
              <w:t xml:space="preserve">**</w:t>
            </w:r>
          </w:p>
        </w:tc>
      </w:tr>
      <w:tr>
        <w:trPr>
          <w:cantSplit/>
        </w:trPr>
        <w:tc>
          <w:tcPr>
            <w:vAlign w:val="center"/>
          </w:tcPr>
          <w:p>
            <w:pPr>
              <w:pStyle w:val="Compact"/>
              <w:jc w:val="left"/>
            </w:pPr>
            <w:r>
              <w:t xml:space="preserve">Precios</w:t>
            </w:r>
          </w:p>
        </w:tc>
        <w:tc>
          <w:tcPr>
            <w:vAlign w:val="center"/>
          </w:tcPr>
          <w:p>
            <w:pPr>
              <w:pStyle w:val="Compact"/>
              <w:jc w:val="left"/>
            </w:pPr>
            <w:r>
              <w:t xml:space="preserve">inflación cerca del objetivo</w:t>
            </w:r>
          </w:p>
        </w:tc>
        <w:tc>
          <w:tcPr>
            <w:vAlign w:val="center"/>
          </w:tcPr>
          <w:p>
            <w:pPr>
              <w:pStyle w:val="Compact"/>
              <w:jc w:val="left"/>
            </w:pPr>
            <w:r>
              <w:t xml:space="preserve">inflación alta y persistente; sobrecalentamiento</w:t>
            </w:r>
          </w:p>
        </w:tc>
        <w:tc>
          <w:tcPr>
            <w:vAlign w:val="center"/>
          </w:tcPr>
          <w:p>
            <w:pPr>
              <w:pStyle w:val="Compact"/>
              <w:jc w:val="center"/>
            </w:pPr>
            <w:r>
              <w:t xml:space="preserve">**</w:t>
            </w:r>
          </w:p>
        </w:tc>
      </w:tr>
      <w:tr>
        <w:trPr>
          <w:cantSplit/>
        </w:trPr>
        <w:tc>
          <w:tcPr>
            <w:vAlign w:val="center"/>
          </w:tcPr>
          <w:p>
            <w:pPr>
              <w:pStyle w:val="Compact"/>
              <w:jc w:val="left"/>
            </w:pPr>
            <w:r>
              <w:t xml:space="preserve">Sector exterior</w:t>
            </w:r>
          </w:p>
        </w:tc>
        <w:tc>
          <w:tcPr>
            <w:vAlign w:val="center"/>
          </w:tcPr>
          <w:p>
            <w:pPr>
              <w:pStyle w:val="Compact"/>
              <w:jc w:val="left"/>
            </w:pPr>
            <w:r>
              <w:t xml:space="preserve">superávit corriente; PIIN mejorando</w:t>
            </w:r>
          </w:p>
        </w:tc>
        <w:tc>
          <w:tcPr>
            <w:vAlign w:val="center"/>
          </w:tcPr>
          <w:p>
            <w:pPr>
              <w:pStyle w:val="Compact"/>
              <w:jc w:val="left"/>
            </w:pPr>
            <w:r>
              <w:t xml:space="preserve">déficit corriente persistente; deuda externa alta; pérdida de competitividad</w:t>
            </w:r>
          </w:p>
        </w:tc>
        <w:tc>
          <w:tcPr>
            <w:vAlign w:val="center"/>
          </w:tcPr>
          <w:p>
            <w:pPr>
              <w:pStyle w:val="Compact"/>
              <w:jc w:val="center"/>
            </w:pPr>
            <w:r>
              <w:t xml:space="preserve">***</w:t>
            </w:r>
          </w:p>
        </w:tc>
      </w:tr>
      <w:tr>
        <w:trPr>
          <w:cantSplit/>
        </w:trPr>
        <w:tc>
          <w:tcPr>
            <w:vAlign w:val="center"/>
          </w:tcPr>
          <w:p>
            <w:pPr>
              <w:pStyle w:val="Compact"/>
              <w:jc w:val="left"/>
            </w:pPr>
            <w:r>
              <w:t xml:space="preserve">Cuentas públicas</w:t>
            </w:r>
          </w:p>
        </w:tc>
        <w:tc>
          <w:tcPr>
            <w:vAlign w:val="center"/>
          </w:tcPr>
          <w:p>
            <w:pPr>
              <w:pStyle w:val="Compact"/>
              <w:jc w:val="left"/>
            </w:pPr>
            <w:r>
              <w:t xml:space="preserve">saldo primario estructural positivo; deuda baja</w:t>
            </w:r>
          </w:p>
        </w:tc>
        <w:tc>
          <w:tcPr>
            <w:vAlign w:val="center"/>
          </w:tcPr>
          <w:p>
            <w:pPr>
              <w:pStyle w:val="Compact"/>
              <w:jc w:val="left"/>
            </w:pPr>
            <w:r>
              <w:t xml:space="preserve">déficit y deuda altos; trayectoria insostenible</w:t>
            </w:r>
          </w:p>
        </w:tc>
        <w:tc>
          <w:tcPr>
            <w:vAlign w:val="center"/>
          </w:tcPr>
          <w:p>
            <w:pPr>
              <w:pStyle w:val="Compact"/>
              <w:jc w:val="center"/>
            </w:pPr>
            <w:r>
              <w:t xml:space="preserve">***</w:t>
            </w:r>
          </w:p>
        </w:tc>
      </w:tr>
    </w:tbl>
    <w:bookmarkEnd w:id="309"/>
    <w:p>
      <w:pPr>
        <w:pStyle w:val="BodyText"/>
        <w:keepNext/>
      </w:pPr>
      <w:r>
        <w:rPr>
          <w:i/>
          <w:iCs/>
        </w:rPr>
        <w:t xml:space="preserve">Fuente: Elaboración propia. La recomendación tipo para cada debilidad está en el apartado </w:t>
      </w:r>
      <w:hyperlink w:anchor="sec_por_desequilibrio">
        <w:r>
          <w:rPr>
            <w:rStyle w:val="Hyperlink"/>
            <w:i/>
            <w:iCs/>
          </w:rPr>
          <w:t xml:space="preserve">VI.2</w:t>
        </w:r>
      </w:hyperlink>
      <w:r>
        <w:rPr>
          <w:i/>
          <w:iCs/>
        </w:rPr>
        <w:t xml:space="preserve">.</w:t>
      </w:r>
    </w:p>
    <w:p>
      <w:pPr>
        <w:numPr>
          <w:ilvl w:val="0"/>
          <w:numId w:val="1196"/>
        </w:numPr>
      </w:pPr>
      <w:r>
        <w:rPr>
          <w:i/>
          <w:iCs/>
        </w:rPr>
        <w:t xml:space="preserve">La matriz completa</w:t>
      </w:r>
      <w:r>
        <w:t xml:space="preserve">: la guía anterior proponía una plantilla más detallada, con 9 columnas, que se rellena durante el examen: para cada bloque, las fortalezas y oportunidades con sus indicadores y su importancia; las debilidades y amenazas con sus indicadores y su importancia; la tendencia (si mejora o empeora); y la recomendación (tabla </w:t>
      </w:r>
      <w:hyperlink w:anchor="tab_matriz_completa">
        <w:r>
          <w:rPr>
            <w:rStyle w:val="Hyperlink"/>
          </w:rPr>
          <w:t xml:space="preserve">18</w:t>
        </w:r>
      </w:hyperlink>
      <w:r>
        <w:t xml:space="preserve">). Las columnas de fortalezas y de tendencia se dejan en blanco para rellenarlas con el cuadro de cada examen.</w:t>
      </w:r>
    </w:p>
    <w:bookmarkStart w:id="310" w:name="tab_matriz_completa"/>
    <w:p>
      <w:pPr>
        <w:pStyle w:val="TableCaption"/>
      </w:pPr>
      <w:r>
        <w:t xml:space="preserve">Tabla 18.–</w:t>
      </w:r>
      <w:r>
        <w:t xml:space="preserve"> </w:t>
      </w:r>
      <w:r>
        <w:t xml:space="preserve">Matriz completa de fortalezas y debilidades (plantilla de la guía anterior)</w:t>
      </w:r>
    </w:p>
    <w:tbl>
      <w:tblPr>
        <w:tblStyle w:val="Table"/>
        <w:tblW w:type="auto" w:w="0"/>
        <w:tblLook w:firstRow="1" w:lastRow="0" w:firstColumn="0" w:lastColumn="0" w:noHBand="0" w:noVBand="0" w:val="0020"/>
        <w:tblCaption w:val="Tabla 18.– Matriz completa de fortalezas y debilidades (plantilla de la guía anterior)"/>
      </w:tblPr>
      <w:tblGrid>
        <w:gridCol w:w="880"/>
        <w:gridCol w:w="880"/>
        <w:gridCol w:w="880"/>
        <w:gridCol w:w="880"/>
        <w:gridCol w:w="880"/>
        <w:gridCol w:w="880"/>
        <w:gridCol w:w="880"/>
        <w:gridCol w:w="880"/>
        <w:gridCol w:w="880"/>
      </w:tblGrid>
      <w:tr>
        <w:trPr>
          <w:cantSplit/>
          <w:tblHeader w:val="on"/>
        </w:trPr>
        <w:tc>
          <w:tcPr>
            <w:shd w:val="clear" w:color="auto" w:fill="DDEBF7"/>
            <w:vAlign w:val="center"/>
          </w:tcPr>
          <w:p>
            <w:pPr>
              <w:pStyle w:val="Celdatceeazulpalido"/>
              <w:keepNext/>
              <w:jc w:val="left"/>
            </w:pPr>
            <w:r>
              <w:t xml:space="preserve"> </w:t>
            </w:r>
            <w:r>
              <w:rPr>
                <w:b/>
                <w:bCs/>
              </w:rPr>
              <w:t xml:space="preserve">Bloque</w:t>
            </w:r>
          </w:p>
        </w:tc>
        <w:tc>
          <w:tcPr>
            <w:shd w:val="clear" w:color="auto" w:fill="DDEBF7"/>
            <w:vAlign w:val="center"/>
          </w:tcPr>
          <w:p>
            <w:pPr>
              <w:pStyle w:val="Celdatceeazulpalido"/>
              <w:keepNext/>
              <w:jc w:val="left"/>
            </w:pPr>
            <w:r>
              <w:rPr>
                <w:rStyle w:val="Textoverde"/>
                <w:b/>
                <w:bCs/>
              </w:rPr>
              <w:t xml:space="preserve">Fortalezas y oportunidades</w:t>
            </w:r>
          </w:p>
        </w:tc>
        <w:tc>
          <w:tcPr>
            <w:shd w:val="clear" w:color="auto" w:fill="DDEBF7"/>
            <w:vAlign w:val="center"/>
          </w:tcPr>
          <w:p>
            <w:pPr>
              <w:pStyle w:val="Celdatceeazulpalido"/>
              <w:keepNext/>
              <w:jc w:val="left"/>
            </w:pPr>
            <w:r>
              <w:rPr>
                <w:b/>
                <w:bCs/>
              </w:rPr>
              <w:t xml:space="preserve">Indicadores</w:t>
            </w:r>
          </w:p>
        </w:tc>
        <w:tc>
          <w:tcPr>
            <w:shd w:val="clear" w:color="auto" w:fill="DDEBF7"/>
            <w:vAlign w:val="center"/>
          </w:tcPr>
          <w:p>
            <w:pPr>
              <w:pStyle w:val="Celdatceeazulpalido"/>
              <w:keepNext/>
              <w:jc w:val="center"/>
            </w:pPr>
            <w:r>
              <w:rPr>
                <w:b/>
                <w:bCs/>
              </w:rPr>
              <w:t xml:space="preserve">Peso</w:t>
            </w:r>
          </w:p>
        </w:tc>
        <w:tc>
          <w:tcPr>
            <w:shd w:val="clear" w:color="auto" w:fill="DDEBF7"/>
            <w:vAlign w:val="center"/>
          </w:tcPr>
          <w:p>
            <w:pPr>
              <w:pStyle w:val="Celdatceeazulpalido"/>
              <w:keepNext/>
              <w:jc w:val="left"/>
            </w:pPr>
            <w:r>
              <w:rPr>
                <w:rStyle w:val="Textorojo"/>
                <w:b/>
                <w:bCs/>
              </w:rPr>
              <w:t xml:space="preserve">Debilidades y amenazas</w:t>
            </w:r>
          </w:p>
        </w:tc>
        <w:tc>
          <w:tcPr>
            <w:shd w:val="clear" w:color="auto" w:fill="DDEBF7"/>
            <w:vAlign w:val="center"/>
          </w:tcPr>
          <w:p>
            <w:pPr>
              <w:pStyle w:val="Celdatceeazulpalido"/>
              <w:keepNext/>
              <w:jc w:val="left"/>
            </w:pPr>
            <w:r>
              <w:rPr>
                <w:b/>
                <w:bCs/>
              </w:rPr>
              <w:t xml:space="preserve">Indicadores</w:t>
            </w:r>
          </w:p>
        </w:tc>
        <w:tc>
          <w:tcPr>
            <w:shd w:val="clear" w:color="auto" w:fill="DDEBF7"/>
            <w:vAlign w:val="center"/>
          </w:tcPr>
          <w:p>
            <w:pPr>
              <w:pStyle w:val="Celdatceeazulpalido"/>
              <w:keepNext/>
              <w:jc w:val="center"/>
            </w:pPr>
            <w:r>
              <w:rPr>
                <w:b/>
                <w:bCs/>
              </w:rPr>
              <w:t xml:space="preserve">Peso</w:t>
            </w:r>
          </w:p>
        </w:tc>
        <w:tc>
          <w:tcPr>
            <w:shd w:val="clear" w:color="auto" w:fill="DDEBF7"/>
            <w:vAlign w:val="center"/>
          </w:tcPr>
          <w:p>
            <w:pPr>
              <w:pStyle w:val="Celdatceeazulpalido"/>
              <w:keepNext/>
              <w:jc w:val="center"/>
            </w:pPr>
            <w:r>
              <w:rPr>
                <w:b/>
                <w:bCs/>
              </w:rPr>
              <w:t xml:space="preserve">Tend.</w:t>
            </w:r>
          </w:p>
        </w:tc>
        <w:tc>
          <w:tcPr>
            <w:shd w:val="clear" w:color="auto" w:fill="DDEBF7"/>
            <w:vAlign w:val="center"/>
          </w:tcPr>
          <w:p>
            <w:pPr>
              <w:pStyle w:val="Celdatceeazulpalido"/>
              <w:keepNext/>
              <w:jc w:val="left"/>
            </w:pPr>
            <w:r>
              <w:rPr>
                <w:b/>
                <w:bCs/>
              </w:rPr>
              <w:t xml:space="preserve">Recomendaciones</w:t>
            </w:r>
          </w:p>
        </w:tc>
      </w:tr>
      <w:tr>
        <w:trPr>
          <w:cantSplit/>
        </w:trPr>
        <w:tc>
          <w:tcPr>
            <w:vAlign w:val="center"/>
          </w:tcPr>
          <w:p>
            <w:pPr>
              <w:pStyle w:val="Compact"/>
              <w:jc w:val="left"/>
            </w:pPr>
            <w:r>
              <w:t xml:space="preserve">Perfil cíclico</w:t>
            </w: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left"/>
            </w:pPr>
            <w:r>
              <w:t xml:space="preserve">Débil crecimiento</w:t>
            </w:r>
          </w:p>
        </w:tc>
        <w:tc>
          <w:tcPr>
            <w:vAlign w:val="center"/>
          </w:tcPr>
          <w:p>
            <w:pPr>
              <w:pStyle w:val="Compact"/>
              <w:jc w:val="left"/>
            </w:pPr>
            <w:r>
              <w:t xml:space="preserve">Crecimiento del PIB real reducido o negativo (recesión)</w:t>
            </w:r>
          </w:p>
        </w:tc>
        <w:tc>
          <w:tcPr>
            <w:vAlign w:val="center"/>
          </w:tcPr>
          <w:p>
            <w:pPr>
              <w:pStyle w:val="Compact"/>
              <w:jc w:val="center"/>
            </w:pPr>
            <w:r>
              <w:t xml:space="preserve">***</w:t>
            </w:r>
          </w:p>
        </w:tc>
        <w:tc>
          <w:tcPr>
            <w:vAlign w:val="center"/>
          </w:tcPr>
          <w:p>
            <w:pPr>
              <w:pStyle w:val="Compact"/>
            </w:pPr>
          </w:p>
        </w:tc>
        <w:tc>
          <w:tcPr>
            <w:vAlign w:val="center"/>
          </w:tcPr>
          <w:p>
            <w:pPr>
              <w:pStyle w:val="Compact"/>
              <w:jc w:val="left"/>
            </w:pPr>
            <w:r>
              <w:t xml:space="preserve">Políticas de demanda a corto plazo; de oferta a largo</w:t>
            </w:r>
          </w:p>
        </w:tc>
      </w:tr>
      <w:tr>
        <w:trPr>
          <w:cantSplit/>
        </w:trPr>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left"/>
            </w:pPr>
            <w:r>
              <w:t xml:space="preserve">Consumo interno anémico</w:t>
            </w:r>
          </w:p>
        </w:tc>
        <w:tc>
          <w:tcPr>
            <w:vAlign w:val="center"/>
          </w:tcPr>
          <w:p>
            <w:pPr>
              <w:pStyle w:val="Compact"/>
              <w:jc w:val="left"/>
            </w:pPr>
            <w:r>
              <w:t xml:space="preserve">Consumo privado que apenas crece</w:t>
            </w:r>
          </w:p>
        </w:tc>
        <w:tc>
          <w:tcPr>
            <w:vAlign w:val="center"/>
          </w:tcPr>
          <w:p>
            <w:pPr>
              <w:pStyle w:val="Compact"/>
            </w:pPr>
          </w:p>
        </w:tc>
        <w:tc>
          <w:tcPr>
            <w:vAlign w:val="center"/>
          </w:tcPr>
          <w:p>
            <w:pPr>
              <w:pStyle w:val="Compact"/>
            </w:pPr>
          </w:p>
        </w:tc>
        <w:tc>
          <w:tcPr>
            <w:vAlign w:val="center"/>
          </w:tcPr>
          <w:p>
            <w:pPr>
              <w:pStyle w:val="Compact"/>
              <w:jc w:val="left"/>
            </w:pPr>
            <w:r>
              <w:t xml:space="preserve">Apoyo a la renta de los hogares</w:t>
            </w:r>
          </w:p>
        </w:tc>
      </w:tr>
      <w:tr>
        <w:trPr>
          <w:cantSplit/>
        </w:trPr>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left"/>
            </w:pPr>
            <w:r>
              <w:t xml:space="preserve">Estructura sectorial desequilibrada</w:t>
            </w:r>
          </w:p>
        </w:tc>
        <w:tc>
          <w:tcPr>
            <w:vAlign w:val="center"/>
          </w:tcPr>
          <w:p>
            <w:pPr>
              <w:pStyle w:val="Compact"/>
              <w:jc w:val="left"/>
            </w:pPr>
            <w:r>
              <w:t xml:space="preserve">Dependencia excesiva de un sector (inmobiliario, energético, materias primas)</w:t>
            </w:r>
          </w:p>
        </w:tc>
        <w:tc>
          <w:tcPr>
            <w:vAlign w:val="center"/>
          </w:tcPr>
          <w:p>
            <w:pPr>
              <w:pStyle w:val="Compact"/>
            </w:pPr>
          </w:p>
        </w:tc>
        <w:tc>
          <w:tcPr>
            <w:vAlign w:val="center"/>
          </w:tcPr>
          <w:p>
            <w:pPr>
              <w:pStyle w:val="Compact"/>
            </w:pPr>
          </w:p>
        </w:tc>
        <w:tc>
          <w:tcPr>
            <w:vAlign w:val="center"/>
          </w:tcPr>
          <w:p>
            <w:pPr>
              <w:pStyle w:val="Compact"/>
              <w:jc w:val="left"/>
            </w:pPr>
            <w:r>
              <w:t xml:space="preserve">Medidas que reduzcan la dependencia de un sector</w:t>
            </w:r>
          </w:p>
        </w:tc>
      </w:tr>
      <w:tr>
        <w:trPr>
          <w:cantSplit/>
        </w:trPr>
        <w:tc>
          <w:tcPr>
            <w:vAlign w:val="center"/>
          </w:tcPr>
          <w:p>
            <w:pPr>
              <w:pStyle w:val="Compact"/>
              <w:jc w:val="left"/>
            </w:pPr>
            <w:r>
              <w:t xml:space="preserve">Mercado de trabajo</w:t>
            </w: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left"/>
            </w:pPr>
            <w:r>
              <w:t xml:space="preserve">Mercado de trabajo deficiente</w:t>
            </w:r>
          </w:p>
        </w:tc>
        <w:tc>
          <w:tcPr>
            <w:vAlign w:val="center"/>
          </w:tcPr>
          <w:p>
            <w:pPr>
              <w:pStyle w:val="Compact"/>
              <w:jc w:val="left"/>
            </w:pPr>
            <w:r>
              <w:t xml:space="preserve">Paro alto y persistente; CLU crecientes</w:t>
            </w:r>
          </w:p>
        </w:tc>
        <w:tc>
          <w:tcPr>
            <w:vAlign w:val="center"/>
          </w:tcPr>
          <w:p>
            <w:pPr>
              <w:pStyle w:val="Compact"/>
              <w:jc w:val="center"/>
            </w:pPr>
            <w:r>
              <w:t xml:space="preserve">***</w:t>
            </w:r>
          </w:p>
        </w:tc>
        <w:tc>
          <w:tcPr>
            <w:vAlign w:val="center"/>
          </w:tcPr>
          <w:p>
            <w:pPr>
              <w:pStyle w:val="Compact"/>
            </w:pPr>
          </w:p>
        </w:tc>
        <w:tc>
          <w:tcPr>
            <w:vAlign w:val="center"/>
          </w:tcPr>
          <w:p>
            <w:pPr>
              <w:pStyle w:val="Compact"/>
              <w:jc w:val="left"/>
            </w:pPr>
            <w:r>
              <w:t xml:space="preserve">Políticas de oferta; flexibilizar el mercado laboral</w:t>
            </w:r>
          </w:p>
        </w:tc>
      </w:tr>
      <w:tr>
        <w:trPr>
          <w:cantSplit/>
        </w:trPr>
        <w:tc>
          <w:tcPr>
            <w:vAlign w:val="center"/>
          </w:tcPr>
          <w:p>
            <w:pPr>
              <w:pStyle w:val="Compact"/>
              <w:jc w:val="left"/>
            </w:pPr>
            <w:r>
              <w:t xml:space="preserve">Sector financiero</w:t>
            </w: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left"/>
            </w:pPr>
            <w:r>
              <w:t xml:space="preserve">Riesgos en el sistema financiero</w:t>
            </w:r>
          </w:p>
        </w:tc>
        <w:tc>
          <w:tcPr>
            <w:vAlign w:val="center"/>
          </w:tcPr>
          <w:p>
            <w:pPr>
              <w:pStyle w:val="Compact"/>
              <w:jc w:val="left"/>
            </w:pPr>
            <w:r>
              <w:t xml:space="preserve">Prima de riesgo alta, endeudamiento privado y público alto, morosidad elevada, racionamiento del crédito</w:t>
            </w:r>
          </w:p>
        </w:tc>
        <w:tc>
          <w:tcPr>
            <w:vAlign w:val="center"/>
          </w:tcPr>
          <w:p>
            <w:pPr>
              <w:pStyle w:val="Compact"/>
            </w:pPr>
          </w:p>
        </w:tc>
        <w:tc>
          <w:tcPr>
            <w:vAlign w:val="center"/>
          </w:tcPr>
          <w:p>
            <w:pPr>
              <w:pStyle w:val="Compact"/>
            </w:pPr>
          </w:p>
        </w:tc>
        <w:tc>
          <w:tcPr>
            <w:vAlign w:val="center"/>
          </w:tcPr>
          <w:p>
            <w:pPr>
              <w:pStyle w:val="Compact"/>
              <w:jc w:val="left"/>
            </w:pPr>
            <w:r>
              <w:t xml:space="preserve">Un sistema que canalice el ahorro a la inversión: muchos activos, liquidez y supervisión completa</w:t>
            </w:r>
          </w:p>
        </w:tc>
      </w:tr>
      <w:tr>
        <w:trPr>
          <w:cantSplit/>
        </w:trPr>
        <w:tc>
          <w:tcPr>
            <w:vAlign w:val="center"/>
          </w:tcPr>
          <w:p>
            <w:pPr>
              <w:pStyle w:val="Compact"/>
              <w:jc w:val="left"/>
            </w:pPr>
            <w:r>
              <w:t xml:space="preserve">Sector exterior</w:t>
            </w: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left"/>
            </w:pPr>
            <w:r>
              <w:t xml:space="preserve">Déficit corriente y deuda externa</w:t>
            </w:r>
          </w:p>
        </w:tc>
        <w:tc>
          <w:tcPr>
            <w:vAlign w:val="center"/>
          </w:tcPr>
          <w:p>
            <w:pPr>
              <w:pStyle w:val="Compact"/>
              <w:jc w:val="left"/>
            </w:pPr>
            <w:r>
              <w:t xml:space="preserve">Déficit corriente y deuda externa altos y persistentes, pérdida de competitividad, absorción alta, poco ahorro, mucha inversión, déficit público</w:t>
            </w:r>
          </w:p>
        </w:tc>
        <w:tc>
          <w:tcPr>
            <w:vAlign w:val="center"/>
          </w:tcPr>
          <w:p>
            <w:pPr>
              <w:pStyle w:val="Compact"/>
              <w:jc w:val="center"/>
            </w:pPr>
            <w:r>
              <w:t xml:space="preserve">***</w:t>
            </w:r>
          </w:p>
        </w:tc>
        <w:tc>
          <w:tcPr>
            <w:vAlign w:val="center"/>
          </w:tcPr>
          <w:p>
            <w:pPr>
              <w:pStyle w:val="Compact"/>
            </w:pPr>
          </w:p>
        </w:tc>
        <w:tc>
          <w:tcPr>
            <w:vAlign w:val="center"/>
          </w:tcPr>
          <w:p>
            <w:pPr>
              <w:pStyle w:val="Compact"/>
              <w:jc w:val="left"/>
            </w:pPr>
            <w:r>
              <w:t xml:space="preserve">Más ahorro nacional; competitividad</w:t>
            </w:r>
          </w:p>
        </w:tc>
      </w:tr>
      <w:tr>
        <w:trPr>
          <w:cantSplit/>
        </w:trPr>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left"/>
            </w:pPr>
            <w:r>
              <w:t xml:space="preserve">Competitividad precio reducida</w:t>
            </w:r>
          </w:p>
        </w:tc>
        <w:tc>
          <w:tcPr>
            <w:vAlign w:val="center"/>
          </w:tcPr>
          <w:p>
            <w:pPr>
              <w:pStyle w:val="Compact"/>
              <w:jc w:val="left"/>
            </w:pPr>
            <w:r>
              <w:t xml:space="preserve">Tipo de cambio real y CLU relativos al alza</w:t>
            </w:r>
          </w:p>
        </w:tc>
        <w:tc>
          <w:tcPr>
            <w:vAlign w:val="center"/>
          </w:tcPr>
          <w:p>
            <w:pPr>
              <w:pStyle w:val="Compact"/>
            </w:pPr>
          </w:p>
        </w:tc>
        <w:tc>
          <w:tcPr>
            <w:vAlign w:val="center"/>
          </w:tcPr>
          <w:p>
            <w:pPr>
              <w:pStyle w:val="Compact"/>
            </w:pPr>
          </w:p>
        </w:tc>
        <w:tc>
          <w:tcPr>
            <w:vAlign w:val="center"/>
          </w:tcPr>
          <w:p>
            <w:pPr>
              <w:pStyle w:val="Compact"/>
              <w:jc w:val="left"/>
            </w:pPr>
            <w:r>
              <w:t xml:space="preserve">Competencia en bienes y factores; más productividad</w:t>
            </w:r>
          </w:p>
        </w:tc>
      </w:tr>
      <w:tr>
        <w:trPr>
          <w:cantSplit/>
        </w:trPr>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left"/>
            </w:pPr>
            <w:r>
              <w:t xml:space="preserve">Competitividad no precio reducida</w:t>
            </w:r>
          </w:p>
        </w:tc>
        <w:tc>
          <w:tcPr>
            <w:vAlign w:val="center"/>
          </w:tcPr>
          <w:p>
            <w:pPr>
              <w:pStyle w:val="Compact"/>
              <w:jc w:val="left"/>
            </w:pPr>
            <w:r>
              <w:t xml:space="preserve">Cuota de exportación a la baja</w:t>
            </w:r>
          </w:p>
        </w:tc>
        <w:tc>
          <w:tcPr>
            <w:vAlign w:val="center"/>
          </w:tcPr>
          <w:p>
            <w:pPr>
              <w:pStyle w:val="Compact"/>
            </w:pPr>
          </w:p>
        </w:tc>
        <w:tc>
          <w:tcPr>
            <w:vAlign w:val="center"/>
          </w:tcPr>
          <w:p>
            <w:pPr>
              <w:pStyle w:val="Compact"/>
            </w:pPr>
          </w:p>
        </w:tc>
        <w:tc>
          <w:tcPr>
            <w:vAlign w:val="center"/>
          </w:tcPr>
          <w:p>
            <w:pPr>
              <w:pStyle w:val="Compact"/>
              <w:jc w:val="left"/>
            </w:pPr>
            <w:r>
              <w:t xml:space="preserve">Promoción exterior (red de oficinas, agencia de exportación)</w:t>
            </w:r>
          </w:p>
        </w:tc>
      </w:tr>
      <w:tr>
        <w:trPr>
          <w:cantSplit/>
        </w:trPr>
        <w:tc>
          <w:tcPr>
            <w:vAlign w:val="center"/>
          </w:tcPr>
          <w:p>
            <w:pPr>
              <w:pStyle w:val="Compact"/>
              <w:jc w:val="left"/>
            </w:pPr>
            <w:r>
              <w:t xml:space="preserve">Política monetaria</w:t>
            </w: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left"/>
            </w:pPr>
            <w:r>
              <w:t xml:space="preserve">Inflación y sobrecalentamiento</w:t>
            </w:r>
          </w:p>
        </w:tc>
        <w:tc>
          <w:tcPr>
            <w:vAlign w:val="center"/>
          </w:tcPr>
          <w:p>
            <w:pPr>
              <w:pStyle w:val="Compact"/>
              <w:jc w:val="left"/>
            </w:pPr>
            <w:r>
              <w:t xml:space="preserve">Brecha positiva persistente, inflación y consumo altos, caída brusca de existencias, salto de las importaciones</w:t>
            </w:r>
          </w:p>
        </w:tc>
        <w:tc>
          <w:tcPr>
            <w:vAlign w:val="center"/>
          </w:tcPr>
          <w:p>
            <w:pPr>
              <w:pStyle w:val="Compact"/>
            </w:pPr>
          </w:p>
        </w:tc>
        <w:tc>
          <w:tcPr>
            <w:vAlign w:val="center"/>
          </w:tcPr>
          <w:p>
            <w:pPr>
              <w:pStyle w:val="Compact"/>
            </w:pPr>
          </w:p>
        </w:tc>
        <w:tc>
          <w:tcPr>
            <w:vAlign w:val="center"/>
          </w:tcPr>
          <w:p>
            <w:pPr>
              <w:pStyle w:val="Compact"/>
              <w:jc w:val="left"/>
            </w:pPr>
            <w:r>
              <w:t xml:space="preserve">Política monetaria contractiva</w:t>
            </w:r>
          </w:p>
        </w:tc>
      </w:tr>
      <w:tr>
        <w:trPr>
          <w:cantSplit/>
        </w:trPr>
        <w:tc>
          <w:tcPr>
            <w:vAlign w:val="center"/>
          </w:tcPr>
          <w:p>
            <w:pPr>
              <w:pStyle w:val="Compact"/>
              <w:jc w:val="left"/>
            </w:pPr>
            <w:r>
              <w:t xml:space="preserve">Cuentas públicas</w:t>
            </w: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left"/>
            </w:pPr>
            <w:r>
              <w:t xml:space="preserve">Déficit y deuda públicos</w:t>
            </w:r>
          </w:p>
        </w:tc>
        <w:tc>
          <w:tcPr>
            <w:vAlign w:val="center"/>
          </w:tcPr>
          <w:p>
            <w:pPr>
              <w:pStyle w:val="Compact"/>
              <w:jc w:val="left"/>
            </w:pPr>
            <w:r>
              <w:t xml:space="preserve">Déficit y deuda altos y persistentes, trayectoria insostenible</w:t>
            </w:r>
          </w:p>
        </w:tc>
        <w:tc>
          <w:tcPr>
            <w:vAlign w:val="center"/>
          </w:tcPr>
          <w:p>
            <w:pPr>
              <w:pStyle w:val="Compact"/>
            </w:pPr>
          </w:p>
        </w:tc>
        <w:tc>
          <w:tcPr>
            <w:vAlign w:val="center"/>
          </w:tcPr>
          <w:p>
            <w:pPr>
              <w:pStyle w:val="Compact"/>
            </w:pPr>
          </w:p>
        </w:tc>
        <w:tc>
          <w:tcPr>
            <w:vAlign w:val="center"/>
          </w:tcPr>
          <w:p>
            <w:pPr>
              <w:pStyle w:val="Compact"/>
              <w:jc w:val="left"/>
            </w:pPr>
            <w:r>
              <w:t xml:space="preserve">Consolidación de la deuda para recuperar margen fiscal</w:t>
            </w:r>
          </w:p>
        </w:tc>
      </w:tr>
    </w:tbl>
    <w:bookmarkEnd w:id="310"/>
    <w:p>
      <w:pPr>
        <w:pStyle w:val="BodyText"/>
        <w:keepNext/>
      </w:pPr>
      <w:r>
        <w:rPr>
          <w:i/>
          <w:iCs/>
        </w:rPr>
        <w:t xml:space="preserve">Fuente: Guía anterior (versión de 2025). Qué hay que ver: la matriz se rellena durante el examen; las fortalezas, el peso y la tendencia dependen del cuadro de cada año.</w:t>
      </w:r>
    </w:p>
    <w:p>
      <w:pPr>
        <w:numPr>
          <w:ilvl w:val="0"/>
          <w:numId w:val="1197"/>
        </w:numPr>
      </w:pPr>
      <w:r>
        <w:rPr>
          <w:i/>
          <w:iCs/>
        </w:rPr>
        <w:t xml:space="preserve">Dónde está la teoría</w:t>
      </w:r>
      <w:r>
        <w:t xml:space="preserve">: cada indicador remite al tema donde se estudia a fondo, primero el del tercer ejercicio y después el del cuarto; la tabla </w:t>
      </w:r>
      <w:hyperlink w:anchor="tab_donde_se_estudia">
        <w:r>
          <w:rPr>
            <w:rStyle w:val="Hyperlink"/>
          </w:rPr>
          <w:t xml:space="preserve">20</w:t>
        </w:r>
      </w:hyperlink>
      <w:r>
        <w:t xml:space="preserve"> </w:t>
      </w:r>
      <w:r>
        <w:t xml:space="preserve">los reúne por bloque.</w:t>
      </w:r>
    </w:p>
    <w:p>
      <w:pPr>
        <w:numPr>
          <w:ilvl w:val="0"/>
          <w:numId w:val="1197"/>
        </w:numPr>
      </w:pPr>
      <w:r>
        <w:rPr>
          <w:i/>
          <w:iCs/>
        </w:rPr>
        <w:t xml:space="preserve">Dónde practicar y leer ejemplos</w:t>
      </w:r>
      <w:r>
        <w:t xml:space="preserve">: los dictámenes oficiales de convocatorias anteriores</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 los informes de las consultas del artículo IV del FMI, que analizan cada país con el mismo esquema</w:t>
      </w:r>
      <w:r>
        <w:t xml:space="preserve"> </w:t>
      </w:r>
      <w:r>
        <w:t xml:space="preserve">(</w:t>
      </w:r>
      <w:hyperlink w:anchor="ref_FMI2026ArticleIVPagina">
        <w:r>
          <w:rPr>
            <w:rStyle w:val="Hyperlink"/>
            <w:smallCaps/>
          </w:rPr>
          <w:t xml:space="preserve">Fondo Monetario Internacional</w:t>
        </w:r>
        <w:r>
          <w:rPr>
            <w:rStyle w:val="Hyperlink"/>
          </w:rPr>
          <w:t xml:space="preserve">, 2026b</w:t>
        </w:r>
      </w:hyperlink>
      <w:r>
        <w:t xml:space="preserve">)</w:t>
      </w:r>
      <w:r>
        <w:t xml:space="preserve">; las perspectivas económicas de la OCDE</w:t>
      </w:r>
      <w:r>
        <w:t xml:space="preserve"> </w:t>
      </w:r>
      <w:r>
        <w:t xml:space="preserve">(</w:t>
      </w:r>
      <w:hyperlink w:anchor="ref_OCDE2026EconomicOutlook">
        <w:r>
          <w:rPr>
            <w:rStyle w:val="Hyperlink"/>
            <w:smallCaps/>
          </w:rPr>
          <w:t xml:space="preserve">OCDE</w:t>
        </w:r>
        <w:r>
          <w:rPr>
            <w:rStyle w:val="Hyperlink"/>
          </w:rPr>
          <w:t xml:space="preserve">, 2026b</w:t>
        </w:r>
      </w:hyperlink>
      <w:r>
        <w:t xml:space="preserve">)</w:t>
      </w:r>
      <w:r>
        <w:t xml:space="preserve">; y el curso del FMI de programación financiera, en inglés y en español</w:t>
      </w:r>
      <w:r>
        <w:t xml:space="preserve"> </w:t>
      </w:r>
      <w:r>
        <w:t xml:space="preserve">(</w:t>
      </w:r>
      <w:hyperlink w:anchor="ref_FMI2022edXFPP">
        <w:r>
          <w:rPr>
            <w:rStyle w:val="Hyperlink"/>
            <w:smallCaps/>
          </w:rPr>
          <w:t xml:space="preserve">Fondo Monetario Internacional</w:t>
        </w:r>
        <w:r>
          <w:rPr>
            <w:rStyle w:val="Hyperlink"/>
          </w:rPr>
          <w:t xml:space="preserve">, 2022a</w:t>
        </w:r>
      </w:hyperlink>
      <w:r>
        <w:t xml:space="preserve">,</w:t>
      </w:r>
      <w:r>
        <w:t xml:space="preserve"> </w:t>
      </w:r>
      <w:hyperlink w:anchor="ref_FMI2022edXFPPes">
        <w:r>
          <w:rPr>
            <w:rStyle w:val="Hyperlink"/>
          </w:rPr>
          <w:t xml:space="preserve">2022b</w:t>
        </w:r>
      </w:hyperlink>
      <w:r>
        <w:t xml:space="preserve">)</w:t>
      </w:r>
      <w:r>
        <w:t xml:space="preserve">.</w:t>
      </w:r>
    </w:p>
    <w:p>
      <w:pPr>
        <w:numPr>
          <w:ilvl w:val="0"/>
          <w:numId w:val="1197"/>
        </w:numPr>
      </w:pPr>
      <w:r>
        <w:rPr>
          <w:i/>
          <w:iCs/>
        </w:rPr>
        <w:t xml:space="preserve">Recapitulación</w:t>
      </w:r>
      <w:r>
        <w:t xml:space="preserve">: el método se resume en 4 verbos:</w:t>
      </w:r>
      <w:r>
        <w:t xml:space="preserve"> </w:t>
      </w:r>
      <w:r>
        <w:rPr>
          <w:i/>
          <w:iCs/>
        </w:rPr>
        <w:t xml:space="preserve">leer</w:t>
      </w:r>
      <w:r>
        <w:t xml:space="preserve"> </w:t>
      </w:r>
      <w:r>
        <w:t xml:space="preserve">(10-12 minutos con el cuadernillo),</w:t>
      </w:r>
      <w:r>
        <w:t xml:space="preserve"> </w:t>
      </w:r>
      <w:r>
        <w:rPr>
          <w:i/>
          <w:iCs/>
        </w:rPr>
        <w:t xml:space="preserve">repartir</w:t>
      </w:r>
      <w:r>
        <w:t xml:space="preserve"> </w:t>
      </w:r>
      <w:r>
        <w:t xml:space="preserve">(el tiempo, según dónde estén los retos de la economía),</w:t>
      </w:r>
      <w:r>
        <w:t xml:space="preserve"> </w:t>
      </w:r>
      <w:r>
        <w:rPr>
          <w:i/>
          <w:iCs/>
        </w:rPr>
        <w:t xml:space="preserve">diagnosticar</w:t>
      </w:r>
      <w:r>
        <w:t xml:space="preserve"> </w:t>
      </w:r>
      <w:r>
        <w:t xml:space="preserve">(una frase al empezar cada respuesta) y</w:t>
      </w:r>
      <w:r>
        <w:t xml:space="preserve"> </w:t>
      </w:r>
      <w:r>
        <w:rPr>
          <w:i/>
          <w:iCs/>
        </w:rPr>
        <w:t xml:space="preserve">anotar</w:t>
      </w:r>
      <w:r>
        <w:t xml:space="preserve"> </w:t>
      </w:r>
      <w:r>
        <w:t xml:space="preserve">(la matriz de fortalezas y debilidades).</w:t>
      </w:r>
    </w:p>
    <w:bookmarkEnd w:id="311"/>
    <w:bookmarkEnd w:id="312"/>
    <w:bookmarkStart w:id="314" w:name="anexo_preguntas"/>
    <w:p>
      <w:pPr>
        <w:pStyle w:val="Heading1"/>
      </w:pPr>
      <w:r>
        <w:t xml:space="preserve">I. Qué se ha preguntado (2011-2026)</w:t>
      </w:r>
    </w:p>
    <w:p>
      <w:pPr>
        <w:numPr>
          <w:ilvl w:val="0"/>
          <w:numId w:val="1198"/>
        </w:numPr>
      </w:pPr>
      <w:r>
        <w:t xml:space="preserve">De 2011 a 2026 ha habido 14 dictámenes (la numeración es por oferta de empleo público: el de la oferta de 2015 se hizo en enero de 2016, etc.). El sector exterior y la política fiscal han caído en todos; el perfil cíclico, en 13 (no en 2025); las recomendaciones, en 12; la política monetaria y el mercado de trabajo, en 11</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p>
      <w:pPr>
        <w:numPr>
          <w:ilvl w:val="0"/>
          <w:numId w:val="1198"/>
        </w:numPr>
      </w:pPr>
      <w:r>
        <w:t xml:space="preserve">Desde 2023 hay menos preguntas (5 o 6), más largas y sin puntuación, y se pide más el</w:t>
      </w:r>
      <w:r>
        <w:t xml:space="preserve"> </w:t>
      </w:r>
      <w:r>
        <w:rPr>
          <w:i/>
          <w:iCs/>
        </w:rPr>
        <w:t xml:space="preserve">porqué</w:t>
      </w:r>
      <w:r>
        <w:t xml:space="preserve">: determinantes de la inversión y de la inflación, diferencias entre el PIB y la RNB, traspaso del tipo de cambio, «última milla» de la desinflación, nuevas reglas fiscales, demografía y aranceles</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p>
      <w:pPr>
        <w:numPr>
          <w:ilvl w:val="0"/>
          <w:numId w:val="1198"/>
        </w:numPr>
      </w:pPr>
      <w:r>
        <w:t xml:space="preserve">Lo que se preguntó de cada bloque está, además, en los recuadros</w:t>
      </w:r>
      <w:r>
        <w:t xml:space="preserve"> </w:t>
      </w:r>
      <w:r>
        <w:rPr>
          <w:i/>
          <w:iCs/>
        </w:rPr>
        <w:t xml:space="preserve">Nota al opositor</w:t>
      </w:r>
      <w:r>
        <w:t xml:space="preserve"> </w:t>
      </w:r>
      <w:r>
        <w:t xml:space="preserve">de cada capítulo. Los enunciados completos están en la página de exámenes anteriores de la Asociación de TCEE</w:t>
      </w:r>
      <w:r>
        <w:t xml:space="preserve"> </w:t>
      </w:r>
      <w:r>
        <w:t xml:space="preserve">(</w:t>
      </w:r>
      <w:hyperlink w:anchor="ref_ATCEE2026Examenes">
        <w:r>
          <w:rPr>
            <w:rStyle w:val="Hyperlink"/>
            <w:smallCaps/>
          </w:rPr>
          <w:t xml:space="preserve">Asociación de Técnicos Comerciales y Economistas del Estado</w:t>
        </w:r>
        <w:r>
          <w:rPr>
            <w:rStyle w:val="Hyperlink"/>
          </w:rPr>
          <w:t xml:space="preserve">, 2026</w:t>
        </w:r>
      </w:hyperlink>
      <w:r>
        <w:t xml:space="preserve">)</w:t>
      </w:r>
      <w:r>
        <w:t xml:space="preserve">.</w:t>
      </w:r>
    </w:p>
    <w:bookmarkStart w:id="313" w:name="tab_bloques_anio"/>
    <w:p>
      <w:pPr>
        <w:pStyle w:val="TableCaption"/>
      </w:pPr>
      <w:r>
        <w:t xml:space="preserve">Tabla 19.–</w:t>
      </w:r>
      <w:r>
        <w:t xml:space="preserve"> </w:t>
      </w:r>
      <w:r>
        <w:t xml:space="preserve">Bloques preguntados en cada dictamen</w:t>
      </w:r>
    </w:p>
    <w:tbl>
      <w:tblPr>
        <w:tblStyle w:val="Table"/>
        <w:tblW w:type="auto" w:w="0"/>
        <w:tblLook w:firstRow="1" w:lastRow="0" w:firstColumn="0" w:lastColumn="0" w:noHBand="0" w:noVBand="0" w:val="0020"/>
        <w:tblCaption w:val="Tabla 19.– Bloques preguntados en cada dictamen"/>
      </w:tblPr>
      <w:tblGrid>
        <w:gridCol w:w="528"/>
        <w:gridCol w:w="528"/>
        <w:gridCol w:w="528"/>
        <w:gridCol w:w="528"/>
        <w:gridCol w:w="528"/>
        <w:gridCol w:w="528"/>
        <w:gridCol w:w="528"/>
        <w:gridCol w:w="528"/>
        <w:gridCol w:w="528"/>
        <w:gridCol w:w="528"/>
        <w:gridCol w:w="528"/>
        <w:gridCol w:w="528"/>
        <w:gridCol w:w="528"/>
        <w:gridCol w:w="528"/>
        <w:gridCol w:w="528"/>
      </w:tblGrid>
      <w:tr>
        <w:trPr>
          <w:cantSplit/>
          <w:tblHeader w:val="on"/>
        </w:trPr>
        <w:tc>
          <w:tcPr>
            <w:shd w:val="clear" w:color="auto" w:fill="DDEBF7"/>
            <w:vAlign w:val="center"/>
          </w:tcPr>
          <w:p>
            <w:pPr>
              <w:pStyle w:val="Celdatceeazulpalido"/>
              <w:keepNext/>
              <w:jc w:val="left"/>
            </w:pPr>
            <w:r>
              <w:t xml:space="preserve"> </w:t>
            </w:r>
            <w:r>
              <w:rPr>
                <w:b/>
                <w:bCs/>
              </w:rPr>
              <w:t xml:space="preserve">Bloque</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t/>
            </w:r>
          </w:p>
        </w:tc>
      </w:tr>
      <w:tr>
        <w:trPr>
          <w:cantSplit/>
        </w:trPr>
        <w:tc>
          <w:tcPr>
            <w:vAlign w:val="center"/>
          </w:tcPr>
          <w:p>
            <w:pPr>
              <w:pStyle w:val="Compact"/>
              <w:jc w:val="left"/>
            </w:pPr>
            <w:r>
              <w:t xml:space="preserve">Perfil cíclico</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pPr>
          </w:p>
        </w:tc>
        <w:tc>
          <w:tcPr>
            <w:vAlign w:val="center"/>
          </w:tcPr>
          <w:p>
            <w:pPr>
              <w:pStyle w:val="Compact"/>
              <w:jc w:val="center"/>
            </w:pPr>
            <w:r>
              <w:t xml:space="preserve">•</w:t>
            </w:r>
          </w:p>
        </w:tc>
      </w:tr>
      <w:tr>
        <w:trPr>
          <w:cantSplit/>
        </w:trPr>
        <w:tc>
          <w:tcPr>
            <w:vAlign w:val="center"/>
          </w:tcPr>
          <w:p>
            <w:pPr>
              <w:pStyle w:val="Compact"/>
              <w:jc w:val="left"/>
            </w:pPr>
            <w:r>
              <w:t xml:space="preserve">Mercado de trabajo</w:t>
            </w:r>
          </w:p>
        </w:tc>
        <w:tc>
          <w:tcPr>
            <w:vAlign w:val="center"/>
          </w:tcPr>
          <w:p>
            <w:pPr>
              <w:pStyle w:val="Compact"/>
              <w:jc w:val="center"/>
            </w:pPr>
            <w:r>
              <w:t xml:space="preserve">•</w:t>
            </w:r>
          </w:p>
        </w:tc>
        <w:tc>
          <w:tcPr>
            <w:vAlign w:val="center"/>
          </w:tcPr>
          <w:p>
            <w:pPr>
              <w:pStyle w:val="Compact"/>
            </w:pP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pP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pPr>
          </w:p>
        </w:tc>
        <w:tc>
          <w:tcPr>
            <w:vAlign w:val="center"/>
          </w:tcPr>
          <w:p>
            <w:pPr>
              <w:pStyle w:val="Compact"/>
              <w:jc w:val="center"/>
            </w:pPr>
            <w:r>
              <w:t xml:space="preserve">•</w:t>
            </w:r>
          </w:p>
        </w:tc>
      </w:tr>
      <w:tr>
        <w:trPr>
          <w:cantSplit/>
        </w:trPr>
        <w:tc>
          <w:tcPr>
            <w:vAlign w:val="center"/>
          </w:tcPr>
          <w:p>
            <w:pPr>
              <w:pStyle w:val="Compact"/>
              <w:jc w:val="left"/>
            </w:pPr>
            <w:r>
              <w:t xml:space="preserve">Sistema financiero</w:t>
            </w: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center"/>
            </w:pPr>
            <w:r>
              <w:t xml:space="preserve">•</w:t>
            </w:r>
          </w:p>
        </w:tc>
        <w:tc>
          <w:tcPr>
            <w:vAlign w:val="center"/>
          </w:tcPr>
          <w:p>
            <w:pPr>
              <w:pStyle w:val="Compact"/>
            </w:pP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pPr>
          </w:p>
        </w:tc>
        <w:tc>
          <w:tcPr>
            <w:vAlign w:val="center"/>
          </w:tcPr>
          <w:p>
            <w:pPr>
              <w:pStyle w:val="Compact"/>
            </w:pPr>
          </w:p>
        </w:tc>
        <w:tc>
          <w:tcPr>
            <w:vAlign w:val="center"/>
          </w:tcPr>
          <w:p>
            <w:pPr>
              <w:pStyle w:val="Compact"/>
            </w:pPr>
          </w:p>
        </w:tc>
      </w:tr>
      <w:tr>
        <w:trPr>
          <w:cantSplit/>
        </w:trPr>
        <w:tc>
          <w:tcPr>
            <w:vAlign w:val="center"/>
          </w:tcPr>
          <w:p>
            <w:pPr>
              <w:pStyle w:val="Compact"/>
              <w:jc w:val="left"/>
            </w:pPr>
            <w:r>
              <w:t xml:space="preserve">Inflación</w:t>
            </w: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center"/>
            </w:pPr>
            <w:r>
              <w:t xml:space="preserve">•</w:t>
            </w: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jc w:val="center"/>
            </w:pPr>
            <w:r>
              <w:t xml:space="preserve">•</w:t>
            </w:r>
          </w:p>
        </w:tc>
        <w:tc>
          <w:tcPr>
            <w:vAlign w:val="center"/>
          </w:tcPr>
          <w:p>
            <w:pPr>
              <w:pStyle w:val="Compact"/>
            </w:pPr>
          </w:p>
        </w:tc>
        <w:tc>
          <w:tcPr>
            <w:vAlign w:val="center"/>
          </w:tcPr>
          <w:p>
            <w:pPr>
              <w:pStyle w:val="Compact"/>
              <w:jc w:val="center"/>
            </w:pPr>
            <w:r>
              <w:t xml:space="preserve">•</w:t>
            </w:r>
          </w:p>
        </w:tc>
        <w:tc>
          <w:tcPr>
            <w:vAlign w:val="center"/>
          </w:tcPr>
          <w:p>
            <w:pPr>
              <w:pStyle w:val="Compact"/>
              <w:jc w:val="center"/>
            </w:pPr>
            <w:r>
              <w:t xml:space="preserve">•</w:t>
            </w:r>
          </w:p>
        </w:tc>
      </w:tr>
      <w:tr>
        <w:trPr>
          <w:cantSplit/>
        </w:trPr>
        <w:tc>
          <w:tcPr>
            <w:vAlign w:val="center"/>
          </w:tcPr>
          <w:p>
            <w:pPr>
              <w:pStyle w:val="Compact"/>
              <w:jc w:val="left"/>
            </w:pPr>
            <w:r>
              <w:t xml:space="preserve">Sector exterior</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r>
      <w:tr>
        <w:trPr>
          <w:cantSplit/>
        </w:trPr>
        <w:tc>
          <w:tcPr>
            <w:vAlign w:val="center"/>
          </w:tcPr>
          <w:p>
            <w:pPr>
              <w:pStyle w:val="Compact"/>
              <w:jc w:val="left"/>
            </w:pPr>
            <w:r>
              <w:t xml:space="preserve">Política monetaria</w:t>
            </w:r>
          </w:p>
        </w:tc>
        <w:tc>
          <w:tcPr>
            <w:vAlign w:val="center"/>
          </w:tcPr>
          <w:p>
            <w:pPr>
              <w:pStyle w:val="Compact"/>
              <w:jc w:val="center"/>
            </w:pPr>
            <w:r>
              <w:t xml:space="preserve">•</w:t>
            </w:r>
          </w:p>
        </w:tc>
        <w:tc>
          <w:tcPr>
            <w:vAlign w:val="center"/>
          </w:tcPr>
          <w:p>
            <w:pPr>
              <w:pStyle w:val="Compact"/>
            </w:pPr>
          </w:p>
        </w:tc>
        <w:tc>
          <w:tcPr>
            <w:vAlign w:val="center"/>
          </w:tcPr>
          <w:p>
            <w:pPr>
              <w:pStyle w:val="Compact"/>
            </w:pP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pP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r>
      <w:tr>
        <w:trPr>
          <w:cantSplit/>
        </w:trPr>
        <w:tc>
          <w:tcPr>
            <w:vAlign w:val="center"/>
          </w:tcPr>
          <w:p>
            <w:pPr>
              <w:pStyle w:val="Compact"/>
              <w:jc w:val="left"/>
            </w:pPr>
            <w:r>
              <w:t xml:space="preserve">Política fiscal</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r>
      <w:tr>
        <w:trPr>
          <w:cantSplit/>
        </w:trPr>
        <w:tc>
          <w:tcPr>
            <w:vAlign w:val="center"/>
          </w:tcPr>
          <w:p>
            <w:pPr>
              <w:pStyle w:val="Compact"/>
              <w:jc w:val="left"/>
            </w:pPr>
            <w:r>
              <w:t xml:space="preserve">Recomendaciones</w:t>
            </w:r>
          </w:p>
        </w:tc>
        <w:tc>
          <w:tcPr>
            <w:vAlign w:val="center"/>
          </w:tcPr>
          <w:p>
            <w:pPr>
              <w:pStyle w:val="Compact"/>
            </w:pP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jc w:val="center"/>
            </w:pPr>
            <w:r>
              <w:t xml:space="preserve">•</w:t>
            </w:r>
          </w:p>
        </w:tc>
        <w:tc>
          <w:tcPr>
            <w:vAlign w:val="center"/>
          </w:tcPr>
          <w:p>
            <w:pPr>
              <w:pStyle w:val="Compact"/>
            </w:pPr>
          </w:p>
        </w:tc>
        <w:tc>
          <w:tcPr>
            <w:vAlign w:val="center"/>
          </w:tcPr>
          <w:p>
            <w:pPr>
              <w:pStyle w:val="Compact"/>
              <w:jc w:val="center"/>
            </w:pPr>
            <w:r>
              <w:t xml:space="preserve">•</w:t>
            </w:r>
          </w:p>
        </w:tc>
      </w:tr>
    </w:tbl>
    <w:bookmarkEnd w:id="313"/>
    <w:p>
      <w:pPr>
        <w:pStyle w:val="BodyText"/>
      </w:pPr>
      <w:r>
        <w:rPr>
          <w:i/>
          <w:iCs/>
        </w:rPr>
        <w:t xml:space="preserve">Fuente: Elaboración propia a partir de los enunciados oficiales</w:t>
      </w:r>
      <w:r>
        <w:rPr>
          <w:i/>
          <w:iCs/>
        </w:rPr>
        <w:t xml:space="preserve"> </w:t>
      </w:r>
      <w:r>
        <w:rPr>
          <w:i/>
          <w:iCs/>
        </w:rPr>
        <w:t xml:space="preserve">(</w:t>
      </w:r>
      <w:hyperlink w:anchor="ref_ATCEE2026Examenes">
        <w:r>
          <w:rPr>
            <w:rStyle w:val="Hyperlink"/>
            <w:i/>
            <w:iCs/>
            <w:smallCaps/>
          </w:rPr>
          <w:t xml:space="preserve">Asociación de Técnicos Comerciales y Economistas del Estado</w:t>
        </w:r>
        <w:r>
          <w:rPr>
            <w:rStyle w:val="Hyperlink"/>
            <w:i/>
            <w:iCs/>
          </w:rPr>
          <w:t xml:space="preserve">, 2026</w:t>
        </w:r>
      </w:hyperlink>
      <w:r>
        <w:rPr>
          <w:i/>
          <w:iCs/>
        </w:rPr>
        <w:t xml:space="preserve">)</w:t>
      </w:r>
      <w:r>
        <w:rPr>
          <w:i/>
          <w:iCs/>
        </w:rPr>
        <w:t xml:space="preserve">. Una pregunta puede tocar varios bloques.</w:t>
      </w:r>
    </w:p>
    <w:bookmarkEnd w:id="314"/>
    <w:bookmarkStart w:id="336" w:name="anexo_temas"/>
    <w:p>
      <w:pPr>
        <w:pStyle w:val="Heading1"/>
      </w:pPr>
      <w:r>
        <w:t xml:space="preserve">J. Dónde se estudia cada bloque</w:t>
      </w:r>
    </w:p>
    <w:p>
      <w:pPr>
        <w:numPr>
          <w:ilvl w:val="0"/>
          <w:numId w:val="1199"/>
        </w:numPr>
      </w:pPr>
      <w:r>
        <w:t xml:space="preserve">La guía remite en cada indicador al tema donde se estudia a fondo: primero el del tercer ejercicio (la teoría) y después el del cuarto (la aplicación a España o al sector público).</w:t>
      </w:r>
    </w:p>
    <w:p>
      <w:pPr>
        <w:numPr>
          <w:ilvl w:val="0"/>
          <w:numId w:val="1199"/>
        </w:numPr>
      </w:pPr>
      <w:r>
        <w:t xml:space="preserve">Son relevantes todos los temas de macroeconomía y, para entenderla bien, los de su microfundamentación.</w:t>
      </w:r>
    </w:p>
    <w:bookmarkStart w:id="335" w:name="tab_donde_se_estudia"/>
    <w:p>
      <w:pPr>
        <w:pStyle w:val="TableCaption"/>
      </w:pPr>
      <w:r>
        <w:t xml:space="preserve">Tabla 20.–</w:t>
      </w:r>
      <w:r>
        <w:t xml:space="preserve"> </w:t>
      </w:r>
      <w:r>
        <w:t xml:space="preserve">Temas del temario que sostienen cada bloque del dictamen</w:t>
      </w:r>
    </w:p>
    <w:tbl>
      <w:tblPr>
        <w:tblStyle w:val="Table"/>
        <w:tblW w:type="auto" w:w="0"/>
        <w:tblLook w:firstRow="1" w:lastRow="0" w:firstColumn="0" w:lastColumn="0" w:noHBand="0" w:noVBand="0" w:val="0020"/>
        <w:tblCaption w:val="Tabla 20.– Temas del temario que sostienen cada bloque del dictamen"/>
      </w:tblPr>
      <w:tblGrid>
        <w:gridCol w:w="2640"/>
        <w:gridCol w:w="2640"/>
        <w:gridCol w:w="2640"/>
      </w:tblGrid>
      <w:tr>
        <w:trPr>
          <w:cantSplit/>
          <w:tblHeader w:val="on"/>
        </w:trPr>
        <w:tc>
          <w:tcPr>
            <w:shd w:val="clear" w:color="auto" w:fill="DDEBF7"/>
          </w:tcPr>
          <w:tcPr/>
          <w:p>
            <w:pPr>
              <w:pStyle w:val="Celdatceeazulpalido"/>
              <w:keepNext/>
              <w:jc w:val="left"/>
            </w:pPr>
            <w:r>
              <w:t xml:space="preserve"> </w:t>
            </w:r>
            <w:r>
              <w:rPr>
                <w:b/>
                <w:bCs/>
              </w:rPr>
              <w:t xml:space="preserve">Bloque</w:t>
            </w:r>
          </w:p>
        </w:tc>
        <w:tc>
          <w:tcPr>
            <w:shd w:val="clear" w:color="auto" w:fill="DDEBF7"/>
          </w:tcPr>
          <w:tcPr/>
          <w:p>
            <w:pPr>
              <w:pStyle w:val="Celdatceeazulpalido"/>
              <w:keepNext/>
              <w:jc w:val="left"/>
            </w:pPr>
            <w:r>
              <w:rPr>
                <w:b/>
                <w:bCs/>
              </w:rPr>
              <w:t xml:space="preserve">Tercer ejercicio</w:t>
            </w:r>
          </w:p>
        </w:tc>
        <w:tc>
          <w:tcPr>
            <w:shd w:val="clear" w:color="auto" w:fill="DDEBF7"/>
          </w:tcPr>
          <w:tcPr/>
          <w:p>
            <w:pPr>
              <w:pStyle w:val="Celdatceeazulpalido"/>
              <w:keepNext/>
              <w:jc w:val="left"/>
            </w:pPr>
            <w:r>
              <w:rPr>
                <w:b/>
                <w:bCs/>
              </w:rPr>
              <w:t xml:space="preserve">Cuarto ejercicio</w:t>
            </w:r>
          </w:p>
        </w:tc>
      </w:tr>
      <w:tr>
        <w:trPr>
          <w:cantSplit/>
        </w:trPr>
        <w:tc>
          <w:tcPr/>
          <w:p>
            <w:pPr>
              <w:pStyle w:val="Compact"/>
              <w:jc w:val="left"/>
            </w:pPr>
            <w:r>
              <w:t xml:space="preserve">Perfil cíclico</w:t>
            </w:r>
          </w:p>
        </w:tc>
        <w:tc>
          <w:tcPr/>
          <w:p>
            <w:pPr>
              <w:pStyle w:val="Compact"/>
              <w:jc w:val="left"/>
            </w:pPr>
            <w:hyperlink r:id="rId20">
              <w:r>
                <w:rPr>
                  <w:rStyle w:val="Referenciaatema"/>
                </w:rPr>
                <w:t xml:space="preserve">3.A.30</w:t>
              </w:r>
            </w:hyperlink>
            <w:r>
              <w:t xml:space="preserve">,</w:t>
            </w:r>
            <w:r>
              <w:t xml:space="preserve"> </w:t>
            </w:r>
            <w:hyperlink r:id="rId315">
              <w:r>
                <w:rPr>
                  <w:rStyle w:val="Referenciaatema"/>
                </w:rPr>
                <w:t xml:space="preserve">3.A.31</w:t>
              </w:r>
            </w:hyperlink>
            <w:r>
              <w:t xml:space="preserve">,</w:t>
            </w:r>
            <w:r>
              <w:t xml:space="preserve"> </w:t>
            </w:r>
            <w:hyperlink r:id="rId55">
              <w:r>
                <w:rPr>
                  <w:rStyle w:val="Referenciaatema"/>
                </w:rPr>
                <w:t xml:space="preserve">3.A.33</w:t>
              </w:r>
            </w:hyperlink>
            <w:r>
              <w:t xml:space="preserve">,</w:t>
            </w:r>
            <w:r>
              <w:t xml:space="preserve"> </w:t>
            </w:r>
            <w:hyperlink r:id="rId67">
              <w:r>
                <w:rPr>
                  <w:rStyle w:val="Referenciaatema"/>
                </w:rPr>
                <w:t xml:space="preserve">3.A.34</w:t>
              </w:r>
            </w:hyperlink>
            <w:r>
              <w:t xml:space="preserve">,</w:t>
            </w:r>
            <w:r>
              <w:t xml:space="preserve"> </w:t>
            </w:r>
            <w:hyperlink r:id="rId21">
              <w:r>
                <w:rPr>
                  <w:rStyle w:val="Referenciaatema"/>
                </w:rPr>
                <w:t xml:space="preserve">3.A.42</w:t>
              </w:r>
            </w:hyperlink>
            <w:r>
              <w:t xml:space="preserve">,</w:t>
            </w:r>
            <w:r>
              <w:t xml:space="preserve"> </w:t>
            </w:r>
            <w:hyperlink r:id="rId73">
              <w:r>
                <w:rPr>
                  <w:rStyle w:val="Referenciaatema"/>
                </w:rPr>
                <w:t xml:space="preserve">3.A.43</w:t>
              </w:r>
            </w:hyperlink>
            <w:r>
              <w:t xml:space="preserve">,</w:t>
            </w:r>
            <w:r>
              <w:t xml:space="preserve"> </w:t>
            </w:r>
            <w:hyperlink r:id="rId194">
              <w:r>
                <w:rPr>
                  <w:rStyle w:val="Referenciaatema"/>
                </w:rPr>
                <w:t xml:space="preserve">3.A.44</w:t>
              </w:r>
            </w:hyperlink>
            <w:r>
              <w:t xml:space="preserve">,</w:t>
            </w:r>
            <w:r>
              <w:t xml:space="preserve"> </w:t>
            </w:r>
            <w:hyperlink r:id="rId40">
              <w:r>
                <w:rPr>
                  <w:rStyle w:val="Referenciaatema"/>
                </w:rPr>
                <w:t xml:space="preserve">3.A.45</w:t>
              </w:r>
            </w:hyperlink>
            <w:r>
              <w:t xml:space="preserve">,</w:t>
            </w:r>
            <w:r>
              <w:t xml:space="preserve"> </w:t>
            </w:r>
            <w:hyperlink r:id="rId276">
              <w:r>
                <w:rPr>
                  <w:rStyle w:val="Referenciaatema"/>
                </w:rPr>
                <w:t xml:space="preserve">3.B.28</w:t>
              </w:r>
            </w:hyperlink>
            <w:r>
              <w:t xml:space="preserve">,</w:t>
            </w:r>
            <w:r>
              <w:t xml:space="preserve"> </w:t>
            </w:r>
            <w:hyperlink r:id="rId277">
              <w:r>
                <w:rPr>
                  <w:rStyle w:val="Referenciaatema"/>
                </w:rPr>
                <w:t xml:space="preserve">3.B.32</w:t>
              </w:r>
            </w:hyperlink>
          </w:p>
        </w:tc>
        <w:tc>
          <w:tcPr/>
          <w:p>
            <w:pPr>
              <w:pStyle w:val="Compact"/>
              <w:jc w:val="left"/>
            </w:pPr>
            <w:hyperlink r:id="rId34">
              <w:r>
                <w:rPr>
                  <w:rStyle w:val="Referenciaatema"/>
                </w:rPr>
                <w:t xml:space="preserve">4.A.1</w:t>
              </w:r>
            </w:hyperlink>
            <w:r>
              <w:t xml:space="preserve">,</w:t>
            </w:r>
            <w:r>
              <w:t xml:space="preserve"> </w:t>
            </w:r>
            <w:hyperlink r:id="rId75">
              <w:r>
                <w:rPr>
                  <w:rStyle w:val="Referenciaatema"/>
                </w:rPr>
                <w:t xml:space="preserve">4.A.4</w:t>
              </w:r>
            </w:hyperlink>
            <w:r>
              <w:t xml:space="preserve">,</w:t>
            </w:r>
            <w:r>
              <w:t xml:space="preserve"> </w:t>
            </w:r>
            <w:hyperlink r:id="rId76">
              <w:r>
                <w:rPr>
                  <w:rStyle w:val="Referenciaatema"/>
                </w:rPr>
                <w:t xml:space="preserve">4.A.5</w:t>
              </w:r>
            </w:hyperlink>
            <w:r>
              <w:t xml:space="preserve">,</w:t>
            </w:r>
            <w:r>
              <w:t xml:space="preserve"> </w:t>
            </w:r>
            <w:hyperlink r:id="rId77">
              <w:r>
                <w:rPr>
                  <w:rStyle w:val="Referenciaatema"/>
                </w:rPr>
                <w:t xml:space="preserve">4.A.9</w:t>
              </w:r>
            </w:hyperlink>
            <w:r>
              <w:t xml:space="preserve">,</w:t>
            </w:r>
            <w:r>
              <w:t xml:space="preserve"> </w:t>
            </w:r>
            <w:hyperlink r:id="rId63">
              <w:r>
                <w:rPr>
                  <w:rStyle w:val="Referenciaatema"/>
                </w:rPr>
                <w:t xml:space="preserve">4.A.11</w:t>
              </w:r>
            </w:hyperlink>
            <w:r>
              <w:t xml:space="preserve">,</w:t>
            </w:r>
            <w:r>
              <w:t xml:space="preserve"> </w:t>
            </w:r>
            <w:hyperlink r:id="rId78">
              <w:r>
                <w:rPr>
                  <w:rStyle w:val="Referenciaatema"/>
                </w:rPr>
                <w:t xml:space="preserve">4.A.13</w:t>
              </w:r>
            </w:hyperlink>
            <w:r>
              <w:t xml:space="preserve">,</w:t>
            </w:r>
            <w:r>
              <w:t xml:space="preserve"> </w:t>
            </w:r>
            <w:hyperlink r:id="rId49">
              <w:r>
                <w:rPr>
                  <w:rStyle w:val="Referenciaatema"/>
                </w:rPr>
                <w:t xml:space="preserve">4.A.29</w:t>
              </w:r>
            </w:hyperlink>
            <w:r>
              <w:t xml:space="preserve">,</w:t>
            </w:r>
            <w:r>
              <w:t xml:space="preserve"> </w:t>
            </w:r>
            <w:hyperlink r:id="rId38">
              <w:r>
                <w:rPr>
                  <w:rStyle w:val="Referenciaatema"/>
                </w:rPr>
                <w:t xml:space="preserve">4.B.4</w:t>
              </w:r>
            </w:hyperlink>
          </w:p>
        </w:tc>
      </w:tr>
      <w:tr>
        <w:trPr>
          <w:cantSplit/>
        </w:trPr>
        <w:tc>
          <w:tcPr/>
          <w:p>
            <w:pPr>
              <w:pStyle w:val="Compact"/>
              <w:jc w:val="left"/>
            </w:pPr>
            <w:r>
              <w:t xml:space="preserve">Mercados de factores</w:t>
            </w:r>
          </w:p>
        </w:tc>
        <w:tc>
          <w:tcPr/>
          <w:p>
            <w:pPr>
              <w:pStyle w:val="Compact"/>
              <w:jc w:val="left"/>
            </w:pPr>
            <w:hyperlink r:id="rId316">
              <w:r>
                <w:rPr>
                  <w:rStyle w:val="Referenciaatema"/>
                </w:rPr>
                <w:t xml:space="preserve">3.A.13</w:t>
              </w:r>
            </w:hyperlink>
            <w:r>
              <w:t xml:space="preserve">,</w:t>
            </w:r>
            <w:r>
              <w:t xml:space="preserve"> </w:t>
            </w:r>
            <w:hyperlink r:id="rId280">
              <w:r>
                <w:rPr>
                  <w:rStyle w:val="Referenciaatema"/>
                </w:rPr>
                <w:t xml:space="preserve">3.A.17</w:t>
              </w:r>
            </w:hyperlink>
            <w:r>
              <w:t xml:space="preserve">,</w:t>
            </w:r>
            <w:r>
              <w:t xml:space="preserve"> </w:t>
            </w:r>
            <w:hyperlink r:id="rId87">
              <w:r>
                <w:rPr>
                  <w:rStyle w:val="Referenciaatema"/>
                </w:rPr>
                <w:t xml:space="preserve">3.A.25</w:t>
              </w:r>
            </w:hyperlink>
            <w:r>
              <w:t xml:space="preserve">,</w:t>
            </w:r>
            <w:r>
              <w:t xml:space="preserve"> </w:t>
            </w:r>
            <w:hyperlink r:id="rId99">
              <w:r>
                <w:rPr>
                  <w:rStyle w:val="Referenciaatema"/>
                </w:rPr>
                <w:t xml:space="preserve">3.A.26</w:t>
              </w:r>
            </w:hyperlink>
            <w:r>
              <w:t xml:space="preserve">,</w:t>
            </w:r>
            <w:r>
              <w:t xml:space="preserve"> </w:t>
            </w:r>
            <w:hyperlink r:id="rId93">
              <w:r>
                <w:rPr>
                  <w:rStyle w:val="Referenciaatema"/>
                </w:rPr>
                <w:t xml:space="preserve">3.A.27</w:t>
              </w:r>
            </w:hyperlink>
            <w:r>
              <w:t xml:space="preserve">,</w:t>
            </w:r>
            <w:r>
              <w:t xml:space="preserve"> </w:t>
            </w:r>
            <w:hyperlink r:id="rId37">
              <w:r>
                <w:rPr>
                  <w:rStyle w:val="Referenciaatema"/>
                </w:rPr>
                <w:t xml:space="preserve">3.A.28</w:t>
              </w:r>
            </w:hyperlink>
            <w:r>
              <w:t xml:space="preserve">,</w:t>
            </w:r>
            <w:r>
              <w:t xml:space="preserve"> </w:t>
            </w:r>
            <w:hyperlink r:id="rId317">
              <w:r>
                <w:rPr>
                  <w:rStyle w:val="Referenciaatema"/>
                </w:rPr>
                <w:t xml:space="preserve">3.B.18</w:t>
              </w:r>
            </w:hyperlink>
            <w:r>
              <w:t xml:space="preserve">,</w:t>
            </w:r>
            <w:r>
              <w:t xml:space="preserve"> </w:t>
            </w:r>
            <w:hyperlink r:id="rId318">
              <w:r>
                <w:rPr>
                  <w:rStyle w:val="Referenciaatema"/>
                </w:rPr>
                <w:t xml:space="preserve">3.B.23</w:t>
              </w:r>
            </w:hyperlink>
            <w:r>
              <w:t xml:space="preserve">,</w:t>
            </w:r>
            <w:r>
              <w:t xml:space="preserve"> </w:t>
            </w:r>
            <w:hyperlink r:id="rId46">
              <w:r>
                <w:rPr>
                  <w:rStyle w:val="Referenciaatema"/>
                </w:rPr>
                <w:t xml:space="preserve">3.B.24</w:t>
              </w:r>
            </w:hyperlink>
            <w:r>
              <w:t xml:space="preserve">,</w:t>
            </w:r>
            <w:r>
              <w:t xml:space="preserve"> </w:t>
            </w:r>
            <w:hyperlink r:id="rId319">
              <w:r>
                <w:rPr>
                  <w:rStyle w:val="Referenciaatema"/>
                </w:rPr>
                <w:t xml:space="preserve">3.B.26</w:t>
              </w:r>
            </w:hyperlink>
            <w:r>
              <w:t xml:space="preserve">,</w:t>
            </w:r>
            <w:r>
              <w:t xml:space="preserve"> </w:t>
            </w:r>
            <w:hyperlink r:id="rId108">
              <w:r>
                <w:rPr>
                  <w:rStyle w:val="Referenciaatema"/>
                </w:rPr>
                <w:t xml:space="preserve">3.B.27</w:t>
              </w:r>
            </w:hyperlink>
            <w:r>
              <w:t xml:space="preserve">,</w:t>
            </w:r>
            <w:r>
              <w:t xml:space="preserve"> </w:t>
            </w:r>
            <w:hyperlink r:id="rId158">
              <w:r>
                <w:rPr>
                  <w:rStyle w:val="Referenciaatema"/>
                </w:rPr>
                <w:t xml:space="preserve">3.B.44</w:t>
              </w:r>
            </w:hyperlink>
          </w:p>
        </w:tc>
        <w:tc>
          <w:tcPr/>
          <w:p>
            <w:pPr>
              <w:pStyle w:val="Compact"/>
              <w:jc w:val="left"/>
            </w:pPr>
            <w:hyperlink r:id="rId279">
              <w:r>
                <w:rPr>
                  <w:rStyle w:val="Referenciaatema"/>
                </w:rPr>
                <w:t xml:space="preserve">4.A.2</w:t>
              </w:r>
            </w:hyperlink>
            <w:r>
              <w:t xml:space="preserve">,</w:t>
            </w:r>
            <w:r>
              <w:t xml:space="preserve"> </w:t>
            </w:r>
            <w:hyperlink r:id="rId63">
              <w:r>
                <w:rPr>
                  <w:rStyle w:val="Referenciaatema"/>
                </w:rPr>
                <w:t xml:space="preserve">4.A.11</w:t>
              </w:r>
            </w:hyperlink>
            <w:r>
              <w:t xml:space="preserve">,</w:t>
            </w:r>
            <w:r>
              <w:t xml:space="preserve"> </w:t>
            </w:r>
            <w:hyperlink r:id="rId88">
              <w:r>
                <w:rPr>
                  <w:rStyle w:val="Referenciaatema"/>
                </w:rPr>
                <w:t xml:space="preserve">4.A.16</w:t>
              </w:r>
            </w:hyperlink>
            <w:r>
              <w:t xml:space="preserve">,</w:t>
            </w:r>
            <w:r>
              <w:t xml:space="preserve"> </w:t>
            </w:r>
            <w:hyperlink r:id="rId218">
              <w:r>
                <w:rPr>
                  <w:rStyle w:val="Referenciaatema"/>
                </w:rPr>
                <w:t xml:space="preserve">4.A.18</w:t>
              </w:r>
            </w:hyperlink>
            <w:r>
              <w:t xml:space="preserve">,</w:t>
            </w:r>
            <w:r>
              <w:t xml:space="preserve"> </w:t>
            </w:r>
            <w:hyperlink r:id="rId109">
              <w:r>
                <w:rPr>
                  <w:rStyle w:val="Referenciaatema"/>
                </w:rPr>
                <w:t xml:space="preserve">4.A.19</w:t>
              </w:r>
            </w:hyperlink>
            <w:r>
              <w:t xml:space="preserve">,</w:t>
            </w:r>
            <w:r>
              <w:t xml:space="preserve"> </w:t>
            </w:r>
            <w:hyperlink r:id="rId320">
              <w:r>
                <w:rPr>
                  <w:rStyle w:val="Referenciaatema"/>
                </w:rPr>
                <w:t xml:space="preserve">4.A.20</w:t>
              </w:r>
            </w:hyperlink>
          </w:p>
        </w:tc>
      </w:tr>
      <w:tr>
        <w:trPr>
          <w:cantSplit/>
        </w:trPr>
        <w:tc>
          <w:tcPr/>
          <w:p>
            <w:pPr>
              <w:pStyle w:val="Compact"/>
              <w:jc w:val="left"/>
            </w:pPr>
            <w:r>
              <w:t xml:space="preserve">Competitividad</w:t>
            </w:r>
          </w:p>
        </w:tc>
        <w:tc>
          <w:tcPr/>
          <w:p>
            <w:pPr>
              <w:pStyle w:val="Compact"/>
              <w:jc w:val="left"/>
            </w:pPr>
            <w:hyperlink r:id="rId114">
              <w:r>
                <w:rPr>
                  <w:rStyle w:val="Referenciaatema"/>
                </w:rPr>
                <w:t xml:space="preserve">3.A.9</w:t>
              </w:r>
            </w:hyperlink>
            <w:r>
              <w:t xml:space="preserve">,</w:t>
            </w:r>
            <w:r>
              <w:t xml:space="preserve"> </w:t>
            </w:r>
            <w:hyperlink r:id="rId118">
              <w:r>
                <w:rPr>
                  <w:rStyle w:val="Referenciaatema"/>
                </w:rPr>
                <w:t xml:space="preserve">3.A.41</w:t>
              </w:r>
            </w:hyperlink>
            <w:r>
              <w:t xml:space="preserve">,</w:t>
            </w:r>
            <w:r>
              <w:t xml:space="preserve"> </w:t>
            </w:r>
            <w:hyperlink r:id="rId138">
              <w:r>
                <w:rPr>
                  <w:rStyle w:val="Referenciaatema"/>
                </w:rPr>
                <w:t xml:space="preserve">3.B.5</w:t>
              </w:r>
            </w:hyperlink>
            <w:r>
              <w:t xml:space="preserve">,</w:t>
            </w:r>
            <w:r>
              <w:t xml:space="preserve"> </w:t>
            </w:r>
            <w:hyperlink r:id="rId130">
              <w:r>
                <w:rPr>
                  <w:rStyle w:val="Referenciaatema"/>
                </w:rPr>
                <w:t xml:space="preserve">3.B.6</w:t>
              </w:r>
            </w:hyperlink>
            <w:r>
              <w:t xml:space="preserve">,</w:t>
            </w:r>
            <w:r>
              <w:t xml:space="preserve"> </w:t>
            </w:r>
            <w:hyperlink r:id="rId282">
              <w:r>
                <w:rPr>
                  <w:rStyle w:val="Referenciaatema"/>
                </w:rPr>
                <w:t xml:space="preserve">3.B.7</w:t>
              </w:r>
            </w:hyperlink>
            <w:r>
              <w:t xml:space="preserve">,</w:t>
            </w:r>
            <w:r>
              <w:t xml:space="preserve"> </w:t>
            </w:r>
            <w:hyperlink r:id="rId125">
              <w:r>
                <w:rPr>
                  <w:rStyle w:val="Referenciaatema"/>
                </w:rPr>
                <w:t xml:space="preserve">3.B.12</w:t>
              </w:r>
            </w:hyperlink>
            <w:r>
              <w:t xml:space="preserve">,</w:t>
            </w:r>
            <w:r>
              <w:t xml:space="preserve"> </w:t>
            </w:r>
            <w:hyperlink r:id="rId123">
              <w:r>
                <w:rPr>
                  <w:rStyle w:val="Referenciaatema"/>
                </w:rPr>
                <w:t xml:space="preserve">3.B.13</w:t>
              </w:r>
            </w:hyperlink>
            <w:r>
              <w:t xml:space="preserve">,</w:t>
            </w:r>
            <w:r>
              <w:t xml:space="preserve"> </w:t>
            </w:r>
            <w:hyperlink r:id="rId321">
              <w:r>
                <w:rPr>
                  <w:rStyle w:val="Referenciaatema"/>
                </w:rPr>
                <w:t xml:space="preserve">3.B.14</w:t>
              </w:r>
            </w:hyperlink>
            <w:r>
              <w:t xml:space="preserve">,</w:t>
            </w:r>
            <w:r>
              <w:t xml:space="preserve"> </w:t>
            </w:r>
            <w:hyperlink r:id="rId127">
              <w:r>
                <w:rPr>
                  <w:rStyle w:val="Referenciaatema"/>
                </w:rPr>
                <w:t xml:space="preserve">3.B.15</w:t>
              </w:r>
            </w:hyperlink>
            <w:r>
              <w:t xml:space="preserve">,</w:t>
            </w:r>
            <w:r>
              <w:t xml:space="preserve"> </w:t>
            </w:r>
            <w:hyperlink r:id="rId283">
              <w:r>
                <w:rPr>
                  <w:rStyle w:val="Referenciaatema"/>
                </w:rPr>
                <w:t xml:space="preserve">3.B.33</w:t>
              </w:r>
            </w:hyperlink>
            <w:r>
              <w:t xml:space="preserve">,</w:t>
            </w:r>
            <w:r>
              <w:t xml:space="preserve"> </w:t>
            </w:r>
            <w:hyperlink r:id="rId284">
              <w:r>
                <w:rPr>
                  <w:rStyle w:val="Referenciaatema"/>
                </w:rPr>
                <w:t xml:space="preserve">3.B.41</w:t>
              </w:r>
            </w:hyperlink>
          </w:p>
        </w:tc>
        <w:tc>
          <w:tcPr/>
          <w:p>
            <w:pPr>
              <w:pStyle w:val="Compact"/>
              <w:jc w:val="left"/>
            </w:pPr>
            <w:hyperlink r:id="rId34">
              <w:r>
                <w:rPr>
                  <w:rStyle w:val="Referenciaatema"/>
                </w:rPr>
                <w:t xml:space="preserve">4.A.1</w:t>
              </w:r>
            </w:hyperlink>
            <w:r>
              <w:t xml:space="preserve">,</w:t>
            </w:r>
            <w:r>
              <w:t xml:space="preserve"> </w:t>
            </w:r>
            <w:hyperlink r:id="rId94">
              <w:r>
                <w:rPr>
                  <w:rStyle w:val="Referenciaatema"/>
                </w:rPr>
                <w:t xml:space="preserve">4.A.22</w:t>
              </w:r>
            </w:hyperlink>
            <w:r>
              <w:t xml:space="preserve">,</w:t>
            </w:r>
            <w:r>
              <w:t xml:space="preserve"> </w:t>
            </w:r>
            <w:hyperlink r:id="rId322">
              <w:r>
                <w:rPr>
                  <w:rStyle w:val="Referenciaatema"/>
                </w:rPr>
                <w:t xml:space="preserve">4.A.25</w:t>
              </w:r>
            </w:hyperlink>
          </w:p>
        </w:tc>
      </w:tr>
      <w:tr>
        <w:trPr>
          <w:cantSplit/>
        </w:trPr>
        <w:tc>
          <w:tcPr/>
          <w:p>
            <w:pPr>
              <w:pStyle w:val="Compact"/>
              <w:jc w:val="left"/>
            </w:pPr>
            <w:r>
              <w:t xml:space="preserve">Sector exterior</w:t>
            </w:r>
          </w:p>
        </w:tc>
        <w:tc>
          <w:tcPr/>
          <w:p>
            <w:pPr>
              <w:pStyle w:val="Compact"/>
              <w:jc w:val="left"/>
            </w:pPr>
            <w:hyperlink r:id="rId42">
              <w:r>
                <w:rPr>
                  <w:rStyle w:val="Referenciaatema"/>
                </w:rPr>
                <w:t xml:space="preserve">3.B.11</w:t>
              </w:r>
            </w:hyperlink>
            <w:r>
              <w:t xml:space="preserve">,</w:t>
            </w:r>
            <w:r>
              <w:t xml:space="preserve"> </w:t>
            </w:r>
            <w:hyperlink r:id="rId125">
              <w:r>
                <w:rPr>
                  <w:rStyle w:val="Referenciaatema"/>
                </w:rPr>
                <w:t xml:space="preserve">3.B.12</w:t>
              </w:r>
            </w:hyperlink>
            <w:r>
              <w:t xml:space="preserve">,</w:t>
            </w:r>
            <w:r>
              <w:t xml:space="preserve"> </w:t>
            </w:r>
            <w:hyperlink r:id="rId127">
              <w:r>
                <w:rPr>
                  <w:rStyle w:val="Referenciaatema"/>
                </w:rPr>
                <w:t xml:space="preserve">3.B.15</w:t>
              </w:r>
            </w:hyperlink>
            <w:r>
              <w:t xml:space="preserve">,</w:t>
            </w:r>
            <w:r>
              <w:t xml:space="preserve"> </w:t>
            </w:r>
            <w:hyperlink r:id="rId323">
              <w:r>
                <w:rPr>
                  <w:rStyle w:val="Referenciaatema"/>
                </w:rPr>
                <w:t xml:space="preserve">3.B.17</w:t>
              </w:r>
            </w:hyperlink>
            <w:r>
              <w:t xml:space="preserve">,</w:t>
            </w:r>
            <w:r>
              <w:t xml:space="preserve"> </w:t>
            </w:r>
            <w:hyperlink r:id="rId317">
              <w:r>
                <w:rPr>
                  <w:rStyle w:val="Referenciaatema"/>
                </w:rPr>
                <w:t xml:space="preserve">3.B.18</w:t>
              </w:r>
            </w:hyperlink>
            <w:r>
              <w:t xml:space="preserve">,</w:t>
            </w:r>
            <w:r>
              <w:t xml:space="preserve"> </w:t>
            </w:r>
            <w:hyperlink r:id="rId144">
              <w:r>
                <w:rPr>
                  <w:rStyle w:val="Referenciaatema"/>
                </w:rPr>
                <w:t xml:space="preserve">3.B.22</w:t>
              </w:r>
            </w:hyperlink>
            <w:r>
              <w:t xml:space="preserve">,</w:t>
            </w:r>
            <w:r>
              <w:t xml:space="preserve"> </w:t>
            </w:r>
            <w:hyperlink r:id="rId215">
              <w:r>
                <w:rPr>
                  <w:rStyle w:val="Referenciaatema"/>
                </w:rPr>
                <w:t xml:space="preserve">3.B.29</w:t>
              </w:r>
            </w:hyperlink>
            <w:r>
              <w:t xml:space="preserve">,</w:t>
            </w:r>
            <w:r>
              <w:t xml:space="preserve"> </w:t>
            </w:r>
            <w:hyperlink r:id="rId176">
              <w:r>
                <w:rPr>
                  <w:rStyle w:val="Referenciaatema"/>
                </w:rPr>
                <w:t xml:space="preserve">3.B.45</w:t>
              </w:r>
            </w:hyperlink>
          </w:p>
        </w:tc>
        <w:tc>
          <w:tcPr/>
          <w:p>
            <w:pPr>
              <w:pStyle w:val="Compact"/>
              <w:jc w:val="left"/>
            </w:pPr>
            <w:hyperlink r:id="rId43">
              <w:r>
                <w:rPr>
                  <w:rStyle w:val="Referenciaatema"/>
                </w:rPr>
                <w:t xml:space="preserve">4.A.21</w:t>
              </w:r>
            </w:hyperlink>
            <w:r>
              <w:t xml:space="preserve">,</w:t>
            </w:r>
            <w:r>
              <w:t xml:space="preserve"> </w:t>
            </w:r>
            <w:hyperlink r:id="rId94">
              <w:r>
                <w:rPr>
                  <w:rStyle w:val="Referenciaatema"/>
                </w:rPr>
                <w:t xml:space="preserve">4.A.22</w:t>
              </w:r>
            </w:hyperlink>
            <w:r>
              <w:t xml:space="preserve">,</w:t>
            </w:r>
            <w:r>
              <w:t xml:space="preserve"> </w:t>
            </w:r>
            <w:hyperlink r:id="rId324">
              <w:r>
                <w:rPr>
                  <w:rStyle w:val="Referenciaatema"/>
                </w:rPr>
                <w:t xml:space="preserve">4.A.23</w:t>
              </w:r>
            </w:hyperlink>
            <w:r>
              <w:t xml:space="preserve">,</w:t>
            </w:r>
            <w:r>
              <w:t xml:space="preserve"> </w:t>
            </w:r>
            <w:hyperlink r:id="rId49">
              <w:r>
                <w:rPr>
                  <w:rStyle w:val="Referenciaatema"/>
                </w:rPr>
                <w:t xml:space="preserve">4.A.29</w:t>
              </w:r>
            </w:hyperlink>
          </w:p>
        </w:tc>
      </w:tr>
      <w:tr>
        <w:trPr>
          <w:cantSplit/>
        </w:trPr>
        <w:tc>
          <w:tcPr/>
          <w:p>
            <w:pPr>
              <w:pStyle w:val="Compact"/>
              <w:jc w:val="left"/>
            </w:pPr>
            <w:r>
              <w:t xml:space="preserve">Políticas</w:t>
            </w:r>
          </w:p>
        </w:tc>
        <w:tc>
          <w:tcPr/>
          <w:p>
            <w:pPr>
              <w:pStyle w:val="Compact"/>
              <w:jc w:val="left"/>
            </w:pPr>
            <w:hyperlink r:id="rId141">
              <w:r>
                <w:rPr>
                  <w:rStyle w:val="Referenciaatema"/>
                </w:rPr>
                <w:t xml:space="preserve">3.A.32</w:t>
              </w:r>
            </w:hyperlink>
            <w:r>
              <w:t xml:space="preserve">,</w:t>
            </w:r>
            <w:r>
              <w:t xml:space="preserve"> </w:t>
            </w:r>
            <w:hyperlink r:id="rId325">
              <w:r>
                <w:rPr>
                  <w:rStyle w:val="Referenciaatema"/>
                </w:rPr>
                <w:t xml:space="preserve">3.A.35</w:t>
              </w:r>
            </w:hyperlink>
            <w:r>
              <w:t xml:space="preserve">,</w:t>
            </w:r>
            <w:r>
              <w:t xml:space="preserve"> </w:t>
            </w:r>
            <w:hyperlink r:id="rId120">
              <w:r>
                <w:rPr>
                  <w:rStyle w:val="Referenciaatema"/>
                </w:rPr>
                <w:t xml:space="preserve">3.A.36</w:t>
              </w:r>
            </w:hyperlink>
            <w:r>
              <w:t xml:space="preserve">,</w:t>
            </w:r>
            <w:r>
              <w:t xml:space="preserve"> </w:t>
            </w:r>
            <w:hyperlink r:id="rId152">
              <w:r>
                <w:rPr>
                  <w:rStyle w:val="Referenciaatema"/>
                </w:rPr>
                <w:t xml:space="preserve">3.A.37</w:t>
              </w:r>
            </w:hyperlink>
            <w:r>
              <w:t xml:space="preserve">,</w:t>
            </w:r>
            <w:r>
              <w:t xml:space="preserve"> </w:t>
            </w:r>
            <w:hyperlink r:id="rId172">
              <w:r>
                <w:rPr>
                  <w:rStyle w:val="Referenciaatema"/>
                </w:rPr>
                <w:t xml:space="preserve">3.A.38</w:t>
              </w:r>
            </w:hyperlink>
            <w:r>
              <w:t xml:space="preserve">,</w:t>
            </w:r>
            <w:r>
              <w:t xml:space="preserve"> </w:t>
            </w:r>
            <w:hyperlink r:id="rId59">
              <w:r>
                <w:rPr>
                  <w:rStyle w:val="Referenciaatema"/>
                </w:rPr>
                <w:t xml:space="preserve">3.A.39</w:t>
              </w:r>
            </w:hyperlink>
            <w:r>
              <w:t xml:space="preserve">,</w:t>
            </w:r>
            <w:r>
              <w:t xml:space="preserve"> </w:t>
            </w:r>
            <w:hyperlink r:id="rId188">
              <w:r>
                <w:rPr>
                  <w:rStyle w:val="Referenciaatema"/>
                </w:rPr>
                <w:t xml:space="preserve">3.A.40</w:t>
              </w:r>
            </w:hyperlink>
            <w:r>
              <w:t xml:space="preserve">,</w:t>
            </w:r>
            <w:r>
              <w:t xml:space="preserve"> </w:t>
            </w:r>
            <w:hyperlink r:id="rId118">
              <w:r>
                <w:rPr>
                  <w:rStyle w:val="Referenciaatema"/>
                </w:rPr>
                <w:t xml:space="preserve">3.A.41</w:t>
              </w:r>
            </w:hyperlink>
            <w:r>
              <w:t xml:space="preserve">,</w:t>
            </w:r>
            <w:r>
              <w:t xml:space="preserve"> </w:t>
            </w:r>
            <w:hyperlink r:id="rId326">
              <w:r>
                <w:rPr>
                  <w:rStyle w:val="Referenciaatema"/>
                </w:rPr>
                <w:t xml:space="preserve">3.B.19</w:t>
              </w:r>
            </w:hyperlink>
            <w:r>
              <w:t xml:space="preserve">,</w:t>
            </w:r>
            <w:r>
              <w:t xml:space="preserve"> </w:t>
            </w:r>
            <w:hyperlink r:id="rId327">
              <w:r>
                <w:rPr>
                  <w:rStyle w:val="Referenciaatema"/>
                </w:rPr>
                <w:t xml:space="preserve">3.B.43</w:t>
              </w:r>
            </w:hyperlink>
            <w:r>
              <w:t xml:space="preserve">,</w:t>
            </w:r>
            <w:r>
              <w:t xml:space="preserve"> </w:t>
            </w:r>
            <w:hyperlink r:id="rId176">
              <w:r>
                <w:rPr>
                  <w:rStyle w:val="Referenciaatema"/>
                </w:rPr>
                <w:t xml:space="preserve">3.B.45</w:t>
              </w:r>
            </w:hyperlink>
          </w:p>
        </w:tc>
        <w:tc>
          <w:tcPr/>
          <w:p>
            <w:pPr>
              <w:pStyle w:val="Compact"/>
              <w:jc w:val="left"/>
            </w:pPr>
            <w:hyperlink r:id="rId328">
              <w:r>
                <w:rPr>
                  <w:rStyle w:val="Referenciaatema"/>
                </w:rPr>
                <w:t xml:space="preserve">4.A.15</w:t>
              </w:r>
            </w:hyperlink>
            <w:r>
              <w:t xml:space="preserve">,</w:t>
            </w:r>
            <w:r>
              <w:t xml:space="preserve"> </w:t>
            </w:r>
            <w:hyperlink r:id="rId88">
              <w:r>
                <w:rPr>
                  <w:rStyle w:val="Referenciaatema"/>
                </w:rPr>
                <w:t xml:space="preserve">4.A.16</w:t>
              </w:r>
            </w:hyperlink>
            <w:r>
              <w:t xml:space="preserve">,</w:t>
            </w:r>
            <w:r>
              <w:t xml:space="preserve"> </w:t>
            </w:r>
            <w:hyperlink r:id="rId216">
              <w:r>
                <w:rPr>
                  <w:rStyle w:val="Referenciaatema"/>
                </w:rPr>
                <w:t xml:space="preserve">4.B.1</w:t>
              </w:r>
            </w:hyperlink>
            <w:r>
              <w:t xml:space="preserve">,</w:t>
            </w:r>
            <w:r>
              <w:t xml:space="preserve"> </w:t>
            </w:r>
            <w:hyperlink r:id="rId38">
              <w:r>
                <w:rPr>
                  <w:rStyle w:val="Referenciaatema"/>
                </w:rPr>
                <w:t xml:space="preserve">4.B.4</w:t>
              </w:r>
            </w:hyperlink>
            <w:r>
              <w:t xml:space="preserve">,</w:t>
            </w:r>
            <w:r>
              <w:t xml:space="preserve"> </w:t>
            </w:r>
            <w:hyperlink r:id="rId183">
              <w:r>
                <w:rPr>
                  <w:rStyle w:val="Referenciaatema"/>
                </w:rPr>
                <w:t xml:space="preserve">4.B.5</w:t>
              </w:r>
            </w:hyperlink>
            <w:r>
              <w:t xml:space="preserve">,</w:t>
            </w:r>
            <w:r>
              <w:t xml:space="preserve"> </w:t>
            </w:r>
            <w:hyperlink r:id="rId184">
              <w:r>
                <w:rPr>
                  <w:rStyle w:val="Referenciaatema"/>
                </w:rPr>
                <w:t xml:space="preserve">4.B.7</w:t>
              </w:r>
            </w:hyperlink>
            <w:r>
              <w:t xml:space="preserve">,</w:t>
            </w:r>
            <w:r>
              <w:t xml:space="preserve"> </w:t>
            </w:r>
            <w:hyperlink r:id="rId292">
              <w:r>
                <w:rPr>
                  <w:rStyle w:val="Referenciaatema"/>
                </w:rPr>
                <w:t xml:space="preserve">4.B.21</w:t>
              </w:r>
            </w:hyperlink>
            <w:r>
              <w:t xml:space="preserve">,</w:t>
            </w:r>
            <w:r>
              <w:t xml:space="preserve"> </w:t>
            </w:r>
            <w:hyperlink r:id="rId329">
              <w:r>
                <w:rPr>
                  <w:rStyle w:val="Referenciaatema"/>
                </w:rPr>
                <w:t xml:space="preserve">4.B.23</w:t>
              </w:r>
            </w:hyperlink>
            <w:r>
              <w:t xml:space="preserve">,</w:t>
            </w:r>
            <w:r>
              <w:t xml:space="preserve"> </w:t>
            </w:r>
            <w:hyperlink r:id="rId179">
              <w:r>
                <w:rPr>
                  <w:rStyle w:val="Referenciaatema"/>
                </w:rPr>
                <w:t xml:space="preserve">4.B.26</w:t>
              </w:r>
            </w:hyperlink>
          </w:p>
        </w:tc>
      </w:tr>
      <w:tr>
        <w:trPr>
          <w:cantSplit/>
        </w:trPr>
        <w:tc>
          <w:tcPr/>
          <w:p>
            <w:pPr>
              <w:pStyle w:val="Compact"/>
              <w:jc w:val="left"/>
            </w:pPr>
            <w:r>
              <w:t xml:space="preserve">Recomendaciones</w:t>
            </w:r>
          </w:p>
        </w:tc>
        <w:tc>
          <w:tcPr/>
          <w:p>
            <w:pPr>
              <w:pStyle w:val="Compact"/>
              <w:jc w:val="left"/>
            </w:pPr>
            <w:hyperlink r:id="rId330">
              <w:r>
                <w:rPr>
                  <w:rStyle w:val="Referenciaatema"/>
                </w:rPr>
                <w:t xml:space="preserve">3.A.15</w:t>
              </w:r>
            </w:hyperlink>
            <w:r>
              <w:t xml:space="preserve">,</w:t>
            </w:r>
            <w:r>
              <w:t xml:space="preserve"> </w:t>
            </w:r>
            <w:hyperlink r:id="rId331">
              <w:r>
                <w:rPr>
                  <w:rStyle w:val="Referenciaatema"/>
                </w:rPr>
                <w:t xml:space="preserve">3.A.20</w:t>
              </w:r>
            </w:hyperlink>
            <w:r>
              <w:t xml:space="preserve">,</w:t>
            </w:r>
            <w:r>
              <w:t xml:space="preserve"> </w:t>
            </w:r>
            <w:hyperlink r:id="rId332">
              <w:r>
                <w:rPr>
                  <w:rStyle w:val="Referenciaatema"/>
                </w:rPr>
                <w:t xml:space="preserve">3.A.23</w:t>
              </w:r>
            </w:hyperlink>
            <w:r>
              <w:t xml:space="preserve">,</w:t>
            </w:r>
            <w:r>
              <w:t xml:space="preserve"> </w:t>
            </w:r>
            <w:hyperlink r:id="rId144">
              <w:r>
                <w:rPr>
                  <w:rStyle w:val="Referenciaatema"/>
                </w:rPr>
                <w:t xml:space="preserve">3.B.22</w:t>
              </w:r>
            </w:hyperlink>
          </w:p>
        </w:tc>
        <w:tc>
          <w:tcPr/>
          <w:p>
            <w:pPr>
              <w:pStyle w:val="Compact"/>
              <w:jc w:val="left"/>
            </w:pPr>
            <w:hyperlink r:id="rId333">
              <w:r>
                <w:rPr>
                  <w:rStyle w:val="Referenciaatema"/>
                </w:rPr>
                <w:t xml:space="preserve">4.A.7</w:t>
              </w:r>
            </w:hyperlink>
            <w:r>
              <w:t xml:space="preserve">,</w:t>
            </w:r>
            <w:r>
              <w:t xml:space="preserve"> </w:t>
            </w:r>
            <w:hyperlink r:id="rId328">
              <w:r>
                <w:rPr>
                  <w:rStyle w:val="Referenciaatema"/>
                </w:rPr>
                <w:t xml:space="preserve">4.A.15</w:t>
              </w:r>
            </w:hyperlink>
            <w:r>
              <w:t xml:space="preserve">,</w:t>
            </w:r>
            <w:r>
              <w:t xml:space="preserve"> </w:t>
            </w:r>
            <w:hyperlink r:id="rId88">
              <w:r>
                <w:rPr>
                  <w:rStyle w:val="Referenciaatema"/>
                </w:rPr>
                <w:t xml:space="preserve">4.A.16</w:t>
              </w:r>
            </w:hyperlink>
            <w:r>
              <w:t xml:space="preserve">,</w:t>
            </w:r>
            <w:r>
              <w:t xml:space="preserve"> </w:t>
            </w:r>
            <w:hyperlink r:id="rId334">
              <w:r>
                <w:rPr>
                  <w:rStyle w:val="Referenciaatema"/>
                </w:rPr>
                <w:t xml:space="preserve">4.A.24</w:t>
              </w:r>
            </w:hyperlink>
            <w:r>
              <w:t xml:space="preserve">,</w:t>
            </w:r>
            <w:r>
              <w:t xml:space="preserve"> </w:t>
            </w:r>
            <w:hyperlink r:id="rId322">
              <w:r>
                <w:rPr>
                  <w:rStyle w:val="Referenciaatema"/>
                </w:rPr>
                <w:t xml:space="preserve">4.A.25</w:t>
              </w:r>
            </w:hyperlink>
          </w:p>
        </w:tc>
      </w:tr>
      <w:tr>
        <w:trPr>
          <w:cantSplit/>
        </w:trPr>
        <w:tc>
          <w:tcPr/>
          <w:p>
            <w:pPr>
              <w:pStyle w:val="Compact"/>
              <w:jc w:val="left"/>
            </w:pPr>
            <w:r>
              <w:t xml:space="preserve">Hechos estilizados y series</w:t>
            </w:r>
          </w:p>
        </w:tc>
        <w:tc>
          <w:tcPr/>
          <w:p>
            <w:pPr>
              <w:pStyle w:val="Compact"/>
              <w:jc w:val="left"/>
            </w:pPr>
            <w:hyperlink r:id="rId21">
              <w:r>
                <w:rPr>
                  <w:rStyle w:val="Referenciaatema"/>
                </w:rPr>
                <w:t xml:space="preserve">3.A.42</w:t>
              </w:r>
            </w:hyperlink>
            <w:r>
              <w:t xml:space="preserve">,</w:t>
            </w:r>
            <w:r>
              <w:t xml:space="preserve"> </w:t>
            </w:r>
            <w:hyperlink r:id="rId202">
              <w:r>
                <w:rPr>
                  <w:rStyle w:val="Referenciaatema"/>
                </w:rPr>
                <w:t xml:space="preserve">5.B.5</w:t>
              </w:r>
            </w:hyperlink>
          </w:p>
        </w:tc>
        <w:tc>
          <w:tcPr/>
          <w:p>
            <w:pPr>
              <w:pStyle w:val="Compact"/>
              <w:jc w:val="left"/>
            </w:pPr>
            <w:hyperlink r:id="rId34">
              <w:r>
                <w:rPr>
                  <w:rStyle w:val="Referenciaatema"/>
                </w:rPr>
                <w:t xml:space="preserve">4.A.1</w:t>
              </w:r>
            </w:hyperlink>
          </w:p>
        </w:tc>
      </w:tr>
    </w:tbl>
    <w:bookmarkEnd w:id="335"/>
    <w:p>
      <w:pPr>
        <w:pStyle w:val="BodyText"/>
      </w:pPr>
      <w:r>
        <w:rPr>
          <w:i/>
          <w:iCs/>
        </w:rPr>
        <w:t xml:space="preserve">Fuente: Elaboración propia a partir de los títulos del temario vigente.</w:t>
      </w:r>
    </w:p>
    <w:bookmarkEnd w:id="336"/>
    <w:bookmarkStart w:id="344" w:name="anexo_expresiones"/>
    <w:p>
      <w:pPr>
        <w:pStyle w:val="Heading1"/>
      </w:pPr>
      <w:r>
        <w:t xml:space="preserve">K. Expresiones útiles para redactar</w:t>
      </w:r>
    </w:p>
    <w:p>
      <w:pPr>
        <w:numPr>
          <w:ilvl w:val="0"/>
          <w:numId w:val="1200"/>
        </w:numPr>
      </w:pPr>
      <w:r>
        <w:t xml:space="preserve">Plantillas para no quedarse en blanco; los puntos suspensivos se rellenan con los datos del cuadro. Ninguna sustituye al análisis. Los párrafos modelo más largos, por indicador, están en los cuadros</w:t>
      </w:r>
      <w:r>
        <w:t xml:space="preserve"> </w:t>
      </w:r>
      <w:r>
        <w:rPr>
          <w:i/>
          <w:iCs/>
        </w:rPr>
        <w:t xml:space="preserve">Ejemplo de redacción</w:t>
      </w:r>
      <w:r>
        <w:t xml:space="preserve"> </w:t>
      </w:r>
      <w:r>
        <w:t xml:space="preserve">de cada capítulo.</w:t>
      </w:r>
    </w:p>
    <w:p>
      <w:pPr>
        <w:keepNext/>
        <w:numPr>
          <w:ilvl w:val="0"/>
          <w:numId w:val="1200"/>
        </w:numPr>
      </w:pPr>
      <w:r>
        <w:rPr>
          <w:i/>
          <w:iCs/>
        </w:rPr>
        <w:t xml:space="preserve">Diagnóstico</w:t>
      </w:r>
      <w:r>
        <w:t xml:space="preserve">:</w:t>
      </w:r>
    </w:p>
    <w:p>
      <w:pPr>
        <w:numPr>
          <w:ilvl w:val="1"/>
          <w:numId w:val="1201"/>
        </w:numPr>
      </w:pPr>
      <w:r>
        <w:t xml:space="preserve">«La economía muestra un crecimiento sólido pero desequilibrado, apoyado en la demanda interna y con una necesidad de financiación exterior creciente».</w:t>
      </w:r>
    </w:p>
    <w:p>
      <w:pPr>
        <w:numPr>
          <w:ilvl w:val="1"/>
          <w:numId w:val="1201"/>
        </w:numPr>
      </w:pPr>
      <w:r>
        <w:t xml:space="preserve">«Parece tratarse de una economía avanzada en recuperación, con la brecha de producción aún negativa, la inflación contenida y un margen fiscal reducido».</w:t>
      </w:r>
    </w:p>
    <w:p>
      <w:pPr>
        <w:keepNext/>
        <w:numPr>
          <w:ilvl w:val="0"/>
          <w:numId w:val="1200"/>
        </w:numPr>
      </w:pPr>
      <w:r>
        <w:rPr>
          <w:i/>
          <w:iCs/>
        </w:rPr>
        <w:t xml:space="preserve">Ciclo</w:t>
      </w:r>
      <w:r>
        <w:t xml:space="preserve">:</w:t>
      </w:r>
    </w:p>
    <w:p>
      <w:pPr>
        <w:numPr>
          <w:ilvl w:val="1"/>
          <w:numId w:val="1202"/>
        </w:numPr>
      </w:pPr>
      <w:r>
        <w:t xml:space="preserve">«El cuadro recoge más de un ciclo: …».</w:t>
      </w:r>
    </w:p>
    <w:p>
      <w:pPr>
        <w:numPr>
          <w:ilvl w:val="1"/>
          <w:numId w:val="1202"/>
        </w:numPr>
      </w:pPr>
      <w:r>
        <w:t xml:space="preserve">«La brecha de producción se cierra en … y se abre de nuevo en …» (la brecha</w:t>
      </w:r>
      <w:r>
        <w:t xml:space="preserve"> </w:t>
      </w:r>
      <w:r>
        <w:rPr>
          <w:i/>
          <w:iCs/>
        </w:rPr>
        <w:t xml:space="preserve">se cierra</w:t>
      </w:r>
      <w:r>
        <w:t xml:space="preserve"> </w:t>
      </w:r>
      <w:r>
        <w:t xml:space="preserve">o</w:t>
      </w:r>
      <w:r>
        <w:t xml:space="preserve"> </w:t>
      </w:r>
      <w:r>
        <w:rPr>
          <w:i/>
          <w:iCs/>
        </w:rPr>
        <w:t xml:space="preserve">se abre</w:t>
      </w:r>
      <w:r>
        <w:t xml:space="preserve">; el PIB</w:t>
      </w:r>
      <w:r>
        <w:t xml:space="preserve"> </w:t>
      </w:r>
      <w:r>
        <w:rPr>
          <w:i/>
          <w:iCs/>
        </w:rPr>
        <w:t xml:space="preserve">se acelera</w:t>
      </w:r>
      <w:r>
        <w:t xml:space="preserve"> </w:t>
      </w:r>
      <w:r>
        <w:t xml:space="preserve">o</w:t>
      </w:r>
      <w:r>
        <w:t xml:space="preserve"> </w:t>
      </w:r>
      <w:r>
        <w:rPr>
          <w:i/>
          <w:iCs/>
        </w:rPr>
        <w:t xml:space="preserve">se desacelera</w:t>
      </w:r>
      <w:r>
        <w:t xml:space="preserve">).</w:t>
      </w:r>
    </w:p>
    <w:p>
      <w:pPr>
        <w:numPr>
          <w:ilvl w:val="1"/>
          <w:numId w:val="1202"/>
        </w:numPr>
      </w:pPr>
      <w:r>
        <w:t xml:space="preserve">«la recuperación tiene forma de uve: …».</w:t>
      </w:r>
    </w:p>
    <w:p>
      <w:pPr>
        <w:keepNext/>
        <w:numPr>
          <w:ilvl w:val="0"/>
          <w:numId w:val="1200"/>
        </w:numPr>
      </w:pPr>
      <w:r>
        <w:rPr>
          <w:i/>
          <w:iCs/>
        </w:rPr>
        <w:t xml:space="preserve">Contribuciones</w:t>
      </w:r>
      <w:r>
        <w:t xml:space="preserve">:</w:t>
      </w:r>
    </w:p>
    <w:p>
      <w:pPr>
        <w:numPr>
          <w:ilvl w:val="1"/>
          <w:numId w:val="1203"/>
        </w:numPr>
      </w:pPr>
      <w:r>
        <w:t xml:space="preserve">«De los … puntos que crece el PIB, … los aporta la demanda interna y … la externa».</w:t>
      </w:r>
    </w:p>
    <w:p>
      <w:pPr>
        <w:numPr>
          <w:ilvl w:val="1"/>
          <w:numId w:val="1203"/>
        </w:numPr>
      </w:pPr>
      <w:r>
        <w:t xml:space="preserve">«La demanda externa amortigua la caída del PIB, más por el desplome de las importaciones que por el empuje de las exportaciones».</w:t>
      </w:r>
    </w:p>
    <w:p>
      <w:pPr>
        <w:numPr>
          <w:ilvl w:val="1"/>
          <w:numId w:val="1203"/>
        </w:numPr>
      </w:pPr>
      <w:r>
        <w:t xml:space="preserve">«La demanda interna es procíclica y la externa, contracíclica».</w:t>
      </w:r>
    </w:p>
    <w:p>
      <w:pPr>
        <w:numPr>
          <w:ilvl w:val="1"/>
          <w:numId w:val="1203"/>
        </w:numPr>
      </w:pPr>
      <w:r>
        <w:t xml:space="preserve">«La demanda interna es la protagonista absoluta durante toda la serie»; «la demanda externa muestra un comportamiento más errático e imprevisible que la nacional».</w:t>
      </w:r>
    </w:p>
    <w:p>
      <w:pPr>
        <w:numPr>
          <w:ilvl w:val="1"/>
          <w:numId w:val="1203"/>
        </w:numPr>
      </w:pPr>
      <w:r>
        <w:t xml:space="preserve">«Indaguemos en los componentes de la demanda interna (consumo e inversión, públicos y privados)».</w:t>
      </w:r>
    </w:p>
    <w:p>
      <w:pPr>
        <w:keepNext/>
        <w:numPr>
          <w:ilvl w:val="0"/>
          <w:numId w:val="1200"/>
        </w:numPr>
      </w:pPr>
      <w:r>
        <w:rPr>
          <w:i/>
          <w:iCs/>
        </w:rPr>
        <w:t xml:space="preserve">Prudencia</w:t>
      </w:r>
      <w:r>
        <w:t xml:space="preserve">:</w:t>
      </w:r>
    </w:p>
    <w:p>
      <w:pPr>
        <w:numPr>
          <w:ilvl w:val="1"/>
          <w:numId w:val="1204"/>
        </w:numPr>
      </w:pPr>
      <w:r>
        <w:t xml:space="preserve">«Con la información disponible, …»; «esta evolución sería coherente con …, aunque no puede descartarse …»; «a falta de datos sobre …, cabe suponer que …, lo que habría que confirmar».</w:t>
      </w:r>
    </w:p>
    <w:p>
      <w:pPr>
        <w:numPr>
          <w:ilvl w:val="1"/>
          <w:numId w:val="1204"/>
        </w:numPr>
      </w:pPr>
      <w:r>
        <w:t xml:space="preserve">«Aunque los agentes deciden con el tipo real, la fuerte subida del tipo nominal al final de la serie indica un endurecimiento de la política monetaria».</w:t>
      </w:r>
    </w:p>
    <w:p>
      <w:pPr>
        <w:numPr>
          <w:ilvl w:val="0"/>
          <w:numId w:val="1200"/>
        </w:numPr>
      </w:pPr>
      <w:r>
        <w:rPr>
          <w:i/>
          <w:iCs/>
        </w:rPr>
        <w:t xml:space="preserve">Interpretación</w:t>
      </w:r>
      <w:r>
        <w:t xml:space="preserve">: «más que …, lo que llama la atención es …»; «este dato es especialmente relevante porque …».</w:t>
      </w:r>
    </w:p>
    <w:p>
      <w:pPr>
        <w:keepNext/>
        <w:numPr>
          <w:ilvl w:val="0"/>
          <w:numId w:val="1200"/>
        </w:numPr>
      </w:pPr>
      <w:r>
        <w:rPr>
          <w:i/>
          <w:iCs/>
        </w:rPr>
        <w:t xml:space="preserve">Sector exterior</w:t>
      </w:r>
      <w:r>
        <w:t xml:space="preserve">:</w:t>
      </w:r>
    </w:p>
    <w:p>
      <w:pPr>
        <w:numPr>
          <w:ilvl w:val="1"/>
          <w:numId w:val="1205"/>
        </w:numPr>
      </w:pPr>
      <w:r>
        <w:t xml:space="preserve">«Los desequilibrios externos suelen ser síntoma de desequilibrios internos».</w:t>
      </w:r>
    </w:p>
    <w:p>
      <w:pPr>
        <w:numPr>
          <w:ilvl w:val="1"/>
          <w:numId w:val="1205"/>
        </w:numPr>
      </w:pPr>
      <w:r>
        <w:t xml:space="preserve">«El déficit exterior refleja un exceso de inversión sobre el ahorro, cuyo origen parece estar en el sector …».</w:t>
      </w:r>
    </w:p>
    <w:p>
      <w:pPr>
        <w:numPr>
          <w:ilvl w:val="1"/>
          <w:numId w:val="1205"/>
        </w:numPr>
      </w:pPr>
      <w:r>
        <w:t xml:space="preserve">«La mejora de la posición de inversión internacional, pese a la necesidad de financiación, se debería a efectos valoración y al crecimiento del PIB nominal».</w:t>
      </w:r>
    </w:p>
    <w:p>
      <w:pPr>
        <w:keepNext/>
        <w:numPr>
          <w:ilvl w:val="0"/>
          <w:numId w:val="1200"/>
        </w:numPr>
      </w:pPr>
      <w:r>
        <w:rPr>
          <w:i/>
          <w:iCs/>
        </w:rPr>
        <w:t xml:space="preserve">Políticas</w:t>
      </w:r>
      <w:r>
        <w:t xml:space="preserve">:</w:t>
      </w:r>
    </w:p>
    <w:p>
      <w:pPr>
        <w:numPr>
          <w:ilvl w:val="1"/>
          <w:numId w:val="1206"/>
        </w:numPr>
      </w:pPr>
      <w:r>
        <w:t xml:space="preserve">«El tono de la política fiscal, medido por la variación del saldo estructural primario, habría sido expansivo en …».</w:t>
      </w:r>
    </w:p>
    <w:p>
      <w:pPr>
        <w:numPr>
          <w:ilvl w:val="1"/>
          <w:numId w:val="1206"/>
        </w:numPr>
      </w:pPr>
      <w:r>
        <w:t xml:space="preserve">«Aunque el tipo nominal sube, el tipo real sigue siendo negativo: la política monetaria seguiría siendo acomodaticia».</w:t>
      </w:r>
    </w:p>
    <w:p>
      <w:pPr>
        <w:numPr>
          <w:ilvl w:val="0"/>
          <w:numId w:val="1200"/>
        </w:numPr>
      </w:pPr>
      <w:r>
        <w:rPr>
          <w:i/>
          <w:iCs/>
        </w:rPr>
        <w:t xml:space="preserve">Recomendaciones</w:t>
      </w:r>
      <w:r>
        <w:t xml:space="preserve">: «parece necesaria una consolidación fiscal, pero gradual, para no lastrar la recuperación»; «a corto plazo …; a medio y largo plazo …».</w:t>
      </w:r>
    </w:p>
    <w:p>
      <w:pPr>
        <w:numPr>
          <w:ilvl w:val="0"/>
          <w:numId w:val="1200"/>
        </w:numPr>
      </w:pPr>
      <w:r>
        <w:rPr>
          <w:i/>
          <w:iCs/>
        </w:rPr>
        <w:t xml:space="preserve">Cierre</w:t>
      </w:r>
      <w:r>
        <w:t xml:space="preserve">: «en conclusión, la economía afronta … retos; cómo los aborde determinará su crecimiento en los próximos años».</w:t>
      </w:r>
    </w:p>
    <w:bookmarkStart w:id="343" w:name="anexo_parrafos"/>
    <w:p>
      <w:pPr>
        <w:pStyle w:val="Heading2"/>
      </w:pPr>
      <w:r>
        <w:t xml:space="preserve">K.1. Párrafos modelo por bloque</w:t>
      </w:r>
    </w:p>
    <w:p>
      <w:pPr>
        <w:numPr>
          <w:ilvl w:val="0"/>
          <w:numId w:val="1207"/>
        </w:numPr>
      </w:pPr>
      <w:r>
        <w:t xml:space="preserve">Ejemplos de redacción de la guía anterior que completan los de cada capítulo, en el orden de la guía y con años y cifras genéricos (20xx).</w:t>
      </w:r>
    </w:p>
    <w:bookmarkStart w:id="337" w:name="perfil_c__clico"/>
    <w:p>
      <w:pPr>
        <w:pStyle w:val="Heading4"/>
      </w:pPr>
      <w:r>
        <w:t xml:space="preserve">Perfil cíclico</w:t>
      </w:r>
    </w:p>
    <w:p>
      <w:pPr>
        <w:pStyle w:val="Cajadeanotaciones"/>
        <w:keepNext/>
        <w:keepLines/>
      </w:pPr>
      <w:r>
        <w:rPr>
          <w:b/>
          <w:bCs/>
        </w:rPr>
        <w:t xml:space="preserve">Ejemplo de redacción: la frase ejecutiva del FMI sobre España (consulta del artículo IV de 2022, publicada en 2023).</w:t>
      </w:r>
      <w:r>
        <w:t xml:space="preserve"> </w:t>
      </w:r>
      <w:r>
        <w:t xml:space="preserve">«Dos años después de la pandemia, la economía española se enfrenta a nuevos obstáculos debido a la invasión de Ucrania por parte de Rusia. La actividad económica ha sido resistente hasta ahora, apoyada por un fuerte rebote del turismo y de otros servicios, así como por medidas de apoyo oportunas. Sin embargo, los precios elevados de la energía y los alimentos a nivel global, la menor demanda de los socios comerciales, la disminución de la confianza de los consumidores y empresas, y el aumento de los tipos de interés han ralentizado la recuperación de la producción. Se proyecta que el crecimiento se moderará hasta el 1,1 % en 2023. Los riesgos para las perspectivas incluyen condiciones financieras más ajustadas de lo esperado, una demanda global más débil y mayores aumentos en los precios de la energía europeos»</w:t>
      </w:r>
      <w:r>
        <w:t xml:space="preserve"> </w:t>
      </w:r>
      <w:r>
        <w:t xml:space="preserve">(</w:t>
      </w:r>
      <w:hyperlink w:anchor="ref_FMI2023ArticuloIV2022">
        <w:r>
          <w:rPr>
            <w:rStyle w:val="Hyperlink"/>
            <w:smallCaps/>
          </w:rPr>
          <w:t xml:space="preserve">Fondo Monetario Internacional</w:t>
        </w:r>
        <w:r>
          <w:rPr>
            <w:rStyle w:val="Hyperlink"/>
          </w:rPr>
          <w:t xml:space="preserve">, 2023b</w:t>
        </w:r>
      </w:hyperlink>
      <w:r>
        <w:t xml:space="preserve">)</w:t>
      </w:r>
      <w:r>
        <w:t xml:space="preserve"> </w:t>
      </w:r>
      <w:r>
        <w:t xml:space="preserve">(traducción propia).</w:t>
      </w:r>
    </w:p>
    <w:p>
      <w:pPr>
        <w:pStyle w:val="Cajadeanotaciones"/>
        <w:keepNext/>
        <w:keepLines/>
      </w:pPr>
      <w:r>
        <w:rPr>
          <w:b/>
          <w:bCs/>
        </w:rPr>
        <w:t xml:space="preserve">Ejemplo de redacción: un sector dominante y el tejido productivo.</w:t>
      </w:r>
      <w:r>
        <w:t xml:space="preserve"> </w:t>
      </w:r>
      <w:r>
        <w:t xml:space="preserve">«Según el cuadro, esta economía depende mucho del turismo: en 20xx, el xx,x % del PIB tiene su origen en este sector, frente a una media de la UE mucho menor. Eso la hace más vulnerable a una pandemia, porque el turismo es intensivo en interacción social y depende de la movilidad de las personas. Además, el sector concentra más empleo joven, temporal, poco formado y con salarios bajos, lo que aumenta la probabilidad de un impacto desigual de la crisis. Su vulnerabilidad se aprecia en las caídas del VAB de sus ramas: en 20xx la producción cayó a 2 dígitos en la hostelería y el ocio, mientras el sector primario apenas se redujo un x,x %.»</w:t>
      </w:r>
    </w:p>
    <w:p>
      <w:pPr>
        <w:pStyle w:val="Cajadeanotaciones"/>
        <w:keepLines/>
      </w:pPr>
      <w:r>
        <w:t xml:space="preserve">«En cuanto al tejido productivo, uno de los gráficos muestra una gran fragmentación frente a la media de la UE. La atomización empresarial puede hacer al país especialmente vulnerable a las crisis: las empresas pequeñas tienen más dificultades para adaptarse (venta en línea, teletrabajo), además de sus limitaciones habituales para innovar, formarse, internacionalizarse y financiarse, es decir, para impulsar los factores que elevan la productividad.»</w:t>
      </w:r>
    </w:p>
    <w:bookmarkEnd w:id="337"/>
    <w:bookmarkStart w:id="338" w:name="mercado_de_trabajo"/>
    <w:p>
      <w:pPr>
        <w:pStyle w:val="Heading4"/>
      </w:pPr>
      <w:r>
        <w:t xml:space="preserve">Mercado de trabajo</w:t>
      </w:r>
    </w:p>
    <w:p>
      <w:pPr>
        <w:pStyle w:val="Cajadeanotaciones"/>
        <w:keepNext/>
        <w:keepLines/>
      </w:pPr>
      <w:r>
        <w:rPr>
          <w:b/>
          <w:bCs/>
        </w:rPr>
        <w:t xml:space="preserve">Ejemplo de redacción: el BCE sobre el mercado de trabajo de la zona del euro (Informe Anual de 2022).</w:t>
      </w:r>
      <w:r>
        <w:t xml:space="preserve"> </w:t>
      </w:r>
      <w:r>
        <w:t xml:space="preserve">«El mercado de trabajo siguió recuperándose con fuerza de la pandemia en paralelo al repunte de la actividad económica de la zona del euro. En el cuarto trimestre de 2022, el empleo total y las horas totales trabajadas habían superado los niveles del cuarto trimestre de 2019 en un 2,3 % y un 0,6 %, respectivamente. La tasa de actividad del colectivo con edades comprendidas entre 15 y 74 años se elevó hasta el 65,2 % en el cuarto trimestre de 2022, 0,5 puntos porcentuales por encima de la registrada en el cuarto trimestre de 2019. En consonancia con el crecimiento del empleo, la tasa de paro continuó descendiendo, desde el 6,9 % en enero de 2022, un nivel ya históricamente bajo, hasta el 6,7 % al final del año. El recurso a los programas de mantenimiento del empleo, que habían limitado los despidos durante la crisis, se redujo, y gran parte de los trabajadores que se habían acogido a estos programas retomaron su jornada habitual. El mercado de trabajo de la zona del euro mantuvo su fortaleza, en general, en 2022, pese a la guerra de Rusia en Ucrania, como indicaban también las cifras persistentemente elevadas de vacantes de empleo hacia el final del año. Con todo, la evolución del mercado laboral y los indicadores de opinión de demanda de trabajo se moderaron en el segundo semestre del año»</w:t>
      </w:r>
      <w:r>
        <w:t xml:space="preserve"> </w:t>
      </w:r>
      <w:r>
        <w:t xml:space="preserve">(</w:t>
      </w:r>
      <w:hyperlink w:anchor="ref_BCE2023InformeAnual2022">
        <w:r>
          <w:rPr>
            <w:rStyle w:val="Hyperlink"/>
            <w:smallCaps/>
          </w:rPr>
          <w:t xml:space="preserve">Banco Central Europeo</w:t>
        </w:r>
        <w:r>
          <w:rPr>
            <w:rStyle w:val="Hyperlink"/>
          </w:rPr>
          <w:t xml:space="preserve">, 2023</w:t>
        </w:r>
      </w:hyperlink>
      <w:r>
        <w:t xml:space="preserve">)</w:t>
      </w:r>
      <w:r>
        <w:t xml:space="preserve">.</w:t>
      </w:r>
    </w:p>
    <w:p>
      <w:pPr>
        <w:pStyle w:val="Cajadeanotaciones"/>
        <w:keepNext/>
        <w:keepLines/>
      </w:pPr>
      <w:r>
        <w:rPr>
          <w:b/>
          <w:bCs/>
        </w:rPr>
        <w:t xml:space="preserve">Ejemplo de redacción: la demanda de trabajo y el paro persistente.</w:t>
      </w:r>
      <w:r>
        <w:t xml:space="preserve"> </w:t>
      </w:r>
      <w:r>
        <w:t xml:space="preserve">«La demanda de trabajo se podría aproximar (salvando los problemas de endogeneidad) con las horas trabajadas: caen en los primeros años de la crisis, crecen tímidamente después, se derrumban en el año de la pandemia y se recuperan con fuerza. Es difícil identificar un único factor detrás. El crecimiento del PIB real parece correlacionar bien con la creación de empleo en horas, como cabía esperar, y también las exportaciones, lo que mostraría una economía con vocación exportadora. Ni el crecimiento de los CLU por hora ni el de los márgenes (aproximados por la diferencia entre el deflactor y los CLU) parecen explicar a simple vista la creación de empleo, aunque el persistente aumento de los CLU y la caída continua de los márgenes podrían estar detrás de sus tímidas tasas.»</w:t>
      </w:r>
    </w:p>
    <w:p>
      <w:pPr>
        <w:pStyle w:val="Cajadeanotaciones"/>
        <w:keepLines/>
      </w:pPr>
      <w:r>
        <w:t xml:space="preserve">«Llama la atención el paro persistentemente alto de esta economía, cuyo mínimo de la serie es el xx % de 20xx. La falta de dinamismo podría tener varias causas: salarios que crecen por encima de la productividad, una rentabilidad empresarial en caída continua o factores institucionales que limitan la flexibilidad del mercado de trabajo (indexación de salarios, costes de contratación y despido elevados, dualidad laboral).»</w:t>
      </w:r>
    </w:p>
    <w:bookmarkEnd w:id="338"/>
    <w:bookmarkStart w:id="339" w:name="sector_exterior"/>
    <w:p>
      <w:pPr>
        <w:pStyle w:val="Heading4"/>
      </w:pPr>
      <w:r>
        <w:t xml:space="preserve">Sector exterior</w:t>
      </w:r>
    </w:p>
    <w:p>
      <w:pPr>
        <w:pStyle w:val="Cajadeanotaciones"/>
        <w:keepNext/>
        <w:keepLines/>
      </w:pPr>
      <w:r>
        <w:rPr>
          <w:b/>
          <w:bCs/>
        </w:rPr>
        <w:t xml:space="preserve">Ejemplo de redacción: los determinantes de exportaciones e importaciones.</w:t>
      </w:r>
      <w:r>
        <w:t xml:space="preserve"> </w:t>
      </w:r>
      <w:r>
        <w:t xml:space="preserve">«Destaca el crecimiento continuo de las exportaciones de bienes y servicios, solo interrumpido por la brusca caída de 20xx, debida probablemente a las limitaciones del comercio mundial, a la ruptura de las cadenas globales de valor y a la caída de la renta de los socios. Antes de esa caída, las exportaciones parecen responder a la competitividad-precio: crecen más cuando el tipo de cambio efectivo real se deprecia, como predice la teoría. El crecimiento más moderado de 20xx y 20xx sería compatible con un repliegue de las empresas hacia el mercado nacional: la economía ha dejado atrás la crisis y funciona a pleno rendimiento, a juzgar por la brecha de producción, y ante una demanda interna consolidada las empresas podrían reorientar sus ventas al mercado nacional, más fácil y barato de atender.»</w:t>
      </w:r>
    </w:p>
    <w:p>
      <w:pPr>
        <w:pStyle w:val="Cajadeanotaciones"/>
        <w:keepLines/>
      </w:pPr>
      <w:r>
        <w:t xml:space="preserve">«Las importaciones crecen cuando crece la economía y caen cuando cae (salvo en 20xx), lo que sugiere que la renta interior podría explicarlas. El tipo de cambio efectivo real no parece, a simple vista, un determinante clave de su evolución.»</w:t>
      </w:r>
    </w:p>
    <w:bookmarkEnd w:id="339"/>
    <w:bookmarkStart w:id="340" w:name="pol__tica_monetaria"/>
    <w:p>
      <w:pPr>
        <w:pStyle w:val="Heading4"/>
      </w:pPr>
      <w:r>
        <w:t xml:space="preserve">Política monetaria</w:t>
      </w:r>
    </w:p>
    <w:p>
      <w:pPr>
        <w:pStyle w:val="Cajadeanotaciones"/>
        <w:keepNext/>
        <w:keepLines/>
      </w:pPr>
      <w:r>
        <w:rPr>
          <w:b/>
          <w:bCs/>
        </w:rPr>
        <w:t xml:space="preserve">Ejemplo de redacción: la relación con el ciclo y la valoración de la política monetaria.</w:t>
      </w:r>
      <w:r>
        <w:t xml:space="preserve"> </w:t>
      </w:r>
      <w:r>
        <w:t xml:space="preserve">«En cuanto a su relación con el ciclo, conviene evitar conclusiones tajantes basadas en el tipo real, dada la cota cero. Sí parece deducirse una compra masiva de activos durante la crisis, lo que sería una política claramente contracíclica.»</w:t>
      </w:r>
    </w:p>
    <w:p>
      <w:pPr>
        <w:pStyle w:val="Cajadeanotaciones"/>
        <w:keepLines/>
      </w:pPr>
      <w:r>
        <w:t xml:space="preserve">«Por último, como la brecha de producción es negativa durante casi toda la serie y la inflación se mantiene persistentemente baja, no parece arriesgado concluir que la política monetaria expansiva es acertada para esta economía, aunque no hay que perder de vista las expectativas de inflación ni el precio de los activos.»</w:t>
      </w:r>
    </w:p>
    <w:bookmarkEnd w:id="340"/>
    <w:bookmarkStart w:id="341" w:name="estabilidad_financiera"/>
    <w:p>
      <w:pPr>
        <w:pStyle w:val="Heading4"/>
      </w:pPr>
      <w:r>
        <w:t xml:space="preserve">Estabilidad financiera</w:t>
      </w:r>
    </w:p>
    <w:p>
      <w:pPr>
        <w:pStyle w:val="Cajadeanotaciones"/>
      </w:pPr>
      <w:r>
        <w:rPr>
          <w:b/>
          <w:bCs/>
        </w:rPr>
        <w:t xml:space="preserve">Ejemplo de redacción: endeudamiento y desapalancamiento.</w:t>
      </w:r>
      <w:r>
        <w:t xml:space="preserve"> </w:t>
      </w:r>
      <w:r>
        <w:t xml:space="preserve">«Partimos de una economía con un endeudamiento privado (xxx % del PIB) y público (xx % del PIB) muy alto; además, dado el saldo de la posición de inversión internacional neta, gran parte de esa deuda es con el resto del mundo, lo que hace a la economía más vulnerable a un encarecimiento de la financiación. Si se trata de una economía pequeña y abierta, es posible que buena parte de la deuda externa esté en divisas, y la vulnerabilidad se extendería al riesgo de tipo de cambio. Sin embargo, a lo largo de la serie se produce un marcado desapalancamiento y la exposición exterior se reduce. Ese desapalancamiento se ha hecho con más ahorro y no con menos consumo o inversión: la combinación de un mayor crecimiento (más renta y, con ella, más riqueza) y de la conducta de los agentes (menos crédito privado y menos déficit público, con un esfuerzo especialmente fuerte al principio) ha permitido llegar a un nivel de deuda saludable.»</w:t>
      </w:r>
    </w:p>
    <w:p>
      <w:pPr>
        <w:pStyle w:val="Cajadeanotaciones"/>
      </w:pPr>
      <w:r>
        <w:rPr>
          <w:b/>
          <w:bCs/>
        </w:rPr>
        <w:t xml:space="preserve">Ejemplo de redacción: política macroprudencial con tipos muy bajos durante años.</w:t>
      </w:r>
      <w:r>
        <w:t xml:space="preserve"> </w:t>
      </w:r>
      <w:r>
        <w:t xml:space="preserve">«Al inicio de la serie la economía necesita reducir su endeudamiento y su riesgo cambiario, y una política de demanda acomodaticia parece haber mitigado el coste del ajuste. Al final de la serie parecen adecuadas 3 líneas de actuación macroprudencial:</w:t>
      </w:r>
    </w:p>
    <w:p>
      <w:pPr>
        <w:pStyle w:val="Cajadeanotaciones"/>
        <w:numPr>
          <w:ilvl w:val="0"/>
          <w:numId w:val="1208"/>
        </w:numPr>
      </w:pPr>
      <w:r>
        <w:t xml:space="preserve">si la brecha crédito-PIB es negativa, el crédito está por debajo de su tendencia: no procede activar el colchón anticíclico y, si estuviera activado, convendría liberarlo;</w:t>
      </w:r>
    </w:p>
    <w:p>
      <w:pPr>
        <w:pStyle w:val="Cajadeanotaciones"/>
        <w:numPr>
          <w:ilvl w:val="0"/>
          <w:numId w:val="1208"/>
        </w:numPr>
      </w:pPr>
      <w:r>
        <w:t xml:space="preserve">unos tipos de interés muy bajos durante años, negativos en términos reales, pueden ser un riesgo para la estabilidad financiera (financiación de proyectos de poca calidad, menor rentabilidad de bancos y aseguradoras, precios de los activos inflados): podría justificarse un colchón de riesgo sistémico;</w:t>
      </w:r>
    </w:p>
    <w:p>
      <w:pPr>
        <w:pStyle w:val="Cajadeanotaciones"/>
        <w:numPr>
          <w:ilvl w:val="0"/>
          <w:numId w:val="1208"/>
        </w:numPr>
      </w:pPr>
      <w:r>
        <w:t xml:space="preserve">si el precio de la vivienda crece a 2 dígitos y más que el VAB de la construcción (más precio que cantidad), herramientas sectoriales que limiten el crédito hipotecario, porque la vivienda es a la vez el principal activo de los hogares, su principal deuda y una gran exposición de los bancos.</w:t>
      </w:r>
    </w:p>
    <w:p>
      <w:pPr>
        <w:pStyle w:val="Cajadeanotaciones"/>
      </w:pPr>
      <w:r>
        <w:t xml:space="preserve">Por su parte, el aumento de la capitalización bursátil parece ligado al fuerte crecimiento; si se descarta que el precio de las acciones esté inflado por una política monetaria muy laxa o por las entradas de inversión de cartera (aunque los datos podrían apuntar en esa dirección), la bolsa no sería una fuente de riesgo.»</w:t>
      </w:r>
    </w:p>
    <w:p>
      <w:pPr>
        <w:pStyle w:val="Cajadeanotaciones"/>
      </w:pPr>
      <w:r>
        <w:rPr>
          <w:b/>
          <w:bCs/>
        </w:rPr>
        <w:t xml:space="preserve">Ejemplo de redacción: un sistema bancario que entra en una crisis bien capitalizado.</w:t>
      </w:r>
      <w:r>
        <w:t xml:space="preserve"> </w:t>
      </w:r>
      <w:r>
        <w:t xml:space="preserve">«El sistema financiero parece llegar a la crisis en una posición sólida. En los años previos mejora su</w:t>
      </w:r>
      <w:r>
        <w:t xml:space="preserve"> </w:t>
      </w:r>
      <w:r>
        <w:rPr>
          <w:i/>
          <w:iCs/>
        </w:rPr>
        <w:t xml:space="preserve">solvencia</w:t>
      </w:r>
      <w:r>
        <w:t xml:space="preserve">, en cantidad y en calidad del capital: la ratio de capital de nivel 1 sube hasta el xx % de los APR en 20xx, holgadamente por encima de los mínimos de Basilea III, y la morosidad baja hasta niveles cercanos al 3 %, aunque con margen de mejora. En la crisis, la solvencia resiste. Es probable que hayan ayudado las moratorias de préstamos y las garantías públicas, que retrasan el reconocimiento de la morosidad, y la suspensión del reparto de dividendos, que retiene beneficios como capital</w:t>
      </w:r>
      <w:r>
        <w:t xml:space="preserve"> </w:t>
      </w:r>
      <w:r>
        <w:t xml:space="preserve">(</w:t>
      </w:r>
      <w:hyperlink w:anchor="ref_BCE2020Dividendos">
        <w:r>
          <w:rPr>
            <w:rStyle w:val="Hyperlink"/>
            <w:smallCaps/>
          </w:rPr>
          <w:t xml:space="preserve">Banco Central Europeo</w:t>
        </w:r>
        <w:r>
          <w:rPr>
            <w:rStyle w:val="Hyperlink"/>
          </w:rPr>
          <w:t xml:space="preserve">, 2020b</w:t>
        </w:r>
      </w:hyperlink>
      <w:r>
        <w:t xml:space="preserve">;</w:t>
      </w:r>
      <w:r>
        <w:t xml:space="preserve"> </w:t>
      </w:r>
      <w:hyperlink w:anchor="ref_ABE2020Moratorias">
        <w:r>
          <w:rPr>
            <w:rStyle w:val="Hyperlink"/>
            <w:smallCaps/>
          </w:rPr>
          <w:t xml:space="preserve">Autoridad Bancaria Europea</w:t>
        </w:r>
        <w:r>
          <w:rPr>
            <w:rStyle w:val="Hyperlink"/>
          </w:rPr>
          <w:t xml:space="preserve">, 2020</w:t>
        </w:r>
      </w:hyperlink>
      <w:r>
        <w:t xml:space="preserve">)</w:t>
      </w:r>
      <w:r>
        <w:t xml:space="preserve">; habrá que vigilar la calidad de los préstamos cuando se retiren esas medidas. La</w:t>
      </w:r>
      <w:r>
        <w:t xml:space="preserve"> </w:t>
      </w:r>
      <w:r>
        <w:rPr>
          <w:i/>
          <w:iCs/>
        </w:rPr>
        <w:t xml:space="preserve">liquidez</w:t>
      </w:r>
      <w:r>
        <w:t xml:space="preserve"> </w:t>
      </w:r>
      <w:r>
        <w:t xml:space="preserve">no parece un problema: la política monetaria aporta financiación abundante y barata a los bancos y los depósitos crecen. La</w:t>
      </w:r>
      <w:r>
        <w:t xml:space="preserve"> </w:t>
      </w:r>
      <w:r>
        <w:rPr>
          <w:i/>
          <w:iCs/>
        </w:rPr>
        <w:t xml:space="preserve">rentabilidad</w:t>
      </w:r>
      <w:r>
        <w:t xml:space="preserve"> </w:t>
      </w:r>
      <w:r>
        <w:t xml:space="preserve">es el punto débil: los depósitos aumentan por el ahorro forzoso y precautorio, pero con tipos muy bajos el margen de intermediación se estrecha, y las provisiones por el deterioro esperado del crédito reducen el beneficio: el ROE cae por debajo del coste del capital</w:t>
      </w:r>
      <w:r>
        <w:t xml:space="preserve"> </w:t>
      </w:r>
      <w:r>
        <w:t xml:space="preserve">(</w:t>
      </w:r>
      <w:hyperlink w:anchor="ref_BCE2020IEF">
        <w:r>
          <w:rPr>
            <w:rStyle w:val="Hyperlink"/>
            <w:smallCaps/>
          </w:rPr>
          <w:t xml:space="preserve">Banco Central Europeo</w:t>
        </w:r>
        <w:r>
          <w:rPr>
            <w:rStyle w:val="Hyperlink"/>
          </w:rPr>
          <w:t xml:space="preserve">, 2020a</w:t>
        </w:r>
      </w:hyperlink>
      <w:r>
        <w:t xml:space="preserve">)</w:t>
      </w:r>
      <w:r>
        <w:t xml:space="preserve">.»</w:t>
      </w:r>
    </w:p>
    <w:bookmarkEnd w:id="341"/>
    <w:bookmarkStart w:id="342" w:name="pol__tica_fiscal"/>
    <w:p>
      <w:pPr>
        <w:pStyle w:val="Heading4"/>
      </w:pPr>
      <w:r>
        <w:t xml:space="preserve">Política fiscal</w:t>
      </w:r>
    </w:p>
    <w:p>
      <w:pPr>
        <w:pStyle w:val="Cajadeanotaciones"/>
        <w:keepNext/>
        <w:keepLines/>
      </w:pPr>
      <w:r>
        <w:rPr>
          <w:b/>
          <w:bCs/>
        </w:rPr>
        <w:t xml:space="preserve">Ejemplo de redacción: el tono con un déficit muy alto y su relación con el ciclo.</w:t>
      </w:r>
      <w:r>
        <w:t xml:space="preserve"> </w:t>
      </w:r>
      <w:r>
        <w:t xml:space="preserve">«Tradicionalmente, el tono de la política fiscal se ha evaluado con la variación anual del saldo estructural primario: un aumento se interpreta como una política contractiva y una disminución, como expansiva. Con ese criterio, esta economía habría aplicado una política contractiva en 20xx, 20xx y 20xx y expansiva el resto de los años. Pero esta lectura mecánica puede ser inadecuada en épocas extraordinarias, con déficits muy altos: estaríamos tentados de decir que en 20xx la política es contractiva porque el déficit estructural primario pasa del x,x al x,x % del PIB, cuando no parece acertado hablar de una política contractiva con un déficit total del x,x %. El Consejo Fiscal Europeo defiende que, con déficits estructurales primarios altos y persistentes, es preferible fijarse en el nivel y no en la variación, y hablar de política expansiva aunque el déficit se vaya reduciendo</w:t>
      </w:r>
      <w:r>
        <w:t xml:space="preserve"> </w:t>
      </w:r>
      <w:r>
        <w:t xml:space="preserve">(</w:t>
      </w:r>
      <w:hyperlink w:anchor="ref_EFB2021FiscalStance">
        <w:r>
          <w:rPr>
            <w:rStyle w:val="Hyperlink"/>
            <w:smallCaps/>
          </w:rPr>
          <w:t xml:space="preserve">European Fiscal Board</w:t>
        </w:r>
        <w:r>
          <w:rPr>
            <w:rStyle w:val="Hyperlink"/>
          </w:rPr>
          <w:t xml:space="preserve">, 2021</w:t>
        </w:r>
      </w:hyperlink>
      <w:r>
        <w:t xml:space="preserve">)</w:t>
      </w:r>
      <w:r>
        <w:t xml:space="preserve">. En cuanto a su relación con el ciclo, la política fiscal habría sido más o menos procíclica hasta 20xx (contractiva o neutral en la crisis y expansiva en la recuperación) y contracíclica desde entonces (contractiva con crecimiento y brecha positiva, y expansiva en la crisis).»</w:t>
      </w:r>
    </w:p>
    <w:p>
      <w:pPr>
        <w:pStyle w:val="Cajadeanotaciones"/>
        <w:keepNext/>
        <w:keepLines/>
      </w:pPr>
      <w:r>
        <w:rPr>
          <w:b/>
          <w:bCs/>
        </w:rPr>
        <w:t xml:space="preserve">Ejemplo de redacción: un paquete de estímulo propio y los de otros países.</w:t>
      </w:r>
      <w:r>
        <w:t xml:space="preserve"> </w:t>
      </w:r>
      <w:r>
        <w:t xml:space="preserve">«Un paquete de estímulo financiado con fondos europeos podría impulsar el crecimiento del PIB y del potencial si se diseña bien: su impacto será más profundo y duradero si se compone de reformas estructurales e inversiones productivas que si se dedica a gasto corriente. Como los fondos exigen dedicarse a reformas y a gasto de capital y se desembolsan a medida que se cumplen hitos y objetivos, cabe esperar un impacto estructural importante. Con todo, mientras sigan activas las restricciones a la actividad, el multiplicador podría ser menor que el observado en otros episodios.»</w:t>
      </w:r>
    </w:p>
    <w:p>
      <w:pPr>
        <w:pStyle w:val="Cajadeanotaciones"/>
        <w:keepLines/>
      </w:pPr>
      <w:r>
        <w:t xml:space="preserve">«Los paquetes de estímulo de otros países, sobre todo de Estados Unidos, podrían tener un efecto desbordamiento positivo, al aumentar la demanda mundial y las exportaciones, al que se sumaría una posible apreciación del dólar frente al euro. Pero hay un canal negativo: su magnitud podría sobrecalentar la demanda y generar presiones inflacionistas, adelantar la normalización de la política monetaria y endurecer las condiciones de financiación de gobiernos, empresas y hogares.»</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342"/>
    <w:bookmarkEnd w:id="343"/>
    <w:bookmarkEnd w:id="344"/>
    <w:bookmarkStart w:id="605" w:name="bibliografia"/>
    <w:p>
      <w:pPr>
        <w:pStyle w:val="Heading1"/>
      </w:pPr>
      <w:r>
        <w:t xml:space="preserve">Bibliografía</w:t>
      </w:r>
    </w:p>
    <w:bookmarkStart w:id="604" w:name="refs"/>
    <w:bookmarkStart w:id="346" w:name="ref_Amiti2019Aranceles"/>
    <w:p>
      <w:pPr>
        <w:pStyle w:val="Bibliography"/>
      </w:pPr>
      <w:r>
        <w:t xml:space="preserve">Amiti, Mary, Stephen J. Redding y David E. Weinstein (2019).</w:t>
      </w:r>
      <w:r>
        <w:t xml:space="preserve"> </w:t>
      </w:r>
      <w:r>
        <w:t xml:space="preserve">«The Impact of the 2018 Tariffs on Prices and Welfare»</w:t>
      </w:r>
      <w:r>
        <w:t xml:space="preserve">.</w:t>
      </w:r>
      <w:r>
        <w:t xml:space="preserve"> </w:t>
      </w:r>
      <w:r>
        <w:rPr>
          <w:i/>
          <w:iCs/>
        </w:rPr>
        <w:t xml:space="preserve">Journal of Economic Perspectives</w:t>
      </w:r>
      <w:r>
        <w:t xml:space="preserve"> </w:t>
      </w:r>
      <w:r>
        <w:t xml:space="preserve">33 (4): 187-210.</w:t>
      </w:r>
      <w:r>
        <w:t xml:space="preserve"> </w:t>
      </w:r>
      <w:hyperlink r:id="rId345">
        <w:r>
          <w:rPr>
            <w:rStyle w:val="Hyperlink"/>
          </w:rPr>
          <w:t xml:space="preserve">https://doi.org/10.1257/jep.33.4.187</w:t>
        </w:r>
      </w:hyperlink>
      <w:r>
        <w:t xml:space="preserve">.</w:t>
      </w:r>
    </w:p>
    <w:bookmarkEnd w:id="346"/>
    <w:bookmarkStart w:id="348" w:name="ref_Afi2022Jornada"/>
    <w:p>
      <w:pPr>
        <w:pStyle w:val="Bibliography"/>
      </w:pPr>
      <w:r>
        <w:t xml:space="preserve">Analistas Financieros Internacionales (2022).</w:t>
      </w:r>
      <w:r>
        <w:t xml:space="preserve"> </w:t>
      </w:r>
      <w:r>
        <w:t xml:space="preserve">«Jornada Análisis Económico y de Mercados»</w:t>
      </w:r>
      <w:r>
        <w:t xml:space="preserve">. 23 de junio de 2022.</w:t>
      </w:r>
      <w:r>
        <w:t xml:space="preserve"> </w:t>
      </w:r>
      <w:hyperlink r:id="rId347">
        <w:r>
          <w:rPr>
            <w:rStyle w:val="Hyperlink"/>
          </w:rPr>
          <w:t xml:space="preserve">https://youtu.be/gJoQz2CiHBI</w:t>
        </w:r>
      </w:hyperlink>
      <w:r>
        <w:t xml:space="preserve">.</w:t>
      </w:r>
    </w:p>
    <w:bookmarkEnd w:id="348"/>
    <w:bookmarkStart w:id="350" w:name="ref_ATCEE2026Examenes"/>
    <w:p>
      <w:pPr>
        <w:pStyle w:val="Bibliography"/>
      </w:pPr>
      <w:r>
        <w:t xml:space="preserve">Asociación de Técnicos Comerciales y Economistas del Estado (2026).</w:t>
      </w:r>
      <w:r>
        <w:t xml:space="preserve"> </w:t>
      </w:r>
      <w:r>
        <w:t xml:space="preserve">«Exámenes anteriores»</w:t>
      </w:r>
      <w:r>
        <w:t xml:space="preserve">. 2026.</w:t>
      </w:r>
      <w:r>
        <w:t xml:space="preserve"> </w:t>
      </w:r>
      <w:hyperlink r:id="rId349">
        <w:r>
          <w:rPr>
            <w:rStyle w:val="Hyperlink"/>
          </w:rPr>
          <w:t xml:space="preserve">https://atcee.es/la-oposicion-tcee/examenes-anteriores/</w:t>
        </w:r>
      </w:hyperlink>
      <w:r>
        <w:t xml:space="preserve">.</w:t>
      </w:r>
    </w:p>
    <w:bookmarkEnd w:id="350"/>
    <w:bookmarkStart w:id="352" w:name="ref_ABE2020Moratorias"/>
    <w:p>
      <w:pPr>
        <w:pStyle w:val="Bibliography"/>
      </w:pPr>
      <w:r>
        <w:t xml:space="preserve">Autoridad Bancaria Europea (2020).</w:t>
      </w:r>
      <w:r>
        <w:t xml:space="preserve"> </w:t>
      </w:r>
      <w:r>
        <w:t xml:space="preserve">«Directrices sobre las moratorias legislativas y no legislativas de los reembolsos de préstamos aplicadas a la luz de la crisis de la COVID-19 (EBA/GL/2020/02)»</w:t>
      </w:r>
      <w:r>
        <w:t xml:space="preserve">. ABE.</w:t>
      </w:r>
      <w:r>
        <w:t xml:space="preserve"> </w:t>
      </w:r>
      <w:hyperlink r:id="rId351">
        <w:r>
          <w:rPr>
            <w:rStyle w:val="Hyperlink"/>
          </w:rPr>
          <w:t xml:space="preserve">https://www.eba.europa.eu/regulation-and-policy/credit-risk/guidelines-legislative-and-non-legislative-moratoria-loan-repayments-applied-light-covid-19-crisis</w:t>
        </w:r>
      </w:hyperlink>
      <w:r>
        <w:t xml:space="preserve">.</w:t>
      </w:r>
    </w:p>
    <w:bookmarkEnd w:id="352"/>
    <w:bookmarkStart w:id="354" w:name="ref_Ball2017Okun"/>
    <w:p>
      <w:pPr>
        <w:pStyle w:val="Bibliography"/>
      </w:pPr>
      <w:r>
        <w:t xml:space="preserve">Ball, Laurence, Daniel Leigh y Prakash Loungani (2017).</w:t>
      </w:r>
      <w:r>
        <w:t xml:space="preserve"> </w:t>
      </w:r>
      <w:r>
        <w:t xml:space="preserve">«Okun’s Law: Fit at 50?»</w:t>
      </w:r>
      <w:r>
        <w:t xml:space="preserve"> </w:t>
      </w:r>
      <w:r>
        <w:rPr>
          <w:i/>
          <w:iCs/>
        </w:rPr>
        <w:t xml:space="preserve">Journal of Money, Credit and Banking</w:t>
      </w:r>
      <w:r>
        <w:t xml:space="preserve"> </w:t>
      </w:r>
      <w:r>
        <w:t xml:space="preserve">49 (7): 1413-41.</w:t>
      </w:r>
      <w:r>
        <w:t xml:space="preserve"> </w:t>
      </w:r>
      <w:hyperlink r:id="rId353">
        <w:r>
          <w:rPr>
            <w:rStyle w:val="Hyperlink"/>
          </w:rPr>
          <w:t xml:space="preserve">https://doi.org/10.1111/jmcb.12420</w:t>
        </w:r>
      </w:hyperlink>
      <w:r>
        <w:t xml:space="preserve">.</w:t>
      </w:r>
    </w:p>
    <w:bookmarkEnd w:id="354"/>
    <w:bookmarkStart w:id="356" w:name="ref_BCE2020IEF"/>
    <w:p>
      <w:pPr>
        <w:pStyle w:val="Bibliography"/>
      </w:pPr>
      <w:r>
        <w:t xml:space="preserve">Banco Central Europeo (2020a).</w:t>
      </w:r>
      <w:r>
        <w:t xml:space="preserve"> </w:t>
      </w:r>
      <w:r>
        <w:t xml:space="preserve">«Financial Stability Review, November 2020»</w:t>
      </w:r>
      <w:r>
        <w:t xml:space="preserve">. BCE.</w:t>
      </w:r>
      <w:r>
        <w:t xml:space="preserve"> </w:t>
      </w:r>
      <w:hyperlink r:id="rId355">
        <w:r>
          <w:rPr>
            <w:rStyle w:val="Hyperlink"/>
          </w:rPr>
          <w:t xml:space="preserve">https://www.ecb.europa.eu/pub/financial-stability/fsr/html/ecb.fsr202011~b7be9ae1f1.en.html</w:t>
        </w:r>
      </w:hyperlink>
      <w:r>
        <w:t xml:space="preserve">.</w:t>
      </w:r>
    </w:p>
    <w:bookmarkEnd w:id="356"/>
    <w:bookmarkStart w:id="358" w:name="ref_BCE2020Dividendos"/>
    <w:p>
      <w:pPr>
        <w:pStyle w:val="Bibliography"/>
      </w:pPr>
      <w:r>
        <w:t xml:space="preserve">Banco Central Europeo (2020b).</w:t>
      </w:r>
      <w:r>
        <w:t xml:space="preserve"> </w:t>
      </w:r>
      <w:r>
        <w:rPr>
          <w:i/>
          <w:iCs/>
        </w:rPr>
        <w:t xml:space="preserve">Recomendación del Banco Central Europeo de 27 de marzo de 2020 sobre el reparto de dividendos durante la pandemia de COVID-19 (BCE/2020/19)</w:t>
      </w:r>
      <w:r>
        <w:t xml:space="preserve">.</w:t>
      </w:r>
      <w:r>
        <w:t xml:space="preserve"> </w:t>
      </w:r>
      <w:r>
        <w:rPr>
          <w:i/>
          <w:iCs/>
        </w:rPr>
        <w:t xml:space="preserve">Diario Oficial de la Unión Europea</w:t>
      </w:r>
      <w:r>
        <w:t xml:space="preserve">.</w:t>
      </w:r>
      <w:r>
        <w:t xml:space="preserve"> </w:t>
      </w:r>
      <w:hyperlink r:id="rId357">
        <w:r>
          <w:rPr>
            <w:rStyle w:val="Hyperlink"/>
          </w:rPr>
          <w:t xml:space="preserve">https://eur-lex.europa.eu/legal-content/ES/TXT/?uri=CELEX:32020HB0019</w:t>
        </w:r>
      </w:hyperlink>
      <w:r>
        <w:t xml:space="preserve">.</w:t>
      </w:r>
    </w:p>
    <w:bookmarkEnd w:id="358"/>
    <w:bookmarkStart w:id="360" w:name="ref_BCE2023InformeAnual2022"/>
    <w:p>
      <w:pPr>
        <w:pStyle w:val="Bibliography"/>
      </w:pPr>
      <w:r>
        <w:t xml:space="preserve">Banco Central Europeo (2023).</w:t>
      </w:r>
      <w:r>
        <w:t xml:space="preserve"> </w:t>
      </w:r>
      <w:r>
        <w:t xml:space="preserve">«Informe Anual 2022»</w:t>
      </w:r>
      <w:r>
        <w:t xml:space="preserve">. Informe anual. Banco Central Europeo.</w:t>
      </w:r>
      <w:r>
        <w:t xml:space="preserve"> </w:t>
      </w:r>
      <w:hyperlink r:id="rId359">
        <w:r>
          <w:rPr>
            <w:rStyle w:val="Hyperlink"/>
          </w:rPr>
          <w:t xml:space="preserve">https://www.ecb.europa.eu/pub/annual/html/ecb.ar2022~8ae51d163b.es.html</w:t>
        </w:r>
      </w:hyperlink>
      <w:r>
        <w:t xml:space="preserve">.</w:t>
      </w:r>
    </w:p>
    <w:bookmarkEnd w:id="360"/>
    <w:bookmarkStart w:id="362" w:name="ref_BCE2024Marco"/>
    <w:p>
      <w:pPr>
        <w:pStyle w:val="Bibliography"/>
      </w:pPr>
      <w:r>
        <w:t xml:space="preserve">Banco Central Europeo (2024).</w:t>
      </w:r>
      <w:r>
        <w:t xml:space="preserve"> </w:t>
      </w:r>
      <w:r>
        <w:t xml:space="preserve">«Changes to the operational framework for implementing monetary policy»</w:t>
      </w:r>
      <w:r>
        <w:t xml:space="preserve">. 13 de marzo de 2024.</w:t>
      </w:r>
      <w:r>
        <w:t xml:space="preserve"> </w:t>
      </w:r>
      <w:hyperlink r:id="rId361">
        <w:r>
          <w:rPr>
            <w:rStyle w:val="Hyperlink"/>
          </w:rPr>
          <w:t xml:space="preserve">https://www.ecb.europa.eu/press/pr/date/2024/html/ecb.pr240313~807e240020.en.html</w:t>
        </w:r>
      </w:hyperlink>
      <w:r>
        <w:t xml:space="preserve">.</w:t>
      </w:r>
    </w:p>
    <w:bookmarkEnd w:id="362"/>
    <w:bookmarkStart w:id="364" w:name="ref_BCE2025SREP"/>
    <w:p>
      <w:pPr>
        <w:pStyle w:val="Bibliography"/>
      </w:pPr>
      <w:r>
        <w:t xml:space="preserve">Banco Central Europeo (2025a).</w:t>
      </w:r>
      <w:r>
        <w:t xml:space="preserve"> </w:t>
      </w:r>
      <w:r>
        <w:t xml:space="preserve">«Aggregated results of the 2025 SREP»</w:t>
      </w:r>
      <w:r>
        <w:t xml:space="preserve">. 2025.</w:t>
      </w:r>
      <w:r>
        <w:t xml:space="preserve"> </w:t>
      </w:r>
      <w:hyperlink r:id="rId363">
        <w:r>
          <w:rPr>
            <w:rStyle w:val="Hyperlink"/>
          </w:rPr>
          <w:t xml:space="preserve">https://www.bankingsupervision.europa.eu/activities/srep/2025/html/ssm.srep202511_aggregatedresults2025.en.html</w:t>
        </w:r>
      </w:hyperlink>
      <w:r>
        <w:t xml:space="preserve">.</w:t>
      </w:r>
    </w:p>
    <w:bookmarkEnd w:id="364"/>
    <w:bookmarkStart w:id="366" w:name="ref_BCE2025Estrategia"/>
    <w:p>
      <w:pPr>
        <w:pStyle w:val="Bibliography"/>
      </w:pPr>
      <w:r>
        <w:t xml:space="preserve">Banco Central Europeo (2025b).</w:t>
      </w:r>
      <w:r>
        <w:t xml:space="preserve"> </w:t>
      </w:r>
      <w:r>
        <w:t xml:space="preserve">«Declaración de estrategia de política monetaria del BCE (2025)»</w:t>
      </w:r>
      <w:r>
        <w:t xml:space="preserve">. 2025.</w:t>
      </w:r>
      <w:r>
        <w:t xml:space="preserve"> </w:t>
      </w:r>
      <w:hyperlink r:id="rId365">
        <w:r>
          <w:rPr>
            <w:rStyle w:val="Hyperlink"/>
          </w:rPr>
          <w:t xml:space="preserve">https://www.ecb.europa.eu/mopo/strategy/strategy-review/ecb.strategyreview202506_strategy_statement.es.html</w:t>
        </w:r>
      </w:hyperlink>
      <w:r>
        <w:t xml:space="preserve">.</w:t>
      </w:r>
    </w:p>
    <w:bookmarkEnd w:id="366"/>
    <w:bookmarkStart w:id="368" w:name="ref_BCE2026Bulgaria"/>
    <w:p>
      <w:pPr>
        <w:pStyle w:val="Bibliography"/>
      </w:pPr>
      <w:r>
        <w:t xml:space="preserve">Banco Central Europeo (2026a).</w:t>
      </w:r>
      <w:r>
        <w:t xml:space="preserve"> </w:t>
      </w:r>
      <w:r>
        <w:t xml:space="preserve">«Bulgaria introduce el euro»</w:t>
      </w:r>
      <w:r>
        <w:t xml:space="preserve">. 2026.</w:t>
      </w:r>
      <w:r>
        <w:t xml:space="preserve"> </w:t>
      </w:r>
      <w:hyperlink r:id="rId367">
        <w:r>
          <w:rPr>
            <w:rStyle w:val="Hyperlink"/>
          </w:rPr>
          <w:t xml:space="preserve">https://www.ecb.europa.eu/press/pr/date/2026/html/ecb.pr260101~c830245e42.es.html</w:t>
        </w:r>
      </w:hyperlink>
      <w:r>
        <w:t xml:space="preserve">.</w:t>
      </w:r>
    </w:p>
    <w:bookmarkEnd w:id="368"/>
    <w:bookmarkStart w:id="370" w:name="ref_BCE2026EXR"/>
    <w:p>
      <w:pPr>
        <w:pStyle w:val="Bibliography"/>
      </w:pPr>
      <w:r>
        <w:t xml:space="preserve">Banco Central Europeo (2026b).</w:t>
      </w:r>
      <w:r>
        <w:t xml:space="preserve"> </w:t>
      </w:r>
      <w:r>
        <w:t xml:space="preserve">«ECB Data Portal. Exchange rates (EXR): tipo de cambio de referencia dólar estadounidense/euro, media mensual»</w:t>
      </w:r>
      <w:r>
        <w:t xml:space="preserve">. 2026.</w:t>
      </w:r>
      <w:r>
        <w:t xml:space="preserve"> </w:t>
      </w:r>
      <w:hyperlink r:id="rId369">
        <w:r>
          <w:rPr>
            <w:rStyle w:val="Hyperlink"/>
          </w:rPr>
          <w:t xml:space="preserve">https://data.ecb.europa.eu/data/datasets/EXR</w:t>
        </w:r>
      </w:hyperlink>
      <w:r>
        <w:t xml:space="preserve">.</w:t>
      </w:r>
    </w:p>
    <w:bookmarkEnd w:id="370"/>
    <w:bookmarkStart w:id="372" w:name="ref_BCE2026ILM"/>
    <w:p>
      <w:pPr>
        <w:pStyle w:val="Bibliography"/>
      </w:pPr>
      <w:r>
        <w:t xml:space="preserve">Banco Central Europeo (2026c).</w:t>
      </w:r>
      <w:r>
        <w:t xml:space="preserve"> </w:t>
      </w:r>
      <w:r>
        <w:t xml:space="preserve">«ECB Data Portal. Internal liquidity management (ILM): estado financiero semanal consolidado del Eurosistema»</w:t>
      </w:r>
      <w:r>
        <w:t xml:space="preserve">. 2026.</w:t>
      </w:r>
      <w:r>
        <w:t xml:space="preserve"> </w:t>
      </w:r>
      <w:hyperlink r:id="rId371">
        <w:r>
          <w:rPr>
            <w:rStyle w:val="Hyperlink"/>
          </w:rPr>
          <w:t xml:space="preserve">https://data.ecb.europa.eu/data/datasets/ILM</w:t>
        </w:r>
      </w:hyperlink>
      <w:r>
        <w:t xml:space="preserve">.</w:t>
      </w:r>
    </w:p>
    <w:bookmarkEnd w:id="372"/>
    <w:bookmarkStart w:id="374" w:name="ref_BCE2026SupervisionSI"/>
    <w:p>
      <w:pPr>
        <w:pStyle w:val="Bibliography"/>
      </w:pPr>
      <w:r>
        <w:t xml:space="preserve">Banco Central Europeo (2026d).</w:t>
      </w:r>
      <w:r>
        <w:t xml:space="preserve"> </w:t>
      </w:r>
      <w:r>
        <w:t xml:space="preserve">«El BCE publica las estadísticas supervisoras sobre el sector bancario relativas a las entidades significativas correspondientes al segundo trimestre de 2026»</w:t>
      </w:r>
      <w:r>
        <w:t xml:space="preserve">. 2026.</w:t>
      </w:r>
      <w:r>
        <w:t xml:space="preserve"> </w:t>
      </w:r>
      <w:hyperlink r:id="rId373">
        <w:r>
          <w:rPr>
            <w:rStyle w:val="Hyperlink"/>
          </w:rPr>
          <w:t xml:space="preserve">https://www.bankingsupervision.europa.eu/press/pr/date/2026/html/ssm.pr260915~7917ca1416.es.html</w:t>
        </w:r>
      </w:hyperlink>
      <w:r>
        <w:t xml:space="preserve">.</w:t>
      </w:r>
    </w:p>
    <w:bookmarkEnd w:id="374"/>
    <w:bookmarkStart w:id="376" w:name="ref_BCE2026ECAF"/>
    <w:p>
      <w:pPr>
        <w:pStyle w:val="Bibliography"/>
      </w:pPr>
      <w:r>
        <w:t xml:space="preserve">Banco Central Europeo (2026e).</w:t>
      </w:r>
      <w:r>
        <w:t xml:space="preserve"> </w:t>
      </w:r>
      <w:r>
        <w:t xml:space="preserve">«Eurosystem credit assessment framework (ECAF). Harmonised rating scale and accepted ECAIs»</w:t>
      </w:r>
      <w:r>
        <w:t xml:space="preserve">. 2026.</w:t>
      </w:r>
      <w:r>
        <w:t xml:space="preserve"> </w:t>
      </w:r>
      <w:hyperlink r:id="rId375">
        <w:r>
          <w:rPr>
            <w:rStyle w:val="Hyperlink"/>
          </w:rPr>
          <w:t xml:space="preserve">https://www.ecb.europa.eu/paym/coll/risk/ecaf/html/index.en.html</w:t>
        </w:r>
      </w:hyperlink>
      <w:r>
        <w:t xml:space="preserve">.</w:t>
      </w:r>
    </w:p>
    <w:bookmarkEnd w:id="376"/>
    <w:bookmarkStart w:id="378" w:name="ref_BCE2026TiposOficiales"/>
    <w:p>
      <w:pPr>
        <w:pStyle w:val="Bibliography"/>
      </w:pPr>
      <w:r>
        <w:t xml:space="preserve">Banco Central Europeo (2026f).</w:t>
      </w:r>
      <w:r>
        <w:t xml:space="preserve"> </w:t>
      </w:r>
      <w:r>
        <w:t xml:space="preserve">«Key ECB interest rates»</w:t>
      </w:r>
      <w:r>
        <w:t xml:space="preserve">. 2026.</w:t>
      </w:r>
      <w:r>
        <w:t xml:space="preserve"> </w:t>
      </w:r>
      <w:hyperlink r:id="rId377">
        <w:r>
          <w:rPr>
            <w:rStyle w:val="Hyperlink"/>
          </w:rPr>
          <w:t xml:space="preserve">https://www.ecb.europa.eu/stats/policy_and_exchange_rates/key_ecb_interest_rates/html/index.en.html</w:t>
        </w:r>
      </w:hyperlink>
      <w:r>
        <w:t xml:space="preserve">.</w:t>
      </w:r>
    </w:p>
    <w:bookmarkEnd w:id="378"/>
    <w:bookmarkStart w:id="380" w:name="ref_BdE2021NGEU"/>
    <w:p>
      <w:pPr>
        <w:pStyle w:val="Bibliography"/>
      </w:pPr>
      <w:r>
        <w:t xml:space="preserve">Banco de España (2021).</w:t>
      </w:r>
      <w:r>
        <w:t xml:space="preserve"> </w:t>
      </w:r>
      <w:r>
        <w:t xml:space="preserve">«Registro en la balanza de pagos de los fondos del programa Next Generation EU»</w:t>
      </w:r>
      <w:r>
        <w:t xml:space="preserve">. 2021.</w:t>
      </w:r>
      <w:r>
        <w:t xml:space="preserve"> </w:t>
      </w:r>
      <w:hyperlink r:id="rId379">
        <w:r>
          <w:rPr>
            <w:rStyle w:val="Hyperlink"/>
          </w:rPr>
          <w:t xml:space="preserve">https://www.bde.es/webbe/es/estadisticas/compartido/docs/notaNGEU.pdf</w:t>
        </w:r>
      </w:hyperlink>
      <w:r>
        <w:t xml:space="preserve">.</w:t>
      </w:r>
    </w:p>
    <w:bookmarkEnd w:id="380"/>
    <w:bookmarkStart w:id="382" w:name="ref_BdE2025CCA"/>
    <w:p>
      <w:pPr>
        <w:pStyle w:val="Bibliography"/>
      </w:pPr>
      <w:r>
        <w:t xml:space="preserve">Banco de España (2025).</w:t>
      </w:r>
      <w:r>
        <w:t xml:space="preserve"> </w:t>
      </w:r>
      <w:r>
        <w:t xml:space="preserve">«Resolución sobre el porcentaje del colchón de capital anticíclico aplicable a las exposiciones crediticias en España (cuarto trimestre de 2025)»</w:t>
      </w:r>
      <w:r>
        <w:t xml:space="preserve">. 2025.</w:t>
      </w:r>
      <w:r>
        <w:t xml:space="preserve"> </w:t>
      </w:r>
      <w:hyperlink r:id="rId381">
        <w:r>
          <w:rPr>
            <w:rStyle w:val="Hyperlink"/>
          </w:rPr>
          <w:t xml:space="preserve">https://www.bde.es/f/webbe/INF/MenuVertical/EstabilidadFinanciera/Colchon_capital/Resolucion_CCA_2025T4.pdf</w:t>
        </w:r>
      </w:hyperlink>
      <w:r>
        <w:t xml:space="preserve">.</w:t>
      </w:r>
    </w:p>
    <w:bookmarkEnd w:id="382"/>
    <w:bookmarkStart w:id="384" w:name="ref_BdE2026EstadSupervisoras"/>
    <w:p>
      <w:pPr>
        <w:pStyle w:val="Bibliography"/>
      </w:pPr>
      <w:r>
        <w:t xml:space="preserve">Banco de España (2026a).</w:t>
      </w:r>
      <w:r>
        <w:t xml:space="preserve"> </w:t>
      </w:r>
      <w:r>
        <w:t xml:space="preserve">«Las entidades de crédito que operan en España mantuvieron una posición favorable en solvencia, rentabilidad y calidad de activos en el segundo trimestre de 2026. Estadísticas supervisoras de entidades de crédito, 2026-T2»</w:t>
      </w:r>
      <w:r>
        <w:t xml:space="preserve">. 2026.</w:t>
      </w:r>
      <w:r>
        <w:t xml:space="preserve"> </w:t>
      </w:r>
      <w:hyperlink r:id="rId383">
        <w:r>
          <w:rPr>
            <w:rStyle w:val="Hyperlink"/>
          </w:rPr>
          <w:t xml:space="preserve">https://www.bde.es/f/webbe/GAP/Secciones/SalaPrensa/NotasInformativas/26/presbe2026-90.pdf</w:t>
        </w:r>
      </w:hyperlink>
      <w:r>
        <w:t xml:space="preserve">.</w:t>
      </w:r>
    </w:p>
    <w:bookmarkEnd w:id="384"/>
    <w:bookmarkStart w:id="386" w:name="ref_BdE2026InformeAnual"/>
    <w:p>
      <w:pPr>
        <w:pStyle w:val="Bibliography"/>
      </w:pPr>
      <w:r>
        <w:t xml:space="preserve">Banco de España (2026b).</w:t>
      </w:r>
      <w:r>
        <w:t xml:space="preserve"> </w:t>
      </w:r>
      <w:r>
        <w:t xml:space="preserve">«Informe Anual 2025»</w:t>
      </w:r>
      <w:r>
        <w:t xml:space="preserve">. Informe anual. Banco de España.</w:t>
      </w:r>
      <w:r>
        <w:t xml:space="preserve"> </w:t>
      </w:r>
      <w:hyperlink r:id="rId385">
        <w:r>
          <w:rPr>
            <w:rStyle w:val="Hyperlink"/>
          </w:rPr>
          <w:t xml:space="preserve">https://www.bde.es/wbe/es/publicaciones/informes-memorias-anuales/informe-anual/informe-anual-2025.html</w:t>
        </w:r>
      </w:hyperlink>
      <w:r>
        <w:t xml:space="preserve">.</w:t>
      </w:r>
    </w:p>
    <w:bookmarkEnd w:id="386"/>
    <w:bookmarkStart w:id="388" w:name="ref_BPI2024Informe"/>
    <w:p>
      <w:pPr>
        <w:pStyle w:val="Bibliography"/>
      </w:pPr>
      <w:r>
        <w:t xml:space="preserve">Banco de Pagos Internacionales (2024).</w:t>
      </w:r>
      <w:r>
        <w:t xml:space="preserve"> </w:t>
      </w:r>
      <w:r>
        <w:t xml:space="preserve">«Annual Economic Report 2024»</w:t>
      </w:r>
      <w:r>
        <w:t xml:space="preserve">. BPI.</w:t>
      </w:r>
      <w:r>
        <w:t xml:space="preserve"> </w:t>
      </w:r>
      <w:hyperlink r:id="rId387">
        <w:r>
          <w:rPr>
            <w:rStyle w:val="Hyperlink"/>
          </w:rPr>
          <w:t xml:space="preserve">https://www.bis.org/publ/arpdf/ar2024e.htm</w:t>
        </w:r>
      </w:hyperlink>
      <w:r>
        <w:t xml:space="preserve">.</w:t>
      </w:r>
    </w:p>
    <w:bookmarkEnd w:id="388"/>
    <w:bookmarkStart w:id="390" w:name="ref_BM2026WDI"/>
    <w:p>
      <w:pPr>
        <w:pStyle w:val="Bibliography"/>
      </w:pPr>
      <w:r>
        <w:t xml:space="preserve">Banco Mundial (2026).</w:t>
      </w:r>
      <w:r>
        <w:t xml:space="preserve"> </w:t>
      </w:r>
      <w:r>
        <w:t xml:space="preserve">«World Development Indicators»</w:t>
      </w:r>
      <w:r>
        <w:t xml:space="preserve">. 2026.</w:t>
      </w:r>
      <w:r>
        <w:t xml:space="preserve"> </w:t>
      </w:r>
      <w:hyperlink r:id="rId389">
        <w:r>
          <w:rPr>
            <w:rStyle w:val="Hyperlink"/>
          </w:rPr>
          <w:t xml:space="preserve">https://data.worldbank.org/indicator/NE.TRD.GNFS.ZS</w:t>
        </w:r>
      </w:hyperlink>
      <w:r>
        <w:t xml:space="preserve">.</w:t>
      </w:r>
    </w:p>
    <w:bookmarkEnd w:id="390"/>
    <w:bookmarkStart w:id="392" w:name="ref_Bankinter2024Rating"/>
    <w:p>
      <w:pPr>
        <w:pStyle w:val="Bibliography"/>
      </w:pPr>
      <w:r>
        <w:t xml:space="preserve">Bankinter (s. f.).</w:t>
      </w:r>
      <w:r>
        <w:t xml:space="preserve"> </w:t>
      </w:r>
      <w:r>
        <w:t xml:space="preserve">«Cómo leer el rating de las agencias de calificación financiera»</w:t>
      </w:r>
      <w:r>
        <w:t xml:space="preserve">. Blog de economía de Bankinter. Accedido 24 de octubre de 2026.</w:t>
      </w:r>
      <w:r>
        <w:t xml:space="preserve"> </w:t>
      </w:r>
      <w:hyperlink r:id="rId391">
        <w:r>
          <w:rPr>
            <w:rStyle w:val="Hyperlink"/>
          </w:rPr>
          <w:t xml:space="preserve">https://www.bankinter.com/blog/economia/leer-rating-agencias-calificacion-financiera</w:t>
        </w:r>
      </w:hyperlink>
      <w:r>
        <w:t xml:space="preserve">.</w:t>
      </w:r>
    </w:p>
    <w:bookmarkEnd w:id="392"/>
    <w:bookmarkStart w:id="394" w:name="ref_Barro1974"/>
    <w:p>
      <w:pPr>
        <w:pStyle w:val="Bibliography"/>
      </w:pPr>
      <w:r>
        <w:t xml:space="preserve">Barro, Robert J. (1974).</w:t>
      </w:r>
      <w:r>
        <w:t xml:space="preserve"> </w:t>
      </w:r>
      <w:r>
        <w:t xml:space="preserve">«Are Government Bonds Net Wealth?»</w:t>
      </w:r>
      <w:r>
        <w:t xml:space="preserve"> </w:t>
      </w:r>
      <w:r>
        <w:rPr>
          <w:i/>
          <w:iCs/>
        </w:rPr>
        <w:t xml:space="preserve">Journal of Political Economy</w:t>
      </w:r>
      <w:r>
        <w:t xml:space="preserve"> </w:t>
      </w:r>
      <w:r>
        <w:t xml:space="preserve">82 (6): 1095-1117.</w:t>
      </w:r>
      <w:r>
        <w:t xml:space="preserve"> </w:t>
      </w:r>
      <w:hyperlink r:id="rId393">
        <w:r>
          <w:rPr>
            <w:rStyle w:val="Hyperlink"/>
          </w:rPr>
          <w:t xml:space="preserve">https://doi.org/10.1086/260266</w:t>
        </w:r>
      </w:hyperlink>
      <w:r>
        <w:t xml:space="preserve">.</w:t>
      </w:r>
    </w:p>
    <w:bookmarkEnd w:id="394"/>
    <w:bookmarkStart w:id="396" w:name="ref_BCBS2017Basel3"/>
    <w:p>
      <w:pPr>
        <w:pStyle w:val="Bibliography"/>
      </w:pPr>
      <w:r>
        <w:t xml:space="preserve">Basel Committee on Banking Supervision (2017).</w:t>
      </w:r>
      <w:r>
        <w:t xml:space="preserve"> </w:t>
      </w:r>
      <w:r>
        <w:t xml:space="preserve">«Basel III: Finalising post-crisis reforms»</w:t>
      </w:r>
      <w:r>
        <w:t xml:space="preserve">. 2017.</w:t>
      </w:r>
      <w:r>
        <w:t xml:space="preserve"> </w:t>
      </w:r>
      <w:hyperlink r:id="rId395">
        <w:r>
          <w:rPr>
            <w:rStyle w:val="Hyperlink"/>
          </w:rPr>
          <w:t xml:space="preserve">https://www.bis.org/bcbs/publ/d424.htm</w:t>
        </w:r>
      </w:hyperlink>
      <w:r>
        <w:t xml:space="preserve">.</w:t>
      </w:r>
    </w:p>
    <w:bookmarkEnd w:id="396"/>
    <w:bookmarkStart w:id="398" w:name="ref_Blanchard2019Deuda"/>
    <w:p>
      <w:pPr>
        <w:pStyle w:val="Bibliography"/>
      </w:pPr>
      <w:r>
        <w:t xml:space="preserve">Blanchard, Olivier (2019).</w:t>
      </w:r>
      <w:r>
        <w:t xml:space="preserve"> </w:t>
      </w:r>
      <w:r>
        <w:t xml:space="preserve">«Public Debt and Low Interest Rates»</w:t>
      </w:r>
      <w:r>
        <w:t xml:space="preserve">.</w:t>
      </w:r>
      <w:r>
        <w:t xml:space="preserve"> </w:t>
      </w:r>
      <w:r>
        <w:rPr>
          <w:i/>
          <w:iCs/>
        </w:rPr>
        <w:t xml:space="preserve">American Economic Review</w:t>
      </w:r>
      <w:r>
        <w:t xml:space="preserve"> </w:t>
      </w:r>
      <w:r>
        <w:t xml:space="preserve">109 (4): 1197-1229.</w:t>
      </w:r>
      <w:r>
        <w:t xml:space="preserve"> </w:t>
      </w:r>
      <w:hyperlink r:id="rId397">
        <w:r>
          <w:rPr>
            <w:rStyle w:val="Hyperlink"/>
          </w:rPr>
          <w:t xml:space="preserve">https://doi.org/10.1257/aer.109.4.1197</w:t>
        </w:r>
      </w:hyperlink>
      <w:r>
        <w:t xml:space="preserve">.</w:t>
      </w:r>
    </w:p>
    <w:bookmarkEnd w:id="398"/>
    <w:bookmarkStart w:id="400" w:name="ref_BlanchardDiamond1989"/>
    <w:p>
      <w:pPr>
        <w:pStyle w:val="Bibliography"/>
      </w:pPr>
      <w:r>
        <w:t xml:space="preserve">Blanchard, Olivier Jean y Peter Diamond (1989).</w:t>
      </w:r>
      <w:r>
        <w:t xml:space="preserve"> </w:t>
      </w:r>
      <w:r>
        <w:t xml:space="preserve">«The Beveridge Curve»</w:t>
      </w:r>
      <w:r>
        <w:t xml:space="preserve">.</w:t>
      </w:r>
      <w:r>
        <w:t xml:space="preserve"> </w:t>
      </w:r>
      <w:r>
        <w:rPr>
          <w:i/>
          <w:iCs/>
        </w:rPr>
        <w:t xml:space="preserve">Brookings Papers on Economic Activity</w:t>
      </w:r>
      <w:r>
        <w:t xml:space="preserve"> </w:t>
      </w:r>
      <w:r>
        <w:t xml:space="preserve">1989 (1): 1-76.</w:t>
      </w:r>
      <w:r>
        <w:t xml:space="preserve"> </w:t>
      </w:r>
      <w:hyperlink r:id="rId399">
        <w:r>
          <w:rPr>
            <w:rStyle w:val="Hyperlink"/>
          </w:rPr>
          <w:t xml:space="preserve">https://doi.org/10.2307/2534495</w:t>
        </w:r>
      </w:hyperlink>
      <w:r>
        <w:t xml:space="preserve">.</w:t>
      </w:r>
    </w:p>
    <w:bookmarkEnd w:id="400"/>
    <w:bookmarkStart w:id="402" w:name="ref_BlinderMaccini1991Existencias"/>
    <w:p>
      <w:pPr>
        <w:pStyle w:val="Bibliography"/>
      </w:pPr>
      <w:r>
        <w:t xml:space="preserve">Blinder, Alan S. y Louis J. Maccini (1991).</w:t>
      </w:r>
      <w:r>
        <w:t xml:space="preserve"> </w:t>
      </w:r>
      <w:r>
        <w:t xml:space="preserve">«Taking Stock: A Critical Assessment of Recent Research on Inventories»</w:t>
      </w:r>
      <w:r>
        <w:t xml:space="preserve">.</w:t>
      </w:r>
      <w:r>
        <w:t xml:space="preserve"> </w:t>
      </w:r>
      <w:r>
        <w:rPr>
          <w:i/>
          <w:iCs/>
        </w:rPr>
        <w:t xml:space="preserve">Journal of Economic Perspectives</w:t>
      </w:r>
      <w:r>
        <w:t xml:space="preserve"> </w:t>
      </w:r>
      <w:r>
        <w:t xml:space="preserve">5 (1): 73-96.</w:t>
      </w:r>
      <w:r>
        <w:t xml:space="preserve"> </w:t>
      </w:r>
      <w:hyperlink r:id="rId401">
        <w:r>
          <w:rPr>
            <w:rStyle w:val="Hyperlink"/>
          </w:rPr>
          <w:t xml:space="preserve">https://doi.org/10.1257/jep.5.1.73</w:t>
        </w:r>
      </w:hyperlink>
      <w:r>
        <w:t xml:space="preserve">.</w:t>
      </w:r>
    </w:p>
    <w:bookmarkEnd w:id="402"/>
    <w:bookmarkStart w:id="404" w:name="ref_Bosca2023Ucrania"/>
    <w:p>
      <w:pPr>
        <w:pStyle w:val="Bibliography"/>
      </w:pPr>
      <w:r>
        <w:t xml:space="preserve">Boscá, José E. et al. (2023).</w:t>
      </w:r>
      <w:r>
        <w:t xml:space="preserve"> </w:t>
      </w:r>
      <w:r>
        <w:t xml:space="preserve">«La economía española en el primer año de la guerra en Ucrania»</w:t>
      </w:r>
      <w:r>
        <w:t xml:space="preserve">. BBVA Research, FEDEA, Fundación Rafael del Pino y Creando Oportunidades. 2023.</w:t>
      </w:r>
      <w:r>
        <w:t xml:space="preserve"> </w:t>
      </w:r>
      <w:hyperlink r:id="rId403">
        <w:r>
          <w:rPr>
            <w:rStyle w:val="Hyperlink"/>
          </w:rPr>
          <w:t xml:space="preserve">https://www.bbvaresearch.com/publicaciones/espana-la-economia-espanola-en-el-primer-ano-de-la-guerra-de-ucrania/</w:t>
        </w:r>
      </w:hyperlink>
      <w:r>
        <w:t xml:space="preserve">.</w:t>
      </w:r>
    </w:p>
    <w:bookmarkEnd w:id="404"/>
    <w:bookmarkStart w:id="406" w:name="ref_CalmforsDriffill1988"/>
    <w:p>
      <w:pPr>
        <w:pStyle w:val="Bibliography"/>
      </w:pPr>
      <w:r>
        <w:t xml:space="preserve">Calmfors, Lars y John Driffill (1988).</w:t>
      </w:r>
      <w:r>
        <w:t xml:space="preserve"> </w:t>
      </w:r>
      <w:r>
        <w:t xml:space="preserve">«Bargaining Structure, Corporatism and Macroeconomic Performance»</w:t>
      </w:r>
      <w:r>
        <w:t xml:space="preserve">.</w:t>
      </w:r>
      <w:r>
        <w:t xml:space="preserve"> </w:t>
      </w:r>
      <w:r>
        <w:rPr>
          <w:i/>
          <w:iCs/>
        </w:rPr>
        <w:t xml:space="preserve">Economic Policy</w:t>
      </w:r>
      <w:r>
        <w:t xml:space="preserve"> </w:t>
      </w:r>
      <w:r>
        <w:t xml:space="preserve">3 (6): 13-61.</w:t>
      </w:r>
      <w:r>
        <w:t xml:space="preserve"> </w:t>
      </w:r>
      <w:hyperlink r:id="rId405">
        <w:r>
          <w:rPr>
            <w:rStyle w:val="Hyperlink"/>
          </w:rPr>
          <w:t xml:space="preserve">https://doi.org/10.2307/1344503</w:t>
        </w:r>
      </w:hyperlink>
      <w:r>
        <w:t xml:space="preserve">.</w:t>
      </w:r>
    </w:p>
    <w:bookmarkEnd w:id="406"/>
    <w:bookmarkStart w:id="408" w:name="ref_Calvo1998SuddenStops"/>
    <w:p>
      <w:pPr>
        <w:pStyle w:val="Bibliography"/>
      </w:pPr>
      <w:r>
        <w:t xml:space="preserve">Calvo, Guillermo A. (1998).</w:t>
      </w:r>
      <w:r>
        <w:t xml:space="preserve"> </w:t>
      </w:r>
      <w:r>
        <w:t xml:space="preserve">«Capital Flows and Capital-Market Crises: The Simple Economics of Sudden Stops»</w:t>
      </w:r>
      <w:r>
        <w:t xml:space="preserve">.</w:t>
      </w:r>
      <w:r>
        <w:t xml:space="preserve"> </w:t>
      </w:r>
      <w:r>
        <w:rPr>
          <w:i/>
          <w:iCs/>
        </w:rPr>
        <w:t xml:space="preserve">Journal of Applied Economics</w:t>
      </w:r>
      <w:r>
        <w:t xml:space="preserve"> </w:t>
      </w:r>
      <w:r>
        <w:t xml:space="preserve">1 (1): 35-54.</w:t>
      </w:r>
      <w:r>
        <w:t xml:space="preserve"> </w:t>
      </w:r>
      <w:hyperlink r:id="rId407">
        <w:r>
          <w:rPr>
            <w:rStyle w:val="Hyperlink"/>
          </w:rPr>
          <w:t xml:space="preserve">https://doi.org/10.1080/15140326.1998.12040516</w:t>
        </w:r>
      </w:hyperlink>
      <w:r>
        <w:t xml:space="preserve">.</w:t>
      </w:r>
    </w:p>
    <w:bookmarkEnd w:id="408"/>
    <w:bookmarkStart w:id="410" w:name="ref_CalvoReinhart2002"/>
    <w:p>
      <w:pPr>
        <w:pStyle w:val="Bibliography"/>
      </w:pPr>
      <w:r>
        <w:t xml:space="preserve">Calvo, Guillermo A. y Carmen M. Reinhart (2002).</w:t>
      </w:r>
      <w:r>
        <w:t xml:space="preserve"> </w:t>
      </w:r>
      <w:r>
        <w:t xml:space="preserve">«Fear of Floating»</w:t>
      </w:r>
      <w:r>
        <w:t xml:space="preserve">.</w:t>
      </w:r>
      <w:r>
        <w:t xml:space="preserve"> </w:t>
      </w:r>
      <w:r>
        <w:rPr>
          <w:i/>
          <w:iCs/>
        </w:rPr>
        <w:t xml:space="preserve">Quarterly Journal of Economics</w:t>
      </w:r>
      <w:r>
        <w:t xml:space="preserve"> </w:t>
      </w:r>
      <w:r>
        <w:t xml:space="preserve">117 (2): 379-408.</w:t>
      </w:r>
      <w:r>
        <w:t xml:space="preserve"> </w:t>
      </w:r>
      <w:hyperlink r:id="rId409">
        <w:r>
          <w:rPr>
            <w:rStyle w:val="Hyperlink"/>
          </w:rPr>
          <w:t xml:space="preserve">https://doi.org/10.1162/003355302753650274</w:t>
        </w:r>
      </w:hyperlink>
      <w:r>
        <w:t xml:space="preserve">.</w:t>
      </w:r>
    </w:p>
    <w:bookmarkEnd w:id="410"/>
    <w:bookmarkStart w:id="412" w:name="ref_CampaGoldberg2005"/>
    <w:p>
      <w:pPr>
        <w:pStyle w:val="Bibliography"/>
      </w:pPr>
      <w:r>
        <w:t xml:space="preserve">Campa, José Manuel y Linda S. Goldberg (2005).</w:t>
      </w:r>
      <w:r>
        <w:t xml:space="preserve"> </w:t>
      </w:r>
      <w:r>
        <w:t xml:space="preserve">«Exchange Rate Pass-Through into Import Prices»</w:t>
      </w:r>
      <w:r>
        <w:t xml:space="preserve">.</w:t>
      </w:r>
      <w:r>
        <w:t xml:space="preserve"> </w:t>
      </w:r>
      <w:r>
        <w:rPr>
          <w:i/>
          <w:iCs/>
        </w:rPr>
        <w:t xml:space="preserve">Review of Economics and Statistics</w:t>
      </w:r>
      <w:r>
        <w:t xml:space="preserve"> </w:t>
      </w:r>
      <w:r>
        <w:t xml:space="preserve">87 (4): 679-90.</w:t>
      </w:r>
      <w:r>
        <w:t xml:space="preserve"> </w:t>
      </w:r>
      <w:hyperlink r:id="rId411">
        <w:r>
          <w:rPr>
            <w:rStyle w:val="Hyperlink"/>
          </w:rPr>
          <w:t xml:space="preserve">https://doi.org/10.1162/003465305775098189</w:t>
        </w:r>
      </w:hyperlink>
      <w:r>
        <w:t xml:space="preserve">.</w:t>
      </w:r>
    </w:p>
    <w:bookmarkEnd w:id="412"/>
    <w:bookmarkStart w:id="414" w:name="ref_Card2018ALMP"/>
    <w:p>
      <w:pPr>
        <w:pStyle w:val="Bibliography"/>
      </w:pPr>
      <w:r>
        <w:t xml:space="preserve">Card, David, Jochen Kluve y Andrea Weber (2018).</w:t>
      </w:r>
      <w:r>
        <w:t xml:space="preserve"> </w:t>
      </w:r>
      <w:r>
        <w:t xml:space="preserve">«What Works? A Meta Analysis of Recent Active Labor Market Program Evaluations»</w:t>
      </w:r>
      <w:r>
        <w:t xml:space="preserve">.</w:t>
      </w:r>
      <w:r>
        <w:t xml:space="preserve"> </w:t>
      </w:r>
      <w:r>
        <w:rPr>
          <w:i/>
          <w:iCs/>
        </w:rPr>
        <w:t xml:space="preserve">Journal of the European Economic Association</w:t>
      </w:r>
      <w:r>
        <w:t xml:space="preserve"> </w:t>
      </w:r>
      <w:r>
        <w:t xml:space="preserve">16 (3): 894-931.</w:t>
      </w:r>
      <w:r>
        <w:t xml:space="preserve"> </w:t>
      </w:r>
      <w:hyperlink r:id="rId413">
        <w:r>
          <w:rPr>
            <w:rStyle w:val="Hyperlink"/>
          </w:rPr>
          <w:t xml:space="preserve">https://doi.org/10.1093/jeea/jvx028</w:t>
        </w:r>
      </w:hyperlink>
      <w:r>
        <w:t xml:space="preserve">.</w:t>
      </w:r>
    </w:p>
    <w:bookmarkEnd w:id="414"/>
    <w:bookmarkStart w:id="415" w:name="ref_CardKrueger1994"/>
    <w:p>
      <w:pPr>
        <w:pStyle w:val="Bibliography"/>
      </w:pPr>
      <w:r>
        <w:t xml:space="preserve">Card, David y Alan B. Krueger (1994).</w:t>
      </w:r>
      <w:r>
        <w:t xml:space="preserve"> </w:t>
      </w:r>
      <w:r>
        <w:t xml:space="preserve">«Minimum Wages and Employment: A Case Study of the Fast-Food Industry in New Jersey and Pennsylvania»</w:t>
      </w:r>
      <w:r>
        <w:t xml:space="preserve">.</w:t>
      </w:r>
      <w:r>
        <w:t xml:space="preserve"> </w:t>
      </w:r>
      <w:r>
        <w:rPr>
          <w:i/>
          <w:iCs/>
        </w:rPr>
        <w:t xml:space="preserve">American Economic Review</w:t>
      </w:r>
      <w:r>
        <w:t xml:space="preserve"> </w:t>
      </w:r>
      <w:r>
        <w:t xml:space="preserve">84 (4): 772-93.</w:t>
      </w:r>
    </w:p>
    <w:bookmarkEnd w:id="415"/>
    <w:bookmarkStart w:id="417" w:name="ref_CataoMilesiFerretti2014"/>
    <w:p>
      <w:pPr>
        <w:pStyle w:val="Bibliography"/>
      </w:pPr>
      <w:r>
        <w:t xml:space="preserve">Catão, Luis A. V. y Gian Maria Milesi-Ferretti (2014).</w:t>
      </w:r>
      <w:r>
        <w:t xml:space="preserve"> </w:t>
      </w:r>
      <w:r>
        <w:t xml:space="preserve">«External Liabilities and Crises»</w:t>
      </w:r>
      <w:r>
        <w:t xml:space="preserve">.</w:t>
      </w:r>
      <w:r>
        <w:t xml:space="preserve"> </w:t>
      </w:r>
      <w:r>
        <w:rPr>
          <w:i/>
          <w:iCs/>
        </w:rPr>
        <w:t xml:space="preserve">Journal of International Economics</w:t>
      </w:r>
      <w:r>
        <w:t xml:space="preserve"> </w:t>
      </w:r>
      <w:r>
        <w:t xml:space="preserve">94 (1): 18-32.</w:t>
      </w:r>
      <w:r>
        <w:t xml:space="preserve"> </w:t>
      </w:r>
      <w:hyperlink r:id="rId416">
        <w:r>
          <w:rPr>
            <w:rStyle w:val="Hyperlink"/>
          </w:rPr>
          <w:t xml:space="preserve">https://doi.org/10.1016/j.jinteco.2014.05.003</w:t>
        </w:r>
      </w:hyperlink>
      <w:r>
        <w:t xml:space="preserve">.</w:t>
      </w:r>
    </w:p>
    <w:bookmarkEnd w:id="417"/>
    <w:bookmarkStart w:id="419" w:name="ref_CE2015EDIS"/>
    <w:p>
      <w:pPr>
        <w:pStyle w:val="Bibliography"/>
      </w:pPr>
      <w:r>
        <w:t xml:space="preserve">Comisión Europea (2015).</w:t>
      </w:r>
      <w:r>
        <w:t xml:space="preserve"> </w:t>
      </w:r>
      <w:r>
        <w:t xml:space="preserve">«Propuesta de Reglamento del Parlamento Europeo y del Consejo por el que se modifica el Reglamento (UE) n.º 806/2014 a fin de establecer un Sistema Europeo de Garantía de Depósitos»</w:t>
      </w:r>
      <w:r>
        <w:t xml:space="preserve">. COM (2015) 586 final. Comisión Europea.</w:t>
      </w:r>
      <w:r>
        <w:t xml:space="preserve"> </w:t>
      </w:r>
      <w:hyperlink r:id="rId418">
        <w:r>
          <w:rPr>
            <w:rStyle w:val="Hyperlink"/>
          </w:rPr>
          <w:t xml:space="preserve">https://eur-lex.europa.eu/legal-content/ES/TXT/?uri=CELEX:52015PC0586</w:t>
        </w:r>
      </w:hyperlink>
      <w:r>
        <w:t xml:space="preserve">.</w:t>
      </w:r>
    </w:p>
    <w:bookmarkEnd w:id="419"/>
    <w:bookmarkStart w:id="421" w:name="ref_CE2024Envejecimiento"/>
    <w:p>
      <w:pPr>
        <w:pStyle w:val="Bibliography"/>
      </w:pPr>
      <w:r>
        <w:t xml:space="preserve">Comisión Europea (2024).</w:t>
      </w:r>
      <w:r>
        <w:t xml:space="preserve"> </w:t>
      </w:r>
      <w:r>
        <w:t xml:space="preserve">«2024 Ageing Report: Economic and Budgetary Projections for the EU Member States (2022-2070)»</w:t>
      </w:r>
      <w:r>
        <w:t xml:space="preserve">. European Economy -- Institutional Paper 279. Comisión Europea.</w:t>
      </w:r>
      <w:r>
        <w:t xml:space="preserve"> </w:t>
      </w:r>
      <w:hyperlink r:id="rId420">
        <w:r>
          <w:rPr>
            <w:rStyle w:val="Hyperlink"/>
          </w:rPr>
          <w:t xml:space="preserve">https://doi.org/10.2765/022983</w:t>
        </w:r>
      </w:hyperlink>
      <w:r>
        <w:t xml:space="preserve">.</w:t>
      </w:r>
    </w:p>
    <w:bookmarkEnd w:id="421"/>
    <w:bookmarkStart w:id="423" w:name="ref_CE2025AMR2026"/>
    <w:p>
      <w:pPr>
        <w:pStyle w:val="Bibliography"/>
      </w:pPr>
      <w:r>
        <w:t xml:space="preserve">Comisión Europea (2025a).</w:t>
      </w:r>
      <w:r>
        <w:t xml:space="preserve"> </w:t>
      </w:r>
      <w:r>
        <w:t xml:space="preserve">«Alert Mechanism Report 2026, COM(2025) 956 final»</w:t>
      </w:r>
      <w:r>
        <w:t xml:space="preserve">. 2025.</w:t>
      </w:r>
      <w:r>
        <w:t xml:space="preserve"> </w:t>
      </w:r>
      <w:hyperlink r:id="rId422">
        <w:r>
          <w:rPr>
            <w:rStyle w:val="Hyperlink"/>
          </w:rPr>
          <w:t xml:space="preserve">https://eur-lex.europa.eu/legal-content/EN/ALL/?uri=CELEX:52025DC0956</w:t>
        </w:r>
      </w:hyperlink>
      <w:r>
        <w:t xml:space="preserve">.</w:t>
      </w:r>
    </w:p>
    <w:bookmarkEnd w:id="423"/>
    <w:bookmarkStart w:id="425" w:name="ref_CE2025Encuestas"/>
    <w:p>
      <w:pPr>
        <w:pStyle w:val="Bibliography"/>
      </w:pPr>
      <w:r>
        <w:t xml:space="preserve">Comisión Europea (2025b).</w:t>
      </w:r>
      <w:r>
        <w:t xml:space="preserve"> </w:t>
      </w:r>
      <w:r>
        <w:t xml:space="preserve">«Business and Consumer Surveys: Economic Sentiment Indicator»</w:t>
      </w:r>
      <w:r>
        <w:t xml:space="preserve">. 2025.</w:t>
      </w:r>
      <w:r>
        <w:t xml:space="preserve"> </w:t>
      </w:r>
      <w:hyperlink r:id="rId424">
        <w:r>
          <w:rPr>
            <w:rStyle w:val="Hyperlink"/>
          </w:rPr>
          <w:t xml:space="preserve">https://economy-finance.ec.europa.eu/economic-forecast-and-surveys/business-and-consumer-surveys_en</w:t>
        </w:r>
      </w:hyperlink>
      <w:r>
        <w:t xml:space="preserve">.</w:t>
      </w:r>
    </w:p>
    <w:bookmarkEnd w:id="425"/>
    <w:bookmarkStart w:id="427" w:name="ref_CE2026AMECO"/>
    <w:p>
      <w:pPr>
        <w:pStyle w:val="Bibliography"/>
      </w:pPr>
      <w:r>
        <w:t xml:space="preserve">Comisión Europea (2026).</w:t>
      </w:r>
      <w:r>
        <w:t xml:space="preserve"> </w:t>
      </w:r>
      <w:r>
        <w:t xml:space="preserve">«AMECO. Annual macro-economic database (variable ZNAWRU)»</w:t>
      </w:r>
      <w:r>
        <w:t xml:space="preserve">. 2026.</w:t>
      </w:r>
      <w:r>
        <w:t xml:space="preserve"> </w:t>
      </w:r>
      <w:hyperlink r:id="rId426">
        <w:r>
          <w:rPr>
            <w:rStyle w:val="Hyperlink"/>
          </w:rPr>
          <w:t xml:space="preserve">https://economy-finance.ec.europa.eu/economic-research-and-databases/economic-databases/ameco-database_en</w:t>
        </w:r>
      </w:hyperlink>
      <w:r>
        <w:t xml:space="preserve">.</w:t>
      </w:r>
    </w:p>
    <w:bookmarkEnd w:id="427"/>
    <w:bookmarkStart w:id="429" w:name="ref_BCBS2010Anticiclico"/>
    <w:p>
      <w:pPr>
        <w:pStyle w:val="Bibliography"/>
      </w:pPr>
      <w:r>
        <w:t xml:space="preserve">Comité de Supervisión Bancaria de Basilea (2010).</w:t>
      </w:r>
      <w:r>
        <w:t xml:space="preserve"> </w:t>
      </w:r>
      <w:r>
        <w:t xml:space="preserve">«Guidance for National Authorities Operating the Countercyclical Capital Buffer»</w:t>
      </w:r>
      <w:r>
        <w:t xml:space="preserve">. Banco de Pagos Internacionales.</w:t>
      </w:r>
      <w:r>
        <w:t xml:space="preserve"> </w:t>
      </w:r>
      <w:hyperlink r:id="rId428">
        <w:r>
          <w:rPr>
            <w:rStyle w:val="Hyperlink"/>
          </w:rPr>
          <w:t xml:space="preserve">https://www.bis.org/publ/bcbs187.htm</w:t>
        </w:r>
      </w:hyperlink>
      <w:r>
        <w:t xml:space="preserve">.</w:t>
      </w:r>
    </w:p>
    <w:bookmarkEnd w:id="429"/>
    <w:bookmarkStart w:id="431" w:name="ref_BCBS2011Basilea3"/>
    <w:p>
      <w:pPr>
        <w:pStyle w:val="Bibliography"/>
      </w:pPr>
      <w:r>
        <w:t xml:space="preserve">Comité de Supervisión Bancaria de Basilea (2011).</w:t>
      </w:r>
      <w:r>
        <w:t xml:space="preserve"> </w:t>
      </w:r>
      <w:r>
        <w:t xml:space="preserve">«Basel III: A Global Regulatory Framework for More Resilient Banks and Banking Systems»</w:t>
      </w:r>
      <w:r>
        <w:t xml:space="preserve">. Banco de Pagos Internacionales.</w:t>
      </w:r>
      <w:r>
        <w:t xml:space="preserve"> </w:t>
      </w:r>
      <w:hyperlink r:id="rId430">
        <w:r>
          <w:rPr>
            <w:rStyle w:val="Hyperlink"/>
          </w:rPr>
          <w:t xml:space="preserve">https://www.bis.org/publ/bcbs189.htm</w:t>
        </w:r>
      </w:hyperlink>
      <w:r>
        <w:t xml:space="preserve">.</w:t>
      </w:r>
    </w:p>
    <w:bookmarkEnd w:id="431"/>
    <w:bookmarkStart w:id="433" w:name="ref_BCBS2013LCR"/>
    <w:p>
      <w:pPr>
        <w:pStyle w:val="Bibliography"/>
      </w:pPr>
      <w:r>
        <w:t xml:space="preserve">Comité de Supervisión Bancaria de Basilea (2013).</w:t>
      </w:r>
      <w:r>
        <w:t xml:space="preserve"> </w:t>
      </w:r>
      <w:r>
        <w:t xml:space="preserve">«Basel III: The Liquidity Coverage Ratio and Liquidity Risk Monitoring Tools»</w:t>
      </w:r>
      <w:r>
        <w:t xml:space="preserve">. Banco de Pagos Internacionales.</w:t>
      </w:r>
      <w:r>
        <w:t xml:space="preserve"> </w:t>
      </w:r>
      <w:hyperlink r:id="rId432">
        <w:r>
          <w:rPr>
            <w:rStyle w:val="Hyperlink"/>
          </w:rPr>
          <w:t xml:space="preserve">https://www.bis.org/publ/bcbs238.htm</w:t>
        </w:r>
      </w:hyperlink>
      <w:r>
        <w:t xml:space="preserve">.</w:t>
      </w:r>
    </w:p>
    <w:bookmarkEnd w:id="433"/>
    <w:bookmarkStart w:id="435" w:name="ref_BCBS2014NSFR"/>
    <w:p>
      <w:pPr>
        <w:pStyle w:val="Bibliography"/>
      </w:pPr>
      <w:r>
        <w:t xml:space="preserve">Comité de Supervisión Bancaria de Basilea (2014).</w:t>
      </w:r>
      <w:r>
        <w:t xml:space="preserve"> </w:t>
      </w:r>
      <w:r>
        <w:t xml:space="preserve">«Basel III: The Net Stable Funding Ratio»</w:t>
      </w:r>
      <w:r>
        <w:t xml:space="preserve">. Banco de Pagos Internacionales.</w:t>
      </w:r>
      <w:r>
        <w:t xml:space="preserve"> </w:t>
      </w:r>
      <w:hyperlink r:id="rId434">
        <w:r>
          <w:rPr>
            <w:rStyle w:val="Hyperlink"/>
          </w:rPr>
          <w:t xml:space="preserve">https://www.bis.org/bcbs/publ/d295.htm</w:t>
        </w:r>
      </w:hyperlink>
      <w:r>
        <w:t xml:space="preserve">.</w:t>
      </w:r>
    </w:p>
    <w:bookmarkEnd w:id="435"/>
    <w:bookmarkStart w:id="437" w:name="ref_RegUE2013MUS"/>
    <w:p>
      <w:pPr>
        <w:pStyle w:val="Bibliography"/>
      </w:pPr>
      <w:r>
        <w:t xml:space="preserve">Consejo de la Unión Europea (2013).</w:t>
      </w:r>
      <w:r>
        <w:t xml:space="preserve"> </w:t>
      </w:r>
      <w:r>
        <w:t xml:space="preserve">«Reglamento (UE) n.º 1024/2013 del Consejo, de 15 de octubre de 2013, que encomienda al Banco Central Europeo tareas específicas respecto de políticas relacionadas con la supervisión prudencial de las entidades de crédito»</w:t>
      </w:r>
      <w:r>
        <w:t xml:space="preserve">. 29 de octubre de 2013.</w:t>
      </w:r>
      <w:r>
        <w:t xml:space="preserve"> </w:t>
      </w:r>
      <w:hyperlink r:id="rId436">
        <w:r>
          <w:rPr>
            <w:rStyle w:val="Hyperlink"/>
          </w:rPr>
          <w:t xml:space="preserve">https://eur-lex.europa.eu/legal-content/ES/TXT/?uri=CELEX:32013R1024</w:t>
        </w:r>
      </w:hyperlink>
      <w:r>
        <w:t xml:space="preserve">.</w:t>
      </w:r>
    </w:p>
    <w:bookmarkEnd w:id="437"/>
    <w:bookmarkStart w:id="439" w:name="ref_RegUE2024Correctivo"/>
    <w:p>
      <w:pPr>
        <w:pStyle w:val="Bibliography"/>
      </w:pPr>
      <w:r>
        <w:t xml:space="preserve">Consejo de la Unión Europea (2024).</w:t>
      </w:r>
      <w:r>
        <w:t xml:space="preserve"> </w:t>
      </w:r>
      <w:r>
        <w:t xml:space="preserve">«Reglamento (UE) 2024/1264, de 29 de abril de 2024, por el que se modifica el Reglamento (CE) n.º 1467/97 relativo a la aceleración y clarificación del procedimiento de déficit excesivo»</w:t>
      </w:r>
      <w:r>
        <w:t xml:space="preserve">. 2024.</w:t>
      </w:r>
      <w:r>
        <w:t xml:space="preserve"> </w:t>
      </w:r>
      <w:hyperlink r:id="rId438">
        <w:r>
          <w:rPr>
            <w:rStyle w:val="Hyperlink"/>
          </w:rPr>
          <w:t xml:space="preserve">https://eur-lex.europa.eu/eli/reg/2024/1264/oj</w:t>
        </w:r>
      </w:hyperlink>
      <w:r>
        <w:t xml:space="preserve">.</w:t>
      </w:r>
    </w:p>
    <w:bookmarkEnd w:id="439"/>
    <w:bookmarkStart w:id="441" w:name="ref_CordenNeary1982"/>
    <w:p>
      <w:pPr>
        <w:pStyle w:val="Bibliography"/>
      </w:pPr>
      <w:r>
        <w:t xml:space="preserve">Corden, W. Max y J. Peter Neary (1982).</w:t>
      </w:r>
      <w:r>
        <w:t xml:space="preserve"> </w:t>
      </w:r>
      <w:r>
        <w:t xml:space="preserve">«Booming Sector and De-Industrialisation in a Small Open Economy»</w:t>
      </w:r>
      <w:r>
        <w:t xml:space="preserve">.</w:t>
      </w:r>
      <w:r>
        <w:t xml:space="preserve"> </w:t>
      </w:r>
      <w:r>
        <w:rPr>
          <w:i/>
          <w:iCs/>
        </w:rPr>
        <w:t xml:space="preserve">Economic Journal</w:t>
      </w:r>
      <w:r>
        <w:t xml:space="preserve"> </w:t>
      </w:r>
      <w:r>
        <w:t xml:space="preserve">92 (368): 825-48.</w:t>
      </w:r>
      <w:r>
        <w:t xml:space="preserve"> </w:t>
      </w:r>
      <w:hyperlink r:id="rId440">
        <w:r>
          <w:rPr>
            <w:rStyle w:val="Hyperlink"/>
          </w:rPr>
          <w:t xml:space="preserve">https://doi.org/10.2307/2232670</w:t>
        </w:r>
      </w:hyperlink>
      <w:r>
        <w:t xml:space="preserve">.</w:t>
      </w:r>
    </w:p>
    <w:bookmarkEnd w:id="441"/>
    <w:bookmarkStart w:id="442" w:name="ref_GuiaDictamenJLCT"/>
    <w:p>
      <w:pPr>
        <w:pStyle w:val="Bibliography"/>
      </w:pPr>
      <w:r>
        <w:t xml:space="preserve">Cordero Tarifa, Juan Luis (s. f.).</w:t>
      </w:r>
      <w:r>
        <w:t xml:space="preserve"> </w:t>
      </w:r>
      <w:r>
        <w:t xml:space="preserve">«Guía de dictamen económico»</w:t>
      </w:r>
      <w:r>
        <w:t xml:space="preserve">.</w:t>
      </w:r>
    </w:p>
    <w:bookmarkEnd w:id="442"/>
    <w:bookmarkStart w:id="443" w:name="ref_CuadradoRoura2015"/>
    <w:p>
      <w:pPr>
        <w:pStyle w:val="Bibliography"/>
      </w:pPr>
      <w:r>
        <w:t xml:space="preserve">Cuadrado Roura, Juan R., Tomás Mancha Navarro, José E. Villena Peña, Javier Casares Ripol, Miguel González Moreno, José M. Marín Quemada y María L. Peinado Gracia (2015).</w:t>
      </w:r>
      <w:r>
        <w:t xml:space="preserve"> </w:t>
      </w:r>
      <w:r>
        <w:rPr>
          <w:i/>
          <w:iCs/>
        </w:rPr>
        <w:t xml:space="preserve">Política económica: elaboración, objetivos e instrumentos</w:t>
      </w:r>
      <w:r>
        <w:t xml:space="preserve">. 5.ª ed. Madrid: McGraw-Hill Interamericana de España.</w:t>
      </w:r>
    </w:p>
    <w:bookmarkEnd w:id="443"/>
    <w:bookmarkStart w:id="445" w:name="ref_EHP2005PecadoOriginal"/>
    <w:p>
      <w:pPr>
        <w:pStyle w:val="Bibliography"/>
      </w:pPr>
      <w:r>
        <w:t xml:space="preserve">Eichengreen, Barry, Ricardo Hausmann y Ugo Panizza (2005).</w:t>
      </w:r>
      <w:r>
        <w:t xml:space="preserve"> </w:t>
      </w:r>
      <w:r>
        <w:t xml:space="preserve">«The Pain of Original Sin»</w:t>
      </w:r>
      <w:r>
        <w:t xml:space="preserve">. En</w:t>
      </w:r>
      <w:r>
        <w:t xml:space="preserve"> </w:t>
      </w:r>
      <w:r>
        <w:rPr>
          <w:i/>
          <w:iCs/>
        </w:rPr>
        <w:t xml:space="preserve">Other People’s Money: Debt Denomination and Financial Instability in Emerging Market Economies</w:t>
      </w:r>
      <w:r>
        <w:t xml:space="preserve">, editado por Barry Eichengreen y Ricardo Hausmann, 13-47. Chicago: University of Chicago Press.</w:t>
      </w:r>
      <w:r>
        <w:t xml:space="preserve"> </w:t>
      </w:r>
      <w:hyperlink r:id="rId444">
        <w:r>
          <w:rPr>
            <w:rStyle w:val="Hyperlink"/>
          </w:rPr>
          <w:t xml:space="preserve">https://doi.org/10.7208/chicago/9780226194578.003.0002</w:t>
        </w:r>
      </w:hyperlink>
      <w:r>
        <w:t xml:space="preserve">.</w:t>
      </w:r>
    </w:p>
    <w:bookmarkEnd w:id="445"/>
    <w:bookmarkStart w:id="447" w:name="ref_EstrellaMishkin1998"/>
    <w:p>
      <w:pPr>
        <w:pStyle w:val="Bibliography"/>
      </w:pPr>
      <w:r>
        <w:t xml:space="preserve">Estrella, Arturo y Frederic S. Mishkin (1998).</w:t>
      </w:r>
      <w:r>
        <w:t xml:space="preserve"> </w:t>
      </w:r>
      <w:r>
        <w:t xml:space="preserve">«Predicting U.S. Recessions: Financial Variables as Leading Indicators»</w:t>
      </w:r>
      <w:r>
        <w:t xml:space="preserve">.</w:t>
      </w:r>
      <w:r>
        <w:t xml:space="preserve"> </w:t>
      </w:r>
      <w:r>
        <w:rPr>
          <w:i/>
          <w:iCs/>
        </w:rPr>
        <w:t xml:space="preserve">Review of Economics and Statistics</w:t>
      </w:r>
      <w:r>
        <w:t xml:space="preserve"> </w:t>
      </w:r>
      <w:r>
        <w:t xml:space="preserve">80 (1): 45-61.</w:t>
      </w:r>
      <w:r>
        <w:t xml:space="preserve"> </w:t>
      </w:r>
      <w:hyperlink r:id="rId446">
        <w:r>
          <w:rPr>
            <w:rStyle w:val="Hyperlink"/>
          </w:rPr>
          <w:t xml:space="preserve">https://doi.org/10.1162/003465398557320</w:t>
        </w:r>
      </w:hyperlink>
      <w:r>
        <w:t xml:space="preserve">.</w:t>
      </w:r>
    </w:p>
    <w:bookmarkEnd w:id="447"/>
    <w:bookmarkStart w:id="449" w:name="ref_ABE2025RAR"/>
    <w:p>
      <w:pPr>
        <w:pStyle w:val="Bibliography"/>
      </w:pPr>
      <w:r>
        <w:t xml:space="preserve">European Banking Authority (2025).</w:t>
      </w:r>
      <w:r>
        <w:t xml:space="preserve"> </w:t>
      </w:r>
      <w:r>
        <w:t xml:space="preserve">«Risk Assessment Report»</w:t>
      </w:r>
      <w:r>
        <w:t xml:space="preserve">. Informe. European Banking Authority.</w:t>
      </w:r>
      <w:r>
        <w:t xml:space="preserve"> </w:t>
      </w:r>
      <w:hyperlink r:id="rId448">
        <w:r>
          <w:rPr>
            <w:rStyle w:val="Hyperlink"/>
          </w:rPr>
          <w:t xml:space="preserve">https://www.eba.europa.eu/risk-and-data-analysis/risk-analysis/risk-monitoring/risk-dashboard</w:t>
        </w:r>
      </w:hyperlink>
      <w:r>
        <w:t xml:space="preserve">.</w:t>
      </w:r>
    </w:p>
    <w:bookmarkEnd w:id="449"/>
    <w:bookmarkStart w:id="451" w:name="ref_ABE2026RiskDashboard"/>
    <w:p>
      <w:pPr>
        <w:pStyle w:val="Bibliography"/>
      </w:pPr>
      <w:r>
        <w:t xml:space="preserve">European Banking Authority (2026).</w:t>
      </w:r>
      <w:r>
        <w:t xml:space="preserve"> </w:t>
      </w:r>
      <w:r>
        <w:t xml:space="preserve">«Risk Dashboard. Data as of Q2 2026»</w:t>
      </w:r>
      <w:r>
        <w:t xml:space="preserve">. 2026.</w:t>
      </w:r>
      <w:r>
        <w:t xml:space="preserve"> </w:t>
      </w:r>
      <w:hyperlink r:id="rId450">
        <w:r>
          <w:rPr>
            <w:rStyle w:val="Hyperlink"/>
          </w:rPr>
          <w:t xml:space="preserve">https://www.eba.europa.eu/sites/default/files/2026-09/26394108-1837-4b5b-bce2-fba1d3c574b1/EBA%20Dashboard%20-%20Q2%202026.pdf</w:t>
        </w:r>
      </w:hyperlink>
      <w:r>
        <w:t xml:space="preserve">.</w:t>
      </w:r>
    </w:p>
    <w:bookmarkEnd w:id="451"/>
    <w:bookmarkStart w:id="453" w:name="ref_EFB2021FiscalStance"/>
    <w:p>
      <w:pPr>
        <w:pStyle w:val="Bibliography"/>
      </w:pPr>
      <w:r>
        <w:t xml:space="preserve">European Fiscal Board (2021).</w:t>
      </w:r>
      <w:r>
        <w:t xml:space="preserve"> </w:t>
      </w:r>
      <w:r>
        <w:t xml:space="preserve">«Assessment of the fiscal stance appropriate for the euro area in 2022»</w:t>
      </w:r>
      <w:r>
        <w:t xml:space="preserve">. 16 de junio de 2021.</w:t>
      </w:r>
      <w:r>
        <w:t xml:space="preserve"> </w:t>
      </w:r>
      <w:hyperlink r:id="rId452">
        <w:r>
          <w:rPr>
            <w:rStyle w:val="Hyperlink"/>
          </w:rPr>
          <w:t xml:space="preserve">https://commission.europa.eu/system/files/2021-06/2021_06_16_efb_assessment_of_euro_area_fiscal_stance_en.pdf</w:t>
        </w:r>
      </w:hyperlink>
      <w:r>
        <w:t xml:space="preserve">.</w:t>
      </w:r>
    </w:p>
    <w:bookmarkEnd w:id="453"/>
    <w:bookmarkStart w:id="455" w:name="ref_Eurostat2013EDP"/>
    <w:p>
      <w:pPr>
        <w:pStyle w:val="Bibliography"/>
      </w:pPr>
      <w:r>
        <w:t xml:space="preserve">Eurostat (2013).</w:t>
      </w:r>
      <w:r>
        <w:t xml:space="preserve"> </w:t>
      </w:r>
      <w:r>
        <w:t xml:space="preserve">«Provision of deficit and debt data for 2012 – first notification. Euro area and EU27 government deficit at 3.7% and 4.0% of GDP respectively»</w:t>
      </w:r>
      <w:r>
        <w:t xml:space="preserve">. 22 de abril de 2013.</w:t>
      </w:r>
      <w:r>
        <w:t xml:space="preserve"> </w:t>
      </w:r>
      <w:hyperlink r:id="rId454">
        <w:r>
          <w:rPr>
            <w:rStyle w:val="Hyperlink"/>
          </w:rPr>
          <w:t xml:space="preserve">https://ec.europa.eu/eurostat/web/products-euro-indicators/-/2-22042013-ap</w:t>
        </w:r>
      </w:hyperlink>
      <w:r>
        <w:t xml:space="preserve">.</w:t>
      </w:r>
    </w:p>
    <w:bookmarkEnd w:id="455"/>
    <w:bookmarkStart w:id="457" w:name="ref_Eurostat2025Sobrecarga"/>
    <w:p>
      <w:pPr>
        <w:pStyle w:val="Bibliography"/>
      </w:pPr>
      <w:r>
        <w:t xml:space="preserve">Eurostat (2025a).</w:t>
      </w:r>
      <w:r>
        <w:t xml:space="preserve"> </w:t>
      </w:r>
      <w:r>
        <w:t xml:space="preserve">«Glossary: Housing cost overburden rate»</w:t>
      </w:r>
      <w:r>
        <w:t xml:space="preserve">. 2025.</w:t>
      </w:r>
      <w:r>
        <w:t xml:space="preserve"> </w:t>
      </w:r>
      <w:hyperlink r:id="rId456">
        <w:r>
          <w:rPr>
            <w:rStyle w:val="Hyperlink"/>
          </w:rPr>
          <w:t xml:space="preserve">https://ec.europa.eu/eurostat/statistics-explained/index.php?title=Glossary:Housing_cost_overburden_rate</w:t>
        </w:r>
      </w:hyperlink>
      <w:r>
        <w:t xml:space="preserve">.</w:t>
      </w:r>
    </w:p>
    <w:bookmarkEnd w:id="457"/>
    <w:bookmarkStart w:id="459" w:name="ref_Eurostat2025MIP"/>
    <w:p>
      <w:pPr>
        <w:pStyle w:val="Bibliography"/>
      </w:pPr>
      <w:r>
        <w:t xml:space="preserve">Eurostat (2025b).</w:t>
      </w:r>
      <w:r>
        <w:t xml:space="preserve"> </w:t>
      </w:r>
      <w:r>
        <w:t xml:space="preserve">«The Macroeconomic Imbalance Procedure (MIP) introduced»</w:t>
      </w:r>
      <w:r>
        <w:t xml:space="preserve">. 2025.</w:t>
      </w:r>
      <w:r>
        <w:t xml:space="preserve"> </w:t>
      </w:r>
      <w:hyperlink r:id="rId458">
        <w:r>
          <w:rPr>
            <w:rStyle w:val="Hyperlink"/>
          </w:rPr>
          <w:t xml:space="preserve">https://ec.europa.eu/eurostat/statistics-explained/index.php?title=The_Macroeconomic_Imbalance_Procedure_(MIP)_introduced</w:t>
        </w:r>
      </w:hyperlink>
      <w:r>
        <w:t xml:space="preserve">.</w:t>
      </w:r>
    </w:p>
    <w:bookmarkEnd w:id="459"/>
    <w:bookmarkStart w:id="461" w:name="ref_Eurostat2026lfsq"/>
    <w:p>
      <w:pPr>
        <w:pStyle w:val="Bibliography"/>
      </w:pPr>
      <w:r>
        <w:t xml:space="preserve">Eurostat (2026a).</w:t>
      </w:r>
      <w:r>
        <w:t xml:space="preserve"> </w:t>
      </w:r>
      <w:r>
        <w:t xml:space="preserve">«Activity rates by sex, age and citizenship – quarterly data [lfsq_argan] y Population by sex, age, citizenship and labour status [lfsq_pganws]»</w:t>
      </w:r>
      <w:r>
        <w:t xml:space="preserve">. 2026.</w:t>
      </w:r>
      <w:r>
        <w:t xml:space="preserve"> </w:t>
      </w:r>
      <w:hyperlink r:id="rId460">
        <w:r>
          <w:rPr>
            <w:rStyle w:val="Hyperlink"/>
          </w:rPr>
          <w:t xml:space="preserve">https://ec.europa.eu/eurostat/databrowser/view/lfsq_argan/default/table</w:t>
        </w:r>
      </w:hyperlink>
      <w:r>
        <w:t xml:space="preserve">.</w:t>
      </w:r>
    </w:p>
    <w:bookmarkEnd w:id="461"/>
    <w:bookmarkStart w:id="463" w:name="ref_Eurostat2026lfsa"/>
    <w:p>
      <w:pPr>
        <w:pStyle w:val="Bibliography"/>
      </w:pPr>
      <w:r>
        <w:t xml:space="preserve">Eurostat (2026b).</w:t>
      </w:r>
      <w:r>
        <w:t xml:space="preserve"> </w:t>
      </w:r>
      <w:r>
        <w:t xml:space="preserve">«Activity rates by sex, age and citizenship [lfsa_argan]»</w:t>
      </w:r>
      <w:r>
        <w:t xml:space="preserve">. 2026.</w:t>
      </w:r>
      <w:r>
        <w:t xml:space="preserve"> </w:t>
      </w:r>
      <w:hyperlink r:id="rId462">
        <w:r>
          <w:rPr>
            <w:rStyle w:val="Hyperlink"/>
          </w:rPr>
          <w:t xml:space="preserve">https://ec.europa.eu/eurostat/databrowser/view/lfsa_argan/default/table</w:t>
        </w:r>
      </w:hyperlink>
      <w:r>
        <w:t xml:space="preserve">.</w:t>
      </w:r>
    </w:p>
    <w:bookmarkEnd w:id="463"/>
    <w:bookmarkStart w:id="465" w:name="ref_Eurostat2026namq10a10e"/>
    <w:p>
      <w:pPr>
        <w:pStyle w:val="Bibliography"/>
      </w:pPr>
      <w:r>
        <w:t xml:space="preserve">Eurostat (2026c).</w:t>
      </w:r>
      <w:r>
        <w:t xml:space="preserve"> </w:t>
      </w:r>
      <w:r>
        <w:t xml:space="preserve">«Employment by A*10 industry breakdowns – quarterly data [namq_10_a10_e]»</w:t>
      </w:r>
      <w:r>
        <w:t xml:space="preserve">. 2026.</w:t>
      </w:r>
      <w:r>
        <w:t xml:space="preserve"> </w:t>
      </w:r>
      <w:hyperlink r:id="rId464">
        <w:r>
          <w:rPr>
            <w:rStyle w:val="Hyperlink"/>
          </w:rPr>
          <w:t xml:space="preserve">https://ec.europa.eu/eurostat/databrowser/view/namq_10_a10_e/default/table</w:t>
        </w:r>
      </w:hyperlink>
      <w:r>
        <w:t xml:space="preserve">.</w:t>
      </w:r>
    </w:p>
    <w:bookmarkEnd w:id="465"/>
    <w:bookmarkStart w:id="467" w:name="ref_Eurostat2026namq10gdp"/>
    <w:p>
      <w:pPr>
        <w:pStyle w:val="Bibliography"/>
      </w:pPr>
      <w:r>
        <w:t xml:space="preserve">Eurostat (2026d).</w:t>
      </w:r>
      <w:r>
        <w:t xml:space="preserve"> </w:t>
      </w:r>
      <w:r>
        <w:t xml:space="preserve">«GDP and main components – quarterly data [namq_10_gdp]»</w:t>
      </w:r>
      <w:r>
        <w:t xml:space="preserve">. 2026.</w:t>
      </w:r>
      <w:r>
        <w:t xml:space="preserve"> </w:t>
      </w:r>
      <w:hyperlink r:id="rId466">
        <w:r>
          <w:rPr>
            <w:rStyle w:val="Hyperlink"/>
          </w:rPr>
          <w:t xml:space="preserve">https://ec.europa.eu/eurostat/databrowser/view/namq_10_gdp/default/table</w:t>
        </w:r>
      </w:hyperlink>
      <w:r>
        <w:t xml:space="preserve">.</w:t>
      </w:r>
    </w:p>
    <w:bookmarkEnd w:id="467"/>
    <w:bookmarkStart w:id="469" w:name="ref_Eurostat2026nama10gdp"/>
    <w:p>
      <w:pPr>
        <w:pStyle w:val="Bibliography"/>
      </w:pPr>
      <w:r>
        <w:t xml:space="preserve">Eurostat (2026e).</w:t>
      </w:r>
      <w:r>
        <w:t xml:space="preserve"> </w:t>
      </w:r>
      <w:r>
        <w:t xml:space="preserve">«GDP and main components (output, expenditure and income) [nama_10_gdp]»</w:t>
      </w:r>
      <w:r>
        <w:t xml:space="preserve">. 2026.</w:t>
      </w:r>
      <w:r>
        <w:t xml:space="preserve"> </w:t>
      </w:r>
      <w:hyperlink r:id="rId468">
        <w:r>
          <w:rPr>
            <w:rStyle w:val="Hyperlink"/>
          </w:rPr>
          <w:t xml:space="preserve">https://ec.europa.eu/eurostat/databrowser/view/nama_10_gdp/default/table</w:t>
        </w:r>
      </w:hyperlink>
      <w:r>
        <w:t xml:space="preserve">.</w:t>
      </w:r>
    </w:p>
    <w:bookmarkEnd w:id="469"/>
    <w:bookmarkStart w:id="471" w:name="ref_Eurostat2026nama10a10"/>
    <w:p>
      <w:pPr>
        <w:pStyle w:val="Bibliography"/>
      </w:pPr>
      <w:r>
        <w:t xml:space="preserve">Eurostat (2026f).</w:t>
      </w:r>
      <w:r>
        <w:t xml:space="preserve"> </w:t>
      </w:r>
      <w:r>
        <w:t xml:space="preserve">«Gross value added and income by main industry (NACE Rev. 2) [nama_10_a10]»</w:t>
      </w:r>
      <w:r>
        <w:t xml:space="preserve">. 2026.</w:t>
      </w:r>
      <w:r>
        <w:t xml:space="preserve"> </w:t>
      </w:r>
      <w:hyperlink r:id="rId470">
        <w:r>
          <w:rPr>
            <w:rStyle w:val="Hyperlink"/>
          </w:rPr>
          <w:t xml:space="preserve">https://ec.europa.eu/eurostat/databrowser/view/nama_10_a10/default/table</w:t>
        </w:r>
      </w:hyperlink>
      <w:r>
        <w:t xml:space="preserve">.</w:t>
      </w:r>
    </w:p>
    <w:bookmarkEnd w:id="471"/>
    <w:bookmarkStart w:id="473" w:name="ref_Eurostat2026hicp"/>
    <w:p>
      <w:pPr>
        <w:pStyle w:val="Bibliography"/>
      </w:pPr>
      <w:r>
        <w:t xml:space="preserve">Eurostat (2026g).</w:t>
      </w:r>
      <w:r>
        <w:t xml:space="preserve"> </w:t>
      </w:r>
      <w:r>
        <w:t xml:space="preserve">«Harmonised index of consumer prices (HICP) – ECOICOP ver. 2: indices and rates of change [prc_hicp_minr] y contributions to euro area annual inflation [prc_hicp_ctr]»</w:t>
      </w:r>
      <w:r>
        <w:t xml:space="preserve">. 2026.</w:t>
      </w:r>
      <w:r>
        <w:t xml:space="preserve"> </w:t>
      </w:r>
      <w:hyperlink r:id="rId472">
        <w:r>
          <w:rPr>
            <w:rStyle w:val="Hyperlink"/>
          </w:rPr>
          <w:t xml:space="preserve">https://ec.europa.eu/eurostat/databrowser/view/prc_hicp_minr/default/table</w:t>
        </w:r>
      </w:hyperlink>
      <w:r>
        <w:t xml:space="preserve">.</w:t>
      </w:r>
    </w:p>
    <w:bookmarkEnd w:id="473"/>
    <w:bookmarkStart w:id="475" w:name="ref_Eurostat2026jvs"/>
    <w:p>
      <w:pPr>
        <w:pStyle w:val="Bibliography"/>
      </w:pPr>
      <w:r>
        <w:t xml:space="preserve">Eurostat (2026h).</w:t>
      </w:r>
      <w:r>
        <w:t xml:space="preserve"> </w:t>
      </w:r>
      <w:r>
        <w:t xml:space="preserve">«Job vacancy statistics by NACE Rev. 2.1 activity – quarterly data [jvs_q_r21]»</w:t>
      </w:r>
      <w:r>
        <w:t xml:space="preserve">. 2026.</w:t>
      </w:r>
      <w:r>
        <w:t xml:space="preserve"> </w:t>
      </w:r>
      <w:hyperlink r:id="rId474">
        <w:r>
          <w:rPr>
            <w:rStyle w:val="Hyperlink"/>
          </w:rPr>
          <w:t xml:space="preserve">https://ec.europa.eu/eurostat/databrowser/view/jvs_q_r21/default/table</w:t>
        </w:r>
      </w:hyperlink>
      <w:r>
        <w:t xml:space="preserve">.</w:t>
      </w:r>
    </w:p>
    <w:bookmarkEnd w:id="475"/>
    <w:bookmarkStart w:id="477" w:name="ref_Eurostat2026une"/>
    <w:p>
      <w:pPr>
        <w:pStyle w:val="Bibliography"/>
      </w:pPr>
      <w:r>
        <w:t xml:space="preserve">Eurostat (2026i).</w:t>
      </w:r>
      <w:r>
        <w:t xml:space="preserve"> </w:t>
      </w:r>
      <w:r>
        <w:t xml:space="preserve">«Unemployment by sex and age – monthly and quarterly data [une_rt_m, une_rt_q]»</w:t>
      </w:r>
      <w:r>
        <w:t xml:space="preserve">. 2026.</w:t>
      </w:r>
      <w:r>
        <w:t xml:space="preserve"> </w:t>
      </w:r>
      <w:hyperlink r:id="rId476">
        <w:r>
          <w:rPr>
            <w:rStyle w:val="Hyperlink"/>
          </w:rPr>
          <w:t xml:space="preserve">https://ec.europa.eu/eurostat/databrowser/view/une_rt_q/default/table</w:t>
        </w:r>
      </w:hyperlink>
      <w:r>
        <w:t xml:space="preserve">.</w:t>
      </w:r>
    </w:p>
    <w:bookmarkEnd w:id="477"/>
    <w:bookmarkStart w:id="479" w:name="ref_Fajgelbaum2020Proteccionismo"/>
    <w:p>
      <w:pPr>
        <w:pStyle w:val="Bibliography"/>
      </w:pPr>
      <w:r>
        <w:t xml:space="preserve">Fajgelbaum, Pablo D., Pinelopi K. Goldberg, Patrick J. Kennedy y Amit K. Khandelwal (2020).</w:t>
      </w:r>
      <w:r>
        <w:t xml:space="preserve"> </w:t>
      </w:r>
      <w:r>
        <w:t xml:space="preserve">«The Return to Protectionism»</w:t>
      </w:r>
      <w:r>
        <w:t xml:space="preserve">.</w:t>
      </w:r>
      <w:r>
        <w:t xml:space="preserve"> </w:t>
      </w:r>
      <w:r>
        <w:rPr>
          <w:i/>
          <w:iCs/>
        </w:rPr>
        <w:t xml:space="preserve">Quarterly Journal of Economics</w:t>
      </w:r>
      <w:r>
        <w:t xml:space="preserve"> </w:t>
      </w:r>
      <w:r>
        <w:t xml:space="preserve">135 (1): 1-55.</w:t>
      </w:r>
      <w:r>
        <w:t xml:space="preserve"> </w:t>
      </w:r>
      <w:hyperlink r:id="rId478">
        <w:r>
          <w:rPr>
            <w:rStyle w:val="Hyperlink"/>
          </w:rPr>
          <w:t xml:space="preserve">https://doi.org/10.1093/qje/qjz036</w:t>
        </w:r>
      </w:hyperlink>
      <w:r>
        <w:t xml:space="preserve">.</w:t>
      </w:r>
    </w:p>
    <w:bookmarkEnd w:id="479"/>
    <w:bookmarkStart w:id="481" w:name="ref_FelipeKumar2011"/>
    <w:p>
      <w:pPr>
        <w:pStyle w:val="Bibliography"/>
      </w:pPr>
      <w:r>
        <w:t xml:space="preserve">Felipe, Jesus y Utsav Kumar (2011).</w:t>
      </w:r>
      <w:r>
        <w:t xml:space="preserve"> </w:t>
      </w:r>
      <w:r>
        <w:t xml:space="preserve">«Unit Labor Costs in the Eurozone: The Competitiveness Debate Again»</w:t>
      </w:r>
      <w:r>
        <w:t xml:space="preserve">. Working Paper 651. Levy Economics Institute of Bard College.</w:t>
      </w:r>
      <w:r>
        <w:t xml:space="preserve"> </w:t>
      </w:r>
      <w:hyperlink r:id="rId480">
        <w:r>
          <w:rPr>
            <w:rStyle w:val="Hyperlink"/>
          </w:rPr>
          <w:t xml:space="preserve">https://www.levyinstitute.org/pubs/wp_651.pdf</w:t>
        </w:r>
      </w:hyperlink>
      <w:r>
        <w:t xml:space="preserve">.</w:t>
      </w:r>
    </w:p>
    <w:bookmarkEnd w:id="481"/>
    <w:bookmarkStart w:id="483" w:name="ref_FMI2009MBP6"/>
    <w:p>
      <w:pPr>
        <w:pStyle w:val="Bibliography"/>
      </w:pPr>
      <w:r>
        <w:t xml:space="preserve">Fondo Monetario Internacional (2009).</w:t>
      </w:r>
      <w:r>
        <w:t xml:space="preserve"> </w:t>
      </w:r>
      <w:r>
        <w:rPr>
          <w:i/>
          <w:iCs/>
        </w:rPr>
        <w:t xml:space="preserve">Manual de Balanza de Pagos y Posición de Inversión Internacional</w:t>
      </w:r>
      <w:r>
        <w:t xml:space="preserve">. 6.ª ed. Washington D. C.: FMI.</w:t>
      </w:r>
      <w:r>
        <w:t xml:space="preserve"> </w:t>
      </w:r>
      <w:hyperlink r:id="rId482">
        <w:r>
          <w:rPr>
            <w:rStyle w:val="Hyperlink"/>
          </w:rPr>
          <w:t xml:space="preserve">https://www.imf.org/external/pubs/ft/bop/2007/pdf/bpm6.pdf</w:t>
        </w:r>
      </w:hyperlink>
      <w:r>
        <w:t xml:space="preserve">.</w:t>
      </w:r>
    </w:p>
    <w:bookmarkEnd w:id="483"/>
    <w:bookmarkStart w:id="485" w:name="ref_FMI2011Reservas"/>
    <w:p>
      <w:pPr>
        <w:pStyle w:val="Bibliography"/>
      </w:pPr>
      <w:r>
        <w:t xml:space="preserve">Fondo Monetario Internacional (2011).</w:t>
      </w:r>
      <w:r>
        <w:t xml:space="preserve"> </w:t>
      </w:r>
      <w:r>
        <w:t xml:space="preserve">«Assessing Reserve Adequacy»</w:t>
      </w:r>
      <w:r>
        <w:t xml:space="preserve">. Policy Paper. Fondo Monetario Internacional.</w:t>
      </w:r>
      <w:r>
        <w:t xml:space="preserve"> </w:t>
      </w:r>
      <w:hyperlink r:id="rId484">
        <w:r>
          <w:rPr>
            <w:rStyle w:val="Hyperlink"/>
          </w:rPr>
          <w:t xml:space="preserve">https://www.imf.org/external/np/pp/eng/2011/021411b.pdf</w:t>
        </w:r>
      </w:hyperlink>
      <w:r>
        <w:t xml:space="preserve">.</w:t>
      </w:r>
    </w:p>
    <w:bookmarkEnd w:id="485"/>
    <w:bookmarkStart w:id="486" w:name="ref_FMI2013CaseStudy"/>
    <w:p>
      <w:pPr>
        <w:pStyle w:val="Bibliography"/>
      </w:pPr>
      <w:r>
        <w:t xml:space="preserve">Fondo Monetario Internacional (2013).</w:t>
      </w:r>
      <w:r>
        <w:t xml:space="preserve"> </w:t>
      </w:r>
      <w:r>
        <w:t xml:space="preserve">«Analytical and Methodological Background for a Country Case Study»</w:t>
      </w:r>
      <w:r>
        <w:t xml:space="preserve">. Material del curso de programación financiera. IMF Institute for Capacity Development.</w:t>
      </w:r>
    </w:p>
    <w:bookmarkEnd w:id="486"/>
    <w:bookmarkStart w:id="488" w:name="ref_FMI2022edXFPP"/>
    <w:p>
      <w:pPr>
        <w:pStyle w:val="Bibliography"/>
      </w:pPr>
      <w:r>
        <w:t xml:space="preserve">Fondo Monetario Internacional (2022a).</w:t>
      </w:r>
      <w:r>
        <w:t xml:space="preserve"> </w:t>
      </w:r>
      <w:r>
        <w:t xml:space="preserve">«Financial Programming and Policies, Part 1: Macroeconomic Accounts &amp; Analysis (IMFx FPP.1x)»</w:t>
      </w:r>
      <w:r>
        <w:t xml:space="preserve">. 2022.</w:t>
      </w:r>
      <w:r>
        <w:t xml:space="preserve"> </w:t>
      </w:r>
      <w:hyperlink r:id="rId487">
        <w:r>
          <w:rPr>
            <w:rStyle w:val="Hyperlink"/>
          </w:rPr>
          <w:t xml:space="preserve">https://www.edx.org/es/learn/finance/the-international-monetary-fund-financial-programming-and-policies-part-1-macroeconomic-accounts-analysis</w:t>
        </w:r>
      </w:hyperlink>
      <w:r>
        <w:t xml:space="preserve">.</w:t>
      </w:r>
    </w:p>
    <w:bookmarkEnd w:id="488"/>
    <w:bookmarkStart w:id="490" w:name="ref_FMI2022edXFPPes"/>
    <w:p>
      <w:pPr>
        <w:pStyle w:val="Bibliography"/>
      </w:pPr>
      <w:r>
        <w:t xml:space="preserve">Fondo Monetario Internacional (2022b).</w:t>
      </w:r>
      <w:r>
        <w:t xml:space="preserve"> </w:t>
      </w:r>
      <w:r>
        <w:t xml:space="preserve">«Programación y políticas financieras, parte 1: cuentas y análisis macroeconómicos»</w:t>
      </w:r>
      <w:r>
        <w:t xml:space="preserve">. 2022.</w:t>
      </w:r>
      <w:r>
        <w:t xml:space="preserve"> </w:t>
      </w:r>
      <w:hyperlink r:id="rId489">
        <w:r>
          <w:rPr>
            <w:rStyle w:val="Hyperlink"/>
          </w:rPr>
          <w:t xml:space="preserve">https://www.edx.org/es/course/programacion-y-politicas-financieras-parte-1-cue-2</w:t>
        </w:r>
      </w:hyperlink>
      <w:r>
        <w:t xml:space="preserve">.</w:t>
      </w:r>
    </w:p>
    <w:bookmarkEnd w:id="490"/>
    <w:bookmarkStart w:id="492" w:name="ref_FMI2023FiscalMonitor"/>
    <w:p>
      <w:pPr>
        <w:pStyle w:val="Bibliography"/>
      </w:pPr>
      <w:r>
        <w:t xml:space="preserve">Fondo Monetario Internacional (2023a).</w:t>
      </w:r>
      <w:r>
        <w:t xml:space="preserve"> </w:t>
      </w:r>
      <w:r>
        <w:t xml:space="preserve">«Fiscal Monitor, April 2023: On the Path to Policy Normalization»</w:t>
      </w:r>
      <w:r>
        <w:t xml:space="preserve">. Informe. Fondo Monetario Internacional.</w:t>
      </w:r>
      <w:r>
        <w:t xml:space="preserve"> </w:t>
      </w:r>
      <w:hyperlink r:id="rId491">
        <w:r>
          <w:rPr>
            <w:rStyle w:val="Hyperlink"/>
          </w:rPr>
          <w:t xml:space="preserve">https://www.imf.org/es/Publications/FM/Issues/2023/04/03/fiscal-monitor-april-2023</w:t>
        </w:r>
      </w:hyperlink>
      <w:r>
        <w:t xml:space="preserve">.</w:t>
      </w:r>
    </w:p>
    <w:bookmarkEnd w:id="492"/>
    <w:bookmarkStart w:id="494" w:name="ref_FMI2023ArticuloIV2022"/>
    <w:p>
      <w:pPr>
        <w:pStyle w:val="Bibliography"/>
      </w:pPr>
      <w:r>
        <w:t xml:space="preserve">Fondo Monetario Internacional (2023b).</w:t>
      </w:r>
      <w:r>
        <w:t xml:space="preserve"> </w:t>
      </w:r>
      <w:r>
        <w:t xml:space="preserve">«Spain: 2022 Article IV Consultation-Press Release; Staff Report; and Statement by the Executive Director for Spain»</w:t>
      </w:r>
      <w:r>
        <w:t xml:space="preserve">. IMF Country Report 2023/033. Fondo Monetario Internacional.</w:t>
      </w:r>
      <w:r>
        <w:t xml:space="preserve"> </w:t>
      </w:r>
      <w:hyperlink r:id="rId493">
        <w:r>
          <w:rPr>
            <w:rStyle w:val="Hyperlink"/>
          </w:rPr>
          <w:t xml:space="preserve">https://doi.org/10.5089/9798400230622.002.A001</w:t>
        </w:r>
      </w:hyperlink>
      <w:r>
        <w:t xml:space="preserve">.</w:t>
      </w:r>
    </w:p>
    <w:bookmarkEnd w:id="494"/>
    <w:bookmarkStart w:id="496" w:name="ref_FMI2025MBP7"/>
    <w:p>
      <w:pPr>
        <w:pStyle w:val="Bibliography"/>
      </w:pPr>
      <w:r>
        <w:t xml:space="preserve">Fondo Monetario Internacional (2025a).</w:t>
      </w:r>
      <w:r>
        <w:t xml:space="preserve"> </w:t>
      </w:r>
      <w:r>
        <w:t xml:space="preserve">«IMF and Statistical Community Release New Global Standards for Macroeconomic Statistics»</w:t>
      </w:r>
      <w:r>
        <w:t xml:space="preserve">. 2025.</w:t>
      </w:r>
      <w:r>
        <w:t xml:space="preserve"> </w:t>
      </w:r>
      <w:hyperlink r:id="rId495">
        <w:r>
          <w:rPr>
            <w:rStyle w:val="Hyperlink"/>
          </w:rPr>
          <w:t xml:space="preserve">https://www.imf.org/en/news/articles/2025/03/20/pr25072-imf-and-statistical-community-release-new-global-standards-for-macroeconomic-stats</w:t>
        </w:r>
      </w:hyperlink>
      <w:r>
        <w:t xml:space="preserve">.</w:t>
      </w:r>
    </w:p>
    <w:bookmarkEnd w:id="496"/>
    <w:bookmarkStart w:id="498" w:name="ref_FMI2025Condicionalidad"/>
    <w:p>
      <w:pPr>
        <w:pStyle w:val="Bibliography"/>
      </w:pPr>
      <w:r>
        <w:t xml:space="preserve">Fondo Monetario Internacional (2025b).</w:t>
      </w:r>
      <w:r>
        <w:t xml:space="preserve"> </w:t>
      </w:r>
      <w:r>
        <w:t xml:space="preserve">«IMF Conditionality»</w:t>
      </w:r>
      <w:r>
        <w:t xml:space="preserve">. Factsheet. 2025.</w:t>
      </w:r>
      <w:r>
        <w:t xml:space="preserve"> </w:t>
      </w:r>
      <w:hyperlink r:id="rId497">
        <w:r>
          <w:rPr>
            <w:rStyle w:val="Hyperlink"/>
          </w:rPr>
          <w:t xml:space="preserve">https://www.imf.org/en/About/Factsheets/Sheets/2023/IMF-Conditionality</w:t>
        </w:r>
      </w:hyperlink>
      <w:r>
        <w:t xml:space="preserve">.</w:t>
      </w:r>
    </w:p>
    <w:bookmarkEnd w:id="498"/>
    <w:bookmarkStart w:id="500" w:name="ref_FMI2026FMdatos"/>
    <w:p>
      <w:pPr>
        <w:pStyle w:val="Bibliography"/>
      </w:pPr>
      <w:r>
        <w:t xml:space="preserve">Fondo Monetario Internacional (2026a).</w:t>
      </w:r>
      <w:r>
        <w:t xml:space="preserve"> </w:t>
      </w:r>
      <w:r>
        <w:t xml:space="preserve">«Fiscal Monitor database [IMF.FAD:FM]: cyclically adjusted primary balance, general government»</w:t>
      </w:r>
      <w:r>
        <w:t xml:space="preserve">. 2026.</w:t>
      </w:r>
      <w:r>
        <w:t xml:space="preserve"> </w:t>
      </w:r>
      <w:hyperlink r:id="rId499">
        <w:r>
          <w:rPr>
            <w:rStyle w:val="Hyperlink"/>
          </w:rPr>
          <w:t xml:space="preserve">https://data.imf.org/en/Dashboards/FM%20Dashboard</w:t>
        </w:r>
      </w:hyperlink>
      <w:r>
        <w:t xml:space="preserve">.</w:t>
      </w:r>
    </w:p>
    <w:bookmarkEnd w:id="500"/>
    <w:bookmarkStart w:id="502" w:name="ref_FMI2026ArticleIVPagina"/>
    <w:p>
      <w:pPr>
        <w:pStyle w:val="Bibliography"/>
      </w:pPr>
      <w:r>
        <w:t xml:space="preserve">Fondo Monetario Internacional (2026b).</w:t>
      </w:r>
      <w:r>
        <w:t xml:space="preserve"> </w:t>
      </w:r>
      <w:r>
        <w:t xml:space="preserve">«IMF Executive Board Concludes Article IV Consultations»</w:t>
      </w:r>
      <w:r>
        <w:t xml:space="preserve">. 2026.</w:t>
      </w:r>
      <w:r>
        <w:t xml:space="preserve"> </w:t>
      </w:r>
      <w:hyperlink r:id="rId501">
        <w:r>
          <w:rPr>
            <w:rStyle w:val="Hyperlink"/>
          </w:rPr>
          <w:t xml:space="preserve">https://www.imf.org/en/About/executive-board/Article-IV</w:t>
        </w:r>
      </w:hyperlink>
      <w:r>
        <w:t xml:space="preserve">.</w:t>
      </w:r>
    </w:p>
    <w:bookmarkEnd w:id="502"/>
    <w:bookmarkStart w:id="504" w:name="ref_FMI2026ArticuloIV"/>
    <w:p>
      <w:pPr>
        <w:pStyle w:val="Bibliography"/>
      </w:pPr>
      <w:r>
        <w:t xml:space="preserve">Fondo Monetario Internacional (2026c).</w:t>
      </w:r>
      <w:r>
        <w:t xml:space="preserve"> </w:t>
      </w:r>
      <w:r>
        <w:t xml:space="preserve">«Spain: 2026 Article IV Consultation-Press Release; Staff Report; and Statement by the Executive Director for Spain»</w:t>
      </w:r>
      <w:r>
        <w:t xml:space="preserve">. IMF Country Report 26/102. Fondo Monetario Internacional.</w:t>
      </w:r>
      <w:r>
        <w:t xml:space="preserve"> </w:t>
      </w:r>
      <w:hyperlink r:id="rId503">
        <w:r>
          <w:rPr>
            <w:rStyle w:val="Hyperlink"/>
          </w:rPr>
          <w:t xml:space="preserve">https://www.imf.org/en/publications/cr/issues/2026/05/21/spain-2026-article-iv-consultation-press-release-staff-report-and-statement-by-the-576248</w:t>
        </w:r>
      </w:hyperlink>
      <w:r>
        <w:t xml:space="preserve">.</w:t>
      </w:r>
    </w:p>
    <w:bookmarkEnd w:id="504"/>
    <w:bookmarkStart w:id="506" w:name="ref_FMI2026WEO"/>
    <w:p>
      <w:pPr>
        <w:pStyle w:val="Bibliography"/>
      </w:pPr>
      <w:r>
        <w:t xml:space="preserve">Fondo Monetario Internacional (2026d).</w:t>
      </w:r>
      <w:r>
        <w:t xml:space="preserve"> </w:t>
      </w:r>
      <w:r>
        <w:t xml:space="preserve">«World Economic Outlook, October 2026: Resilience Under Strain, Urgent Choices»</w:t>
      </w:r>
      <w:r>
        <w:t xml:space="preserve">. Informe. Fondo Monetario Internacional.</w:t>
      </w:r>
      <w:r>
        <w:t xml:space="preserve"> </w:t>
      </w:r>
      <w:hyperlink r:id="rId505">
        <w:r>
          <w:rPr>
            <w:rStyle w:val="Hyperlink"/>
          </w:rPr>
          <w:t xml:space="preserve">https://www.imf.org/en/publications/weo/issues/2026/10/13/world-economic-outlook-october-2026</w:t>
        </w:r>
      </w:hyperlink>
      <w:r>
        <w:t xml:space="preserve">.</w:t>
      </w:r>
    </w:p>
    <w:bookmarkEnd w:id="506"/>
    <w:bookmarkStart w:id="507" w:name="ref_Friedman1957"/>
    <w:p>
      <w:pPr>
        <w:pStyle w:val="Bibliography"/>
      </w:pPr>
      <w:r>
        <w:t xml:space="preserve">Friedman, Milton (1957).</w:t>
      </w:r>
      <w:r>
        <w:t xml:space="preserve"> </w:t>
      </w:r>
      <w:r>
        <w:rPr>
          <w:i/>
          <w:iCs/>
        </w:rPr>
        <w:t xml:space="preserve">A Theory of the Consumption Function</w:t>
      </w:r>
      <w:r>
        <w:t xml:space="preserve">. Princeton: Princeton University Press.</w:t>
      </w:r>
    </w:p>
    <w:bookmarkEnd w:id="507"/>
    <w:bookmarkStart w:id="509" w:name="ref_GiavazziPagano1990"/>
    <w:p>
      <w:pPr>
        <w:pStyle w:val="Bibliography"/>
      </w:pPr>
      <w:r>
        <w:t xml:space="preserve">Giavazzi, Francesco y Marco Pagano (1990).</w:t>
      </w:r>
      <w:r>
        <w:t xml:space="preserve"> </w:t>
      </w:r>
      <w:r>
        <w:t xml:space="preserve">«Can Severe Fiscal Contractions Be Expansionary? Tales of Two Small European Countries»</w:t>
      </w:r>
      <w:r>
        <w:t xml:space="preserve">.</w:t>
      </w:r>
      <w:r>
        <w:t xml:space="preserve"> </w:t>
      </w:r>
      <w:r>
        <w:rPr>
          <w:i/>
          <w:iCs/>
        </w:rPr>
        <w:t xml:space="preserve">NBER Macroeconomics Annual</w:t>
      </w:r>
      <w:r>
        <w:t xml:space="preserve"> </w:t>
      </w:r>
      <w:r>
        <w:t xml:space="preserve">5: 75-111.</w:t>
      </w:r>
      <w:r>
        <w:t xml:space="preserve"> </w:t>
      </w:r>
      <w:hyperlink r:id="rId508">
        <w:r>
          <w:rPr>
            <w:rStyle w:val="Hyperlink"/>
          </w:rPr>
          <w:t xml:space="preserve">https://doi.org/10.1086/654131</w:t>
        </w:r>
      </w:hyperlink>
      <w:r>
        <w:t xml:space="preserve">.</w:t>
      </w:r>
    </w:p>
    <w:bookmarkEnd w:id="509"/>
    <w:bookmarkStart w:id="511" w:name="ref_Gopinath2020DCP"/>
    <w:p>
      <w:pPr>
        <w:pStyle w:val="Bibliography"/>
      </w:pPr>
      <w:r>
        <w:t xml:space="preserve">Gopinath, Gita, Emine Boz, Camila Casas, Federico J. Díez, Pierre-Olivier Gourinchas y Mikkel Plagborg-Møller (2020).</w:t>
      </w:r>
      <w:r>
        <w:t xml:space="preserve"> </w:t>
      </w:r>
      <w:r>
        <w:t xml:space="preserve">«Dominant Currency Paradigm»</w:t>
      </w:r>
      <w:r>
        <w:t xml:space="preserve">.</w:t>
      </w:r>
      <w:r>
        <w:t xml:space="preserve"> </w:t>
      </w:r>
      <w:r>
        <w:rPr>
          <w:i/>
          <w:iCs/>
        </w:rPr>
        <w:t xml:space="preserve">American Economic Review</w:t>
      </w:r>
      <w:r>
        <w:t xml:space="preserve"> </w:t>
      </w:r>
      <w:r>
        <w:t xml:space="preserve">110 (3): 677-719.</w:t>
      </w:r>
      <w:r>
        <w:t xml:space="preserve"> </w:t>
      </w:r>
      <w:hyperlink r:id="rId510">
        <w:r>
          <w:rPr>
            <w:rStyle w:val="Hyperlink"/>
          </w:rPr>
          <w:t xml:space="preserve">https://doi.org/10.1257/aer.20171201</w:t>
        </w:r>
      </w:hyperlink>
      <w:r>
        <w:t xml:space="preserve">.</w:t>
      </w:r>
    </w:p>
    <w:bookmarkEnd w:id="511"/>
    <w:bookmarkStart w:id="513" w:name="ref_Gordon2011Phillips"/>
    <w:p>
      <w:pPr>
        <w:pStyle w:val="Bibliography"/>
      </w:pPr>
      <w:r>
        <w:t xml:space="preserve">Gordon, Robert J. (2011).</w:t>
      </w:r>
      <w:r>
        <w:t xml:space="preserve"> </w:t>
      </w:r>
      <w:r>
        <w:t xml:space="preserve">«The History of the Phillips Curve: Consensus and Bifurcation»</w:t>
      </w:r>
      <w:r>
        <w:t xml:space="preserve">.</w:t>
      </w:r>
      <w:r>
        <w:t xml:space="preserve"> </w:t>
      </w:r>
      <w:r>
        <w:rPr>
          <w:i/>
          <w:iCs/>
        </w:rPr>
        <w:t xml:space="preserve">Economica</w:t>
      </w:r>
      <w:r>
        <w:t xml:space="preserve"> </w:t>
      </w:r>
      <w:r>
        <w:t xml:space="preserve">78 (309): 10-50.</w:t>
      </w:r>
      <w:r>
        <w:t xml:space="preserve"> </w:t>
      </w:r>
      <w:hyperlink r:id="rId512">
        <w:r>
          <w:rPr>
            <w:rStyle w:val="Hyperlink"/>
          </w:rPr>
          <w:t xml:space="preserve">https://doi.org/10.1111/j.1468-0335.2009.00815.x</w:t>
        </w:r>
      </w:hyperlink>
      <w:r>
        <w:t xml:space="preserve">.</w:t>
      </w:r>
    </w:p>
    <w:bookmarkEnd w:id="513"/>
    <w:bookmarkStart w:id="515" w:name="ref_Guajardo2014Austeridad"/>
    <w:p>
      <w:pPr>
        <w:pStyle w:val="Bibliography"/>
      </w:pPr>
      <w:r>
        <w:t xml:space="preserve">Guajardo, Jaime, Daniel Leigh y Andrea Pescatori (2014).</w:t>
      </w:r>
      <w:r>
        <w:t xml:space="preserve"> </w:t>
      </w:r>
      <w:r>
        <w:t xml:space="preserve">«Expansionary Austerity? International Evidence»</w:t>
      </w:r>
      <w:r>
        <w:t xml:space="preserve">.</w:t>
      </w:r>
      <w:r>
        <w:t xml:space="preserve"> </w:t>
      </w:r>
      <w:r>
        <w:rPr>
          <w:i/>
          <w:iCs/>
        </w:rPr>
        <w:t xml:space="preserve">Journal of the European Economic Association</w:t>
      </w:r>
      <w:r>
        <w:t xml:space="preserve"> </w:t>
      </w:r>
      <w:r>
        <w:t xml:space="preserve">12 (4): 949-68.</w:t>
      </w:r>
      <w:r>
        <w:t xml:space="preserve"> </w:t>
      </w:r>
      <w:hyperlink r:id="rId514">
        <w:r>
          <w:rPr>
            <w:rStyle w:val="Hyperlink"/>
          </w:rPr>
          <w:t xml:space="preserve">https://doi.org/10.1111/jeea.12083</w:t>
        </w:r>
      </w:hyperlink>
      <w:r>
        <w:t xml:space="preserve">.</w:t>
      </w:r>
    </w:p>
    <w:bookmarkEnd w:id="515"/>
    <w:bookmarkStart w:id="517" w:name="ref_Hall1978"/>
    <w:p>
      <w:pPr>
        <w:pStyle w:val="Bibliography"/>
      </w:pPr>
      <w:r>
        <w:t xml:space="preserve">Hall, Robert E. (1978).</w:t>
      </w:r>
      <w:r>
        <w:t xml:space="preserve"> </w:t>
      </w:r>
      <w:r>
        <w:t xml:space="preserve">«Stochastic Implications of the Life Cycle-Permanent Income Hypothesis: Theory and Evidence»</w:t>
      </w:r>
      <w:r>
        <w:t xml:space="preserve">.</w:t>
      </w:r>
      <w:r>
        <w:t xml:space="preserve"> </w:t>
      </w:r>
      <w:r>
        <w:rPr>
          <w:i/>
          <w:iCs/>
        </w:rPr>
        <w:t xml:space="preserve">Journal of Political Economy</w:t>
      </w:r>
      <w:r>
        <w:t xml:space="preserve"> </w:t>
      </w:r>
      <w:r>
        <w:t xml:space="preserve">86 (6): 971-87.</w:t>
      </w:r>
      <w:r>
        <w:t xml:space="preserve"> </w:t>
      </w:r>
      <w:hyperlink r:id="rId516">
        <w:r>
          <w:rPr>
            <w:rStyle w:val="Hyperlink"/>
          </w:rPr>
          <w:t xml:space="preserve">https://doi.org/10.1086/260724</w:t>
        </w:r>
      </w:hyperlink>
      <w:r>
        <w:t xml:space="preserve">.</w:t>
      </w:r>
    </w:p>
    <w:bookmarkEnd w:id="517"/>
    <w:bookmarkStart w:id="519" w:name="ref_Havik2014Potencial"/>
    <w:p>
      <w:pPr>
        <w:pStyle w:val="Bibliography"/>
      </w:pPr>
      <w:r>
        <w:t xml:space="preserve">Havik, Karel, Kieran Mc Morrow, Fabrice Orlandi, Christophe Planas, Rafal Raciborski, Werner Röger, Alessandro Rossi, Anna Thum-Thysen y Valerie Vandermeulen (2014).</w:t>
      </w:r>
      <w:r>
        <w:t xml:space="preserve"> </w:t>
      </w:r>
      <w:r>
        <w:t xml:space="preserve">«The Production Function Methodology for Calculating Potential Growth Rates and Output Gaps»</w:t>
      </w:r>
      <w:r>
        <w:t xml:space="preserve">. European Economy -- Economic Papers 535. Comisión Europea.</w:t>
      </w:r>
      <w:r>
        <w:t xml:space="preserve"> </w:t>
      </w:r>
      <w:hyperlink r:id="rId518">
        <w:r>
          <w:rPr>
            <w:rStyle w:val="Hyperlink"/>
          </w:rPr>
          <w:t xml:space="preserve">https://doi.org/10.2765/71437</w:t>
        </w:r>
      </w:hyperlink>
      <w:r>
        <w:t xml:space="preserve">.</w:t>
      </w:r>
    </w:p>
    <w:bookmarkEnd w:id="519"/>
    <w:bookmarkStart w:id="521" w:name="ref_HodrickPrescott1997"/>
    <w:p>
      <w:pPr>
        <w:pStyle w:val="Bibliography"/>
      </w:pPr>
      <w:r>
        <w:t xml:space="preserve">Hodrick, Robert J. y Edward C. Prescott (1997).</w:t>
      </w:r>
      <w:r>
        <w:t xml:space="preserve"> </w:t>
      </w:r>
      <w:r>
        <w:t xml:space="preserve">«Postwar U.S. Business Cycles: An Empirical Investigation»</w:t>
      </w:r>
      <w:r>
        <w:t xml:space="preserve">.</w:t>
      </w:r>
      <w:r>
        <w:t xml:space="preserve"> </w:t>
      </w:r>
      <w:r>
        <w:rPr>
          <w:i/>
          <w:iCs/>
        </w:rPr>
        <w:t xml:space="preserve">Journal of Money, Credit and Banking</w:t>
      </w:r>
      <w:r>
        <w:t xml:space="preserve"> </w:t>
      </w:r>
      <w:r>
        <w:t xml:space="preserve">29 (1): 1-16.</w:t>
      </w:r>
      <w:r>
        <w:t xml:space="preserve"> </w:t>
      </w:r>
      <w:hyperlink r:id="rId520">
        <w:r>
          <w:rPr>
            <w:rStyle w:val="Hyperlink"/>
          </w:rPr>
          <w:t xml:space="preserve">https://doi.org/10.2307/2953682</w:t>
        </w:r>
      </w:hyperlink>
      <w:r>
        <w:t xml:space="preserve">.</w:t>
      </w:r>
    </w:p>
    <w:bookmarkEnd w:id="521"/>
    <w:bookmarkStart w:id="523" w:name="ref_INE2025EPA"/>
    <w:p>
      <w:pPr>
        <w:pStyle w:val="Bibliography"/>
      </w:pPr>
      <w:r>
        <w:t xml:space="preserve">Instituto Nacional de Estadística (2025).</w:t>
      </w:r>
      <w:r>
        <w:t xml:space="preserve"> </w:t>
      </w:r>
      <w:r>
        <w:t xml:space="preserve">«Encuesta de Población Activa: metodología»</w:t>
      </w:r>
      <w:r>
        <w:t xml:space="preserve">. 2025.</w:t>
      </w:r>
      <w:r>
        <w:t xml:space="preserve"> </w:t>
      </w:r>
      <w:hyperlink r:id="rId522">
        <w:r>
          <w:rPr>
            <w:rStyle w:val="Hyperlink"/>
          </w:rPr>
          <w:t xml:space="preserve">https://www.ine.es/dyngs/INEbase/es/operacion.htm?c=Estadistica_C&amp;cid=1254736176918&amp;menu=metodologia&amp;idp=1254735976595</w:t>
        </w:r>
      </w:hyperlink>
      <w:r>
        <w:t xml:space="preserve">.</w:t>
      </w:r>
    </w:p>
    <w:bookmarkEnd w:id="523"/>
    <w:bookmarkStart w:id="525" w:name="ref_INE2026IPCMetodologia"/>
    <w:p>
      <w:pPr>
        <w:pStyle w:val="Bibliography"/>
      </w:pPr>
      <w:r>
        <w:t xml:space="preserve">Instituto Nacional de Estadística (2026).</w:t>
      </w:r>
      <w:r>
        <w:t xml:space="preserve"> </w:t>
      </w:r>
      <w:r>
        <w:t xml:space="preserve">«Índice de Precios de Consumo. Base 2025. Metodología»</w:t>
      </w:r>
      <w:r>
        <w:t xml:space="preserve">. enero de 2026.</w:t>
      </w:r>
      <w:r>
        <w:t xml:space="preserve"> </w:t>
      </w:r>
      <w:hyperlink r:id="rId524">
        <w:r>
          <w:rPr>
            <w:rStyle w:val="Hyperlink"/>
          </w:rPr>
          <w:t xml:space="preserve">https://www.ine.es/metodologia/t25/metodologia_IPC_base_2025.pdf</w:t>
        </w:r>
      </w:hyperlink>
      <w:r>
        <w:t xml:space="preserve">.</w:t>
      </w:r>
    </w:p>
    <w:bookmarkEnd w:id="525"/>
    <w:bookmarkStart w:id="527" w:name="ref_CERS2014Manual"/>
    <w:p>
      <w:pPr>
        <w:pStyle w:val="Bibliography"/>
      </w:pPr>
      <w:r>
        <w:t xml:space="preserve">Junta Europea de Riesgo Sistémico (2014).</w:t>
      </w:r>
      <w:r>
        <w:t xml:space="preserve"> </w:t>
      </w:r>
      <w:r>
        <w:t xml:space="preserve">«The ESRB Handbook on Operationalising Macro-prudential Policy in the Banking Sector»</w:t>
      </w:r>
      <w:r>
        <w:t xml:space="preserve">. JERS.</w:t>
      </w:r>
      <w:r>
        <w:t xml:space="preserve"> </w:t>
      </w:r>
      <w:hyperlink r:id="rId526">
        <w:r>
          <w:rPr>
            <w:rStyle w:val="Hyperlink"/>
          </w:rPr>
          <w:t xml:space="preserve">https://www.esrb.europa.eu/pub/pdf/other/140303_esrb_handbook_mp.en.pdf</w:t>
        </w:r>
      </w:hyperlink>
      <w:r>
        <w:t xml:space="preserve">.</w:t>
      </w:r>
    </w:p>
    <w:bookmarkEnd w:id="527"/>
    <w:bookmarkStart w:id="528" w:name="ref_Kaldor1978"/>
    <w:p>
      <w:pPr>
        <w:pStyle w:val="Bibliography"/>
      </w:pPr>
      <w:r>
        <w:t xml:space="preserve">Kaldor, Nicholas (1978).</w:t>
      </w:r>
      <w:r>
        <w:t xml:space="preserve"> </w:t>
      </w:r>
      <w:r>
        <w:rPr>
          <w:i/>
          <w:iCs/>
        </w:rPr>
        <w:t xml:space="preserve">Further Essays on Applied Economics</w:t>
      </w:r>
      <w:r>
        <w:t xml:space="preserve">. Londres: Duckworth.</w:t>
      </w:r>
    </w:p>
    <w:bookmarkEnd w:id="528"/>
    <w:bookmarkStart w:id="530" w:name="ref_Kaminsky2004Rains"/>
    <w:p>
      <w:pPr>
        <w:pStyle w:val="Bibliography"/>
      </w:pPr>
      <w:r>
        <w:t xml:space="preserve">Kaminsky, Graciela L., Carmen M. Reinhart y Carlos A. Végh (2004).</w:t>
      </w:r>
      <w:r>
        <w:t xml:space="preserve"> </w:t>
      </w:r>
      <w:r>
        <w:t xml:space="preserve">«When It Rains, It Pours: Procyclical Capital Flows and Macroeconomic Policies»</w:t>
      </w:r>
      <w:r>
        <w:t xml:space="preserve">. En</w:t>
      </w:r>
      <w:r>
        <w:t xml:space="preserve"> </w:t>
      </w:r>
      <w:r>
        <w:rPr>
          <w:i/>
          <w:iCs/>
        </w:rPr>
        <w:t xml:space="preserve">NBER Macroeconomics Annual 2004</w:t>
      </w:r>
      <w:r>
        <w:t xml:space="preserve">, 19:11-53. Cambridge (Massachusetts): MIT Press.</w:t>
      </w:r>
      <w:r>
        <w:t xml:space="preserve"> </w:t>
      </w:r>
      <w:hyperlink r:id="rId529">
        <w:r>
          <w:rPr>
            <w:rStyle w:val="Hyperlink"/>
          </w:rPr>
          <w:t xml:space="preserve">https://doi.org/10.1086/ma.19.3585327</w:t>
        </w:r>
      </w:hyperlink>
      <w:r>
        <w:t xml:space="preserve">.</w:t>
      </w:r>
    </w:p>
    <w:bookmarkEnd w:id="530"/>
    <w:bookmarkStart w:id="531" w:name="ref_Keynes1936"/>
    <w:p>
      <w:pPr>
        <w:pStyle w:val="Bibliography"/>
      </w:pPr>
      <w:r>
        <w:t xml:space="preserve">Keynes, John Maynard (1936).</w:t>
      </w:r>
      <w:r>
        <w:t xml:space="preserve"> </w:t>
      </w:r>
      <w:r>
        <w:rPr>
          <w:i/>
          <w:iCs/>
        </w:rPr>
        <w:t xml:space="preserve">The General Theory of Employment, Interest and Money</w:t>
      </w:r>
      <w:r>
        <w:t xml:space="preserve">. Londres: Macmillan.</w:t>
      </w:r>
    </w:p>
    <w:bookmarkEnd w:id="531"/>
    <w:bookmarkStart w:id="533" w:name="ref_Leeper1991"/>
    <w:p>
      <w:pPr>
        <w:pStyle w:val="Bibliography"/>
      </w:pPr>
      <w:r>
        <w:t xml:space="preserve">Leeper, Eric M. (1991).</w:t>
      </w:r>
      <w:r>
        <w:t xml:space="preserve"> </w:t>
      </w:r>
      <w:r>
        <w:t xml:space="preserve">«Equilibria under</w:t>
      </w:r>
      <w:r>
        <w:t xml:space="preserve"> </w:t>
      </w:r>
      <w:r>
        <w:t xml:space="preserve">“Active”</w:t>
      </w:r>
      <w:r>
        <w:t xml:space="preserve"> </w:t>
      </w:r>
      <w:r>
        <w:t xml:space="preserve">and</w:t>
      </w:r>
      <w:r>
        <w:t xml:space="preserve"> </w:t>
      </w:r>
      <w:r>
        <w:t xml:space="preserve">“Passive”</w:t>
      </w:r>
      <w:r>
        <w:t xml:space="preserve"> </w:t>
      </w:r>
      <w:r>
        <w:t xml:space="preserve">Monetary and Fiscal Policies»</w:t>
      </w:r>
      <w:r>
        <w:t xml:space="preserve">.</w:t>
      </w:r>
      <w:r>
        <w:t xml:space="preserve"> </w:t>
      </w:r>
      <w:r>
        <w:rPr>
          <w:i/>
          <w:iCs/>
        </w:rPr>
        <w:t xml:space="preserve">Journal of Monetary Economics</w:t>
      </w:r>
      <w:r>
        <w:t xml:space="preserve"> </w:t>
      </w:r>
      <w:r>
        <w:t xml:space="preserve">27 (1): 129-47.</w:t>
      </w:r>
      <w:r>
        <w:t xml:space="preserve"> </w:t>
      </w:r>
      <w:hyperlink r:id="rId532">
        <w:r>
          <w:rPr>
            <w:rStyle w:val="Hyperlink"/>
          </w:rPr>
          <w:t xml:space="preserve">https://doi.org/10.1016/0304-3932(91)90007-B</w:t>
        </w:r>
      </w:hyperlink>
      <w:r>
        <w:t xml:space="preserve">.</w:t>
      </w:r>
    </w:p>
    <w:bookmarkEnd w:id="533"/>
    <w:bookmarkStart w:id="534" w:name="ref_Leff1969Dependencia"/>
    <w:p>
      <w:pPr>
        <w:pStyle w:val="Bibliography"/>
      </w:pPr>
      <w:r>
        <w:t xml:space="preserve">Leff, Nathaniel H. (1969).</w:t>
      </w:r>
      <w:r>
        <w:t xml:space="preserve"> </w:t>
      </w:r>
      <w:r>
        <w:t xml:space="preserve">«Dependency Rates and Savings Rates»</w:t>
      </w:r>
      <w:r>
        <w:t xml:space="preserve">.</w:t>
      </w:r>
      <w:r>
        <w:t xml:space="preserve"> </w:t>
      </w:r>
      <w:r>
        <w:rPr>
          <w:i/>
          <w:iCs/>
        </w:rPr>
        <w:t xml:space="preserve">American Economic Review</w:t>
      </w:r>
      <w:r>
        <w:t xml:space="preserve"> </w:t>
      </w:r>
      <w:r>
        <w:t xml:space="preserve">59 (5): 886-96.</w:t>
      </w:r>
    </w:p>
    <w:bookmarkEnd w:id="534"/>
    <w:bookmarkStart w:id="535" w:name="ref_Lerner1944"/>
    <w:p>
      <w:pPr>
        <w:pStyle w:val="Bibliography"/>
      </w:pPr>
      <w:r>
        <w:t xml:space="preserve">Lerner, Abba P. (1944).</w:t>
      </w:r>
      <w:r>
        <w:t xml:space="preserve"> </w:t>
      </w:r>
      <w:r>
        <w:rPr>
          <w:i/>
          <w:iCs/>
        </w:rPr>
        <w:t xml:space="preserve">The Economics of Control: Principles of Welfare Economics</w:t>
      </w:r>
      <w:r>
        <w:t xml:space="preserve">. Nueva York: Macmillan.</w:t>
      </w:r>
    </w:p>
    <w:bookmarkEnd w:id="535"/>
    <w:bookmarkStart w:id="537" w:name="ref_Magee1973"/>
    <w:p>
      <w:pPr>
        <w:pStyle w:val="Bibliography"/>
      </w:pPr>
      <w:r>
        <w:t xml:space="preserve">Magee, Stephen P. (1973).</w:t>
      </w:r>
      <w:r>
        <w:t xml:space="preserve"> </w:t>
      </w:r>
      <w:r>
        <w:t xml:space="preserve">«Currencies, Prices, and Payments: The J-Curve»</w:t>
      </w:r>
      <w:r>
        <w:t xml:space="preserve">.</w:t>
      </w:r>
      <w:r>
        <w:t xml:space="preserve"> </w:t>
      </w:r>
      <w:r>
        <w:rPr>
          <w:i/>
          <w:iCs/>
        </w:rPr>
        <w:t xml:space="preserve">Brookings Papers on Economic Activity</w:t>
      </w:r>
      <w:r>
        <w:t xml:space="preserve"> </w:t>
      </w:r>
      <w:r>
        <w:t xml:space="preserve">1973 (1): 303-25.</w:t>
      </w:r>
      <w:r>
        <w:t xml:space="preserve"> </w:t>
      </w:r>
      <w:hyperlink r:id="rId536">
        <w:r>
          <w:rPr>
            <w:rStyle w:val="Hyperlink"/>
          </w:rPr>
          <w:t xml:space="preserve">https://doi.org/10.2307/2534091</w:t>
        </w:r>
      </w:hyperlink>
      <w:r>
        <w:t xml:space="preserve">.</w:t>
      </w:r>
    </w:p>
    <w:bookmarkEnd w:id="537"/>
    <w:bookmarkStart w:id="539" w:name="ref_Manning2021SMI"/>
    <w:p>
      <w:pPr>
        <w:pStyle w:val="Bibliography"/>
      </w:pPr>
      <w:r>
        <w:t xml:space="preserve">Manning, Alan (2021).</w:t>
      </w:r>
      <w:r>
        <w:t xml:space="preserve"> </w:t>
      </w:r>
      <w:r>
        <w:t xml:space="preserve">«The Elusive Employment Effect of the Minimum Wage»</w:t>
      </w:r>
      <w:r>
        <w:t xml:space="preserve">.</w:t>
      </w:r>
      <w:r>
        <w:t xml:space="preserve"> </w:t>
      </w:r>
      <w:r>
        <w:rPr>
          <w:i/>
          <w:iCs/>
        </w:rPr>
        <w:t xml:space="preserve">Journal of Economic Perspectives</w:t>
      </w:r>
      <w:r>
        <w:t xml:space="preserve"> </w:t>
      </w:r>
      <w:r>
        <w:t xml:space="preserve">35 (1): 3-26.</w:t>
      </w:r>
      <w:r>
        <w:t xml:space="preserve"> </w:t>
      </w:r>
      <w:hyperlink r:id="rId538">
        <w:r>
          <w:rPr>
            <w:rStyle w:val="Hyperlink"/>
          </w:rPr>
          <w:t xml:space="preserve">https://doi.org/10.1257/jep.35.1.3</w:t>
        </w:r>
      </w:hyperlink>
      <w:r>
        <w:t xml:space="preserve">.</w:t>
      </w:r>
    </w:p>
    <w:bookmarkEnd w:id="539"/>
    <w:bookmarkStart w:id="540" w:name="ref_Marshall1923"/>
    <w:p>
      <w:pPr>
        <w:pStyle w:val="Bibliography"/>
      </w:pPr>
      <w:r>
        <w:t xml:space="preserve">Marshall, Alfred (1923).</w:t>
      </w:r>
      <w:r>
        <w:t xml:space="preserve"> </w:t>
      </w:r>
      <w:r>
        <w:rPr>
          <w:i/>
          <w:iCs/>
        </w:rPr>
        <w:t xml:space="preserve">Money, Credit and Commerce</w:t>
      </w:r>
      <w:r>
        <w:t xml:space="preserve">. Londres: Macmillan.</w:t>
      </w:r>
    </w:p>
    <w:bookmarkEnd w:id="540"/>
    <w:bookmarkStart w:id="542" w:name="ref_BOE2024ConvocatoriaTCEE"/>
    <w:p>
      <w:pPr>
        <w:pStyle w:val="Bibliography"/>
      </w:pPr>
      <w:r>
        <w:t xml:space="preserve">Ministerio de Economía, Comercio y Empresa (2024).</w:t>
      </w:r>
      <w:r>
        <w:t xml:space="preserve"> </w:t>
      </w:r>
      <w:r>
        <w:t xml:space="preserve">«Resolución de 22 de diciembre de 2024, de la Subsecretaría, por la que se convocan procesos selectivos para ingreso, por el sistema general de acceso libre y promoción interna, en el Cuerpo Superior de Técnicos Comerciales y Economistas del Estado»</w:t>
      </w:r>
      <w:r>
        <w:t xml:space="preserve">. 2024.</w:t>
      </w:r>
      <w:r>
        <w:t xml:space="preserve"> </w:t>
      </w:r>
      <w:hyperlink r:id="rId541">
        <w:r>
          <w:rPr>
            <w:rStyle w:val="Hyperlink"/>
          </w:rPr>
          <w:t xml:space="preserve">https://www.boe.es/diario_boe/txt.php?id=BOE-A-2024-27439</w:t>
        </w:r>
      </w:hyperlink>
      <w:r>
        <w:t xml:space="preserve">.</w:t>
      </w:r>
    </w:p>
    <w:bookmarkEnd w:id="542"/>
    <w:bookmarkStart w:id="544" w:name="ref_BOE2025ConvocatoriaTCEE"/>
    <w:p>
      <w:pPr>
        <w:pStyle w:val="Bibliography"/>
      </w:pPr>
      <w:r>
        <w:t xml:space="preserve">Ministerio de Economía, Comercio y Empresa (2025).</w:t>
      </w:r>
      <w:r>
        <w:t xml:space="preserve"> </w:t>
      </w:r>
      <w:r>
        <w:t xml:space="preserve">«Resolución de 22 de diciembre de 2025, de la Subsecretaría, por la que se convocan procesos selectivos para ingreso, por el sistema general de acceso libre y promoción interna, en el Cuerpo Superior de Técnicos Comerciales y Economistas del Estado»</w:t>
      </w:r>
      <w:r>
        <w:t xml:space="preserve">. 2025.</w:t>
      </w:r>
      <w:r>
        <w:t xml:space="preserve"> </w:t>
      </w:r>
      <w:hyperlink r:id="rId543">
        <w:r>
          <w:rPr>
            <w:rStyle w:val="Hyperlink"/>
          </w:rPr>
          <w:t xml:space="preserve">https://www.boe.es/diario_boe/txt.php?id=BOE-A-2025-26902</w:t>
        </w:r>
      </w:hyperlink>
      <w:r>
        <w:t xml:space="preserve">.</w:t>
      </w:r>
    </w:p>
    <w:bookmarkEnd w:id="544"/>
    <w:bookmarkStart w:id="545" w:name="ref_ModiglianiBrumberg1954"/>
    <w:p>
      <w:pPr>
        <w:pStyle w:val="Bibliography"/>
      </w:pPr>
      <w:r>
        <w:t xml:space="preserve">Modigliani, Franco y Richard Brumberg (1954).</w:t>
      </w:r>
      <w:r>
        <w:t xml:space="preserve"> </w:t>
      </w:r>
      <w:r>
        <w:t xml:space="preserve">«Utility Analysis and the Consumption Function: An Interpretation of Cross-Section Data»</w:t>
      </w:r>
      <w:r>
        <w:t xml:space="preserve">. En</w:t>
      </w:r>
      <w:r>
        <w:t xml:space="preserve"> </w:t>
      </w:r>
      <w:r>
        <w:rPr>
          <w:i/>
          <w:iCs/>
        </w:rPr>
        <w:t xml:space="preserve">Post-Keynesian Economics</w:t>
      </w:r>
      <w:r>
        <w:t xml:space="preserve">, editado por Kenneth K. Kurihara, 388-436. New Brunswick: Rutgers University Press.</w:t>
      </w:r>
    </w:p>
    <w:bookmarkEnd w:id="545"/>
    <w:bookmarkStart w:id="547" w:name="ref_NBER2023Fechado"/>
    <w:p>
      <w:pPr>
        <w:pStyle w:val="Bibliography"/>
      </w:pPr>
      <w:r>
        <w:t xml:space="preserve">National Bureau of Economic Research (2023).</w:t>
      </w:r>
      <w:r>
        <w:t xml:space="preserve"> </w:t>
      </w:r>
      <w:r>
        <w:t xml:space="preserve">«Business Cycle Dating Procedure: Frequently Asked Questions»</w:t>
      </w:r>
      <w:r>
        <w:t xml:space="preserve">. 2023.</w:t>
      </w:r>
      <w:r>
        <w:t xml:space="preserve"> </w:t>
      </w:r>
      <w:hyperlink r:id="rId546">
        <w:r>
          <w:rPr>
            <w:rStyle w:val="Hyperlink"/>
          </w:rPr>
          <w:t xml:space="preserve">https://www.nber.org/research/business-cycle-dating/business-cycle-dating-procedure-frequently-asked-questions</w:t>
        </w:r>
      </w:hyperlink>
      <w:r>
        <w:t xml:space="preserve">.</w:t>
      </w:r>
    </w:p>
    <w:bookmarkEnd w:id="547"/>
    <w:bookmarkStart w:id="549" w:name="ref_OCDE2026LFS"/>
    <w:p>
      <w:pPr>
        <w:pStyle w:val="Bibliography"/>
      </w:pPr>
      <w:r>
        <w:t xml:space="preserve">OCDE (2026a).</w:t>
      </w:r>
      <w:r>
        <w:t xml:space="preserve"> </w:t>
      </w:r>
      <w:r>
        <w:t xml:space="preserve">«Infra-annual labour statistics: labour force participation rate»</w:t>
      </w:r>
      <w:r>
        <w:t xml:space="preserve">. 2026.</w:t>
      </w:r>
      <w:r>
        <w:t xml:space="preserve"> </w:t>
      </w:r>
      <w:hyperlink r:id="rId548">
        <w:r>
          <w:rPr>
            <w:rStyle w:val="Hyperlink"/>
          </w:rPr>
          <w:t xml:space="preserve">https://data-explorer.oecd.org/</w:t>
        </w:r>
      </w:hyperlink>
      <w:r>
        <w:t xml:space="preserve">.</w:t>
      </w:r>
    </w:p>
    <w:bookmarkEnd w:id="549"/>
    <w:bookmarkStart w:id="551" w:name="ref_OCDE2026EconomicOutlook"/>
    <w:p>
      <w:pPr>
        <w:pStyle w:val="Bibliography"/>
      </w:pPr>
      <w:r>
        <w:t xml:space="preserve">OCDE (2026b).</w:t>
      </w:r>
      <w:r>
        <w:t xml:space="preserve"> </w:t>
      </w:r>
      <w:r>
        <w:t xml:space="preserve">«OECD Economic Outlook, Volume 2026 Issue 1»</w:t>
      </w:r>
      <w:r>
        <w:t xml:space="preserve">. Informe. OCDE.</w:t>
      </w:r>
      <w:r>
        <w:t xml:space="preserve"> </w:t>
      </w:r>
      <w:hyperlink r:id="rId550">
        <w:r>
          <w:rPr>
            <w:rStyle w:val="Hyperlink"/>
          </w:rPr>
          <w:t xml:space="preserve">https://www.oecd.org/en/publications/2026/06/oecd-economic-outlook-volume-2026-issue-1_8be0dba6.html</w:t>
        </w:r>
      </w:hyperlink>
      <w:r>
        <w:t xml:space="preserve">.</w:t>
      </w:r>
    </w:p>
    <w:bookmarkEnd w:id="551"/>
    <w:bookmarkStart w:id="552" w:name="ref_Okun1962"/>
    <w:p>
      <w:pPr>
        <w:pStyle w:val="Bibliography"/>
      </w:pPr>
      <w:r>
        <w:t xml:space="preserve">Okun, Arthur M. (1962).</w:t>
      </w:r>
      <w:r>
        <w:t xml:space="preserve"> </w:t>
      </w:r>
      <w:r>
        <w:t xml:space="preserve">«Potential GNP: Its Measurement and Significance»</w:t>
      </w:r>
      <w:r>
        <w:t xml:space="preserve">. En</w:t>
      </w:r>
      <w:r>
        <w:t xml:space="preserve"> </w:t>
      </w:r>
      <w:r>
        <w:rPr>
          <w:i/>
          <w:iCs/>
        </w:rPr>
        <w:t xml:space="preserve">Proceedings of the Business and Economic Statistics Section</w:t>
      </w:r>
      <w:r>
        <w:t xml:space="preserve">, 98-104. Washington D. C.: American Statistical Association.</w:t>
      </w:r>
    </w:p>
    <w:bookmarkEnd w:id="552"/>
    <w:bookmarkStart w:id="554" w:name="ref_OIT2019PlenoEmpleo"/>
    <w:p>
      <w:pPr>
        <w:pStyle w:val="Bibliography"/>
      </w:pPr>
      <w:r>
        <w:t xml:space="preserve">Organización Internacional del Trabajo (2019).</w:t>
      </w:r>
      <w:r>
        <w:t xml:space="preserve"> </w:t>
      </w:r>
      <w:r>
        <w:t xml:space="preserve">«Moving towards full employment: An interview with Aurelio Parisotto»</w:t>
      </w:r>
      <w:r>
        <w:t xml:space="preserve">. 22 de noviembre de 2019.</w:t>
      </w:r>
      <w:r>
        <w:t xml:space="preserve"> </w:t>
      </w:r>
      <w:hyperlink r:id="rId553">
        <w:r>
          <w:rPr>
            <w:rStyle w:val="Hyperlink"/>
          </w:rPr>
          <w:t xml:space="preserve">https://www.ilo.org/resource/article/moving-towards-full-employment-interview-aurelio-parisotto</w:t>
        </w:r>
      </w:hyperlink>
      <w:r>
        <w:t xml:space="preserve">.</w:t>
      </w:r>
    </w:p>
    <w:bookmarkEnd w:id="554"/>
    <w:bookmarkStart w:id="556" w:name="ref_DirUE2013CRD"/>
    <w:p>
      <w:pPr>
        <w:pStyle w:val="Bibliography"/>
      </w:pPr>
      <w:r>
        <w:t xml:space="preserve">Parlamento Europeo y Consejo de la Unión Europea (2013a).</w:t>
      </w:r>
      <w:r>
        <w:t xml:space="preserve"> </w:t>
      </w:r>
      <w:r>
        <w:t xml:space="preserve">«Directiva 2013/36/UE, relativa al acceso a la actividad de las entidades de crédito y a la supervisión prudencial (CRD), versión consolidada»</w:t>
      </w:r>
      <w:r>
        <w:t xml:space="preserve">. 2013.</w:t>
      </w:r>
      <w:r>
        <w:t xml:space="preserve"> </w:t>
      </w:r>
      <w:hyperlink r:id="rId555">
        <w:r>
          <w:rPr>
            <w:rStyle w:val="Hyperlink"/>
          </w:rPr>
          <w:t xml:space="preserve">https://eur-lex.europa.eu/eli/dir/2013/36/oj</w:t>
        </w:r>
      </w:hyperlink>
      <w:r>
        <w:t xml:space="preserve">.</w:t>
      </w:r>
    </w:p>
    <w:bookmarkEnd w:id="556"/>
    <w:bookmarkStart w:id="558" w:name="ref_RegUE2013CRR"/>
    <w:p>
      <w:pPr>
        <w:pStyle w:val="Bibliography"/>
      </w:pPr>
      <w:r>
        <w:t xml:space="preserve">Parlamento Europeo y Consejo de la Unión Europea (2013b).</w:t>
      </w:r>
      <w:r>
        <w:t xml:space="preserve"> </w:t>
      </w:r>
      <w:r>
        <w:t xml:space="preserve">«Reglamento (UE) n.º 575/2013, sobre los requisitos prudenciales de las entidades de crédito (CRR), versión consolidada»</w:t>
      </w:r>
      <w:r>
        <w:t xml:space="preserve">. 2013.</w:t>
      </w:r>
      <w:r>
        <w:t xml:space="preserve"> </w:t>
      </w:r>
      <w:hyperlink r:id="rId557">
        <w:r>
          <w:rPr>
            <w:rStyle w:val="Hyperlink"/>
          </w:rPr>
          <w:t xml:space="preserve">https://eur-lex.europa.eu/eli/reg/2013/575/oj</w:t>
        </w:r>
      </w:hyperlink>
      <w:r>
        <w:t xml:space="preserve">.</w:t>
      </w:r>
    </w:p>
    <w:bookmarkEnd w:id="558"/>
    <w:bookmarkStart w:id="560" w:name="ref_SEC2010"/>
    <w:p>
      <w:pPr>
        <w:pStyle w:val="Bibliography"/>
      </w:pPr>
      <w:r>
        <w:t xml:space="preserve">Parlamento Europeo y Consejo de la Unión Europea (2013c).</w:t>
      </w:r>
      <w:r>
        <w:t xml:space="preserve"> </w:t>
      </w:r>
      <w:r>
        <w:rPr>
          <w:i/>
          <w:iCs/>
        </w:rPr>
        <w:t xml:space="preserve">Reglamento (UE) n.º 549/2013, de 21 de mayo de 2013, relativo al Sistema Europeo de Cuentas Nacionales y Regionales de la Unión Europea (SEC 2010)</w:t>
      </w:r>
      <w:r>
        <w:t xml:space="preserve">.</w:t>
      </w:r>
      <w:r>
        <w:t xml:space="preserve"> </w:t>
      </w:r>
      <w:r>
        <w:rPr>
          <w:i/>
          <w:iCs/>
        </w:rPr>
        <w:t xml:space="preserve">Diario Oficial de la Unión Europea</w:t>
      </w:r>
      <w:r>
        <w:t xml:space="preserve">.</w:t>
      </w:r>
      <w:r>
        <w:t xml:space="preserve"> </w:t>
      </w:r>
      <w:hyperlink r:id="rId559">
        <w:r>
          <w:rPr>
            <w:rStyle w:val="Hyperlink"/>
          </w:rPr>
          <w:t xml:space="preserve">https://eur-lex.europa.eu/eli/reg/2013/549/oj</w:t>
        </w:r>
      </w:hyperlink>
      <w:r>
        <w:t xml:space="preserve">.</w:t>
      </w:r>
    </w:p>
    <w:bookmarkEnd w:id="560"/>
    <w:bookmarkStart w:id="562" w:name="ref_RegUE2014MUR"/>
    <w:p>
      <w:pPr>
        <w:pStyle w:val="Bibliography"/>
      </w:pPr>
      <w:r>
        <w:t xml:space="preserve">Parlamento Europeo y Consejo de la Unión Europea (2014).</w:t>
      </w:r>
      <w:r>
        <w:t xml:space="preserve"> </w:t>
      </w:r>
      <w:r>
        <w:t xml:space="preserve">«Reglamento (UE) n.º 806/2014 del Parlamento Europeo y del Consejo, de 15 de julio de 2014, por el que se establecen normas uniformes y un procedimiento uniforme para la resolución de entidades de crédito y de determinadas empresas de servicios de inversión en el marco de un Mecanismo Único de Resolución y un Fondo Único de Resolución»</w:t>
      </w:r>
      <w:r>
        <w:t xml:space="preserve">. 30 de julio de 2014.</w:t>
      </w:r>
      <w:r>
        <w:t xml:space="preserve"> </w:t>
      </w:r>
      <w:hyperlink r:id="rId561">
        <w:r>
          <w:rPr>
            <w:rStyle w:val="Hyperlink"/>
          </w:rPr>
          <w:t xml:space="preserve">https://eur-lex.europa.eu/legal-content/ES/TXT/?uri=CELEX:32014R0806</w:t>
        </w:r>
      </w:hyperlink>
      <w:r>
        <w:t xml:space="preserve">.</w:t>
      </w:r>
    </w:p>
    <w:bookmarkEnd w:id="562"/>
    <w:bookmarkStart w:id="564" w:name="ref_RegUE2024Preventivo"/>
    <w:p>
      <w:pPr>
        <w:pStyle w:val="Bibliography"/>
      </w:pPr>
      <w:r>
        <w:t xml:space="preserve">Parlamento Europeo y Consejo de la Unión Europea (2024a).</w:t>
      </w:r>
      <w:r>
        <w:t xml:space="preserve"> </w:t>
      </w:r>
      <w:r>
        <w:t xml:space="preserve">«Reglamento (UE) 2024/1263, de 29 de abril de 2024, relativo a la coordinación eficaz de las políticas económicas y a la supervisión presupuestaria multilateral»</w:t>
      </w:r>
      <w:r>
        <w:t xml:space="preserve">. 2024.</w:t>
      </w:r>
      <w:r>
        <w:t xml:space="preserve"> </w:t>
      </w:r>
      <w:hyperlink r:id="rId563">
        <w:r>
          <w:rPr>
            <w:rStyle w:val="Hyperlink"/>
          </w:rPr>
          <w:t xml:space="preserve">https://eur-lex.europa.eu/eli/reg/2024/1263/oj</w:t>
        </w:r>
      </w:hyperlink>
      <w:r>
        <w:t xml:space="preserve">.</w:t>
      </w:r>
    </w:p>
    <w:bookmarkEnd w:id="564"/>
    <w:bookmarkStart w:id="566" w:name="ref_RegUE2024CRR3"/>
    <w:p>
      <w:pPr>
        <w:pStyle w:val="Bibliography"/>
      </w:pPr>
      <w:r>
        <w:t xml:space="preserve">Parlamento Europeo y Consejo de la Unión Europea (2024b).</w:t>
      </w:r>
      <w:r>
        <w:t xml:space="preserve"> </w:t>
      </w:r>
      <w:r>
        <w:t xml:space="preserve">«Reglamento (UE) 2024/1623, de 31 de mayo de 2024, por el que se modifica el Reglamento (UE) n.º 575/2013 (CRR3)»</w:t>
      </w:r>
      <w:r>
        <w:t xml:space="preserve">. 2024.</w:t>
      </w:r>
      <w:r>
        <w:t xml:space="preserve"> </w:t>
      </w:r>
      <w:hyperlink r:id="rId565">
        <w:r>
          <w:rPr>
            <w:rStyle w:val="Hyperlink"/>
          </w:rPr>
          <w:t xml:space="preserve">https://eur-lex.europa.eu/eli/reg/2024/1623/oj</w:t>
        </w:r>
      </w:hyperlink>
      <w:r>
        <w:t xml:space="preserve">.</w:t>
      </w:r>
    </w:p>
    <w:bookmarkEnd w:id="566"/>
    <w:bookmarkStart w:id="567" w:name="ref_Peter1977"/>
    <w:p>
      <w:pPr>
        <w:pStyle w:val="Bibliography"/>
      </w:pPr>
      <w:r>
        <w:t xml:space="preserve">Peter, Laurence J. (1977).</w:t>
      </w:r>
      <w:r>
        <w:t xml:space="preserve"> </w:t>
      </w:r>
      <w:r>
        <w:rPr>
          <w:i/>
          <w:iCs/>
        </w:rPr>
        <w:t xml:space="preserve">Peter’s Quotations: Ideas for Our Time</w:t>
      </w:r>
      <w:r>
        <w:t xml:space="preserve">. Nueva York: William Morrow.</w:t>
      </w:r>
    </w:p>
    <w:bookmarkEnd w:id="567"/>
    <w:bookmarkStart w:id="569" w:name="ref_Phillips1958"/>
    <w:p>
      <w:pPr>
        <w:pStyle w:val="Bibliography"/>
      </w:pPr>
      <w:r>
        <w:t xml:space="preserve">Phillips, A. W. (1958).</w:t>
      </w:r>
      <w:r>
        <w:t xml:space="preserve"> </w:t>
      </w:r>
      <w:r>
        <w:t xml:space="preserve">«The Relation between Unemployment and the Rate of Change of Money Wage Rates in the United Kingdom, 1861-1957»</w:t>
      </w:r>
      <w:r>
        <w:t xml:space="preserve">.</w:t>
      </w:r>
      <w:r>
        <w:t xml:space="preserve"> </w:t>
      </w:r>
      <w:r>
        <w:rPr>
          <w:i/>
          <w:iCs/>
        </w:rPr>
        <w:t xml:space="preserve">Economica</w:t>
      </w:r>
      <w:r>
        <w:t xml:space="preserve"> </w:t>
      </w:r>
      <w:r>
        <w:t xml:space="preserve">25 (100): 283-99.</w:t>
      </w:r>
      <w:r>
        <w:t xml:space="preserve"> </w:t>
      </w:r>
      <w:hyperlink r:id="rId568">
        <w:r>
          <w:rPr>
            <w:rStyle w:val="Hyperlink"/>
          </w:rPr>
          <w:t xml:space="preserve">https://doi.org/10.2307/2550759</w:t>
        </w:r>
      </w:hyperlink>
      <w:r>
        <w:t xml:space="preserve">.</w:t>
      </w:r>
    </w:p>
    <w:bookmarkEnd w:id="569"/>
    <w:bookmarkStart w:id="571" w:name="ref_Reinhart2003Intolerancia"/>
    <w:p>
      <w:pPr>
        <w:pStyle w:val="Bibliography"/>
      </w:pPr>
      <w:r>
        <w:t xml:space="preserve">Reinhart, Carmen M., Kenneth S. Rogoff y Miguel A. Savastano (2003).</w:t>
      </w:r>
      <w:r>
        <w:t xml:space="preserve"> </w:t>
      </w:r>
      <w:r>
        <w:t xml:space="preserve">«Debt Intolerance»</w:t>
      </w:r>
      <w:r>
        <w:t xml:space="preserve">.</w:t>
      </w:r>
      <w:r>
        <w:t xml:space="preserve"> </w:t>
      </w:r>
      <w:r>
        <w:rPr>
          <w:i/>
          <w:iCs/>
        </w:rPr>
        <w:t xml:space="preserve">Brookings Papers on Economic Activity</w:t>
      </w:r>
      <w:r>
        <w:t xml:space="preserve"> </w:t>
      </w:r>
      <w:r>
        <w:t xml:space="preserve">2003 (1): 1-74.</w:t>
      </w:r>
      <w:r>
        <w:t xml:space="preserve"> </w:t>
      </w:r>
      <w:hyperlink r:id="rId570">
        <w:r>
          <w:rPr>
            <w:rStyle w:val="Hyperlink"/>
          </w:rPr>
          <w:t xml:space="preserve">https://doi.org/10.1353/eca.2003.0018</w:t>
        </w:r>
      </w:hyperlink>
      <w:r>
        <w:t xml:space="preserve">.</w:t>
      </w:r>
    </w:p>
    <w:bookmarkEnd w:id="571"/>
    <w:bookmarkStart w:id="572" w:name="ref_Sahuquillo2023"/>
    <w:p>
      <w:pPr>
        <w:pStyle w:val="Bibliography"/>
      </w:pPr>
      <w:r>
        <w:t xml:space="preserve">Sahuquillo, Alfonso (2023).</w:t>
      </w:r>
      <w:r>
        <w:t xml:space="preserve"> </w:t>
      </w:r>
      <w:r>
        <w:t xml:space="preserve">«Esquema del dictamen económico y diapositivas (edición de mayo de 2023: COVID-19, guerra de Ucrania e inflación)»</w:t>
      </w:r>
      <w:r>
        <w:t xml:space="preserve">.</w:t>
      </w:r>
    </w:p>
    <w:bookmarkEnd w:id="572"/>
    <w:bookmarkStart w:id="574" w:name="ref_SargentWallace1981"/>
    <w:p>
      <w:pPr>
        <w:pStyle w:val="Bibliography"/>
      </w:pPr>
      <w:r>
        <w:t xml:space="preserve">Sargent, Thomas J. y Neil Wallace (1981).</w:t>
      </w:r>
      <w:r>
        <w:t xml:space="preserve"> </w:t>
      </w:r>
      <w:r>
        <w:t xml:space="preserve">«Some Unpleasant Monetarist Arithmetic»</w:t>
      </w:r>
      <w:r>
        <w:t xml:space="preserve">.</w:t>
      </w:r>
      <w:r>
        <w:t xml:space="preserve"> </w:t>
      </w:r>
      <w:r>
        <w:rPr>
          <w:i/>
          <w:iCs/>
        </w:rPr>
        <w:t xml:space="preserve">Federal Reserve Bank of Minneapolis Quarterly Review</w:t>
      </w:r>
      <w:r>
        <w:t xml:space="preserve"> </w:t>
      </w:r>
      <w:r>
        <w:t xml:space="preserve">5 (3): 1-17.</w:t>
      </w:r>
      <w:r>
        <w:t xml:space="preserve"> </w:t>
      </w:r>
      <w:hyperlink r:id="rId573">
        <w:r>
          <w:rPr>
            <w:rStyle w:val="Hyperlink"/>
          </w:rPr>
          <w:t xml:space="preserve">https://doi.org/10.21034/qr.531</w:t>
        </w:r>
      </w:hyperlink>
      <w:r>
        <w:t xml:space="preserve">.</w:t>
      </w:r>
    </w:p>
    <w:bookmarkEnd w:id="574"/>
    <w:bookmarkStart w:id="576" w:name="ref_SEPG2013Deficit"/>
    <w:p>
      <w:pPr>
        <w:pStyle w:val="Bibliography"/>
      </w:pPr>
      <w:r>
        <w:t xml:space="preserve">Secretaría de Estado de Presupuestos y Gastos (2013).</w:t>
      </w:r>
      <w:r>
        <w:t xml:space="preserve"> </w:t>
      </w:r>
      <w:r>
        <w:t xml:space="preserve">«Fernández Currás: el déficit del 6,98% del PIB confirma el mayor esfuerzo de consolidación fiscal de España entre los países de la OCDE»</w:t>
      </w:r>
      <w:r>
        <w:t xml:space="preserve">. 21 de mayo de 2013.</w:t>
      </w:r>
      <w:r>
        <w:t xml:space="preserve"> </w:t>
      </w:r>
      <w:hyperlink r:id="rId575">
        <w:r>
          <w:rPr>
            <w:rStyle w:val="Hyperlink"/>
          </w:rPr>
          <w:t xml:space="preserve">https://laadministracionaldia.inap.es/noticia.asp?id=1500719</w:t>
        </w:r>
      </w:hyperlink>
      <w:r>
        <w:t xml:space="preserve">.</w:t>
      </w:r>
    </w:p>
    <w:bookmarkEnd w:id="576"/>
    <w:bookmarkStart w:id="578" w:name="ref_Shin2012"/>
    <w:p>
      <w:pPr>
        <w:pStyle w:val="Bibliography"/>
      </w:pPr>
      <w:r>
        <w:t xml:space="preserve">Shin, Hyun Song (2012).</w:t>
      </w:r>
      <w:r>
        <w:t xml:space="preserve"> </w:t>
      </w:r>
      <w:r>
        <w:t xml:space="preserve">«Global Banking Glut and Loan Risk Premium»</w:t>
      </w:r>
      <w:r>
        <w:t xml:space="preserve">.</w:t>
      </w:r>
      <w:r>
        <w:t xml:space="preserve"> </w:t>
      </w:r>
      <w:r>
        <w:rPr>
          <w:i/>
          <w:iCs/>
        </w:rPr>
        <w:t xml:space="preserve">IMF Economic Review</w:t>
      </w:r>
      <w:r>
        <w:t xml:space="preserve"> </w:t>
      </w:r>
      <w:r>
        <w:t xml:space="preserve">60 (2): 155-92.</w:t>
      </w:r>
      <w:r>
        <w:t xml:space="preserve"> </w:t>
      </w:r>
      <w:hyperlink r:id="rId577">
        <w:r>
          <w:rPr>
            <w:rStyle w:val="Hyperlink"/>
          </w:rPr>
          <w:t xml:space="preserve">https://doi.org/10.1057/imfer.2012.6</w:t>
        </w:r>
      </w:hyperlink>
      <w:r>
        <w:t xml:space="preserve">.</w:t>
      </w:r>
    </w:p>
    <w:bookmarkEnd w:id="578"/>
    <w:bookmarkStart w:id="579" w:name="ref_Shiskin1974"/>
    <w:p>
      <w:pPr>
        <w:pStyle w:val="Bibliography"/>
      </w:pPr>
      <w:r>
        <w:t xml:space="preserve">Shiskin, Julius (1974).</w:t>
      </w:r>
      <w:r>
        <w:t xml:space="preserve"> </w:t>
      </w:r>
      <w:r>
        <w:t xml:space="preserve">«The Changing Business Cycle»</w:t>
      </w:r>
      <w:r>
        <w:t xml:space="preserve">.</w:t>
      </w:r>
      <w:r>
        <w:t xml:space="preserve"> </w:t>
      </w:r>
      <w:r>
        <w:rPr>
          <w:i/>
          <w:iCs/>
        </w:rPr>
        <w:t xml:space="preserve">The New York Times</w:t>
      </w:r>
      <w:r>
        <w:t xml:space="preserve">, diciembre, 222.</w:t>
      </w:r>
    </w:p>
    <w:bookmarkEnd w:id="579"/>
    <w:bookmarkStart w:id="581" w:name="ref_SPGlobalPMI"/>
    <w:p>
      <w:pPr>
        <w:pStyle w:val="Bibliography"/>
      </w:pPr>
      <w:r>
        <w:t xml:space="preserve">S&amp;P Global (2025).</w:t>
      </w:r>
      <w:r>
        <w:t xml:space="preserve"> </w:t>
      </w:r>
      <w:r>
        <w:t xml:space="preserve">«Purchasing Managers’ Index (PMI): methodology»</w:t>
      </w:r>
      <w:r>
        <w:t xml:space="preserve">. 2025.</w:t>
      </w:r>
      <w:r>
        <w:t xml:space="preserve"> </w:t>
      </w:r>
      <w:hyperlink r:id="rId580">
        <w:r>
          <w:rPr>
            <w:rStyle w:val="Hyperlink"/>
          </w:rPr>
          <w:t xml:space="preserve">https://www.spglobal.com/marketintelligence/en/mi/products/pmi.html</w:t>
        </w:r>
      </w:hyperlink>
      <w:r>
        <w:t xml:space="preserve">.</w:t>
      </w:r>
    </w:p>
    <w:bookmarkEnd w:id="581"/>
    <w:bookmarkStart w:id="583" w:name="ref_StockWatson1999Ciclo"/>
    <w:p>
      <w:pPr>
        <w:pStyle w:val="Bibliography"/>
      </w:pPr>
      <w:r>
        <w:t xml:space="preserve">Stock, James H. y Mark W. Watson (1999).</w:t>
      </w:r>
      <w:r>
        <w:t xml:space="preserve"> </w:t>
      </w:r>
      <w:r>
        <w:t xml:space="preserve">«Business Cycle Fluctuations in US Macroeconomic Time Series»</w:t>
      </w:r>
      <w:r>
        <w:t xml:space="preserve">. En</w:t>
      </w:r>
      <w:r>
        <w:t xml:space="preserve"> </w:t>
      </w:r>
      <w:r>
        <w:rPr>
          <w:i/>
          <w:iCs/>
        </w:rPr>
        <w:t xml:space="preserve">Handbook of Macroeconomics</w:t>
      </w:r>
      <w:r>
        <w:t xml:space="preserve">, editado por John B. Taylor y Michael Woodford, 1A:3-64. Ámsterdam: Elsevier.</w:t>
      </w:r>
      <w:r>
        <w:t xml:space="preserve"> </w:t>
      </w:r>
      <w:hyperlink r:id="rId582">
        <w:r>
          <w:rPr>
            <w:rStyle w:val="Hyperlink"/>
          </w:rPr>
          <w:t xml:space="preserve">https://doi.org/10.1016/S1574-0048(99)01004-6</w:t>
        </w:r>
      </w:hyperlink>
      <w:r>
        <w:t xml:space="preserve">.</w:t>
      </w:r>
    </w:p>
    <w:bookmarkEnd w:id="583"/>
    <w:bookmarkStart w:id="585" w:name="ref_Taylor1993"/>
    <w:p>
      <w:pPr>
        <w:pStyle w:val="Bibliography"/>
      </w:pPr>
      <w:r>
        <w:t xml:space="preserve">Taylor, John B. (1993).</w:t>
      </w:r>
      <w:r>
        <w:t xml:space="preserve"> </w:t>
      </w:r>
      <w:r>
        <w:t xml:space="preserve">«Discretion versus Policy Rules in Practice»</w:t>
      </w:r>
      <w:r>
        <w:t xml:space="preserve">.</w:t>
      </w:r>
      <w:r>
        <w:t xml:space="preserve"> </w:t>
      </w:r>
      <w:r>
        <w:rPr>
          <w:i/>
          <w:iCs/>
        </w:rPr>
        <w:t xml:space="preserve">Carnegie-Rochester Conference Series on Public Policy</w:t>
      </w:r>
      <w:r>
        <w:t xml:space="preserve"> </w:t>
      </w:r>
      <w:r>
        <w:t xml:space="preserve">39: 195-214.</w:t>
      </w:r>
      <w:r>
        <w:t xml:space="preserve"> </w:t>
      </w:r>
      <w:hyperlink r:id="rId584">
        <w:r>
          <w:rPr>
            <w:rStyle w:val="Hyperlink"/>
          </w:rPr>
          <w:t xml:space="preserve">https://doi.org/10.1016/0167-2231(93)90009-L</w:t>
        </w:r>
      </w:hyperlink>
      <w:r>
        <w:t xml:space="preserve">.</w:t>
      </w:r>
    </w:p>
    <w:bookmarkEnd w:id="585"/>
    <w:bookmarkStart w:id="587" w:name="ref_Taylor2000PassThrough"/>
    <w:p>
      <w:pPr>
        <w:pStyle w:val="Bibliography"/>
      </w:pPr>
      <w:r>
        <w:t xml:space="preserve">Taylor, John B. (2000).</w:t>
      </w:r>
      <w:r>
        <w:t xml:space="preserve"> </w:t>
      </w:r>
      <w:r>
        <w:t xml:space="preserve">«Low Inflation, Pass-Through, and the Pricing Power of Firms»</w:t>
      </w:r>
      <w:r>
        <w:t xml:space="preserve">.</w:t>
      </w:r>
      <w:r>
        <w:t xml:space="preserve"> </w:t>
      </w:r>
      <w:r>
        <w:rPr>
          <w:i/>
          <w:iCs/>
        </w:rPr>
        <w:t xml:space="preserve">European Economic Review</w:t>
      </w:r>
      <w:r>
        <w:t xml:space="preserve"> </w:t>
      </w:r>
      <w:r>
        <w:t xml:space="preserve">44 (7): 1389-1408.</w:t>
      </w:r>
      <w:r>
        <w:t xml:space="preserve"> </w:t>
      </w:r>
      <w:hyperlink r:id="rId586">
        <w:r>
          <w:rPr>
            <w:rStyle w:val="Hyperlink"/>
          </w:rPr>
          <w:t xml:space="preserve">https://doi.org/10.1016/S0014-2921(00)00037-4</w:t>
        </w:r>
      </w:hyperlink>
      <w:r>
        <w:t xml:space="preserve">.</w:t>
      </w:r>
    </w:p>
    <w:bookmarkEnd w:id="587"/>
    <w:bookmarkStart w:id="589" w:name="ref_ConferenceBoard2026LEI"/>
    <w:p>
      <w:pPr>
        <w:pStyle w:val="Bibliography"/>
      </w:pPr>
      <w:r>
        <w:t xml:space="preserve">The Conference Board (2026).</w:t>
      </w:r>
      <w:r>
        <w:t xml:space="preserve"> </w:t>
      </w:r>
      <w:r>
        <w:t xml:space="preserve">«US Leading Indicators»</w:t>
      </w:r>
      <w:r>
        <w:t xml:space="preserve">. 2026.</w:t>
      </w:r>
      <w:r>
        <w:t xml:space="preserve"> </w:t>
      </w:r>
      <w:hyperlink r:id="rId588">
        <w:r>
          <w:rPr>
            <w:rStyle w:val="Hyperlink"/>
          </w:rPr>
          <w:t xml:space="preserve">https://www.conference-board.org/topics/us-leading-indicators</w:t>
        </w:r>
      </w:hyperlink>
      <w:r>
        <w:t xml:space="preserve">.</w:t>
      </w:r>
    </w:p>
    <w:bookmarkEnd w:id="589"/>
    <w:bookmarkStart w:id="591" w:name="ref_Economist2008Depression"/>
    <w:p>
      <w:pPr>
        <w:pStyle w:val="Bibliography"/>
      </w:pPr>
      <w:r>
        <w:t xml:space="preserve">The Economist (2008).</w:t>
      </w:r>
      <w:r>
        <w:t xml:space="preserve"> </w:t>
      </w:r>
      <w:r>
        <w:t xml:space="preserve">«Diagnosing Depression»</w:t>
      </w:r>
      <w:r>
        <w:t xml:space="preserve">.</w:t>
      </w:r>
      <w:r>
        <w:t xml:space="preserve"> </w:t>
      </w:r>
      <w:r>
        <w:rPr>
          <w:i/>
          <w:iCs/>
        </w:rPr>
        <w:t xml:space="preserve">The Economist</w:t>
      </w:r>
      <w:r>
        <w:t xml:space="preserve">, diciembre.</w:t>
      </w:r>
      <w:r>
        <w:t xml:space="preserve"> </w:t>
      </w:r>
      <w:hyperlink r:id="rId590">
        <w:r>
          <w:rPr>
            <w:rStyle w:val="Hyperlink"/>
          </w:rPr>
          <w:t xml:space="preserve">https://www.economist.com/finance-and-economics/2008/12/30/diagnosing-depression</w:t>
        </w:r>
      </w:hyperlink>
      <w:r>
        <w:t xml:space="preserve">.</w:t>
      </w:r>
    </w:p>
    <w:bookmarkEnd w:id="591"/>
    <w:bookmarkStart w:id="593" w:name="ref_Unicaja2021Indicadores"/>
    <w:p>
      <w:pPr>
        <w:pStyle w:val="Bibliography"/>
      </w:pPr>
      <w:r>
        <w:t xml:space="preserve">Unicaja Banco (2021).</w:t>
      </w:r>
      <w:r>
        <w:t xml:space="preserve"> </w:t>
      </w:r>
      <w:r>
        <w:t xml:space="preserve">«8 indicadores bancarios para no iniciados»</w:t>
      </w:r>
      <w:r>
        <w:t xml:space="preserve">. Uniblog. 2021.</w:t>
      </w:r>
      <w:r>
        <w:t xml:space="preserve"> </w:t>
      </w:r>
      <w:hyperlink r:id="rId592">
        <w:r>
          <w:rPr>
            <w:rStyle w:val="Hyperlink"/>
          </w:rPr>
          <w:t xml:space="preserve">https://uniblog.unicajabanco.es/8-indicadores-bancarios-para-no-iniciados</w:t>
        </w:r>
      </w:hyperlink>
      <w:r>
        <w:t xml:space="preserve">.</w:t>
      </w:r>
    </w:p>
    <w:bookmarkEnd w:id="593"/>
    <w:bookmarkStart w:id="595" w:name="ref_TFUE2012Protocolo12"/>
    <w:p>
      <w:pPr>
        <w:pStyle w:val="Bibliography"/>
      </w:pPr>
      <w:r>
        <w:t xml:space="preserve">Unión Europea (2012).</w:t>
      </w:r>
      <w:r>
        <w:t xml:space="preserve"> </w:t>
      </w:r>
      <w:r>
        <w:t xml:space="preserve">«Protocolo (n.º 12) sobre el procedimiento aplicable en caso de déficit excesivo, anejo al Tratado de Funcionamiento de la Unión Europea»</w:t>
      </w:r>
      <w:r>
        <w:t xml:space="preserve">. 2012.</w:t>
      </w:r>
      <w:r>
        <w:t xml:space="preserve"> </w:t>
      </w:r>
      <w:hyperlink r:id="rId594">
        <w:r>
          <w:rPr>
            <w:rStyle w:val="Hyperlink"/>
          </w:rPr>
          <w:t xml:space="preserve">https://eur-lex.europa.eu/legal-content/ES/TXT/?uri=CELEX:12012E/PRO/12</w:t>
        </w:r>
      </w:hyperlink>
      <w:r>
        <w:t xml:space="preserve">.</w:t>
      </w:r>
    </w:p>
    <w:bookmarkEnd w:id="595"/>
    <w:bookmarkStart w:id="597" w:name="ref_UCM2015CLU"/>
    <w:p>
      <w:pPr>
        <w:pStyle w:val="Bibliography"/>
      </w:pPr>
      <w:r>
        <w:t xml:space="preserve">Universidad Complutense de Madrid (2015).</w:t>
      </w:r>
      <w:r>
        <w:t xml:space="preserve"> </w:t>
      </w:r>
      <w:r>
        <w:t xml:space="preserve">«Coste laboral unitario»</w:t>
      </w:r>
      <w:r>
        <w:t xml:space="preserve">. 2015.</w:t>
      </w:r>
      <w:r>
        <w:t xml:space="preserve"> </w:t>
      </w:r>
      <w:hyperlink r:id="rId596">
        <w:r>
          <w:rPr>
            <w:rStyle w:val="Hyperlink"/>
          </w:rPr>
          <w:t xml:space="preserve">https://www.ucm.es/data/cont/docs/518-2015-04-29-COSTE%20LABORAL%20UNITARIO.pdf</w:t>
        </w:r>
      </w:hyperlink>
      <w:r>
        <w:t xml:space="preserve">.</w:t>
      </w:r>
    </w:p>
    <w:bookmarkEnd w:id="597"/>
    <w:bookmarkStart w:id="599" w:name="ref_BEA2026GDP"/>
    <w:p>
      <w:pPr>
        <w:pStyle w:val="Bibliography"/>
      </w:pPr>
      <w:r>
        <w:t xml:space="preserve">U.S. Bureau of Economic Analysis (2026).</w:t>
      </w:r>
      <w:r>
        <w:t xml:space="preserve"> </w:t>
      </w:r>
      <w:r>
        <w:t xml:space="preserve">«Real Gross Domestic Product [GDPC1], vía FRED, Federal Reserve Bank of St. Louis»</w:t>
      </w:r>
      <w:r>
        <w:t xml:space="preserve">. 2026.</w:t>
      </w:r>
      <w:r>
        <w:t xml:space="preserve"> </w:t>
      </w:r>
      <w:hyperlink r:id="rId598">
        <w:r>
          <w:rPr>
            <w:rStyle w:val="Hyperlink"/>
          </w:rPr>
          <w:t xml:space="preserve">https://fred.stlouisfed.org/series/GDPC1</w:t>
        </w:r>
      </w:hyperlink>
      <w:r>
        <w:t xml:space="preserve">.</w:t>
      </w:r>
    </w:p>
    <w:bookmarkEnd w:id="599"/>
    <w:bookmarkStart w:id="601" w:name="ref_EIA2026Brent"/>
    <w:p>
      <w:pPr>
        <w:pStyle w:val="Bibliography"/>
      </w:pPr>
      <w:r>
        <w:t xml:space="preserve">U.S. Energy Information Administration (2026).</w:t>
      </w:r>
      <w:r>
        <w:t xml:space="preserve"> </w:t>
      </w:r>
      <w:r>
        <w:t xml:space="preserve">«Europe Brent Spot Price FOB (dollars per barrel), monthly [RBRTE]»</w:t>
      </w:r>
      <w:r>
        <w:t xml:space="preserve">. 2026.</w:t>
      </w:r>
      <w:r>
        <w:t xml:space="preserve"> </w:t>
      </w:r>
      <w:hyperlink r:id="rId600">
        <w:r>
          <w:rPr>
            <w:rStyle w:val="Hyperlink"/>
          </w:rPr>
          <w:t xml:space="preserve">https://www.eia.gov/dnav/pet/hist/LeafHandler.ashx?n=PET&amp;s=RBRTE&amp;f=M</w:t>
        </w:r>
      </w:hyperlink>
      <w:r>
        <w:t xml:space="preserve">.</w:t>
      </w:r>
    </w:p>
    <w:bookmarkEnd w:id="601"/>
    <w:bookmarkStart w:id="602" w:name="ref_VichGadella2007Guia"/>
    <w:p>
      <w:pPr>
        <w:pStyle w:val="Bibliography"/>
      </w:pPr>
      <w:r>
        <w:t xml:space="preserve">Vich Gadella, Ana Lucía (2007).</w:t>
      </w:r>
      <w:r>
        <w:t xml:space="preserve"> </w:t>
      </w:r>
      <w:r>
        <w:t xml:space="preserve">«Guía de dictamen económico»</w:t>
      </w:r>
      <w:r>
        <w:t xml:space="preserve">. ICEX-CECO.</w:t>
      </w:r>
    </w:p>
    <w:bookmarkEnd w:id="602"/>
    <w:bookmarkStart w:id="603" w:name="ref_Watt2007WageSetting"/>
    <w:p>
      <w:pPr>
        <w:pStyle w:val="Bibliography"/>
      </w:pPr>
      <w:r>
        <w:t xml:space="preserve">Watt, Andrew (2007).</w:t>
      </w:r>
      <w:r>
        <w:t xml:space="preserve"> </w:t>
      </w:r>
      <w:r>
        <w:t xml:space="preserve">«The Role of Wage-Setting in a Growth Strategy for Europe»</w:t>
      </w:r>
      <w:r>
        <w:t xml:space="preserve">. En</w:t>
      </w:r>
      <w:r>
        <w:t xml:space="preserve"> </w:t>
      </w:r>
      <w:r>
        <w:rPr>
          <w:i/>
          <w:iCs/>
        </w:rPr>
        <w:t xml:space="preserve">Economic Growth: New Directions in Theory and Policy</w:t>
      </w:r>
      <w:r>
        <w:t xml:space="preserve">, editado por Philip Arestis, Michelle Baddeley y John McCombie, 178-99. Cheltenham: Edward Elgar.</w:t>
      </w:r>
    </w:p>
    <w:bookmarkEnd w:id="603"/>
    <w:bookmarkEnd w:id="604"/>
    <w:bookmarkEnd w:id="605"/>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El valor añadido se puede desagregar por sector institucional o por rama de actividad (agricultura, industria, construcción, servicios…), que es lo que se analiza en la oferta (apartado </w:t>
      </w:r>
      <w:hyperlink w:anchor="sec_oferta">
        <w:r>
          <w:rPr>
            <w:rStyle w:val="Hyperlink"/>
          </w:rPr>
          <w:t xml:space="preserve">I.5</w:t>
        </w:r>
      </w:hyperlink>
      <w:r>
        <w:t xml:space="preserve">).</w:t>
      </w:r>
    </w:p>
  </w:footnote>
  <w:footnote w:id="25">
    <w:p>
      <w:pPr>
        <w:pStyle w:val="FootnoteText"/>
      </w:pPr>
      <w:r>
        <w:rPr>
          <w:rStyle w:val="FootnoteReference"/>
        </w:rPr>
        <w:footnoteRef/>
      </w:r>
      <w:r>
        <w:t xml:space="preserve"> </w:t>
      </w:r>
      <w:r>
        <w:t xml:space="preserve">Traducción propia de la nota de prensa del FMI.</w:t>
      </w:r>
    </w:p>
  </w:footnote>
  <w:footnote w:id="27">
    <w:p>
      <w:pPr>
        <w:pStyle w:val="FootnoteText"/>
      </w:pPr>
      <w:r>
        <w:rPr>
          <w:rStyle w:val="FootnoteReference"/>
        </w:rPr>
        <w:footnoteRef/>
      </w:r>
      <w:r>
        <w:t xml:space="preserve"> </w:t>
      </w:r>
      <w:r>
        <w:t xml:space="preserve">La regla de los 2 trimestres consecutivos es una convención periodística popularizada por</w:t>
      </w:r>
      <w:r>
        <w:t xml:space="preserve"> </w:t>
      </w:r>
      <w:r>
        <w:rPr>
          <w:smallCaps/>
        </w:rPr>
        <w:t xml:space="preserve">Shiskin</w:t>
      </w:r>
      <w:r>
        <w:t xml:space="preserve"> </w:t>
      </w:r>
      <w:r>
        <w:t xml:space="preserve">(</w:t>
      </w:r>
      <w:hyperlink w:anchor="ref_Shiskin1974">
        <w:r>
          <w:rPr>
            <w:rStyle w:val="Hyperlink"/>
          </w:rPr>
          <w:t xml:space="preserve">1974</w:t>
        </w:r>
      </w:hyperlink>
      <w:r>
        <w:t xml:space="preserve">)</w:t>
      </w:r>
      <w:r>
        <w:t xml:space="preserve">. Los comités que fechan los ciclos (el NBER en EE. UU. y el del CEPR en la zona del euro) usan un criterio más amplio: un descenso significativo y generalizado de la actividad durante más de unos meses, mirando también el empleo y la producción industrial</w:t>
      </w:r>
      <w:r>
        <w:t xml:space="preserve"> </w:t>
      </w:r>
      <w:r>
        <w:t xml:space="preserve">(</w:t>
      </w:r>
      <w:hyperlink w:anchor="ref_NBER2023Fechado">
        <w:r>
          <w:rPr>
            <w:rStyle w:val="Hyperlink"/>
            <w:smallCaps/>
          </w:rPr>
          <w:t xml:space="preserve">National Bureau of Economic Research</w:t>
        </w:r>
        <w:r>
          <w:rPr>
            <w:rStyle w:val="Hyperlink"/>
          </w:rPr>
          <w:t xml:space="preserve">, 2023</w:t>
        </w:r>
      </w:hyperlink>
      <w:r>
        <w:t xml:space="preserve">)</w:t>
      </w:r>
      <w:r>
        <w:t xml:space="preserve">. Para la depresión no hay definición oficial: la regla del texto es la que recoge</w:t>
      </w:r>
      <w:r>
        <w:t xml:space="preserve"> </w:t>
      </w:r>
      <w:r>
        <w:rPr>
          <w:smallCaps/>
        </w:rPr>
        <w:t xml:space="preserve">The Economist</w:t>
      </w:r>
      <w:r>
        <w:t xml:space="preserve"> </w:t>
      </w:r>
      <w:r>
        <w:t xml:space="preserve">(</w:t>
      </w:r>
      <w:hyperlink w:anchor="ref_Economist2008Depression">
        <w:r>
          <w:rPr>
            <w:rStyle w:val="Hyperlink"/>
          </w:rPr>
          <w:t xml:space="preserve">2008</w:t>
        </w:r>
      </w:hyperlink>
      <w:r>
        <w:t xml:space="preserve">)</w:t>
      </w:r>
      <w:r>
        <w:t xml:space="preserve">.</w:t>
      </w:r>
    </w:p>
  </w:footnote>
  <w:footnote w:id="36">
    <w:p>
      <w:pPr>
        <w:pStyle w:val="FootnoteText"/>
      </w:pPr>
      <w:r>
        <w:rPr>
          <w:rStyle w:val="FootnoteReference"/>
        </w:rPr>
        <w:footnoteRef/>
      </w:r>
      <w:r>
        <w:t xml:space="preserve"> </w:t>
      </w:r>
      <w:r>
        <w:t xml:space="preserve">En una economía de mercado siempre hay recursos ociosos, porque cambian continuamente de actividad: hay un nivel normal de inactividad, y el producto que le corresponde (con una inflación estable) es el potencial. Por eso se le llama también producto no aceleracionista de la inflación, asociado a la NAIRU</w:t>
      </w:r>
      <w:r>
        <w:t xml:space="preserve"> </w:t>
      </w:r>
      <w:hyperlink r:id="rId37">
        <w:r>
          <w:rPr>
            <w:rStyle w:val="Referenciaatema"/>
          </w:rPr>
          <w:t xml:space="preserve">[ver tema 3.A.28]</w:t>
        </w:r>
      </w:hyperlink>
      <w:r>
        <w:t xml:space="preserve">. La producción puede estar por debajo del potencial cuando hay mucho paro de trabajo y de capital, y por encima durante un tiempo limitado cuando la demanda es muy fuerte y los factores se usan más de lo normal.</w:t>
      </w:r>
    </w:p>
  </w:footnote>
  <w:footnote w:id="39">
    <w:p>
      <w:pPr>
        <w:pStyle w:val="FootnoteText"/>
      </w:pPr>
      <w:r>
        <w:rPr>
          <w:rStyle w:val="FootnoteReference"/>
        </w:rPr>
        <w:footnoteRef/>
      </w:r>
      <w:r>
        <w:t xml:space="preserve"> </w:t>
      </w:r>
      <w:r>
        <w:t xml:space="preserve">Los choques de oferta desplazan el PIB potencial y, con él, la brecha: el potencial crece con más capital (inversión en bienes de equipo), más trabajo (inmigración) o más productividad.</w:t>
      </w:r>
    </w:p>
  </w:footnote>
  <w:footnote w:id="45">
    <w:p>
      <w:pPr>
        <w:pStyle w:val="FootnoteText"/>
      </w:pPr>
      <w:r>
        <w:rPr>
          <w:rStyle w:val="FootnoteReference"/>
        </w:rPr>
        <w:footnoteRef/>
      </w:r>
      <w:r>
        <w:t xml:space="preserve"> </w:t>
      </w:r>
      <w:r>
        <w:t xml:space="preserve">La</w:t>
      </w:r>
      <w:r>
        <w:t xml:space="preserve"> </w:t>
      </w:r>
      <w:r>
        <w:rPr>
          <w:i/>
          <w:iCs/>
        </w:rPr>
        <w:t xml:space="preserve">curva de tipos</w:t>
      </w:r>
      <w:r>
        <w:t xml:space="preserve"> </w:t>
      </w:r>
      <w:r>
        <w:t xml:space="preserve">ordena los rendimientos de la deuda pública de menor a mayor plazo. A veces el cuadro da, para cada año, 3 rendimientos (a 6 meses, a 5 años y a 10 o 30 años), y con ellos se dibuja una curva aproximada; lo normal es que dé solo 2 tipos (corto y largo), y la «curva» es su diferencia.</w:t>
      </w:r>
      <w:r>
        <w:t xml:space="preserve"> </w:t>
      </w:r>
      <w:r>
        <w:rPr>
          <w:i/>
          <w:iCs/>
        </w:rPr>
        <w:t xml:space="preserve">Creciente</w:t>
      </w:r>
      <w:r>
        <w:t xml:space="preserve">: puede anticipar una expansión (según la teoría de las expectativas, se esperan subidas de tipos, a menudo porque se espera crecimiento), pero también puede deberse solo a la prima de liquidez (teoría de la preferencia por la liquidez), que hace más rentables los plazos largos aunque no se esperen subidas.</w:t>
      </w:r>
      <w:r>
        <w:t xml:space="preserve"> </w:t>
      </w:r>
      <w:r>
        <w:rPr>
          <w:i/>
          <w:iCs/>
        </w:rPr>
        <w:t xml:space="preserve">Plana</w:t>
      </w:r>
      <w:r>
        <w:t xml:space="preserve">: se esperan bajadas de tipos que compensan la prima de liquidez (las 2 teorías a la vez).</w:t>
      </w:r>
      <w:r>
        <w:t xml:space="preserve"> </w:t>
      </w:r>
      <w:r>
        <w:rPr>
          <w:i/>
          <w:iCs/>
        </w:rPr>
        <w:t xml:space="preserve">Invertida</w:t>
      </w:r>
      <w:r>
        <w:t xml:space="preserve">: suele preceder a una recesión; los inversores esperan que el banco central baje los tipos para combatirla y compran a largo plazo para asegurarse los tipos altos de hoy, lo que sube el precio de los bonos largos y baja su rentabilidad.</w:t>
      </w:r>
      <w:r>
        <w:t xml:space="preserve"> </w:t>
      </w:r>
      <w:r>
        <w:rPr>
          <w:i/>
          <w:iCs/>
        </w:rPr>
        <w:t xml:space="preserve">A lo largo de la serie</w:t>
      </w:r>
      <w:r>
        <w:t xml:space="preserve">: si la curva gana pendiente año tras año, los agentes esperarían cada vez con más seguridad una expansión</w:t>
      </w:r>
      <w:r>
        <w:t xml:space="preserve"> </w:t>
      </w:r>
      <w:hyperlink r:id="rId46">
        <w:r>
          <w:rPr>
            <w:rStyle w:val="Referenciaatema"/>
          </w:rPr>
          <w:t xml:space="preserve">[ver tema 3.B.24]</w:t>
        </w:r>
      </w:hyperlink>
      <w:r>
        <w:t xml:space="preserve">.</w:t>
      </w:r>
    </w:p>
  </w:footnote>
  <w:footnote w:id="56">
    <w:p>
      <w:pPr>
        <w:pStyle w:val="FootnoteText"/>
      </w:pPr>
      <w:r>
        <w:rPr>
          <w:rStyle w:val="FootnoteReference"/>
        </w:rPr>
        <w:footnoteRef/>
      </w:r>
      <w:r>
        <w:t xml:space="preserve"> </w:t>
      </w:r>
      <w:r>
        <w:t xml:space="preserve">A veces el cuadro da directamente la renta disponible. La propensión a consumir la renta que procede de más empleo es mayor que la que procede de salarios reales más altos, porque el empleo señala mejor un aumento de la renta permanente. Donde las transferencias y otras rentas (subsidios a la alimentación o a la vivienda) pesan mucho, el salario no es un buen indicador del nivel de vida.</w:t>
      </w:r>
    </w:p>
  </w:footnote>
  <w:footnote w:id="57">
    <w:p>
      <w:pPr>
        <w:pStyle w:val="FootnoteText"/>
      </w:pPr>
      <w:r>
        <w:rPr>
          <w:rStyle w:val="FootnoteReference"/>
        </w:rPr>
        <w:footnoteRef/>
      </w:r>
      <w:r>
        <w:t xml:space="preserve"> </w:t>
      </w:r>
      <w:r>
        <w:t xml:space="preserve">El precio del petróleo pesa mucho en la renta real de los hogares, porque la demanda de energía es poco elástica.</w:t>
      </w:r>
    </w:p>
  </w:footnote>
  <w:footnote w:id="60">
    <w:p>
      <w:pPr>
        <w:pStyle w:val="FootnoteText"/>
      </w:pPr>
      <w:r>
        <w:rPr>
          <w:rStyle w:val="FootnoteReference"/>
        </w:rPr>
        <w:footnoteRef/>
      </w:r>
      <w:r>
        <w:t xml:space="preserve"> </w:t>
      </w:r>
      <w:r>
        <w:t xml:space="preserve">Una condición para que se cumpla es que los hogares puedan prestar y pedir prestado, un supuesto razonable solo con mercados financieros desarrollados.</w:t>
      </w:r>
    </w:p>
  </w:footnote>
  <w:footnote w:id="62">
    <w:p>
      <w:pPr>
        <w:pStyle w:val="FootnoteText"/>
      </w:pPr>
      <w:r>
        <w:rPr>
          <w:rStyle w:val="FootnoteReference"/>
        </w:rPr>
        <w:footnoteRef/>
      </w:r>
      <w:r>
        <w:t xml:space="preserve"> </w:t>
      </w:r>
      <w:r>
        <w:t xml:space="preserve">La inversión residencial es el único componente de la inversión que hacen los hogares, y en algunos países el más importante. Depende del crédito, los tipos, la regulación y los impuestos, la renta de los hogares y la demanda de vivienda frente al parque disponible</w:t>
      </w:r>
      <w:r>
        <w:t xml:space="preserve"> </w:t>
      </w:r>
      <w:hyperlink r:id="rId63">
        <w:r>
          <w:rPr>
            <w:rStyle w:val="Referenciaatema"/>
          </w:rPr>
          <w:t xml:space="preserve">[ver tema 4.A.11]</w:t>
        </w:r>
      </w:hyperlink>
      <w:r>
        <w:t xml:space="preserve">.</w:t>
      </w:r>
    </w:p>
  </w:footnote>
  <w:footnote w:id="64">
    <w:p>
      <w:pPr>
        <w:pStyle w:val="FootnoteText"/>
      </w:pPr>
      <w:r>
        <w:rPr>
          <w:rStyle w:val="FootnoteReference"/>
        </w:rPr>
        <w:footnoteRef/>
      </w:r>
      <w:r>
        <w:t xml:space="preserve"> </w:t>
      </w:r>
      <w:r>
        <w:t xml:space="preserve">Comprende viviendas; otros edificios y construcciones (incluidas las grandes mejoras de terrenos); maquinaria y equipo (buques, automóviles, ordenadores) y sistemas de armamento; recursos biológicos cultivados (árboles, ganado); los gastos de transferencia de la propiedad de activos no producidos (terrenos, contratos, licencias); y productos de la propiedad intelectual: I+D (incluida la de acceso gratuito), prospección minera y petrolera, programas informáticos y bases de datos, originales de obras recreativas, literarias o artísticas y otros</w:t>
      </w:r>
      <w:r>
        <w:t xml:space="preserve"> </w:t>
      </w:r>
      <w:r>
        <w:t xml:space="preserve">(</w:t>
      </w:r>
      <w:hyperlink w:anchor="ref_SEC2010">
        <w:r>
          <w:rPr>
            <w:rStyle w:val="Hyperlink"/>
            <w:smallCaps/>
          </w:rPr>
          <w:t xml:space="preserve">Parlamento Europeo y Consejo de la Unión Europea</w:t>
        </w:r>
        <w:r>
          <w:rPr>
            <w:rStyle w:val="Hyperlink"/>
          </w:rPr>
          <w:t xml:space="preserve">, 2013c</w:t>
        </w:r>
      </w:hyperlink>
      <w:r>
        <w:t xml:space="preserve">)</w:t>
      </w:r>
      <w:r>
        <w:t xml:space="preserve">.</w:t>
      </w:r>
    </w:p>
  </w:footnote>
  <w:footnote w:id="65">
    <w:p>
      <w:pPr>
        <w:pStyle w:val="FootnoteText"/>
      </w:pPr>
      <w:r>
        <w:rPr>
          <w:rStyle w:val="FootnoteReference"/>
        </w:rPr>
        <w:footnoteRef/>
      </w:r>
      <w:r>
        <w:t xml:space="preserve"> </w:t>
      </w:r>
      <w:r>
        <w:t xml:space="preserve">El tipo real a largo plazo pide expectativas de inflación a largo plazo, que el cuadro casi nunca da. Por orden de preferencia: deflactar el tipo nominal a largo con la inflación del periodo (mejor con el deflactor del PIB que con el IPC, porque es más relevante para las empresas); usar el tipo real a corto plazo; hacer una hipótesis sobre la inflación futura con los datos disponibles (los bancos centrales restan a cada tipo nominal las expectativas de inflación de los</w:t>
      </w:r>
      <w:r>
        <w:t xml:space="preserve"> </w:t>
      </w:r>
      <w:r>
        <w:rPr>
          <w:i/>
          <w:iCs/>
        </w:rPr>
        <w:t xml:space="preserve">swaps</w:t>
      </w:r>
      <w:r>
        <w:t xml:space="preserve"> </w:t>
      </w:r>
      <w:r>
        <w:t xml:space="preserve">de inflación a un plazo parecido al del préstamo: más largo para la vivienda que para las empresas o el consumo); o usar el nominal a largo, que ya incluye una prima por la inflación. En todos los casos hay que decir qué se ha hecho y sus limitaciones.</w:t>
      </w:r>
    </w:p>
  </w:footnote>
  <w:footnote w:id="66">
    <w:p>
      <w:pPr>
        <w:pStyle w:val="FootnoteText"/>
      </w:pPr>
      <w:r>
        <w:rPr>
          <w:rStyle w:val="FootnoteReference"/>
        </w:rPr>
        <w:footnoteRef/>
      </w:r>
      <w:r>
        <w:t xml:space="preserve"> </w:t>
      </w:r>
      <w:r>
        <w:t xml:space="preserve">En los países en desarrollo, la falta de mercados financieros, el papel del Estado en la formación de capital y las restricciones cambiarias debilitan los modelos estándar de inversión: la disponibilidad de financiación limita más que su coste, y el crédito bancario, la entrada de capital extranjero y los beneficios retenidos son los determinantes principales. En una pequeña economía abierta, la cercanía a mercados más ricos puede explicar la inversión. Puede haber expulsión</w:t>
      </w:r>
      <w:r>
        <w:t xml:space="preserve"> </w:t>
      </w:r>
      <w:r>
        <w:rPr>
          <w:i/>
          <w:iCs/>
        </w:rPr>
        <w:t xml:space="preserve">financiera</w:t>
      </w:r>
      <w:r>
        <w:t xml:space="preserve">, si el Estado acapara el crédito bancario, y</w:t>
      </w:r>
      <w:r>
        <w:t xml:space="preserve"> </w:t>
      </w:r>
      <w:r>
        <w:rPr>
          <w:i/>
          <w:iCs/>
        </w:rPr>
        <w:t xml:space="preserve">real</w:t>
      </w:r>
      <w:r>
        <w:t xml:space="preserve">, si la inversión pública acapara los escasos recursos físicos, nacionales e importados. En cualquier caso, la falta de datos suele impedir aplicar estos modelos.</w:t>
      </w:r>
    </w:p>
  </w:footnote>
  <w:footnote w:id="70">
    <w:p>
      <w:pPr>
        <w:pStyle w:val="FootnoteText"/>
      </w:pPr>
      <w:r>
        <w:rPr>
          <w:rStyle w:val="FootnoteReference"/>
        </w:rPr>
        <w:footnoteRef/>
      </w:r>
      <w:r>
        <w:t xml:space="preserve"> </w:t>
      </w:r>
      <w:r>
        <w:t xml:space="preserve">Una depreciación puede tener un efecto ambiguo sobre la inversión: la anima en las empresas exportadoras, pero encarece los bienes intermedios importados (sobre todo el petróleo) y reduce márgenes. Con la condición de</w:t>
      </w:r>
      <w:r>
        <w:t xml:space="preserve"> </w:t>
      </w:r>
      <w:r>
        <w:rPr>
          <w:smallCaps/>
        </w:rPr>
        <w:t xml:space="preserve">Marshall</w:t>
      </w:r>
      <w:r>
        <w:t xml:space="preserve">-</w:t>
      </w:r>
      <w:r>
        <w:rPr>
          <w:smallCaps/>
        </w:rPr>
        <w:t xml:space="preserve">Lerner</w:t>
      </w:r>
      <w:r>
        <w:t xml:space="preserve">, una depreciación aumenta la contribución de la demanda externa al crecimiento (apartado </w:t>
      </w:r>
      <w:hyperlink w:anchor="sec_tipo_cambio">
        <w:r>
          <w:rPr>
            <w:rStyle w:val="Hyperlink"/>
          </w:rPr>
          <w:t xml:space="preserve">III.2</w:t>
        </w:r>
      </w:hyperlink>
      <w:r>
        <w:t xml:space="preserve">).</w:t>
      </w:r>
    </w:p>
  </w:footnote>
  <w:footnote w:id="86">
    <w:p>
      <w:pPr>
        <w:pStyle w:val="FootnoteText"/>
      </w:pPr>
      <w:r>
        <w:rPr>
          <w:rStyle w:val="FootnoteReference"/>
        </w:rPr>
        <w:footnoteRef/>
      </w:r>
      <w:r>
        <w:t xml:space="preserve"> </w:t>
      </w:r>
      <w:r>
        <w:t xml:space="preserve">El pleno empleo es la situación en que todas las personas disponibles que buscan empleo pueden obtenerlo con los salarios y las condiciones del mercado. No es paro nulo: siempre hay quien está cambiando de trabajo, y los que no trabajan lo hacen voluntariamente. En pleno empleo los recursos laborales están utilizados, y más demanda de trabajo subiría los salarios. En los países menos desarrollados (y, recientemente, en algunos desarrollados) un paro bajo puede no ser positivo: esconde subempleo (pocas horas, informalidad, rentas muy bajas y pocas perspectivas)</w:t>
      </w:r>
      <w:r>
        <w:t xml:space="preserve"> </w:t>
      </w:r>
      <w:r>
        <w:t xml:space="preserve">(</w:t>
      </w:r>
      <w:hyperlink w:anchor="ref_OIT2019PlenoEmpleo">
        <w:r>
          <w:rPr>
            <w:rStyle w:val="Hyperlink"/>
            <w:smallCaps/>
          </w:rPr>
          <w:t xml:space="preserve">Organización Internacional del Trabajo</w:t>
        </w:r>
        <w:r>
          <w:rPr>
            <w:rStyle w:val="Hyperlink"/>
          </w:rPr>
          <w:t xml:space="preserve">, 2019</w:t>
        </w:r>
      </w:hyperlink>
      <w:r>
        <w:t xml:space="preserve">)</w:t>
      </w:r>
      <w:r>
        <w:t xml:space="preserve">.</w:t>
      </w:r>
    </w:p>
  </w:footnote>
  <w:footnote w:id="91">
    <w:p>
      <w:pPr>
        <w:pStyle w:val="FootnoteText"/>
      </w:pPr>
      <w:r>
        <w:rPr>
          <w:rStyle w:val="FootnoteReference"/>
        </w:rPr>
        <w:footnoteRef/>
      </w:r>
      <w:r>
        <w:t xml:space="preserve"> </w:t>
      </w:r>
      <w:r>
        <w:t xml:space="preserve">Hay 2 salarios reales: el</w:t>
      </w:r>
      <w:r>
        <w:t xml:space="preserve"> </w:t>
      </w:r>
      <w:r>
        <w:rPr>
          <w:i/>
          <w:iCs/>
        </w:rPr>
        <w:t xml:space="preserve">de consumo</w:t>
      </w:r>
      <w:r>
        <w:t xml:space="preserve">,</w:t>
      </w:r>
      <w:r>
        <w:t xml:space="preserve"> </w:t>
      </w:r>
      <m:oMath>
        <m:r>
          <m:t>W</m:t>
        </m:r>
        <m:r>
          <m:rPr>
            <m:sty m:val="p"/>
          </m:rPr>
          <m:t>/</m:t>
        </m:r>
        <m:r>
          <m:rPr>
            <m:sty m:val="p"/>
          </m:rPr>
          <m:t>I</m:t>
        </m:r>
        <m:r>
          <m:rPr>
            <m:sty m:val="p"/>
          </m:rPr>
          <m:t>P</m:t>
        </m:r>
        <m:r>
          <m:rPr>
            <m:sty m:val="p"/>
          </m:rPr>
          <m:t>C</m:t>
        </m:r>
      </m:oMath>
      <w:r>
        <w:t xml:space="preserve">, que mide el poder adquisitivo del trabajador, y el</w:t>
      </w:r>
      <w:r>
        <w:t xml:space="preserve"> </w:t>
      </w:r>
      <w:r>
        <w:rPr>
          <w:i/>
          <w:iCs/>
        </w:rPr>
        <w:t xml:space="preserve">de producto</w:t>
      </w:r>
      <w:r>
        <w:t xml:space="preserve">,</w:t>
      </w:r>
      <w:r>
        <w:t xml:space="preserve"> </w:t>
      </w:r>
      <m:oMath>
        <m:r>
          <m:t>W</m:t>
        </m:r>
        <m:r>
          <m:rPr>
            <m:sty m:val="p"/>
          </m:rPr>
          <m:t>/</m:t>
        </m:r>
        <m:r>
          <m:t>P</m:t>
        </m:r>
      </m:oMath>
      <w:r>
        <w:t xml:space="preserve">, que mide el coste para la empresa. El CLU real usa el segundo.</w:t>
      </w:r>
    </w:p>
  </w:footnote>
  <w:footnote w:id="92">
    <w:p>
      <w:pPr>
        <w:pStyle w:val="FootnoteText"/>
      </w:pPr>
      <w:r>
        <w:rPr>
          <w:rStyle w:val="FootnoteReference"/>
        </w:rPr>
        <w:footnoteRef/>
      </w:r>
      <w:r>
        <w:t xml:space="preserve"> </w:t>
      </w:r>
      <w:r>
        <w:t xml:space="preserve">Es la «regla de oro» salarial de</w:t>
      </w:r>
      <w:r>
        <w:t xml:space="preserve"> </w:t>
      </w:r>
      <w:r>
        <w:rPr>
          <w:smallCaps/>
        </w:rPr>
        <w:t xml:space="preserve">Watt</w:t>
      </w:r>
      <w:r>
        <w:t xml:space="preserve"> </w:t>
      </w:r>
      <w:r>
        <w:t xml:space="preserve">(</w:t>
      </w:r>
      <w:hyperlink w:anchor="ref_Watt2007WageSetting">
        <w:r>
          <w:rPr>
            <w:rStyle w:val="Hyperlink"/>
          </w:rPr>
          <w:t xml:space="preserve">2007</w:t>
        </w:r>
      </w:hyperlink>
      <w:r>
        <w:t xml:space="preserve">)</w:t>
      </w:r>
      <w:r>
        <w:t xml:space="preserve">: en la zona del euro, unos CLU nominales que crecen en torno al 2 % no son una pérdida de competitividad frente al resto del euro. Varios estudios discuten, además, que los CLU agregados midan bien la competitividad exterior:</w:t>
      </w:r>
      <w:r>
        <w:t xml:space="preserve"> </w:t>
      </w:r>
      <w:r>
        <w:rPr>
          <w:smallCaps/>
        </w:rPr>
        <w:t xml:space="preserve">Kaldor</w:t>
      </w:r>
      <w:r>
        <w:t xml:space="preserve"> </w:t>
      </w:r>
      <w:r>
        <w:t xml:space="preserve">(</w:t>
      </w:r>
      <w:hyperlink w:anchor="ref_Kaldor1978">
        <w:r>
          <w:rPr>
            <w:rStyle w:val="Hyperlink"/>
          </w:rPr>
          <w:t xml:space="preserve">1978</w:t>
        </w:r>
      </w:hyperlink>
      <w:r>
        <w:t xml:space="preserve">)</w:t>
      </w:r>
      <w:r>
        <w:t xml:space="preserve"> </w:t>
      </w:r>
      <w:r>
        <w:t xml:space="preserve">observó que los países cuyos CLU relativos más crecieron entre 1963 y 1975 fueron los que más cuota de exportación ganaron (</w:t>
      </w:r>
      <w:r>
        <w:rPr>
          <w:b/>
          <w:bCs/>
        </w:rPr>
        <w:t xml:space="preserve">paradoja de</w:t>
      </w:r>
      <w:r>
        <w:rPr>
          <w:b/>
          <w:bCs/>
        </w:rPr>
        <w:t xml:space="preserve"> </w:t>
      </w:r>
      <w:r>
        <w:rPr>
          <w:b/>
          <w:bCs/>
          <w:smallCaps/>
        </w:rPr>
        <w:t xml:space="preserve">Kaldor</w:t>
      </w:r>
      <w:r>
        <w:t xml:space="preserve">), y</w:t>
      </w:r>
      <w:r>
        <w:t xml:space="preserve"> </w:t>
      </w:r>
      <w:r>
        <w:rPr>
          <w:smallCaps/>
        </w:rPr>
        <w:t xml:space="preserve">Felipe</w:t>
      </w:r>
      <w:r>
        <w:t xml:space="preserve"> </w:t>
      </w:r>
      <w:r>
        <w:t xml:space="preserve">y</w:t>
      </w:r>
      <w:r>
        <w:t xml:space="preserve"> </w:t>
      </w:r>
      <w:r>
        <w:rPr>
          <w:smallCaps/>
        </w:rPr>
        <w:t xml:space="preserve">Kumar</w:t>
      </w:r>
      <w:r>
        <w:t xml:space="preserve"> </w:t>
      </w:r>
      <w:r>
        <w:t xml:space="preserve">(</w:t>
      </w:r>
      <w:hyperlink w:anchor="ref_FelipeKumar2011">
        <w:r>
          <w:rPr>
            <w:rStyle w:val="Hyperlink"/>
          </w:rPr>
          <w:t xml:space="preserve">2011</w:t>
        </w:r>
      </w:hyperlink>
      <w:r>
        <w:t xml:space="preserve">)</w:t>
      </w:r>
      <w:r>
        <w:t xml:space="preserve"> </w:t>
      </w:r>
      <w:r>
        <w:t xml:space="preserve">no encuentran en la zona del euro relación entre el crecimiento de los CLU y el del PIB. Una explicación sencilla de los CLU está en</w:t>
      </w:r>
      <w:r>
        <w:t xml:space="preserve"> </w:t>
      </w:r>
      <w:r>
        <w:rPr>
          <w:smallCaps/>
        </w:rPr>
        <w:t xml:space="preserve">Universidad Complutense de Madrid</w:t>
      </w:r>
      <w:r>
        <w:t xml:space="preserve"> </w:t>
      </w:r>
      <w:r>
        <w:t xml:space="preserve">(</w:t>
      </w:r>
      <w:hyperlink w:anchor="ref_UCM2015CLU">
        <w:r>
          <w:rPr>
            <w:rStyle w:val="Hyperlink"/>
          </w:rPr>
          <w:t xml:space="preserve">2015</w:t>
        </w:r>
      </w:hyperlink>
      <w:r>
        <w:t xml:space="preserve">)</w:t>
      </w:r>
      <w:r>
        <w:t xml:space="preserve">.</w:t>
      </w:r>
    </w:p>
  </w:footnote>
  <w:footnote w:id="97">
    <w:p>
      <w:pPr>
        <w:pStyle w:val="FootnoteText"/>
      </w:pPr>
      <w:r>
        <w:rPr>
          <w:rStyle w:val="FootnoteReference"/>
        </w:rPr>
        <w:footnoteRef/>
      </w:r>
      <w:r>
        <w:t xml:space="preserve"> </w:t>
      </w:r>
      <w:r>
        <w:t xml:space="preserve">En la curva de</w:t>
      </w:r>
      <w:r>
        <w:t xml:space="preserve"> </w:t>
      </w:r>
      <w:r>
        <w:rPr>
          <w:smallCaps/>
        </w:rPr>
        <w:t xml:space="preserve">Phillips</w:t>
      </w:r>
      <w:r>
        <w:t xml:space="preserve">,</w:t>
      </w:r>
      <w:r>
        <w:t xml:space="preserve"> </w:t>
      </w:r>
      <m:oMath>
        <m:sSub>
          <m:e>
            <m:r>
              <m:t>U</m:t>
            </m:r>
          </m:e>
          <m:sub>
            <m:r>
              <m:t>t</m:t>
            </m:r>
          </m:sub>
        </m:sSub>
      </m:oMath>
      <w:r>
        <w:t xml:space="preserve"> </w:t>
      </w:r>
      <w:r>
        <w:t xml:space="preserve">es la</w:t>
      </w:r>
      <w:r>
        <w:t xml:space="preserve"> </w:t>
      </w:r>
      <w:r>
        <w:rPr>
          <w:i/>
          <w:iCs/>
        </w:rPr>
        <w:t xml:space="preserve">tasa</w:t>
      </w:r>
      <w:r>
        <w:t xml:space="preserve"> </w:t>
      </w:r>
      <w:r>
        <w:t xml:space="preserve">de paro y</w:t>
      </w:r>
      <w:r>
        <w:t xml:space="preserve"> </w:t>
      </w:r>
      <m:oMath>
        <m:sSup>
          <m:e>
            <m:r>
              <m:t>U</m:t>
            </m:r>
          </m:e>
          <m:sup>
            <m:r>
              <m:t>n</m:t>
            </m:r>
          </m:sup>
        </m:sSup>
      </m:oMath>
      <w:r>
        <w:t xml:space="preserve"> </w:t>
      </w:r>
      <w:r>
        <w:t xml:space="preserve">la NAIRU, como en</w:t>
      </w:r>
      <w:r>
        <w:t xml:space="preserve"> </w:t>
      </w:r>
      <w:hyperlink r:id="rId37">
        <w:r>
          <w:rPr>
            <w:rStyle w:val="Referenciaatema"/>
          </w:rPr>
          <w:t xml:space="preserve">[ver tema 3.A.28]</w:t>
        </w:r>
      </w:hyperlink>
      <w:r>
        <w:t xml:space="preserve">; en las fórmulas de la EPA,</w:t>
      </w:r>
      <w:r>
        <w:t xml:space="preserve"> </w:t>
      </w:r>
      <m:oMath>
        <m:r>
          <m:t>U</m:t>
        </m:r>
      </m:oMath>
      <w:r>
        <w:t xml:space="preserve"> </w:t>
      </w:r>
      <w:r>
        <w:t xml:space="preserve">son los parados y</w:t>
      </w:r>
      <w:r>
        <w:t xml:space="preserve"> </w:t>
      </w:r>
      <m:oMath>
        <m:r>
          <m:t>u</m:t>
        </m:r>
        <m:r>
          <m:rPr>
            <m:sty m:val="p"/>
          </m:rPr>
          <m:t>=</m:t>
        </m:r>
        <m:r>
          <m:t>U</m:t>
        </m:r>
        <m:r>
          <m:rPr>
            <m:sty m:val="p"/>
          </m:rPr>
          <m:t>/</m:t>
        </m:r>
        <m:r>
          <m:t>A</m:t>
        </m:r>
      </m:oMath>
      <w:r>
        <w:t xml:space="preserve"> </w:t>
      </w:r>
      <w:r>
        <w:t xml:space="preserve">la tasa.</w:t>
      </w:r>
    </w:p>
  </w:footnote>
  <w:footnote w:id="113">
    <w:p>
      <w:pPr>
        <w:pStyle w:val="FootnoteText"/>
      </w:pPr>
      <w:r>
        <w:rPr>
          <w:rStyle w:val="FootnoteReference"/>
        </w:rPr>
        <w:footnoteRef/>
      </w:r>
      <w:r>
        <w:t xml:space="preserve"> </w:t>
      </w:r>
      <w:r>
        <w:t xml:space="preserve">El IPC y el deflactor son números índice (100 en el año base); si el cuadro da un porcentaje, no es el índice, sino su tasa de variación.</w:t>
      </w:r>
    </w:p>
  </w:footnote>
  <w:footnote w:id="117">
    <w:p>
      <w:pPr>
        <w:pStyle w:val="FootnoteText"/>
      </w:pPr>
      <w:r>
        <w:rPr>
          <w:rStyle w:val="FootnoteReference"/>
        </w:rPr>
        <w:footnoteRef/>
      </w:r>
      <w:r>
        <w:t xml:space="preserve"> </w:t>
      </w:r>
      <w:r>
        <w:t xml:space="preserve">Aunque la idea es intuitiva, no hay una base teórica ni un enfoque aceptado por todos para medirla; todas las medidas buscan separar los cambios persistentes de los transitorios.</w:t>
      </w:r>
    </w:p>
  </w:footnote>
  <w:footnote w:id="134">
    <w:p>
      <w:pPr>
        <w:pStyle w:val="FootnoteText"/>
      </w:pPr>
      <w:r>
        <w:rPr>
          <w:rStyle w:val="FootnoteReference"/>
        </w:rPr>
        <w:footnoteRef/>
      </w:r>
      <w:r>
        <w:t xml:space="preserve"> </w:t>
      </w:r>
      <w:r>
        <w:t xml:space="preserve">Con el sexto manual del FMI</w:t>
      </w:r>
      <w:r>
        <w:t xml:space="preserve"> </w:t>
      </w:r>
      <w:r>
        <w:t xml:space="preserve">(</w:t>
      </w:r>
      <w:hyperlink w:anchor="ref_FMI2009MBP6">
        <w:r>
          <w:rPr>
            <w:rStyle w:val="Hyperlink"/>
            <w:smallCaps/>
          </w:rPr>
          <w:t xml:space="preserve">Fondo Monetario Internacional</w:t>
        </w:r>
        <w:r>
          <w:rPr>
            <w:rStyle w:val="Hyperlink"/>
          </w:rPr>
          <w:t xml:space="preserve">, 2009</w:t>
        </w:r>
      </w:hyperlink>
      <w:r>
        <w:t xml:space="preserve">)</w:t>
      </w:r>
      <w:r>
        <w:t xml:space="preserve">, un aumento de los activos netos frente al exterior (salida de capitales) se anota en la cuenta financiera con signo positivo, y una necesidad de financiación sale negativa. También se admite escribirla como</w:t>
      </w:r>
      <w:r>
        <w:t xml:space="preserve"> </w:t>
      </w:r>
      <m:oMath>
        <m:r>
          <m:rPr>
            <m:sty m:val="p"/>
          </m:rPr>
          <m:t>C</m:t>
        </m:r>
        <m:r>
          <m:rPr>
            <m:sty m:val="p"/>
          </m:rPr>
          <m:t>C</m:t>
        </m:r>
        <m:r>
          <m:rPr>
            <m:sty m:val="p"/>
          </m:rPr>
          <m:t>+</m:t>
        </m:r>
        <m:r>
          <m:rPr>
            <m:sty m:val="p"/>
          </m:rPr>
          <m:t>C</m:t>
        </m:r>
        <m:r>
          <m:rPr>
            <m:sty m:val="p"/>
          </m:rPr>
          <m:t>K</m:t>
        </m:r>
        <m:r>
          <m:rPr>
            <m:sty m:val="p"/>
          </m:rPr>
          <m:t>+</m:t>
        </m:r>
        <m:r>
          <m:rPr>
            <m:sty m:val="p"/>
          </m:rPr>
          <m:t>E</m:t>
        </m:r>
        <m:r>
          <m:rPr>
            <m:sty m:val="p"/>
          </m:rPr>
          <m:t>O</m:t>
        </m:r>
        <m:r>
          <m:rPr>
            <m:sty m:val="p"/>
          </m:rPr>
          <m:t>+</m:t>
        </m:r>
        <m:r>
          <m:rPr>
            <m:sty m:val="p"/>
          </m:rPr>
          <m:t>C</m:t>
        </m:r>
        <m:r>
          <m:rPr>
            <m:sty m:val="p"/>
          </m:rPr>
          <m:t>F</m:t>
        </m:r>
        <m:r>
          <m:rPr>
            <m:sty m:val="p"/>
          </m:rPr>
          <m:t>′</m:t>
        </m:r>
        <m:r>
          <m:rPr>
            <m:sty m:val="p"/>
          </m:rPr>
          <m:t>=</m:t>
        </m:r>
        <m:r>
          <m:t>0</m:t>
        </m:r>
      </m:oMath>
      <w:r>
        <w:t xml:space="preserve">, con la cuenta financiera de signo contrario (</w:t>
      </w:r>
      <m:oMath>
        <m:r>
          <m:rPr>
            <m:sty m:val="p"/>
          </m:rPr>
          <m:t>C</m:t>
        </m:r>
        <m:r>
          <m:rPr>
            <m:sty m:val="p"/>
          </m:rPr>
          <m:t>F</m:t>
        </m:r>
        <m:r>
          <m:rPr>
            <m:sty m:val="p"/>
          </m:rPr>
          <m:t>′</m:t>
        </m:r>
        <m:r>
          <m:rPr>
            <m:sty m:val="p"/>
          </m:rPr>
          <m:t>=</m:t>
        </m:r>
        <m:r>
          <m:rPr>
            <m:sty m:val="p"/>
          </m:rPr>
          <m:t>−</m:t>
        </m:r>
        <m:r>
          <m:rPr>
            <m:sty m:val="p"/>
          </m:rPr>
          <m:t>C</m:t>
        </m:r>
        <m:r>
          <m:rPr>
            <m:sty m:val="p"/>
          </m:rPr>
          <m:t>F</m:t>
        </m:r>
      </m:oMath>
      <w:r>
        <w:t xml:space="preserve">): entonces una salida de capitales sale negativa y una necesidad de financiación se ve como una entrada neta, positiva. El FMI publicó en 2025 el séptimo manual, que se aplicará hacia 2029-2030; los datos oficiales siguen en el sexto</w:t>
      </w:r>
      <w:r>
        <w:t xml:space="preserve"> </w:t>
      </w:r>
      <w:r>
        <w:t xml:space="preserve">(</w:t>
      </w:r>
      <w:hyperlink w:anchor="ref_FMI2025MBP7">
        <w:r>
          <w:rPr>
            <w:rStyle w:val="Hyperlink"/>
            <w:smallCaps/>
          </w:rPr>
          <w:t xml:space="preserve">Fondo Monetario Internacional</w:t>
        </w:r>
        <w:r>
          <w:rPr>
            <w:rStyle w:val="Hyperlink"/>
          </w:rPr>
          <w:t xml:space="preserve">, 2025a</w:t>
        </w:r>
      </w:hyperlink>
      <w:r>
        <w:t xml:space="preserve">)</w:t>
      </w:r>
      <w:r>
        <w:t xml:space="preserve">.</w:t>
      </w:r>
    </w:p>
  </w:footnote>
  <w:footnote w:id="146">
    <w:p>
      <w:pPr>
        <w:pStyle w:val="FootnoteText"/>
      </w:pPr>
      <w:r>
        <w:rPr>
          <w:rStyle w:val="FootnoteReference"/>
        </w:rPr>
        <w:footnoteRef/>
      </w:r>
      <w:r>
        <w:t xml:space="preserve"> </w:t>
      </w:r>
      <w:r>
        <w:t xml:space="preserve">Hay debate sobre la mejor métrica de vulnerabilidad:</w:t>
      </w:r>
      <w:r>
        <w:t xml:space="preserve"> </w:t>
      </w:r>
      <w:r>
        <w:rPr>
          <w:smallCaps/>
        </w:rPr>
        <w:t xml:space="preserve">Shin</w:t>
      </w:r>
      <w:r>
        <w:t xml:space="preserve"> </w:t>
      </w:r>
      <w:r>
        <w:t xml:space="preserve">(</w:t>
      </w:r>
      <w:hyperlink w:anchor="ref_Shin2012">
        <w:r>
          <w:rPr>
            <w:rStyle w:val="Hyperlink"/>
          </w:rPr>
          <w:t xml:space="preserve">2012</w:t>
        </w:r>
      </w:hyperlink>
      <w:r>
        <w:t xml:space="preserve">)</w:t>
      </w:r>
      <w:r>
        <w:t xml:space="preserve"> </w:t>
      </w:r>
      <w:r>
        <w:t xml:space="preserve">defiende los pasivos exteriores</w:t>
      </w:r>
      <w:r>
        <w:t xml:space="preserve"> </w:t>
      </w:r>
      <w:r>
        <w:rPr>
          <w:i/>
          <w:iCs/>
        </w:rPr>
        <w:t xml:space="preserve">brutos</w:t>
      </w:r>
      <w:r>
        <w:t xml:space="preserve">, mejor indicador de la integración financiera y de la exposición;</w:t>
      </w:r>
      <w:r>
        <w:t xml:space="preserve"> </w:t>
      </w:r>
      <w:r>
        <w:rPr>
          <w:smallCaps/>
        </w:rPr>
        <w:t xml:space="preserve">Catão</w:t>
      </w:r>
      <w:r>
        <w:t xml:space="preserve"> </w:t>
      </w:r>
      <w:r>
        <w:t xml:space="preserve">y</w:t>
      </w:r>
      <w:r>
        <w:t xml:space="preserve"> </w:t>
      </w:r>
      <w:r>
        <w:rPr>
          <w:smallCaps/>
        </w:rPr>
        <w:t xml:space="preserve">Milesi-Ferretti</w:t>
      </w:r>
      <w:r>
        <w:t xml:space="preserve"> </w:t>
      </w:r>
      <w:r>
        <w:t xml:space="preserve">(</w:t>
      </w:r>
      <w:hyperlink w:anchor="ref_CataoMilesiFerretti2014">
        <w:r>
          <w:rPr>
            <w:rStyle w:val="Hyperlink"/>
          </w:rPr>
          <w:t xml:space="preserve">2014</w:t>
        </w:r>
      </w:hyperlink>
      <w:r>
        <w:t xml:space="preserve">)</w:t>
      </w:r>
      <w:r>
        <w:t xml:space="preserve">, que los</w:t>
      </w:r>
      <w:r>
        <w:t xml:space="preserve"> </w:t>
      </w:r>
      <w:r>
        <w:rPr>
          <w:i/>
          <w:iCs/>
        </w:rPr>
        <w:t xml:space="preserve">netos</w:t>
      </w:r>
      <w:r>
        <w:t xml:space="preserve"> </w:t>
      </w:r>
      <w:r>
        <w:t xml:space="preserve">(la PIIN) predicen bien las crisis exteriores. La deuda externa, al recoger solo lo exigible, refleja mejor el riesgo de refinanciación.</w:t>
      </w:r>
    </w:p>
  </w:footnote>
  <w:footnote w:id="151">
    <w:p>
      <w:pPr>
        <w:pStyle w:val="FootnoteText"/>
      </w:pPr>
      <w:r>
        <w:rPr>
          <w:rStyle w:val="FootnoteReference"/>
        </w:rPr>
        <w:footnoteRef/>
      </w:r>
      <w:r>
        <w:t xml:space="preserve"> </w:t>
      </w:r>
      <w:r>
        <w:t xml:space="preserve">En un brote de inflación hay que matizar: un banco central puede subir con fuerza el tipo nominal y, aun así, el tipo real caer si la inflación sube más (fue el caso de muchos bancos centrales en 2022). Una salvedad útil: «aunque los agentes deciden con el tipo real, la fuerte subida del tipo nominal al final de la serie indica un endurecimiento de la política monetaria».</w:t>
      </w:r>
    </w:p>
  </w:footnote>
  <w:footnote w:id="160">
    <w:p>
      <w:pPr>
        <w:pStyle w:val="FootnoteText"/>
      </w:pPr>
      <w:r>
        <w:rPr>
          <w:rStyle w:val="FootnoteReference"/>
        </w:rPr>
        <w:footnoteRef/>
      </w:r>
      <w:r>
        <w:t xml:space="preserve"> </w:t>
      </w:r>
      <w:r>
        <w:t xml:space="preserve">A veces las ratios llevan la etiqueta</w:t>
      </w:r>
      <w:r>
        <w:t xml:space="preserve"> </w:t>
      </w:r>
      <w:r>
        <w:rPr>
          <w:i/>
          <w:iCs/>
        </w:rPr>
        <w:t xml:space="preserve">fully loaded</w:t>
      </w:r>
      <w:r>
        <w:t xml:space="preserve">: se han calculado con las exigencias que se aplicarán cuando acabe un periodo transitorio. Si se calculan con las exigencias actuales, se llaman</w:t>
      </w:r>
      <w:r>
        <w:t xml:space="preserve"> </w:t>
      </w:r>
      <w:r>
        <w:rPr>
          <w:i/>
          <w:iCs/>
        </w:rPr>
        <w:t xml:space="preserve">phased-in</w:t>
      </w:r>
      <w:r>
        <w:t xml:space="preserve">. La distinción sigue siendo útil porque la última parte de Basilea III se aplica en la UE de forma gradual desde 2025</w:t>
      </w:r>
      <w:r>
        <w:t xml:space="preserve"> </w:t>
      </w:r>
      <w:r>
        <w:t xml:space="preserve">(</w:t>
      </w:r>
      <w:hyperlink w:anchor="ref_RegUE2024CRR3">
        <w:r>
          <w:rPr>
            <w:rStyle w:val="Hyperlink"/>
            <w:smallCaps/>
          </w:rPr>
          <w:t xml:space="preserve">Parlamento Europeo y Consejo de la Unión Europea</w:t>
        </w:r>
        <w:r>
          <w:rPr>
            <w:rStyle w:val="Hyperlink"/>
          </w:rPr>
          <w:t xml:space="preserve">, 2024b</w:t>
        </w:r>
      </w:hyperlink>
      <w:r>
        <w:t xml:space="preserve">)</w:t>
      </w:r>
      <w:r>
        <w:t xml:space="preserve">.</w:t>
      </w:r>
    </w:p>
  </w:footnote>
  <w:footnote w:id="171">
    <w:p>
      <w:pPr>
        <w:pStyle w:val="FootnoteText"/>
      </w:pPr>
      <w:r>
        <w:rPr>
          <w:rStyle w:val="FootnoteReference"/>
        </w:rPr>
        <w:footnoteRef/>
      </w:r>
      <w:r>
        <w:t xml:space="preserve"> </w:t>
      </w:r>
      <w:r>
        <w:t xml:space="preserve">Con histéresis, una política fiscal expansiva que reduzca el paro sí puede cambiar la producción y el empleo de equilibrio</w:t>
      </w:r>
      <w:r>
        <w:t xml:space="preserve"> </w:t>
      </w:r>
      <w:hyperlink r:id="rId37">
        <w:r>
          <w:rPr>
            <w:rStyle w:val="Referenciaatema"/>
          </w:rPr>
          <w:t xml:space="preserve">[ver tema 3.A.28]</w:t>
        </w:r>
      </w:hyperlink>
      <w:r>
        <w:t xml:space="preserve">.</w:t>
      </w:r>
    </w:p>
  </w:footnote>
  <w:footnote w:id="173">
    <w:p>
      <w:pPr>
        <w:pStyle w:val="FootnoteText"/>
      </w:pPr>
      <w:r>
        <w:rPr>
          <w:rStyle w:val="FootnoteReference"/>
        </w:rPr>
        <w:footnoteRef/>
      </w:r>
      <w:r>
        <w:t xml:space="preserve"> </w:t>
      </w:r>
      <w:r>
        <w:t xml:space="preserve">Una medida puntual (</w:t>
      </w:r>
      <w:r>
        <w:rPr>
          <w:i/>
          <w:iCs/>
        </w:rPr>
        <w:t xml:space="preserve">one-off</w:t>
      </w:r>
      <w:r>
        <w:t xml:space="preserve">) es un ingreso o gasto transitorio que no cambia la posición de las cuentas, como una venta de activos o una ayuda puntual a la banca. Ejemplo: en 2012 el déficit de España fue del 10,6 % del PIB (111.641 millones de euros)</w:t>
      </w:r>
      <w:r>
        <w:t xml:space="preserve"> </w:t>
      </w:r>
      <w:r>
        <w:t xml:space="preserve">(</w:t>
      </w:r>
      <w:hyperlink w:anchor="ref_Eurostat2013EDP">
        <w:r>
          <w:rPr>
            <w:rStyle w:val="Hyperlink"/>
            <w:smallCaps/>
          </w:rPr>
          <w:t xml:space="preserve">Eurostat</w:t>
        </w:r>
        <w:r>
          <w:rPr>
            <w:rStyle w:val="Hyperlink"/>
          </w:rPr>
          <w:t xml:space="preserve">, 2013</w:t>
        </w:r>
      </w:hyperlink>
      <w:r>
        <w:t xml:space="preserve">)</w:t>
      </w:r>
      <w:r>
        <w:t xml:space="preserve">; de ellos, 38.343 millones (unos 3,7 puntos) fueron ayudas a la banca, y sin ellas el déficit era del 6,98 %</w:t>
      </w:r>
      <w:r>
        <w:t xml:space="preserve"> </w:t>
      </w:r>
      <w:r>
        <w:t xml:space="preserve">(</w:t>
      </w:r>
      <w:hyperlink w:anchor="ref_SEPG2013Deficit">
        <w:r>
          <w:rPr>
            <w:rStyle w:val="Hyperlink"/>
            <w:smallCaps/>
          </w:rPr>
          <w:t xml:space="preserve">Secretaría de Estado de Presupuestos y Gastos</w:t>
        </w:r>
        <w:r>
          <w:rPr>
            <w:rStyle w:val="Hyperlink"/>
          </w:rPr>
          <w:t xml:space="preserve">, 2013</w:t>
        </w:r>
      </w:hyperlink>
      <w:r>
        <w:t xml:space="preserve">)</w:t>
      </w:r>
      <w:r>
        <w:t xml:space="preserve">. Esas ayudas no cuentan en el saldo estructural. Las medidas de emergencia de la COVID-19 se trataron, en cambio, como temporales.</w:t>
      </w:r>
    </w:p>
  </w:footnote>
  <w:footnote w:id="304">
    <w:p>
      <w:pPr>
        <w:pStyle w:val="FootnoteText"/>
      </w:pPr>
      <w:r>
        <w:rPr>
          <w:rStyle w:val="FootnoteReference"/>
        </w:rPr>
        <w:footnoteRef/>
      </w:r>
      <w:r>
        <w:t xml:space="preserve"> </w:t>
      </w:r>
      <w:r>
        <w:t xml:space="preserve">En las preguntas de cálculo hay que escribir el procedimiento, no solo el resultado. Aunque no se pida ninguno, el análisis los usa (contribuciones, productividad, CLU, brecha); las fórmulas y ejemplos están en el anexo </w:t>
      </w:r>
      <w:hyperlink w:anchor="anexo_calculos">
        <w:r>
          <w:rPr>
            <w:rStyle w:val="Hyperlink"/>
          </w:rPr>
          <w:t xml:space="preserve">C</w:t>
        </w:r>
      </w:hyperlink>
      <w:r>
        <w:t xml:space="preserv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jc w:val="left"/>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jc w:val="left"/>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jc w:val="left"/>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jc w:val="left"/>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2"/>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2"/>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2"/>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2"/>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2"/>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2"/>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2"/>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2"/>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2"/>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2"/>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2"/>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2"/>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2"/>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00" Target="media/rId100.png" /><Relationship Type="http://schemas.openxmlformats.org/officeDocument/2006/relationships/image" Id="rId271" Target="media/rId271.png" /><Relationship Type="http://schemas.openxmlformats.org/officeDocument/2006/relationships/image" Id="rId203" Target="media/rId203.png" /><Relationship Type="http://schemas.openxmlformats.org/officeDocument/2006/relationships/image" Id="rId207" Target="media/rId207.png" /><Relationship Type="http://schemas.openxmlformats.org/officeDocument/2006/relationships/image" Id="rId251" Target="media/rId251.png" /><Relationship Type="http://schemas.openxmlformats.org/officeDocument/2006/relationships/image" Id="rId50" Target="media/rId50.png" /><Relationship Type="http://schemas.openxmlformats.org/officeDocument/2006/relationships/image" Id="rId255" Target="media/rId255.png" /><Relationship Type="http://schemas.openxmlformats.org/officeDocument/2006/relationships/image" Id="rId28" Target="media/rId28.png" /><Relationship Type="http://schemas.openxmlformats.org/officeDocument/2006/relationships/image" Id="rId286" Target="media/rId286.png" /><Relationship Type="http://schemas.openxmlformats.org/officeDocument/2006/relationships/image" Id="rId263" Target="media/rId263.png" /><Relationship Type="http://schemas.openxmlformats.org/officeDocument/2006/relationships/image" Id="rId267" Target="media/rId267.png" /><Relationship Type="http://schemas.openxmlformats.org/officeDocument/2006/relationships/image" Id="rId247" Target="media/rId247.png" /><Relationship Type="http://schemas.openxmlformats.org/officeDocument/2006/relationships/image" Id="rId259" Target="media/rId259.png" /><Relationship Type="http://schemas.openxmlformats.org/officeDocument/2006/relationships/image" Id="rId189" Target="media/rId189.png" /><Relationship Type="http://schemas.openxmlformats.org/officeDocument/2006/relationships/image" Id="rId153" Target="media/rId153.png" /><Relationship Type="http://schemas.openxmlformats.org/officeDocument/2006/relationships/hyperlink" Id="rId349" Target="https://atcee.es/la-oposicion-tcee/examenes-anteriores/" TargetMode="External" /><Relationship Type="http://schemas.openxmlformats.org/officeDocument/2006/relationships/hyperlink" Id="rId452" Target="https://commission.europa.eu/system/files/2021-06/2021_06_16_efb_assessment_of_euro_area_fiscal_stance_en.pdf" TargetMode="External" /><Relationship Type="http://schemas.openxmlformats.org/officeDocument/2006/relationships/hyperlink" Id="rId548" Target="https://data-explorer.oecd.org/" TargetMode="External" /><Relationship Type="http://schemas.openxmlformats.org/officeDocument/2006/relationships/hyperlink" Id="rId369" Target="https://data.ecb.europa.eu/data/datasets/EXR" TargetMode="External" /><Relationship Type="http://schemas.openxmlformats.org/officeDocument/2006/relationships/hyperlink" Id="rId371" Target="https://data.ecb.europa.eu/data/datasets/ILM" TargetMode="External" /><Relationship Type="http://schemas.openxmlformats.org/officeDocument/2006/relationships/hyperlink" Id="rId499" Target="https://data.imf.org/en/Dashboards/FM%20Dashboard" TargetMode="External" /><Relationship Type="http://schemas.openxmlformats.org/officeDocument/2006/relationships/hyperlink" Id="rId389" Target="https://data.worldbank.org/indicator/NE.TRD.GNFS.ZS" TargetMode="External" /><Relationship Type="http://schemas.openxmlformats.org/officeDocument/2006/relationships/hyperlink" Id="rId584" Target="https://doi.org/10.1016/0167-2231(93)90009-L" TargetMode="External" /><Relationship Type="http://schemas.openxmlformats.org/officeDocument/2006/relationships/hyperlink" Id="rId532" Target="https://doi.org/10.1016/0304-3932(91)90007-B" TargetMode="External" /><Relationship Type="http://schemas.openxmlformats.org/officeDocument/2006/relationships/hyperlink" Id="rId586" Target="https://doi.org/10.1016/S0014-2921(00)00037-4" TargetMode="External" /><Relationship Type="http://schemas.openxmlformats.org/officeDocument/2006/relationships/hyperlink" Id="rId582" Target="https://doi.org/10.1016/S1574-0048(99)01004-6" TargetMode="External" /><Relationship Type="http://schemas.openxmlformats.org/officeDocument/2006/relationships/hyperlink" Id="rId416" Target="https://doi.org/10.1016/j.jinteco.2014.05.003" TargetMode="External" /><Relationship Type="http://schemas.openxmlformats.org/officeDocument/2006/relationships/hyperlink" Id="rId577" Target="https://doi.org/10.1057/imfer.2012.6" TargetMode="External" /><Relationship Type="http://schemas.openxmlformats.org/officeDocument/2006/relationships/hyperlink" Id="rId407" Target="https://doi.org/10.1080/15140326.1998.12040516" TargetMode="External" /><Relationship Type="http://schemas.openxmlformats.org/officeDocument/2006/relationships/hyperlink" Id="rId393" Target="https://doi.org/10.1086/260266" TargetMode="External" /><Relationship Type="http://schemas.openxmlformats.org/officeDocument/2006/relationships/hyperlink" Id="rId516" Target="https://doi.org/10.1086/260724" TargetMode="External" /><Relationship Type="http://schemas.openxmlformats.org/officeDocument/2006/relationships/hyperlink" Id="rId508" Target="https://doi.org/10.1086/654131" TargetMode="External" /><Relationship Type="http://schemas.openxmlformats.org/officeDocument/2006/relationships/hyperlink" Id="rId529" Target="https://doi.org/10.1086/ma.19.3585327" TargetMode="External" /><Relationship Type="http://schemas.openxmlformats.org/officeDocument/2006/relationships/hyperlink" Id="rId413" Target="https://doi.org/10.1093/jeea/jvx028" TargetMode="External" /><Relationship Type="http://schemas.openxmlformats.org/officeDocument/2006/relationships/hyperlink" Id="rId478" Target="https://doi.org/10.1093/qje/qjz036" TargetMode="External" /><Relationship Type="http://schemas.openxmlformats.org/officeDocument/2006/relationships/hyperlink" Id="rId512" Target="https://doi.org/10.1111/j.1468-0335.2009.00815.x" TargetMode="External" /><Relationship Type="http://schemas.openxmlformats.org/officeDocument/2006/relationships/hyperlink" Id="rId514" Target="https://doi.org/10.1111/jeea.12083" TargetMode="External" /><Relationship Type="http://schemas.openxmlformats.org/officeDocument/2006/relationships/hyperlink" Id="rId353" Target="https://doi.org/10.1111/jmcb.12420" TargetMode="External" /><Relationship Type="http://schemas.openxmlformats.org/officeDocument/2006/relationships/hyperlink" Id="rId409" Target="https://doi.org/10.1162/003355302753650274" TargetMode="External" /><Relationship Type="http://schemas.openxmlformats.org/officeDocument/2006/relationships/hyperlink" Id="rId411" Target="https://doi.org/10.1162/003465305775098189" TargetMode="External" /><Relationship Type="http://schemas.openxmlformats.org/officeDocument/2006/relationships/hyperlink" Id="rId446" Target="https://doi.org/10.1162/003465398557320" TargetMode="External" /><Relationship Type="http://schemas.openxmlformats.org/officeDocument/2006/relationships/hyperlink" Id="rId397" Target="https://doi.org/10.1257/aer.109.4.1197" TargetMode="External" /><Relationship Type="http://schemas.openxmlformats.org/officeDocument/2006/relationships/hyperlink" Id="rId510" Target="https://doi.org/10.1257/aer.20171201" TargetMode="External" /><Relationship Type="http://schemas.openxmlformats.org/officeDocument/2006/relationships/hyperlink" Id="rId345" Target="https://doi.org/10.1257/jep.33.4.187" TargetMode="External" /><Relationship Type="http://schemas.openxmlformats.org/officeDocument/2006/relationships/hyperlink" Id="rId538" Target="https://doi.org/10.1257/jep.35.1.3" TargetMode="External" /><Relationship Type="http://schemas.openxmlformats.org/officeDocument/2006/relationships/hyperlink" Id="rId401" Target="https://doi.org/10.1257/jep.5.1.73" TargetMode="External" /><Relationship Type="http://schemas.openxmlformats.org/officeDocument/2006/relationships/hyperlink" Id="rId570" Target="https://doi.org/10.1353/eca.2003.0018" TargetMode="External" /><Relationship Type="http://schemas.openxmlformats.org/officeDocument/2006/relationships/hyperlink" Id="rId573" Target="https://doi.org/10.21034/qr.531" TargetMode="External" /><Relationship Type="http://schemas.openxmlformats.org/officeDocument/2006/relationships/hyperlink" Id="rId405" Target="https://doi.org/10.2307/1344503" TargetMode="External" /><Relationship Type="http://schemas.openxmlformats.org/officeDocument/2006/relationships/hyperlink" Id="rId440" Target="https://doi.org/10.2307/2232670" TargetMode="External" /><Relationship Type="http://schemas.openxmlformats.org/officeDocument/2006/relationships/hyperlink" Id="rId536" Target="https://doi.org/10.2307/2534091" TargetMode="External" /><Relationship Type="http://schemas.openxmlformats.org/officeDocument/2006/relationships/hyperlink" Id="rId399" Target="https://doi.org/10.2307/2534495" TargetMode="External" /><Relationship Type="http://schemas.openxmlformats.org/officeDocument/2006/relationships/hyperlink" Id="rId568" Target="https://doi.org/10.2307/2550759" TargetMode="External" /><Relationship Type="http://schemas.openxmlformats.org/officeDocument/2006/relationships/hyperlink" Id="rId520" Target="https://doi.org/10.2307/2953682" TargetMode="External" /><Relationship Type="http://schemas.openxmlformats.org/officeDocument/2006/relationships/hyperlink" Id="rId420" Target="https://doi.org/10.2765/022983" TargetMode="External" /><Relationship Type="http://schemas.openxmlformats.org/officeDocument/2006/relationships/hyperlink" Id="rId518" Target="https://doi.org/10.2765/71437" TargetMode="External" /><Relationship Type="http://schemas.openxmlformats.org/officeDocument/2006/relationships/hyperlink" Id="rId493" Target="https://doi.org/10.5089/9798400230622.002.A001" TargetMode="External" /><Relationship Type="http://schemas.openxmlformats.org/officeDocument/2006/relationships/hyperlink" Id="rId444" Target="https://doi.org/10.7208/chicago/9780226194578.003.0002" TargetMode="External" /><Relationship Type="http://schemas.openxmlformats.org/officeDocument/2006/relationships/hyperlink" Id="rId474" Target="https://ec.europa.eu/eurostat/databrowser/view/jvs_q_r21/default/table" TargetMode="External" /><Relationship Type="http://schemas.openxmlformats.org/officeDocument/2006/relationships/hyperlink" Id="rId462" Target="https://ec.europa.eu/eurostat/databrowser/view/lfsa_argan/default/table" TargetMode="External" /><Relationship Type="http://schemas.openxmlformats.org/officeDocument/2006/relationships/hyperlink" Id="rId460" Target="https://ec.europa.eu/eurostat/databrowser/view/lfsq_argan/default/table" TargetMode="External" /><Relationship Type="http://schemas.openxmlformats.org/officeDocument/2006/relationships/hyperlink" Id="rId470" Target="https://ec.europa.eu/eurostat/databrowser/view/nama_10_a10/default/table" TargetMode="External" /><Relationship Type="http://schemas.openxmlformats.org/officeDocument/2006/relationships/hyperlink" Id="rId468" Target="https://ec.europa.eu/eurostat/databrowser/view/nama_10_gdp/default/table" TargetMode="External" /><Relationship Type="http://schemas.openxmlformats.org/officeDocument/2006/relationships/hyperlink" Id="rId464" Target="https://ec.europa.eu/eurostat/databrowser/view/namq_10_a10_e/default/table" TargetMode="External" /><Relationship Type="http://schemas.openxmlformats.org/officeDocument/2006/relationships/hyperlink" Id="rId466" Target="https://ec.europa.eu/eurostat/databrowser/view/namq_10_gdp/default/table" TargetMode="External" /><Relationship Type="http://schemas.openxmlformats.org/officeDocument/2006/relationships/hyperlink" Id="rId472" Target="https://ec.europa.eu/eurostat/databrowser/view/prc_hicp_minr/default/table" TargetMode="External" /><Relationship Type="http://schemas.openxmlformats.org/officeDocument/2006/relationships/hyperlink" Id="rId476" Target="https://ec.europa.eu/eurostat/databrowser/view/une_rt_q/default/table" TargetMode="External" /><Relationship Type="http://schemas.openxmlformats.org/officeDocument/2006/relationships/hyperlink" Id="rId456" Target="https://ec.europa.eu/eurostat/statistics-explained/index.php?title=Glossary:Housing_cost_overburden_rate" TargetMode="External" /><Relationship Type="http://schemas.openxmlformats.org/officeDocument/2006/relationships/hyperlink" Id="rId458" Target="https://ec.europa.eu/eurostat/statistics-explained/index.php?title=The_Macroeconomic_Imbalance_Procedure_(MIP)_introduced" TargetMode="External" /><Relationship Type="http://schemas.openxmlformats.org/officeDocument/2006/relationships/hyperlink" Id="rId454" Target="https://ec.europa.eu/eurostat/web/products-euro-indicators/-/2-22042013-ap" TargetMode="External" /><Relationship Type="http://schemas.openxmlformats.org/officeDocument/2006/relationships/hyperlink" Id="rId424" Target="https://economy-finance.ec.europa.eu/economic-forecast-and-surveys/business-and-consumer-surveys_en" TargetMode="External" /><Relationship Type="http://schemas.openxmlformats.org/officeDocument/2006/relationships/hyperlink" Id="rId426" Target="https://economy-finance.ec.europa.eu/economic-research-and-databases/economic-databases/ameco-database_en" TargetMode="External" /><Relationship Type="http://schemas.openxmlformats.org/officeDocument/2006/relationships/hyperlink" Id="rId555" Target="https://eur-lex.europa.eu/eli/dir/2013/36/oj" TargetMode="External" /><Relationship Type="http://schemas.openxmlformats.org/officeDocument/2006/relationships/hyperlink" Id="rId559" Target="https://eur-lex.europa.eu/eli/reg/2013/549/oj" TargetMode="External" /><Relationship Type="http://schemas.openxmlformats.org/officeDocument/2006/relationships/hyperlink" Id="rId557" Target="https://eur-lex.europa.eu/eli/reg/2013/575/oj" TargetMode="External" /><Relationship Type="http://schemas.openxmlformats.org/officeDocument/2006/relationships/hyperlink" Id="rId563" Target="https://eur-lex.europa.eu/eli/reg/2024/1263/oj" TargetMode="External" /><Relationship Type="http://schemas.openxmlformats.org/officeDocument/2006/relationships/hyperlink" Id="rId438" Target="https://eur-lex.europa.eu/eli/reg/2024/1264/oj" TargetMode="External" /><Relationship Type="http://schemas.openxmlformats.org/officeDocument/2006/relationships/hyperlink" Id="rId565" Target="https://eur-lex.europa.eu/eli/reg/2024/1623/oj" TargetMode="External" /><Relationship Type="http://schemas.openxmlformats.org/officeDocument/2006/relationships/hyperlink" Id="rId422" Target="https://eur-lex.europa.eu/legal-content/EN/ALL/?uri=CELEX:52025DC0956" TargetMode="External" /><Relationship Type="http://schemas.openxmlformats.org/officeDocument/2006/relationships/hyperlink" Id="rId594" Target="https://eur-lex.europa.eu/legal-content/ES/TXT/?uri=CELEX:12012E/PRO/12" TargetMode="External" /><Relationship Type="http://schemas.openxmlformats.org/officeDocument/2006/relationships/hyperlink" Id="rId436" Target="https://eur-lex.europa.eu/legal-content/ES/TXT/?uri=CELEX:32013R1024" TargetMode="External" /><Relationship Type="http://schemas.openxmlformats.org/officeDocument/2006/relationships/hyperlink" Id="rId561" Target="https://eur-lex.europa.eu/legal-content/ES/TXT/?uri=CELEX:32014R0806" TargetMode="External" /><Relationship Type="http://schemas.openxmlformats.org/officeDocument/2006/relationships/hyperlink" Id="rId357" Target="https://eur-lex.europa.eu/legal-content/ES/TXT/?uri=CELEX:32020HB0019" TargetMode="External" /><Relationship Type="http://schemas.openxmlformats.org/officeDocument/2006/relationships/hyperlink" Id="rId418" Target="https://eur-lex.europa.eu/legal-content/ES/TXT/?uri=CELEX:52015PC0586" TargetMode="External" /><Relationship Type="http://schemas.openxmlformats.org/officeDocument/2006/relationships/hyperlink" Id="rId598" Target="https://fred.stlouisfed.org/series/GDPC1" TargetMode="External" /><Relationship Type="http://schemas.openxmlformats.org/officeDocument/2006/relationships/hyperlink" Id="rId575" Target="https://laadministracionaldia.inap.es/noticia.asp?id=1500719" TargetMode="External" /><Relationship Type="http://schemas.openxmlformats.org/officeDocument/2006/relationships/hyperlink" Id="rId592" Target="https://uniblog.unicajabanco.es/8-indicadores-bancarios-para-no-iniciados" TargetMode="External" /><Relationship Type="http://schemas.openxmlformats.org/officeDocument/2006/relationships/hyperlink" Id="rId363" Target="https://www.bankingsupervision.europa.eu/activities/srep/2025/html/ssm.srep202511_aggregatedresults2025.en.html" TargetMode="External" /><Relationship Type="http://schemas.openxmlformats.org/officeDocument/2006/relationships/hyperlink" Id="rId373" Target="https://www.bankingsupervision.europa.eu/press/pr/date/2026/html/ssm.pr260915~7917ca1416.es.html" TargetMode="External" /><Relationship Type="http://schemas.openxmlformats.org/officeDocument/2006/relationships/hyperlink" Id="rId391" Target="https://www.bankinter.com/blog/economia/leer-rating-agencias-calificacion-financiera" TargetMode="External" /><Relationship Type="http://schemas.openxmlformats.org/officeDocument/2006/relationships/hyperlink" Id="rId403" Target="https://www.bbvaresearch.com/publicaciones/espana-la-economia-espanola-en-el-primer-ano-de-la-guerra-de-ucrania/" TargetMode="External" /><Relationship Type="http://schemas.openxmlformats.org/officeDocument/2006/relationships/hyperlink" Id="rId383" Target="https://www.bde.es/f/webbe/GAP/Secciones/SalaPrensa/NotasInformativas/26/presbe2026-90.pdf" TargetMode="External" /><Relationship Type="http://schemas.openxmlformats.org/officeDocument/2006/relationships/hyperlink" Id="rId381" Target="https://www.bde.es/f/webbe/INF/MenuVertical/EstabilidadFinanciera/Colchon_capital/Resolucion_CCA_2025T4.pdf" TargetMode="External" /><Relationship Type="http://schemas.openxmlformats.org/officeDocument/2006/relationships/hyperlink" Id="rId385" Target="https://www.bde.es/wbe/es/publicaciones/informes-memorias-anuales/informe-anual/informe-anual-2025.html" TargetMode="External" /><Relationship Type="http://schemas.openxmlformats.org/officeDocument/2006/relationships/hyperlink" Id="rId379" Target="https://www.bde.es/webbe/es/estadisticas/compartido/docs/notaNGEU.pdf" TargetMode="External" /><Relationship Type="http://schemas.openxmlformats.org/officeDocument/2006/relationships/hyperlink" Id="rId434" Target="https://www.bis.org/bcbs/publ/d295.htm" TargetMode="External" /><Relationship Type="http://schemas.openxmlformats.org/officeDocument/2006/relationships/hyperlink" Id="rId395" Target="https://www.bis.org/bcbs/publ/d424.htm" TargetMode="External" /><Relationship Type="http://schemas.openxmlformats.org/officeDocument/2006/relationships/hyperlink" Id="rId387" Target="https://www.bis.org/publ/arpdf/ar2024e.htm" TargetMode="External" /><Relationship Type="http://schemas.openxmlformats.org/officeDocument/2006/relationships/hyperlink" Id="rId428" Target="https://www.bis.org/publ/bcbs187.htm" TargetMode="External" /><Relationship Type="http://schemas.openxmlformats.org/officeDocument/2006/relationships/hyperlink" Id="rId430" Target="https://www.bis.org/publ/bcbs189.htm" TargetMode="External" /><Relationship Type="http://schemas.openxmlformats.org/officeDocument/2006/relationships/hyperlink" Id="rId432" Target="https://www.bis.org/publ/bcbs238.htm" TargetMode="External" /><Relationship Type="http://schemas.openxmlformats.org/officeDocument/2006/relationships/hyperlink" Id="rId541" Target="https://www.boe.es/diario_boe/txt.php?id=BOE-A-2024-27439" TargetMode="External" /><Relationship Type="http://schemas.openxmlformats.org/officeDocument/2006/relationships/hyperlink" Id="rId543" Target="https://www.boe.es/diario_boe/txt.php?id=BOE-A-2025-26902" TargetMode="External" /><Relationship Type="http://schemas.openxmlformats.org/officeDocument/2006/relationships/hyperlink" Id="rId588" Target="https://www.conference-board.org/topics/us-leading-indicators" TargetMode="External" /><Relationship Type="http://schemas.openxmlformats.org/officeDocument/2006/relationships/hyperlink" Id="rId351" Target="https://www.eba.europa.eu/regulation-and-policy/credit-risk/guidelines-legislative-and-non-legislative-moratoria-loan-repayments-applied-light-covid-19-crisis" TargetMode="External" /><Relationship Type="http://schemas.openxmlformats.org/officeDocument/2006/relationships/hyperlink" Id="rId448" Target="https://www.eba.europa.eu/risk-and-data-analysis/risk-analysis/risk-monitoring/risk-dashboard" TargetMode="External" /><Relationship Type="http://schemas.openxmlformats.org/officeDocument/2006/relationships/hyperlink" Id="rId450" Target="https://www.eba.europa.eu/sites/default/files/2026-09/26394108-1837-4b5b-bce2-fba1d3c574b1/EBA%20Dashboard%20-%20Q2%202026.pdf" TargetMode="External" /><Relationship Type="http://schemas.openxmlformats.org/officeDocument/2006/relationships/hyperlink" Id="rId365" Target="https://www.ecb.europa.eu/mopo/strategy/strategy-review/ecb.strategyreview202506_strategy_statement.es.html" TargetMode="External" /><Relationship Type="http://schemas.openxmlformats.org/officeDocument/2006/relationships/hyperlink" Id="rId375" Target="https://www.ecb.europa.eu/paym/coll/risk/ecaf/html/index.en.html" TargetMode="External" /><Relationship Type="http://schemas.openxmlformats.org/officeDocument/2006/relationships/hyperlink" Id="rId361" Target="https://www.ecb.europa.eu/press/pr/date/2024/html/ecb.pr240313~807e240020.en.html" TargetMode="External" /><Relationship Type="http://schemas.openxmlformats.org/officeDocument/2006/relationships/hyperlink" Id="rId367" Target="https://www.ecb.europa.eu/press/pr/date/2026/html/ecb.pr260101~c830245e42.es.html" TargetMode="External" /><Relationship Type="http://schemas.openxmlformats.org/officeDocument/2006/relationships/hyperlink" Id="rId359" Target="https://www.ecb.europa.eu/pub/annual/html/ecb.ar2022~8ae51d163b.es.html" TargetMode="External" /><Relationship Type="http://schemas.openxmlformats.org/officeDocument/2006/relationships/hyperlink" Id="rId355" Target="https://www.ecb.europa.eu/pub/financial-stability/fsr/html/ecb.fsr202011~b7be9ae1f1.en.html" TargetMode="External" /><Relationship Type="http://schemas.openxmlformats.org/officeDocument/2006/relationships/hyperlink" Id="rId377" Target="https://www.ecb.europa.eu/stats/policy_and_exchange_rates/key_ecb_interest_rates/html/index.en.html" TargetMode="External" /><Relationship Type="http://schemas.openxmlformats.org/officeDocument/2006/relationships/hyperlink" Id="rId590" Target="https://www.economist.com/finance-and-economics/2008/12/30/diagnosing-depression" TargetMode="External" /><Relationship Type="http://schemas.openxmlformats.org/officeDocument/2006/relationships/hyperlink" Id="rId489" Target="https://www.edx.org/es/course/programacion-y-politicas-financieras-parte-1-cue-2" TargetMode="External" /><Relationship Type="http://schemas.openxmlformats.org/officeDocument/2006/relationships/hyperlink" Id="rId487" Target="https://www.edx.org/es/learn/finance/the-international-monetary-fund-financial-programming-and-policies-part-1-macroeconomic-accounts-analysis" TargetMode="External" /><Relationship Type="http://schemas.openxmlformats.org/officeDocument/2006/relationships/hyperlink" Id="rId600" Target="https://www.eia.gov/dnav/pet/hist/LeafHandler.ashx?n=PET&amp;s=RBRTE&amp;f=M" TargetMode="External" /><Relationship Type="http://schemas.openxmlformats.org/officeDocument/2006/relationships/hyperlink" Id="rId526" Target="https://www.esrb.europa.eu/pub/pdf/other/140303_esrb_handbook_mp.en.pdf" TargetMode="External" /><Relationship Type="http://schemas.openxmlformats.org/officeDocument/2006/relationships/hyperlink" Id="rId553" Target="https://www.ilo.org/resource/article/moving-towards-full-employment-interview-aurelio-parisotto" TargetMode="External" /><Relationship Type="http://schemas.openxmlformats.org/officeDocument/2006/relationships/hyperlink" Id="rId497" Target="https://www.imf.org/en/About/Factsheets/Sheets/2023/IMF-Conditionality" TargetMode="External" /><Relationship Type="http://schemas.openxmlformats.org/officeDocument/2006/relationships/hyperlink" Id="rId501" Target="https://www.imf.org/en/About/executive-board/Article-IV" TargetMode="External" /><Relationship Type="http://schemas.openxmlformats.org/officeDocument/2006/relationships/hyperlink" Id="rId495" Target="https://www.imf.org/en/news/articles/2025/03/20/pr25072-imf-and-statistical-community-release-new-global-standards-for-macroeconomic-stats" TargetMode="External" /><Relationship Type="http://schemas.openxmlformats.org/officeDocument/2006/relationships/hyperlink" Id="rId503" Target="https://www.imf.org/en/publications/cr/issues/2026/05/21/spain-2026-article-iv-consultation-press-release-staff-report-and-statement-by-the-576248" TargetMode="External" /><Relationship Type="http://schemas.openxmlformats.org/officeDocument/2006/relationships/hyperlink" Id="rId505" Target="https://www.imf.org/en/publications/weo/issues/2026/10/13/world-economic-outlook-october-2026" TargetMode="External" /><Relationship Type="http://schemas.openxmlformats.org/officeDocument/2006/relationships/hyperlink" Id="rId491" Target="https://www.imf.org/es/Publications/FM/Issues/2023/04/03/fiscal-monitor-april-2023" TargetMode="External" /><Relationship Type="http://schemas.openxmlformats.org/officeDocument/2006/relationships/hyperlink" Id="rId484" Target="https://www.imf.org/external/np/pp/eng/2011/021411b.pdf" TargetMode="External" /><Relationship Type="http://schemas.openxmlformats.org/officeDocument/2006/relationships/hyperlink" Id="rId482" Target="https://www.imf.org/external/pubs/ft/bop/2007/pdf/bpm6.pdf" TargetMode="External" /><Relationship Type="http://schemas.openxmlformats.org/officeDocument/2006/relationships/hyperlink" Id="rId522" Target="https://www.ine.es/dyngs/INEbase/es/operacion.htm?c=Estadistica_C&amp;cid=1254736176918&amp;menu=metodologia&amp;idp=1254735976595" TargetMode="External" /><Relationship Type="http://schemas.openxmlformats.org/officeDocument/2006/relationships/hyperlink" Id="rId524" Target="https://www.ine.es/metodologia/t25/metodologia_IPC_base_2025.pdf" TargetMode="External" /><Relationship Type="http://schemas.openxmlformats.org/officeDocument/2006/relationships/hyperlink" Id="rId480" Target="https://www.levyinstitute.org/pubs/wp_651.pdf" TargetMode="External" /><Relationship Type="http://schemas.openxmlformats.org/officeDocument/2006/relationships/hyperlink" Id="rId546" Target="https://www.nber.org/research/business-cycle-dating/business-cycle-dating-procedure-frequently-asked-questions" TargetMode="External" /><Relationship Type="http://schemas.openxmlformats.org/officeDocument/2006/relationships/hyperlink" Id="rId550" Target="https://www.oecd.org/en/publications/2026/06/oecd-economic-outlook-volume-2026-issue-1_8be0dba6.html" TargetMode="External" /><Relationship Type="http://schemas.openxmlformats.org/officeDocument/2006/relationships/hyperlink" Id="rId580" Target="https://www.spglobal.com/marketintelligence/en/mi/products/pmi.html" TargetMode="External" /><Relationship Type="http://schemas.openxmlformats.org/officeDocument/2006/relationships/hyperlink" Id="rId596" Target="https://www.ucm.es/data/cont/docs/518-2015-04-29-COSTE%20LABORAL%20UNITARIO.pdf" TargetMode="External" /><Relationship Type="http://schemas.openxmlformats.org/officeDocument/2006/relationships/hyperlink" Id="rId34" Target="https://www.victorgutierrezmarcos.es/oposicion/temario/cuarto-ejercicio/4A01.pdf" TargetMode="External" /><Relationship Type="http://schemas.openxmlformats.org/officeDocument/2006/relationships/hyperlink" Id="rId63" Target="https://www.victorgutierrezmarcos.es/oposicion/temario/cuarto-ejercicio/4A11.pdf" TargetMode="External" /><Relationship Type="http://schemas.openxmlformats.org/officeDocument/2006/relationships/hyperlink" Id="rId78" Target="https://www.victorgutierrezmarcos.es/oposicion/temario/cuarto-ejercicio/4A13.pdf" TargetMode="External" /><Relationship Type="http://schemas.openxmlformats.org/officeDocument/2006/relationships/hyperlink" Id="rId328" Target="https://www.victorgutierrezmarcos.es/oposicion/temario/cuarto-ejercicio/4A15.pdf" TargetMode="External" /><Relationship Type="http://schemas.openxmlformats.org/officeDocument/2006/relationships/hyperlink" Id="rId88" Target="https://www.victorgutierrezmarcos.es/oposicion/temario/cuarto-ejercicio/4A16.pdf" TargetMode="External" /><Relationship Type="http://schemas.openxmlformats.org/officeDocument/2006/relationships/hyperlink" Id="rId218" Target="https://www.victorgutierrezmarcos.es/oposicion/temario/cuarto-ejercicio/4A18.pdf" TargetMode="External" /><Relationship Type="http://schemas.openxmlformats.org/officeDocument/2006/relationships/hyperlink" Id="rId109" Target="https://www.victorgutierrezmarcos.es/oposicion/temario/cuarto-ejercicio/4A19.pdf" TargetMode="External" /><Relationship Type="http://schemas.openxmlformats.org/officeDocument/2006/relationships/hyperlink" Id="rId320" Target="https://www.victorgutierrezmarcos.es/oposicion/temario/cuarto-ejercicio/4A20.pdf" TargetMode="External" /><Relationship Type="http://schemas.openxmlformats.org/officeDocument/2006/relationships/hyperlink" Id="rId43" Target="https://www.victorgutierrezmarcos.es/oposicion/temario/cuarto-ejercicio/4A21.pdf" TargetMode="External" /><Relationship Type="http://schemas.openxmlformats.org/officeDocument/2006/relationships/hyperlink" Id="rId94" Target="https://www.victorgutierrezmarcos.es/oposicion/temario/cuarto-ejercicio/4A22.pdf" TargetMode="External" /><Relationship Type="http://schemas.openxmlformats.org/officeDocument/2006/relationships/hyperlink" Id="rId324" Target="https://www.victorgutierrezmarcos.es/oposicion/temario/cuarto-ejercicio/4A23.pdf" TargetMode="External" /><Relationship Type="http://schemas.openxmlformats.org/officeDocument/2006/relationships/hyperlink" Id="rId334" Target="https://www.victorgutierrezmarcos.es/oposicion/temario/cuarto-ejercicio/4A24.pdf" TargetMode="External" /><Relationship Type="http://schemas.openxmlformats.org/officeDocument/2006/relationships/hyperlink" Id="rId85" Target="https://www.victorgutierrezmarcos.es/oposicion/temario/cuarto-ejercicio/4A30.pdf" TargetMode="External" /><Relationship Type="http://schemas.openxmlformats.org/officeDocument/2006/relationships/hyperlink" Id="rId216" Target="https://www.victorgutierrezmarcos.es/oposicion/temario/cuarto-ejercicio/4B01.pdf" TargetMode="External" /><Relationship Type="http://schemas.openxmlformats.org/officeDocument/2006/relationships/hyperlink" Id="rId38" Target="https://www.victorgutierrezmarcos.es/oposicion/temario/cuarto-ejercicio/4B04.pdf" TargetMode="External" /><Relationship Type="http://schemas.openxmlformats.org/officeDocument/2006/relationships/hyperlink" Id="rId183" Target="https://www.victorgutierrezmarcos.es/oposicion/temario/cuarto-ejercicio/4B05.pdf" TargetMode="External" /><Relationship Type="http://schemas.openxmlformats.org/officeDocument/2006/relationships/hyperlink" Id="rId184" Target="https://www.victorgutierrezmarcos.es/oposicion/temario/cuarto-ejercicio/4B07.pdf" TargetMode="External" /><Relationship Type="http://schemas.openxmlformats.org/officeDocument/2006/relationships/hyperlink" Id="rId292" Target="https://www.victorgutierrezmarcos.es/oposicion/temario/cuarto-ejercicio/4B21.pdf" TargetMode="External" /><Relationship Type="http://schemas.openxmlformats.org/officeDocument/2006/relationships/hyperlink" Id="rId179" Target="https://www.victorgutierrezmarcos.es/oposicion/temario/cuarto-ejercicio/4B26.pdf" TargetMode="External" /><Relationship Type="http://schemas.openxmlformats.org/officeDocument/2006/relationships/hyperlink" Id="rId202" Target="https://www.victorgutierrezmarcos.es/oposicion/temario/quinto-ejercicio/parte_B.pdf" TargetMode="External" /><Relationship Type="http://schemas.openxmlformats.org/officeDocument/2006/relationships/hyperlink" Id="rId37" Target="https://www.victorgutierrezmarcos.es/oposicion/temario/tema-no-disponible.html?tema=3.A.28" TargetMode="External" /><Relationship Type="http://schemas.openxmlformats.org/officeDocument/2006/relationships/hyperlink" Id="rId315" Target="https://www.victorgutierrezmarcos.es/oposicion/temario/tema-no-disponible.html?tema=3.A.31" TargetMode="External" /><Relationship Type="http://schemas.openxmlformats.org/officeDocument/2006/relationships/hyperlink" Id="rId141" Target="https://www.victorgutierrezmarcos.es/oposicion/temario/tema-no-disponible.html?tema=3.A.32" TargetMode="External" /><Relationship Type="http://schemas.openxmlformats.org/officeDocument/2006/relationships/hyperlink" Id="rId188" Target="https://www.victorgutierrezmarcos.es/oposicion/temario/tema-no-disponible.html?tema=3.A.40" TargetMode="External" /><Relationship Type="http://schemas.openxmlformats.org/officeDocument/2006/relationships/hyperlink" Id="rId317" Target="https://www.victorgutierrezmarcos.es/oposicion/temario/tema-no-disponible.html?tema=3.B.18" TargetMode="External" /><Relationship Type="http://schemas.openxmlformats.org/officeDocument/2006/relationships/hyperlink" Id="rId319" Target="https://www.victorgutierrezmarcos.es/oposicion/temario/tema-no-disponible.html?tema=3.B.26" TargetMode="External" /><Relationship Type="http://schemas.openxmlformats.org/officeDocument/2006/relationships/hyperlink" Id="rId215" Target="https://www.victorgutierrezmarcos.es/oposicion/temario/tema-no-disponible.html?tema=3.B.29" TargetMode="External" /><Relationship Type="http://schemas.openxmlformats.org/officeDocument/2006/relationships/hyperlink" Id="rId277" Target="https://www.victorgutierrezmarcos.es/oposicion/temario/tema-no-disponible.html?tema=3.B.32" TargetMode="External" /><Relationship Type="http://schemas.openxmlformats.org/officeDocument/2006/relationships/hyperlink" Id="rId327" Target="https://www.victorgutierrezmarcos.es/oposicion/temario/tema-no-disponible.html?tema=3.B.43" TargetMode="External" /><Relationship Type="http://schemas.openxmlformats.org/officeDocument/2006/relationships/hyperlink" Id="rId158" Target="https://www.victorgutierrezmarcos.es/oposicion/temario/tema-no-disponible.html?tema=3.B.44" TargetMode="External" /><Relationship Type="http://schemas.openxmlformats.org/officeDocument/2006/relationships/hyperlink" Id="rId176" Target="https://www.victorgutierrezmarcos.es/oposicion/temario/tema-no-disponible.html?tema=3.B.45" TargetMode="External" /><Relationship Type="http://schemas.openxmlformats.org/officeDocument/2006/relationships/hyperlink" Id="rId279" Target="https://www.victorgutierrezmarcos.es/oposicion/temario/tema-no-disponible.html?tema=4.A.2" TargetMode="External" /><Relationship Type="http://schemas.openxmlformats.org/officeDocument/2006/relationships/hyperlink" Id="rId322" Target="https://www.victorgutierrezmarcos.es/oposicion/temario/tema-no-disponible.html?tema=4.A.25" TargetMode="External" /><Relationship Type="http://schemas.openxmlformats.org/officeDocument/2006/relationships/hyperlink" Id="rId49" Target="https://www.victorgutierrezmarcos.es/oposicion/temario/tema-no-disponible.html?tema=4.A.29" TargetMode="External" /><Relationship Type="http://schemas.openxmlformats.org/officeDocument/2006/relationships/hyperlink" Id="rId75" Target="https://www.victorgutierrezmarcos.es/oposicion/temario/tema-no-disponible.html?tema=4.A.4" TargetMode="External" /><Relationship Type="http://schemas.openxmlformats.org/officeDocument/2006/relationships/hyperlink" Id="rId76" Target="https://www.victorgutierrezmarcos.es/oposicion/temario/tema-no-disponible.html?tema=4.A.5" TargetMode="External" /><Relationship Type="http://schemas.openxmlformats.org/officeDocument/2006/relationships/hyperlink" Id="rId333" Target="https://www.victorgutierrezmarcos.es/oposicion/temario/tema-no-disponible.html?tema=4.A.7" TargetMode="External" /><Relationship Type="http://schemas.openxmlformats.org/officeDocument/2006/relationships/hyperlink" Id="rId77" Target="https://www.victorgutierrezmarcos.es/oposicion/temario/tema-no-disponible.html?tema=4.A.9" TargetMode="External" /><Relationship Type="http://schemas.openxmlformats.org/officeDocument/2006/relationships/hyperlink" Id="rId329" Target="https://www.victorgutierrezmarcos.es/oposicion/temario/tema-no-disponible.html?tema=4.B.23" TargetMode="External" /><Relationship Type="http://schemas.openxmlformats.org/officeDocument/2006/relationships/hyperlink" Id="rId114" Target="https://www.victorgutierrezmarcos.es/oposicion/temario/tercer-ejercicio/3A09.pdf" TargetMode="External" /><Relationship Type="http://schemas.openxmlformats.org/officeDocument/2006/relationships/hyperlink" Id="rId58" Target="https://www.victorgutierrezmarcos.es/oposicion/temario/tercer-ejercicio/3A10.pdf" TargetMode="External" /><Relationship Type="http://schemas.openxmlformats.org/officeDocument/2006/relationships/hyperlink" Id="rId316" Target="https://www.victorgutierrezmarcos.es/oposicion/temario/tercer-ejercicio/3A13.pdf" TargetMode="External" /><Relationship Type="http://schemas.openxmlformats.org/officeDocument/2006/relationships/hyperlink" Id="rId330" Target="https://www.victorgutierrezmarcos.es/oposicion/temario/tercer-ejercicio/3A15.pdf" TargetMode="External" /><Relationship Type="http://schemas.openxmlformats.org/officeDocument/2006/relationships/hyperlink" Id="rId280" Target="https://www.victorgutierrezmarcos.es/oposicion/temario/tercer-ejercicio/3A17.pdf" TargetMode="External" /><Relationship Type="http://schemas.openxmlformats.org/officeDocument/2006/relationships/hyperlink" Id="rId331" Target="https://www.victorgutierrezmarcos.es/oposicion/temario/tercer-ejercicio/3A20.pdf" TargetMode="External" /><Relationship Type="http://schemas.openxmlformats.org/officeDocument/2006/relationships/hyperlink" Id="rId332" Target="https://www.victorgutierrezmarcos.es/oposicion/temario/tercer-ejercicio/3A23.pdf" TargetMode="External" /><Relationship Type="http://schemas.openxmlformats.org/officeDocument/2006/relationships/hyperlink" Id="rId87" Target="https://www.victorgutierrezmarcos.es/oposicion/temario/tercer-ejercicio/3A25.pdf" TargetMode="External" /><Relationship Type="http://schemas.openxmlformats.org/officeDocument/2006/relationships/hyperlink" Id="rId99" Target="https://www.victorgutierrezmarcos.es/oposicion/temario/tercer-ejercicio/3A26.pdf" TargetMode="External" /><Relationship Type="http://schemas.openxmlformats.org/officeDocument/2006/relationships/hyperlink" Id="rId93" Target="https://www.victorgutierrezmarcos.es/oposicion/temario/tercer-ejercicio/3A27.pdf" TargetMode="External" /><Relationship Type="http://schemas.openxmlformats.org/officeDocument/2006/relationships/hyperlink" Id="rId20" Target="https://www.victorgutierrezmarcos.es/oposicion/temario/tercer-ejercicio/3A30.pdf" TargetMode="External" /><Relationship Type="http://schemas.openxmlformats.org/officeDocument/2006/relationships/hyperlink" Id="rId55" Target="https://www.victorgutierrezmarcos.es/oposicion/temario/tercer-ejercicio/3A33.pdf" TargetMode="External" /><Relationship Type="http://schemas.openxmlformats.org/officeDocument/2006/relationships/hyperlink" Id="rId67" Target="https://www.victorgutierrezmarcos.es/oposicion/temario/tercer-ejercicio/3A34.pdf" TargetMode="External" /><Relationship Type="http://schemas.openxmlformats.org/officeDocument/2006/relationships/hyperlink" Id="rId325" Target="https://www.victorgutierrezmarcos.es/oposicion/temario/tercer-ejercicio/3A35.pdf" TargetMode="External" /><Relationship Type="http://schemas.openxmlformats.org/officeDocument/2006/relationships/hyperlink" Id="rId120" Target="https://www.victorgutierrezmarcos.es/oposicion/temario/tercer-ejercicio/3A36.pdf" TargetMode="External" /><Relationship Type="http://schemas.openxmlformats.org/officeDocument/2006/relationships/hyperlink" Id="rId152" Target="https://www.victorgutierrezmarcos.es/oposicion/temario/tercer-ejercicio/3A37.pdf" TargetMode="External" /><Relationship Type="http://schemas.openxmlformats.org/officeDocument/2006/relationships/hyperlink" Id="rId172" Target="https://www.victorgutierrezmarcos.es/oposicion/temario/tercer-ejercicio/3A38.pdf" TargetMode="External" /><Relationship Type="http://schemas.openxmlformats.org/officeDocument/2006/relationships/hyperlink" Id="rId59" Target="https://www.victorgutierrezmarcos.es/oposicion/temario/tercer-ejercicio/3A39.pdf" TargetMode="External" /><Relationship Type="http://schemas.openxmlformats.org/officeDocument/2006/relationships/hyperlink" Id="rId118" Target="https://www.victorgutierrezmarcos.es/oposicion/temario/tercer-ejercicio/3A41.pdf" TargetMode="External" /><Relationship Type="http://schemas.openxmlformats.org/officeDocument/2006/relationships/hyperlink" Id="rId21" Target="https://www.victorgutierrezmarcos.es/oposicion/temario/tercer-ejercicio/3A42.pdf" TargetMode="External" /><Relationship Type="http://schemas.openxmlformats.org/officeDocument/2006/relationships/hyperlink" Id="rId73" Target="https://www.victorgutierrezmarcos.es/oposicion/temario/tercer-ejercicio/3A43.pdf" TargetMode="External" /><Relationship Type="http://schemas.openxmlformats.org/officeDocument/2006/relationships/hyperlink" Id="rId194" Target="https://www.victorgutierrezmarcos.es/oposicion/temario/tercer-ejercicio/3A44.pdf" TargetMode="External" /><Relationship Type="http://schemas.openxmlformats.org/officeDocument/2006/relationships/hyperlink" Id="rId40" Target="https://www.victorgutierrezmarcos.es/oposicion/temario/tercer-ejercicio/3A45.pdf" TargetMode="External" /><Relationship Type="http://schemas.openxmlformats.org/officeDocument/2006/relationships/hyperlink" Id="rId164" Target="https://www.victorgutierrezmarcos.es/oposicion/temario/tercer-ejercicio/3B01.pdf" TargetMode="External" /><Relationship Type="http://schemas.openxmlformats.org/officeDocument/2006/relationships/hyperlink" Id="rId138" Target="https://www.victorgutierrezmarcos.es/oposicion/temario/tercer-ejercicio/3B05.pdf" TargetMode="External" /><Relationship Type="http://schemas.openxmlformats.org/officeDocument/2006/relationships/hyperlink" Id="rId130" Target="https://www.victorgutierrezmarcos.es/oposicion/temario/tercer-ejercicio/3B06.pdf" TargetMode="External" /><Relationship Type="http://schemas.openxmlformats.org/officeDocument/2006/relationships/hyperlink" Id="rId282" Target="https://www.victorgutierrezmarcos.es/oposicion/temario/tercer-ejercicio/3B07.pdf" TargetMode="External" /><Relationship Type="http://schemas.openxmlformats.org/officeDocument/2006/relationships/hyperlink" Id="rId137" Target="https://www.victorgutierrezmarcos.es/oposicion/temario/tercer-ejercicio/3B09.pdf" TargetMode="External" /><Relationship Type="http://schemas.openxmlformats.org/officeDocument/2006/relationships/hyperlink" Id="rId42" Target="https://www.victorgutierrezmarcos.es/oposicion/temario/tercer-ejercicio/3B11.pdf" TargetMode="External" /><Relationship Type="http://schemas.openxmlformats.org/officeDocument/2006/relationships/hyperlink" Id="rId125" Target="https://www.victorgutierrezmarcos.es/oposicion/temario/tercer-ejercicio/3B12.pdf" TargetMode="External" /><Relationship Type="http://schemas.openxmlformats.org/officeDocument/2006/relationships/hyperlink" Id="rId123" Target="https://www.victorgutierrezmarcos.es/oposicion/temario/tercer-ejercicio/3B13.pdf" TargetMode="External" /><Relationship Type="http://schemas.openxmlformats.org/officeDocument/2006/relationships/hyperlink" Id="rId321" Target="https://www.victorgutierrezmarcos.es/oposicion/temario/tercer-ejercicio/3B14.pdf" TargetMode="External" /><Relationship Type="http://schemas.openxmlformats.org/officeDocument/2006/relationships/hyperlink" Id="rId127" Target="https://www.victorgutierrezmarcos.es/oposicion/temario/tercer-ejercicio/3B15.pdf" TargetMode="External" /><Relationship Type="http://schemas.openxmlformats.org/officeDocument/2006/relationships/hyperlink" Id="rId323" Target="https://www.victorgutierrezmarcos.es/oposicion/temario/tercer-ejercicio/3B17.pdf" TargetMode="External" /><Relationship Type="http://schemas.openxmlformats.org/officeDocument/2006/relationships/hyperlink" Id="rId326" Target="https://www.victorgutierrezmarcos.es/oposicion/temario/tercer-ejercicio/3B19.pdf" TargetMode="External" /><Relationship Type="http://schemas.openxmlformats.org/officeDocument/2006/relationships/hyperlink" Id="rId144" Target="https://www.victorgutierrezmarcos.es/oposicion/temario/tercer-ejercicio/3B22.pdf" TargetMode="External" /><Relationship Type="http://schemas.openxmlformats.org/officeDocument/2006/relationships/hyperlink" Id="rId318" Target="https://www.victorgutierrezmarcos.es/oposicion/temario/tercer-ejercicio/3B23.pdf" TargetMode="External" /><Relationship Type="http://schemas.openxmlformats.org/officeDocument/2006/relationships/hyperlink" Id="rId46" Target="https://www.victorgutierrezmarcos.es/oposicion/temario/tercer-ejercicio/3B24.pdf" TargetMode="External" /><Relationship Type="http://schemas.openxmlformats.org/officeDocument/2006/relationships/hyperlink" Id="rId108" Target="https://www.victorgutierrezmarcos.es/oposicion/temario/tercer-ejercicio/3B27.pdf" TargetMode="External" /><Relationship Type="http://schemas.openxmlformats.org/officeDocument/2006/relationships/hyperlink" Id="rId276" Target="https://www.victorgutierrezmarcos.es/oposicion/temario/tercer-ejercicio/3B28.pdf" TargetMode="External" /><Relationship Type="http://schemas.openxmlformats.org/officeDocument/2006/relationships/hyperlink" Id="rId283" Target="https://www.victorgutierrezmarcos.es/oposicion/temario/tercer-ejercicio/3B33.pdf" TargetMode="External" /><Relationship Type="http://schemas.openxmlformats.org/officeDocument/2006/relationships/hyperlink" Id="rId284" Target="https://www.victorgutierrezmarcos.es/oposicion/temario/tercer-ejercicio/3B41.pdf" TargetMode="External" /><Relationship Type="http://schemas.openxmlformats.org/officeDocument/2006/relationships/hyperlink" Id="rId347" Target="https://youtu.be/gJoQz2CiHBI"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349" Target="https://atcee.es/la-oposicion-tcee/examenes-anteriores/" TargetMode="External" /><Relationship Type="http://schemas.openxmlformats.org/officeDocument/2006/relationships/hyperlink" Id="rId452" Target="https://commission.europa.eu/system/files/2021-06/2021_06_16_efb_assessment_of_euro_area_fiscal_stance_en.pdf" TargetMode="External" /><Relationship Type="http://schemas.openxmlformats.org/officeDocument/2006/relationships/hyperlink" Id="rId548" Target="https://data-explorer.oecd.org/" TargetMode="External" /><Relationship Type="http://schemas.openxmlformats.org/officeDocument/2006/relationships/hyperlink" Id="rId369" Target="https://data.ecb.europa.eu/data/datasets/EXR" TargetMode="External" /><Relationship Type="http://schemas.openxmlformats.org/officeDocument/2006/relationships/hyperlink" Id="rId371" Target="https://data.ecb.europa.eu/data/datasets/ILM" TargetMode="External" /><Relationship Type="http://schemas.openxmlformats.org/officeDocument/2006/relationships/hyperlink" Id="rId499" Target="https://data.imf.org/en/Dashboards/FM%20Dashboard" TargetMode="External" /><Relationship Type="http://schemas.openxmlformats.org/officeDocument/2006/relationships/hyperlink" Id="rId389" Target="https://data.worldbank.org/indicator/NE.TRD.GNFS.ZS" TargetMode="External" /><Relationship Type="http://schemas.openxmlformats.org/officeDocument/2006/relationships/hyperlink" Id="rId584" Target="https://doi.org/10.1016/0167-2231(93)90009-L" TargetMode="External" /><Relationship Type="http://schemas.openxmlformats.org/officeDocument/2006/relationships/hyperlink" Id="rId532" Target="https://doi.org/10.1016/0304-3932(91)90007-B" TargetMode="External" /><Relationship Type="http://schemas.openxmlformats.org/officeDocument/2006/relationships/hyperlink" Id="rId586" Target="https://doi.org/10.1016/S0014-2921(00)00037-4" TargetMode="External" /><Relationship Type="http://schemas.openxmlformats.org/officeDocument/2006/relationships/hyperlink" Id="rId582" Target="https://doi.org/10.1016/S1574-0048(99)01004-6" TargetMode="External" /><Relationship Type="http://schemas.openxmlformats.org/officeDocument/2006/relationships/hyperlink" Id="rId416" Target="https://doi.org/10.1016/j.jinteco.2014.05.003" TargetMode="External" /><Relationship Type="http://schemas.openxmlformats.org/officeDocument/2006/relationships/hyperlink" Id="rId577" Target="https://doi.org/10.1057/imfer.2012.6" TargetMode="External" /><Relationship Type="http://schemas.openxmlformats.org/officeDocument/2006/relationships/hyperlink" Id="rId407" Target="https://doi.org/10.1080/15140326.1998.12040516" TargetMode="External" /><Relationship Type="http://schemas.openxmlformats.org/officeDocument/2006/relationships/hyperlink" Id="rId393" Target="https://doi.org/10.1086/260266" TargetMode="External" /><Relationship Type="http://schemas.openxmlformats.org/officeDocument/2006/relationships/hyperlink" Id="rId516" Target="https://doi.org/10.1086/260724" TargetMode="External" /><Relationship Type="http://schemas.openxmlformats.org/officeDocument/2006/relationships/hyperlink" Id="rId508" Target="https://doi.org/10.1086/654131" TargetMode="External" /><Relationship Type="http://schemas.openxmlformats.org/officeDocument/2006/relationships/hyperlink" Id="rId529" Target="https://doi.org/10.1086/ma.19.3585327" TargetMode="External" /><Relationship Type="http://schemas.openxmlformats.org/officeDocument/2006/relationships/hyperlink" Id="rId413" Target="https://doi.org/10.1093/jeea/jvx028" TargetMode="External" /><Relationship Type="http://schemas.openxmlformats.org/officeDocument/2006/relationships/hyperlink" Id="rId478" Target="https://doi.org/10.1093/qje/qjz036" TargetMode="External" /><Relationship Type="http://schemas.openxmlformats.org/officeDocument/2006/relationships/hyperlink" Id="rId512" Target="https://doi.org/10.1111/j.1468-0335.2009.00815.x" TargetMode="External" /><Relationship Type="http://schemas.openxmlformats.org/officeDocument/2006/relationships/hyperlink" Id="rId514" Target="https://doi.org/10.1111/jeea.12083" TargetMode="External" /><Relationship Type="http://schemas.openxmlformats.org/officeDocument/2006/relationships/hyperlink" Id="rId353" Target="https://doi.org/10.1111/jmcb.12420" TargetMode="External" /><Relationship Type="http://schemas.openxmlformats.org/officeDocument/2006/relationships/hyperlink" Id="rId409" Target="https://doi.org/10.1162/003355302753650274" TargetMode="External" /><Relationship Type="http://schemas.openxmlformats.org/officeDocument/2006/relationships/hyperlink" Id="rId411" Target="https://doi.org/10.1162/003465305775098189" TargetMode="External" /><Relationship Type="http://schemas.openxmlformats.org/officeDocument/2006/relationships/hyperlink" Id="rId446" Target="https://doi.org/10.1162/003465398557320" TargetMode="External" /><Relationship Type="http://schemas.openxmlformats.org/officeDocument/2006/relationships/hyperlink" Id="rId397" Target="https://doi.org/10.1257/aer.109.4.1197" TargetMode="External" /><Relationship Type="http://schemas.openxmlformats.org/officeDocument/2006/relationships/hyperlink" Id="rId510" Target="https://doi.org/10.1257/aer.20171201" TargetMode="External" /><Relationship Type="http://schemas.openxmlformats.org/officeDocument/2006/relationships/hyperlink" Id="rId345" Target="https://doi.org/10.1257/jep.33.4.187" TargetMode="External" /><Relationship Type="http://schemas.openxmlformats.org/officeDocument/2006/relationships/hyperlink" Id="rId538" Target="https://doi.org/10.1257/jep.35.1.3" TargetMode="External" /><Relationship Type="http://schemas.openxmlformats.org/officeDocument/2006/relationships/hyperlink" Id="rId401" Target="https://doi.org/10.1257/jep.5.1.73" TargetMode="External" /><Relationship Type="http://schemas.openxmlformats.org/officeDocument/2006/relationships/hyperlink" Id="rId570" Target="https://doi.org/10.1353/eca.2003.0018" TargetMode="External" /><Relationship Type="http://schemas.openxmlformats.org/officeDocument/2006/relationships/hyperlink" Id="rId573" Target="https://doi.org/10.21034/qr.531" TargetMode="External" /><Relationship Type="http://schemas.openxmlformats.org/officeDocument/2006/relationships/hyperlink" Id="rId405" Target="https://doi.org/10.2307/1344503" TargetMode="External" /><Relationship Type="http://schemas.openxmlformats.org/officeDocument/2006/relationships/hyperlink" Id="rId440" Target="https://doi.org/10.2307/2232670" TargetMode="External" /><Relationship Type="http://schemas.openxmlformats.org/officeDocument/2006/relationships/hyperlink" Id="rId536" Target="https://doi.org/10.2307/2534091" TargetMode="External" /><Relationship Type="http://schemas.openxmlformats.org/officeDocument/2006/relationships/hyperlink" Id="rId399" Target="https://doi.org/10.2307/2534495" TargetMode="External" /><Relationship Type="http://schemas.openxmlformats.org/officeDocument/2006/relationships/hyperlink" Id="rId568" Target="https://doi.org/10.2307/2550759" TargetMode="External" /><Relationship Type="http://schemas.openxmlformats.org/officeDocument/2006/relationships/hyperlink" Id="rId520" Target="https://doi.org/10.2307/2953682" TargetMode="External" /><Relationship Type="http://schemas.openxmlformats.org/officeDocument/2006/relationships/hyperlink" Id="rId420" Target="https://doi.org/10.2765/022983" TargetMode="External" /><Relationship Type="http://schemas.openxmlformats.org/officeDocument/2006/relationships/hyperlink" Id="rId518" Target="https://doi.org/10.2765/71437" TargetMode="External" /><Relationship Type="http://schemas.openxmlformats.org/officeDocument/2006/relationships/hyperlink" Id="rId493" Target="https://doi.org/10.5089/9798400230622.002.A001" TargetMode="External" /><Relationship Type="http://schemas.openxmlformats.org/officeDocument/2006/relationships/hyperlink" Id="rId444" Target="https://doi.org/10.7208/chicago/9780226194578.003.0002" TargetMode="External" /><Relationship Type="http://schemas.openxmlformats.org/officeDocument/2006/relationships/hyperlink" Id="rId474" Target="https://ec.europa.eu/eurostat/databrowser/view/jvs_q_r21/default/table" TargetMode="External" /><Relationship Type="http://schemas.openxmlformats.org/officeDocument/2006/relationships/hyperlink" Id="rId462" Target="https://ec.europa.eu/eurostat/databrowser/view/lfsa_argan/default/table" TargetMode="External" /><Relationship Type="http://schemas.openxmlformats.org/officeDocument/2006/relationships/hyperlink" Id="rId460" Target="https://ec.europa.eu/eurostat/databrowser/view/lfsq_argan/default/table" TargetMode="External" /><Relationship Type="http://schemas.openxmlformats.org/officeDocument/2006/relationships/hyperlink" Id="rId470" Target="https://ec.europa.eu/eurostat/databrowser/view/nama_10_a10/default/table" TargetMode="External" /><Relationship Type="http://schemas.openxmlformats.org/officeDocument/2006/relationships/hyperlink" Id="rId468" Target="https://ec.europa.eu/eurostat/databrowser/view/nama_10_gdp/default/table" TargetMode="External" /><Relationship Type="http://schemas.openxmlformats.org/officeDocument/2006/relationships/hyperlink" Id="rId464" Target="https://ec.europa.eu/eurostat/databrowser/view/namq_10_a10_e/default/table" TargetMode="External" /><Relationship Type="http://schemas.openxmlformats.org/officeDocument/2006/relationships/hyperlink" Id="rId466" Target="https://ec.europa.eu/eurostat/databrowser/view/namq_10_gdp/default/table" TargetMode="External" /><Relationship Type="http://schemas.openxmlformats.org/officeDocument/2006/relationships/hyperlink" Id="rId472" Target="https://ec.europa.eu/eurostat/databrowser/view/prc_hicp_minr/default/table" TargetMode="External" /><Relationship Type="http://schemas.openxmlformats.org/officeDocument/2006/relationships/hyperlink" Id="rId476" Target="https://ec.europa.eu/eurostat/databrowser/view/une_rt_q/default/table" TargetMode="External" /><Relationship Type="http://schemas.openxmlformats.org/officeDocument/2006/relationships/hyperlink" Id="rId456" Target="https://ec.europa.eu/eurostat/statistics-explained/index.php?title=Glossary:Housing_cost_overburden_rate" TargetMode="External" /><Relationship Type="http://schemas.openxmlformats.org/officeDocument/2006/relationships/hyperlink" Id="rId458" Target="https://ec.europa.eu/eurostat/statistics-explained/index.php?title=The_Macroeconomic_Imbalance_Procedure_(MIP)_introduced" TargetMode="External" /><Relationship Type="http://schemas.openxmlformats.org/officeDocument/2006/relationships/hyperlink" Id="rId454" Target="https://ec.europa.eu/eurostat/web/products-euro-indicators/-/2-22042013-ap" TargetMode="External" /><Relationship Type="http://schemas.openxmlformats.org/officeDocument/2006/relationships/hyperlink" Id="rId424" Target="https://economy-finance.ec.europa.eu/economic-forecast-and-surveys/business-and-consumer-surveys_en" TargetMode="External" /><Relationship Type="http://schemas.openxmlformats.org/officeDocument/2006/relationships/hyperlink" Id="rId426" Target="https://economy-finance.ec.europa.eu/economic-research-and-databases/economic-databases/ameco-database_en" TargetMode="External" /><Relationship Type="http://schemas.openxmlformats.org/officeDocument/2006/relationships/hyperlink" Id="rId555" Target="https://eur-lex.europa.eu/eli/dir/2013/36/oj" TargetMode="External" /><Relationship Type="http://schemas.openxmlformats.org/officeDocument/2006/relationships/hyperlink" Id="rId559" Target="https://eur-lex.europa.eu/eli/reg/2013/549/oj" TargetMode="External" /><Relationship Type="http://schemas.openxmlformats.org/officeDocument/2006/relationships/hyperlink" Id="rId557" Target="https://eur-lex.europa.eu/eli/reg/2013/575/oj" TargetMode="External" /><Relationship Type="http://schemas.openxmlformats.org/officeDocument/2006/relationships/hyperlink" Id="rId563" Target="https://eur-lex.europa.eu/eli/reg/2024/1263/oj" TargetMode="External" /><Relationship Type="http://schemas.openxmlformats.org/officeDocument/2006/relationships/hyperlink" Id="rId438" Target="https://eur-lex.europa.eu/eli/reg/2024/1264/oj" TargetMode="External" /><Relationship Type="http://schemas.openxmlformats.org/officeDocument/2006/relationships/hyperlink" Id="rId565" Target="https://eur-lex.europa.eu/eli/reg/2024/1623/oj" TargetMode="External" /><Relationship Type="http://schemas.openxmlformats.org/officeDocument/2006/relationships/hyperlink" Id="rId422" Target="https://eur-lex.europa.eu/legal-content/EN/ALL/?uri=CELEX:52025DC0956" TargetMode="External" /><Relationship Type="http://schemas.openxmlformats.org/officeDocument/2006/relationships/hyperlink" Id="rId594" Target="https://eur-lex.europa.eu/legal-content/ES/TXT/?uri=CELEX:12012E/PRO/12" TargetMode="External" /><Relationship Type="http://schemas.openxmlformats.org/officeDocument/2006/relationships/hyperlink" Id="rId436" Target="https://eur-lex.europa.eu/legal-content/ES/TXT/?uri=CELEX:32013R1024" TargetMode="External" /><Relationship Type="http://schemas.openxmlformats.org/officeDocument/2006/relationships/hyperlink" Id="rId561" Target="https://eur-lex.europa.eu/legal-content/ES/TXT/?uri=CELEX:32014R0806" TargetMode="External" /><Relationship Type="http://schemas.openxmlformats.org/officeDocument/2006/relationships/hyperlink" Id="rId357" Target="https://eur-lex.europa.eu/legal-content/ES/TXT/?uri=CELEX:32020HB0019" TargetMode="External" /><Relationship Type="http://schemas.openxmlformats.org/officeDocument/2006/relationships/hyperlink" Id="rId418" Target="https://eur-lex.europa.eu/legal-content/ES/TXT/?uri=CELEX:52015PC0586" TargetMode="External" /><Relationship Type="http://schemas.openxmlformats.org/officeDocument/2006/relationships/hyperlink" Id="rId598" Target="https://fred.stlouisfed.org/series/GDPC1" TargetMode="External" /><Relationship Type="http://schemas.openxmlformats.org/officeDocument/2006/relationships/hyperlink" Id="rId575" Target="https://laadministracionaldia.inap.es/noticia.asp?id=1500719" TargetMode="External" /><Relationship Type="http://schemas.openxmlformats.org/officeDocument/2006/relationships/hyperlink" Id="rId592" Target="https://uniblog.unicajabanco.es/8-indicadores-bancarios-para-no-iniciados" TargetMode="External" /><Relationship Type="http://schemas.openxmlformats.org/officeDocument/2006/relationships/hyperlink" Id="rId363" Target="https://www.bankingsupervision.europa.eu/activities/srep/2025/html/ssm.srep202511_aggregatedresults2025.en.html" TargetMode="External" /><Relationship Type="http://schemas.openxmlformats.org/officeDocument/2006/relationships/hyperlink" Id="rId373" Target="https://www.bankingsupervision.europa.eu/press/pr/date/2026/html/ssm.pr260915~7917ca1416.es.html" TargetMode="External" /><Relationship Type="http://schemas.openxmlformats.org/officeDocument/2006/relationships/hyperlink" Id="rId391" Target="https://www.bankinter.com/blog/economia/leer-rating-agencias-calificacion-financiera" TargetMode="External" /><Relationship Type="http://schemas.openxmlformats.org/officeDocument/2006/relationships/hyperlink" Id="rId403" Target="https://www.bbvaresearch.com/publicaciones/espana-la-economia-espanola-en-el-primer-ano-de-la-guerra-de-ucrania/" TargetMode="External" /><Relationship Type="http://schemas.openxmlformats.org/officeDocument/2006/relationships/hyperlink" Id="rId383" Target="https://www.bde.es/f/webbe/GAP/Secciones/SalaPrensa/NotasInformativas/26/presbe2026-90.pdf" TargetMode="External" /><Relationship Type="http://schemas.openxmlformats.org/officeDocument/2006/relationships/hyperlink" Id="rId381" Target="https://www.bde.es/f/webbe/INF/MenuVertical/EstabilidadFinanciera/Colchon_capital/Resolucion_CCA_2025T4.pdf" TargetMode="External" /><Relationship Type="http://schemas.openxmlformats.org/officeDocument/2006/relationships/hyperlink" Id="rId385" Target="https://www.bde.es/wbe/es/publicaciones/informes-memorias-anuales/informe-anual/informe-anual-2025.html" TargetMode="External" /><Relationship Type="http://schemas.openxmlformats.org/officeDocument/2006/relationships/hyperlink" Id="rId379" Target="https://www.bde.es/webbe/es/estadisticas/compartido/docs/notaNGEU.pdf" TargetMode="External" /><Relationship Type="http://schemas.openxmlformats.org/officeDocument/2006/relationships/hyperlink" Id="rId434" Target="https://www.bis.org/bcbs/publ/d295.htm" TargetMode="External" /><Relationship Type="http://schemas.openxmlformats.org/officeDocument/2006/relationships/hyperlink" Id="rId395" Target="https://www.bis.org/bcbs/publ/d424.htm" TargetMode="External" /><Relationship Type="http://schemas.openxmlformats.org/officeDocument/2006/relationships/hyperlink" Id="rId387" Target="https://www.bis.org/publ/arpdf/ar2024e.htm" TargetMode="External" /><Relationship Type="http://schemas.openxmlformats.org/officeDocument/2006/relationships/hyperlink" Id="rId428" Target="https://www.bis.org/publ/bcbs187.htm" TargetMode="External" /><Relationship Type="http://schemas.openxmlformats.org/officeDocument/2006/relationships/hyperlink" Id="rId430" Target="https://www.bis.org/publ/bcbs189.htm" TargetMode="External" /><Relationship Type="http://schemas.openxmlformats.org/officeDocument/2006/relationships/hyperlink" Id="rId432" Target="https://www.bis.org/publ/bcbs238.htm" TargetMode="External" /><Relationship Type="http://schemas.openxmlformats.org/officeDocument/2006/relationships/hyperlink" Id="rId541" Target="https://www.boe.es/diario_boe/txt.php?id=BOE-A-2024-27439" TargetMode="External" /><Relationship Type="http://schemas.openxmlformats.org/officeDocument/2006/relationships/hyperlink" Id="rId543" Target="https://www.boe.es/diario_boe/txt.php?id=BOE-A-2025-26902" TargetMode="External" /><Relationship Type="http://schemas.openxmlformats.org/officeDocument/2006/relationships/hyperlink" Id="rId588" Target="https://www.conference-board.org/topics/us-leading-indicators" TargetMode="External" /><Relationship Type="http://schemas.openxmlformats.org/officeDocument/2006/relationships/hyperlink" Id="rId351" Target="https://www.eba.europa.eu/regulation-and-policy/credit-risk/guidelines-legislative-and-non-legislative-moratoria-loan-repayments-applied-light-covid-19-crisis" TargetMode="External" /><Relationship Type="http://schemas.openxmlformats.org/officeDocument/2006/relationships/hyperlink" Id="rId448" Target="https://www.eba.europa.eu/risk-and-data-analysis/risk-analysis/risk-monitoring/risk-dashboard" TargetMode="External" /><Relationship Type="http://schemas.openxmlformats.org/officeDocument/2006/relationships/hyperlink" Id="rId450" Target="https://www.eba.europa.eu/sites/default/files/2026-09/26394108-1837-4b5b-bce2-fba1d3c574b1/EBA%20Dashboard%20-%20Q2%202026.pdf" TargetMode="External" /><Relationship Type="http://schemas.openxmlformats.org/officeDocument/2006/relationships/hyperlink" Id="rId365" Target="https://www.ecb.europa.eu/mopo/strategy/strategy-review/ecb.strategyreview202506_strategy_statement.es.html" TargetMode="External" /><Relationship Type="http://schemas.openxmlformats.org/officeDocument/2006/relationships/hyperlink" Id="rId375" Target="https://www.ecb.europa.eu/paym/coll/risk/ecaf/html/index.en.html" TargetMode="External" /><Relationship Type="http://schemas.openxmlformats.org/officeDocument/2006/relationships/hyperlink" Id="rId361" Target="https://www.ecb.europa.eu/press/pr/date/2024/html/ecb.pr240313~807e240020.en.html" TargetMode="External" /><Relationship Type="http://schemas.openxmlformats.org/officeDocument/2006/relationships/hyperlink" Id="rId367" Target="https://www.ecb.europa.eu/press/pr/date/2026/html/ecb.pr260101~c830245e42.es.html" TargetMode="External" /><Relationship Type="http://schemas.openxmlformats.org/officeDocument/2006/relationships/hyperlink" Id="rId359" Target="https://www.ecb.europa.eu/pub/annual/html/ecb.ar2022~8ae51d163b.es.html" TargetMode="External" /><Relationship Type="http://schemas.openxmlformats.org/officeDocument/2006/relationships/hyperlink" Id="rId355" Target="https://www.ecb.europa.eu/pub/financial-stability/fsr/html/ecb.fsr202011~b7be9ae1f1.en.html" TargetMode="External" /><Relationship Type="http://schemas.openxmlformats.org/officeDocument/2006/relationships/hyperlink" Id="rId377" Target="https://www.ecb.europa.eu/stats/policy_and_exchange_rates/key_ecb_interest_rates/html/index.en.html" TargetMode="External" /><Relationship Type="http://schemas.openxmlformats.org/officeDocument/2006/relationships/hyperlink" Id="rId590" Target="https://www.economist.com/finance-and-economics/2008/12/30/diagnosing-depression" TargetMode="External" /><Relationship Type="http://schemas.openxmlformats.org/officeDocument/2006/relationships/hyperlink" Id="rId489" Target="https://www.edx.org/es/course/programacion-y-politicas-financieras-parte-1-cue-2" TargetMode="External" /><Relationship Type="http://schemas.openxmlformats.org/officeDocument/2006/relationships/hyperlink" Id="rId487" Target="https://www.edx.org/es/learn/finance/the-international-monetary-fund-financial-programming-and-policies-part-1-macroeconomic-accounts-analysis" TargetMode="External" /><Relationship Type="http://schemas.openxmlformats.org/officeDocument/2006/relationships/hyperlink" Id="rId600" Target="https://www.eia.gov/dnav/pet/hist/LeafHandler.ashx?n=PET&amp;s=RBRTE&amp;f=M" TargetMode="External" /><Relationship Type="http://schemas.openxmlformats.org/officeDocument/2006/relationships/hyperlink" Id="rId526" Target="https://www.esrb.europa.eu/pub/pdf/other/140303_esrb_handbook_mp.en.pdf" TargetMode="External" /><Relationship Type="http://schemas.openxmlformats.org/officeDocument/2006/relationships/hyperlink" Id="rId553" Target="https://www.ilo.org/resource/article/moving-towards-full-employment-interview-aurelio-parisotto" TargetMode="External" /><Relationship Type="http://schemas.openxmlformats.org/officeDocument/2006/relationships/hyperlink" Id="rId497" Target="https://www.imf.org/en/About/Factsheets/Sheets/2023/IMF-Conditionality" TargetMode="External" /><Relationship Type="http://schemas.openxmlformats.org/officeDocument/2006/relationships/hyperlink" Id="rId501" Target="https://www.imf.org/en/About/executive-board/Article-IV" TargetMode="External" /><Relationship Type="http://schemas.openxmlformats.org/officeDocument/2006/relationships/hyperlink" Id="rId495" Target="https://www.imf.org/en/news/articles/2025/03/20/pr25072-imf-and-statistical-community-release-new-global-standards-for-macroeconomic-stats" TargetMode="External" /><Relationship Type="http://schemas.openxmlformats.org/officeDocument/2006/relationships/hyperlink" Id="rId503" Target="https://www.imf.org/en/publications/cr/issues/2026/05/21/spain-2026-article-iv-consultation-press-release-staff-report-and-statement-by-the-576248" TargetMode="External" /><Relationship Type="http://schemas.openxmlformats.org/officeDocument/2006/relationships/hyperlink" Id="rId505" Target="https://www.imf.org/en/publications/weo/issues/2026/10/13/world-economic-outlook-october-2026" TargetMode="External" /><Relationship Type="http://schemas.openxmlformats.org/officeDocument/2006/relationships/hyperlink" Id="rId491" Target="https://www.imf.org/es/Publications/FM/Issues/2023/04/03/fiscal-monitor-april-2023" TargetMode="External" /><Relationship Type="http://schemas.openxmlformats.org/officeDocument/2006/relationships/hyperlink" Id="rId484" Target="https://www.imf.org/external/np/pp/eng/2011/021411b.pdf" TargetMode="External" /><Relationship Type="http://schemas.openxmlformats.org/officeDocument/2006/relationships/hyperlink" Id="rId482" Target="https://www.imf.org/external/pubs/ft/bop/2007/pdf/bpm6.pdf" TargetMode="External" /><Relationship Type="http://schemas.openxmlformats.org/officeDocument/2006/relationships/hyperlink" Id="rId522" Target="https://www.ine.es/dyngs/INEbase/es/operacion.htm?c=Estadistica_C&amp;cid=1254736176918&amp;menu=metodologia&amp;idp=1254735976595" TargetMode="External" /><Relationship Type="http://schemas.openxmlformats.org/officeDocument/2006/relationships/hyperlink" Id="rId524" Target="https://www.ine.es/metodologia/t25/metodologia_IPC_base_2025.pdf" TargetMode="External" /><Relationship Type="http://schemas.openxmlformats.org/officeDocument/2006/relationships/hyperlink" Id="rId480" Target="https://www.levyinstitute.org/pubs/wp_651.pdf" TargetMode="External" /><Relationship Type="http://schemas.openxmlformats.org/officeDocument/2006/relationships/hyperlink" Id="rId546" Target="https://www.nber.org/research/business-cycle-dating/business-cycle-dating-procedure-frequently-asked-questions" TargetMode="External" /><Relationship Type="http://schemas.openxmlformats.org/officeDocument/2006/relationships/hyperlink" Id="rId550" Target="https://www.oecd.org/en/publications/2026/06/oecd-economic-outlook-volume-2026-issue-1_8be0dba6.html" TargetMode="External" /><Relationship Type="http://schemas.openxmlformats.org/officeDocument/2006/relationships/hyperlink" Id="rId580" Target="https://www.spglobal.com/marketintelligence/en/mi/products/pmi.html" TargetMode="External" /><Relationship Type="http://schemas.openxmlformats.org/officeDocument/2006/relationships/hyperlink" Id="rId596" Target="https://www.ucm.es/data/cont/docs/518-2015-04-29-COSTE%20LABORAL%20UNITARIO.pdf" TargetMode="External" /><Relationship Type="http://schemas.openxmlformats.org/officeDocument/2006/relationships/hyperlink" Id="rId34" Target="https://www.victorgutierrezmarcos.es/oposicion/temario/cuarto-ejercicio/4A01.pdf" TargetMode="External" /><Relationship Type="http://schemas.openxmlformats.org/officeDocument/2006/relationships/hyperlink" Id="rId63" Target="https://www.victorgutierrezmarcos.es/oposicion/temario/cuarto-ejercicio/4A11.pdf" TargetMode="External" /><Relationship Type="http://schemas.openxmlformats.org/officeDocument/2006/relationships/hyperlink" Id="rId78" Target="https://www.victorgutierrezmarcos.es/oposicion/temario/cuarto-ejercicio/4A13.pdf" TargetMode="External" /><Relationship Type="http://schemas.openxmlformats.org/officeDocument/2006/relationships/hyperlink" Id="rId328" Target="https://www.victorgutierrezmarcos.es/oposicion/temario/cuarto-ejercicio/4A15.pdf" TargetMode="External" /><Relationship Type="http://schemas.openxmlformats.org/officeDocument/2006/relationships/hyperlink" Id="rId88" Target="https://www.victorgutierrezmarcos.es/oposicion/temario/cuarto-ejercicio/4A16.pdf" TargetMode="External" /><Relationship Type="http://schemas.openxmlformats.org/officeDocument/2006/relationships/hyperlink" Id="rId218" Target="https://www.victorgutierrezmarcos.es/oposicion/temario/cuarto-ejercicio/4A18.pdf" TargetMode="External" /><Relationship Type="http://schemas.openxmlformats.org/officeDocument/2006/relationships/hyperlink" Id="rId109" Target="https://www.victorgutierrezmarcos.es/oposicion/temario/cuarto-ejercicio/4A19.pdf" TargetMode="External" /><Relationship Type="http://schemas.openxmlformats.org/officeDocument/2006/relationships/hyperlink" Id="rId320" Target="https://www.victorgutierrezmarcos.es/oposicion/temario/cuarto-ejercicio/4A20.pdf" TargetMode="External" /><Relationship Type="http://schemas.openxmlformats.org/officeDocument/2006/relationships/hyperlink" Id="rId43" Target="https://www.victorgutierrezmarcos.es/oposicion/temario/cuarto-ejercicio/4A21.pdf" TargetMode="External" /><Relationship Type="http://schemas.openxmlformats.org/officeDocument/2006/relationships/hyperlink" Id="rId94" Target="https://www.victorgutierrezmarcos.es/oposicion/temario/cuarto-ejercicio/4A22.pdf" TargetMode="External" /><Relationship Type="http://schemas.openxmlformats.org/officeDocument/2006/relationships/hyperlink" Id="rId324" Target="https://www.victorgutierrezmarcos.es/oposicion/temario/cuarto-ejercicio/4A23.pdf" TargetMode="External" /><Relationship Type="http://schemas.openxmlformats.org/officeDocument/2006/relationships/hyperlink" Id="rId334" Target="https://www.victorgutierrezmarcos.es/oposicion/temario/cuarto-ejercicio/4A24.pdf" TargetMode="External" /><Relationship Type="http://schemas.openxmlformats.org/officeDocument/2006/relationships/hyperlink" Id="rId85" Target="https://www.victorgutierrezmarcos.es/oposicion/temario/cuarto-ejercicio/4A30.pdf" TargetMode="External" /><Relationship Type="http://schemas.openxmlformats.org/officeDocument/2006/relationships/hyperlink" Id="rId216" Target="https://www.victorgutierrezmarcos.es/oposicion/temario/cuarto-ejercicio/4B01.pdf" TargetMode="External" /><Relationship Type="http://schemas.openxmlformats.org/officeDocument/2006/relationships/hyperlink" Id="rId38" Target="https://www.victorgutierrezmarcos.es/oposicion/temario/cuarto-ejercicio/4B04.pdf" TargetMode="External" /><Relationship Type="http://schemas.openxmlformats.org/officeDocument/2006/relationships/hyperlink" Id="rId183" Target="https://www.victorgutierrezmarcos.es/oposicion/temario/cuarto-ejercicio/4B05.pdf" TargetMode="External" /><Relationship Type="http://schemas.openxmlformats.org/officeDocument/2006/relationships/hyperlink" Id="rId184" Target="https://www.victorgutierrezmarcos.es/oposicion/temario/cuarto-ejercicio/4B07.pdf" TargetMode="External" /><Relationship Type="http://schemas.openxmlformats.org/officeDocument/2006/relationships/hyperlink" Id="rId292" Target="https://www.victorgutierrezmarcos.es/oposicion/temario/cuarto-ejercicio/4B21.pdf" TargetMode="External" /><Relationship Type="http://schemas.openxmlformats.org/officeDocument/2006/relationships/hyperlink" Id="rId179" Target="https://www.victorgutierrezmarcos.es/oposicion/temario/cuarto-ejercicio/4B26.pdf" TargetMode="External" /><Relationship Type="http://schemas.openxmlformats.org/officeDocument/2006/relationships/hyperlink" Id="rId202" Target="https://www.victorgutierrezmarcos.es/oposicion/temario/quinto-ejercicio/parte_B.pdf" TargetMode="External" /><Relationship Type="http://schemas.openxmlformats.org/officeDocument/2006/relationships/hyperlink" Id="rId37" Target="https://www.victorgutierrezmarcos.es/oposicion/temario/tema-no-disponible.html?tema=3.A.28" TargetMode="External" /><Relationship Type="http://schemas.openxmlformats.org/officeDocument/2006/relationships/hyperlink" Id="rId315" Target="https://www.victorgutierrezmarcos.es/oposicion/temario/tema-no-disponible.html?tema=3.A.31" TargetMode="External" /><Relationship Type="http://schemas.openxmlformats.org/officeDocument/2006/relationships/hyperlink" Id="rId141" Target="https://www.victorgutierrezmarcos.es/oposicion/temario/tema-no-disponible.html?tema=3.A.32" TargetMode="External" /><Relationship Type="http://schemas.openxmlformats.org/officeDocument/2006/relationships/hyperlink" Id="rId188" Target="https://www.victorgutierrezmarcos.es/oposicion/temario/tema-no-disponible.html?tema=3.A.40" TargetMode="External" /><Relationship Type="http://schemas.openxmlformats.org/officeDocument/2006/relationships/hyperlink" Id="rId317" Target="https://www.victorgutierrezmarcos.es/oposicion/temario/tema-no-disponible.html?tema=3.B.18" TargetMode="External" /><Relationship Type="http://schemas.openxmlformats.org/officeDocument/2006/relationships/hyperlink" Id="rId319" Target="https://www.victorgutierrezmarcos.es/oposicion/temario/tema-no-disponible.html?tema=3.B.26" TargetMode="External" /><Relationship Type="http://schemas.openxmlformats.org/officeDocument/2006/relationships/hyperlink" Id="rId215" Target="https://www.victorgutierrezmarcos.es/oposicion/temario/tema-no-disponible.html?tema=3.B.29" TargetMode="External" /><Relationship Type="http://schemas.openxmlformats.org/officeDocument/2006/relationships/hyperlink" Id="rId277" Target="https://www.victorgutierrezmarcos.es/oposicion/temario/tema-no-disponible.html?tema=3.B.32" TargetMode="External" /><Relationship Type="http://schemas.openxmlformats.org/officeDocument/2006/relationships/hyperlink" Id="rId327" Target="https://www.victorgutierrezmarcos.es/oposicion/temario/tema-no-disponible.html?tema=3.B.43" TargetMode="External" /><Relationship Type="http://schemas.openxmlformats.org/officeDocument/2006/relationships/hyperlink" Id="rId158" Target="https://www.victorgutierrezmarcos.es/oposicion/temario/tema-no-disponible.html?tema=3.B.44" TargetMode="External" /><Relationship Type="http://schemas.openxmlformats.org/officeDocument/2006/relationships/hyperlink" Id="rId176" Target="https://www.victorgutierrezmarcos.es/oposicion/temario/tema-no-disponible.html?tema=3.B.45" TargetMode="External" /><Relationship Type="http://schemas.openxmlformats.org/officeDocument/2006/relationships/hyperlink" Id="rId279" Target="https://www.victorgutierrezmarcos.es/oposicion/temario/tema-no-disponible.html?tema=4.A.2" TargetMode="External" /><Relationship Type="http://schemas.openxmlformats.org/officeDocument/2006/relationships/hyperlink" Id="rId322" Target="https://www.victorgutierrezmarcos.es/oposicion/temario/tema-no-disponible.html?tema=4.A.25" TargetMode="External" /><Relationship Type="http://schemas.openxmlformats.org/officeDocument/2006/relationships/hyperlink" Id="rId49" Target="https://www.victorgutierrezmarcos.es/oposicion/temario/tema-no-disponible.html?tema=4.A.29" TargetMode="External" /><Relationship Type="http://schemas.openxmlformats.org/officeDocument/2006/relationships/hyperlink" Id="rId75" Target="https://www.victorgutierrezmarcos.es/oposicion/temario/tema-no-disponible.html?tema=4.A.4" TargetMode="External" /><Relationship Type="http://schemas.openxmlformats.org/officeDocument/2006/relationships/hyperlink" Id="rId76" Target="https://www.victorgutierrezmarcos.es/oposicion/temario/tema-no-disponible.html?tema=4.A.5" TargetMode="External" /><Relationship Type="http://schemas.openxmlformats.org/officeDocument/2006/relationships/hyperlink" Id="rId333" Target="https://www.victorgutierrezmarcos.es/oposicion/temario/tema-no-disponible.html?tema=4.A.7" TargetMode="External" /><Relationship Type="http://schemas.openxmlformats.org/officeDocument/2006/relationships/hyperlink" Id="rId77" Target="https://www.victorgutierrezmarcos.es/oposicion/temario/tema-no-disponible.html?tema=4.A.9" TargetMode="External" /><Relationship Type="http://schemas.openxmlformats.org/officeDocument/2006/relationships/hyperlink" Id="rId329" Target="https://www.victorgutierrezmarcos.es/oposicion/temario/tema-no-disponible.html?tema=4.B.23" TargetMode="External" /><Relationship Type="http://schemas.openxmlformats.org/officeDocument/2006/relationships/hyperlink" Id="rId114" Target="https://www.victorgutierrezmarcos.es/oposicion/temario/tercer-ejercicio/3A09.pdf" TargetMode="External" /><Relationship Type="http://schemas.openxmlformats.org/officeDocument/2006/relationships/hyperlink" Id="rId58" Target="https://www.victorgutierrezmarcos.es/oposicion/temario/tercer-ejercicio/3A10.pdf" TargetMode="External" /><Relationship Type="http://schemas.openxmlformats.org/officeDocument/2006/relationships/hyperlink" Id="rId316" Target="https://www.victorgutierrezmarcos.es/oposicion/temario/tercer-ejercicio/3A13.pdf" TargetMode="External" /><Relationship Type="http://schemas.openxmlformats.org/officeDocument/2006/relationships/hyperlink" Id="rId330" Target="https://www.victorgutierrezmarcos.es/oposicion/temario/tercer-ejercicio/3A15.pdf" TargetMode="External" /><Relationship Type="http://schemas.openxmlformats.org/officeDocument/2006/relationships/hyperlink" Id="rId280" Target="https://www.victorgutierrezmarcos.es/oposicion/temario/tercer-ejercicio/3A17.pdf" TargetMode="External" /><Relationship Type="http://schemas.openxmlformats.org/officeDocument/2006/relationships/hyperlink" Id="rId331" Target="https://www.victorgutierrezmarcos.es/oposicion/temario/tercer-ejercicio/3A20.pdf" TargetMode="External" /><Relationship Type="http://schemas.openxmlformats.org/officeDocument/2006/relationships/hyperlink" Id="rId332" Target="https://www.victorgutierrezmarcos.es/oposicion/temario/tercer-ejercicio/3A23.pdf" TargetMode="External" /><Relationship Type="http://schemas.openxmlformats.org/officeDocument/2006/relationships/hyperlink" Id="rId87" Target="https://www.victorgutierrezmarcos.es/oposicion/temario/tercer-ejercicio/3A25.pdf" TargetMode="External" /><Relationship Type="http://schemas.openxmlformats.org/officeDocument/2006/relationships/hyperlink" Id="rId99" Target="https://www.victorgutierrezmarcos.es/oposicion/temario/tercer-ejercicio/3A26.pdf" TargetMode="External" /><Relationship Type="http://schemas.openxmlformats.org/officeDocument/2006/relationships/hyperlink" Id="rId93" Target="https://www.victorgutierrezmarcos.es/oposicion/temario/tercer-ejercicio/3A27.pdf" TargetMode="External" /><Relationship Type="http://schemas.openxmlformats.org/officeDocument/2006/relationships/hyperlink" Id="rId20" Target="https://www.victorgutierrezmarcos.es/oposicion/temario/tercer-ejercicio/3A30.pdf" TargetMode="External" /><Relationship Type="http://schemas.openxmlformats.org/officeDocument/2006/relationships/hyperlink" Id="rId55" Target="https://www.victorgutierrezmarcos.es/oposicion/temario/tercer-ejercicio/3A33.pdf" TargetMode="External" /><Relationship Type="http://schemas.openxmlformats.org/officeDocument/2006/relationships/hyperlink" Id="rId67" Target="https://www.victorgutierrezmarcos.es/oposicion/temario/tercer-ejercicio/3A34.pdf" TargetMode="External" /><Relationship Type="http://schemas.openxmlformats.org/officeDocument/2006/relationships/hyperlink" Id="rId325" Target="https://www.victorgutierrezmarcos.es/oposicion/temario/tercer-ejercicio/3A35.pdf" TargetMode="External" /><Relationship Type="http://schemas.openxmlformats.org/officeDocument/2006/relationships/hyperlink" Id="rId120" Target="https://www.victorgutierrezmarcos.es/oposicion/temario/tercer-ejercicio/3A36.pdf" TargetMode="External" /><Relationship Type="http://schemas.openxmlformats.org/officeDocument/2006/relationships/hyperlink" Id="rId152" Target="https://www.victorgutierrezmarcos.es/oposicion/temario/tercer-ejercicio/3A37.pdf" TargetMode="External" /><Relationship Type="http://schemas.openxmlformats.org/officeDocument/2006/relationships/hyperlink" Id="rId172" Target="https://www.victorgutierrezmarcos.es/oposicion/temario/tercer-ejercicio/3A38.pdf" TargetMode="External" /><Relationship Type="http://schemas.openxmlformats.org/officeDocument/2006/relationships/hyperlink" Id="rId59" Target="https://www.victorgutierrezmarcos.es/oposicion/temario/tercer-ejercicio/3A39.pdf" TargetMode="External" /><Relationship Type="http://schemas.openxmlformats.org/officeDocument/2006/relationships/hyperlink" Id="rId118" Target="https://www.victorgutierrezmarcos.es/oposicion/temario/tercer-ejercicio/3A41.pdf" TargetMode="External" /><Relationship Type="http://schemas.openxmlformats.org/officeDocument/2006/relationships/hyperlink" Id="rId21" Target="https://www.victorgutierrezmarcos.es/oposicion/temario/tercer-ejercicio/3A42.pdf" TargetMode="External" /><Relationship Type="http://schemas.openxmlformats.org/officeDocument/2006/relationships/hyperlink" Id="rId73" Target="https://www.victorgutierrezmarcos.es/oposicion/temario/tercer-ejercicio/3A43.pdf" TargetMode="External" /><Relationship Type="http://schemas.openxmlformats.org/officeDocument/2006/relationships/hyperlink" Id="rId194" Target="https://www.victorgutierrezmarcos.es/oposicion/temario/tercer-ejercicio/3A44.pdf" TargetMode="External" /><Relationship Type="http://schemas.openxmlformats.org/officeDocument/2006/relationships/hyperlink" Id="rId40" Target="https://www.victorgutierrezmarcos.es/oposicion/temario/tercer-ejercicio/3A45.pdf" TargetMode="External" /><Relationship Type="http://schemas.openxmlformats.org/officeDocument/2006/relationships/hyperlink" Id="rId164" Target="https://www.victorgutierrezmarcos.es/oposicion/temario/tercer-ejercicio/3B01.pdf" TargetMode="External" /><Relationship Type="http://schemas.openxmlformats.org/officeDocument/2006/relationships/hyperlink" Id="rId138" Target="https://www.victorgutierrezmarcos.es/oposicion/temario/tercer-ejercicio/3B05.pdf" TargetMode="External" /><Relationship Type="http://schemas.openxmlformats.org/officeDocument/2006/relationships/hyperlink" Id="rId130" Target="https://www.victorgutierrezmarcos.es/oposicion/temario/tercer-ejercicio/3B06.pdf" TargetMode="External" /><Relationship Type="http://schemas.openxmlformats.org/officeDocument/2006/relationships/hyperlink" Id="rId282" Target="https://www.victorgutierrezmarcos.es/oposicion/temario/tercer-ejercicio/3B07.pdf" TargetMode="External" /><Relationship Type="http://schemas.openxmlformats.org/officeDocument/2006/relationships/hyperlink" Id="rId137" Target="https://www.victorgutierrezmarcos.es/oposicion/temario/tercer-ejercicio/3B09.pdf" TargetMode="External" /><Relationship Type="http://schemas.openxmlformats.org/officeDocument/2006/relationships/hyperlink" Id="rId42" Target="https://www.victorgutierrezmarcos.es/oposicion/temario/tercer-ejercicio/3B11.pdf" TargetMode="External" /><Relationship Type="http://schemas.openxmlformats.org/officeDocument/2006/relationships/hyperlink" Id="rId125" Target="https://www.victorgutierrezmarcos.es/oposicion/temario/tercer-ejercicio/3B12.pdf" TargetMode="External" /><Relationship Type="http://schemas.openxmlformats.org/officeDocument/2006/relationships/hyperlink" Id="rId123" Target="https://www.victorgutierrezmarcos.es/oposicion/temario/tercer-ejercicio/3B13.pdf" TargetMode="External" /><Relationship Type="http://schemas.openxmlformats.org/officeDocument/2006/relationships/hyperlink" Id="rId321" Target="https://www.victorgutierrezmarcos.es/oposicion/temario/tercer-ejercicio/3B14.pdf" TargetMode="External" /><Relationship Type="http://schemas.openxmlformats.org/officeDocument/2006/relationships/hyperlink" Id="rId127" Target="https://www.victorgutierrezmarcos.es/oposicion/temario/tercer-ejercicio/3B15.pdf" TargetMode="External" /><Relationship Type="http://schemas.openxmlformats.org/officeDocument/2006/relationships/hyperlink" Id="rId323" Target="https://www.victorgutierrezmarcos.es/oposicion/temario/tercer-ejercicio/3B17.pdf" TargetMode="External" /><Relationship Type="http://schemas.openxmlformats.org/officeDocument/2006/relationships/hyperlink" Id="rId326" Target="https://www.victorgutierrezmarcos.es/oposicion/temario/tercer-ejercicio/3B19.pdf" TargetMode="External" /><Relationship Type="http://schemas.openxmlformats.org/officeDocument/2006/relationships/hyperlink" Id="rId144" Target="https://www.victorgutierrezmarcos.es/oposicion/temario/tercer-ejercicio/3B22.pdf" TargetMode="External" /><Relationship Type="http://schemas.openxmlformats.org/officeDocument/2006/relationships/hyperlink" Id="rId318" Target="https://www.victorgutierrezmarcos.es/oposicion/temario/tercer-ejercicio/3B23.pdf" TargetMode="External" /><Relationship Type="http://schemas.openxmlformats.org/officeDocument/2006/relationships/hyperlink" Id="rId46" Target="https://www.victorgutierrezmarcos.es/oposicion/temario/tercer-ejercicio/3B24.pdf" TargetMode="External" /><Relationship Type="http://schemas.openxmlformats.org/officeDocument/2006/relationships/hyperlink" Id="rId108" Target="https://www.victorgutierrezmarcos.es/oposicion/temario/tercer-ejercicio/3B27.pdf" TargetMode="External" /><Relationship Type="http://schemas.openxmlformats.org/officeDocument/2006/relationships/hyperlink" Id="rId276" Target="https://www.victorgutierrezmarcos.es/oposicion/temario/tercer-ejercicio/3B28.pdf" TargetMode="External" /><Relationship Type="http://schemas.openxmlformats.org/officeDocument/2006/relationships/hyperlink" Id="rId283" Target="https://www.victorgutierrezmarcos.es/oposicion/temario/tercer-ejercicio/3B33.pdf" TargetMode="External" /><Relationship Type="http://schemas.openxmlformats.org/officeDocument/2006/relationships/hyperlink" Id="rId284" Target="https://www.victorgutierrezmarcos.es/oposicion/temario/tercer-ejercicio/3B41.pdf" TargetMode="External" /><Relationship Type="http://schemas.openxmlformats.org/officeDocument/2006/relationships/hyperlink" Id="rId347" Target="https://youtu.be/gJoQz2CiHB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el dictamen de coyuntura económica</dc:title>
  <dc:creator>Víctor Gutiérrez Marcos</dc:creator>
  <dc:description>© 2026 Víctor Gutiérrez Marcos · Licencia CC BY-NC-ND 4.0 (https://creativecommons.org/licenses/by-nc-nd/4.0/deed.es): puedes compartirlo citando al autor, sin fines comerciales y sin modificarlo.</dc:description>
  <dc:language>es-ES</dc:language>
  <cp:keywords/>
  <dcterms:created xsi:type="dcterms:W3CDTF">2026-10-25T18:06:34Z</dcterms:created>
  <dcterms:modified xsi:type="dcterms:W3CDTF">2026-10-25T18:06:34Z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CC BY-NC-ND 4.0</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1D01</vt:lpwstr>
  </property>
  <property fmtid="{D5CDD505-2E9C-101B-9397-08002B2CF9AE}" pid="6" name="bibliography">
    <vt:lpwstr>C:\Users\vgutierrez\Documents\src\victorgutierrezmarcos.github.io-revision\oposicion\temario\fuentes\1D01\1D01.bib</vt:lpwstr>
  </property>
  <property fmtid="{D5CDD505-2E9C-101B-9397-08002B2CF9AE}" pid="7" name="carpeta">
    <vt:lpwstr>primer-ejercicio</vt:lpwstr>
  </property>
  <property fmtid="{D5CDD505-2E9C-101B-9397-08002B2CF9AE}" pid="8" name="codigo">
    <vt:lpwstr>Dictamen</vt:lpwstr>
  </property>
  <property fmtid="{D5CDD505-2E9C-101B-9397-08002B2CF9AE}" pid="9" name="csl">
    <vt:lpwstr>C:\Users\vgutierrez\Documents\src\victorgutierrezmarcos.github.io-revision\oposicion\temario\latex\tcee.csl</vt:lpwstr>
  </property>
  <property fmtid="{D5CDD505-2E9C-101B-9397-08002B2CF9AE}" pid="10" name="date">
    <vt:lpwstr>Última actualización: 24/10/2026</vt:lpwstr>
  </property>
  <property fmtid="{D5CDD505-2E9C-101B-9397-08002B2CF9AE}" pid="11" name="dictamen">
    <vt:lpwstr>True</vt:lpwstr>
  </property>
  <property fmtid="{D5CDD505-2E9C-101B-9397-08002B2CF9AE}" pid="12" name="ejercicio">
    <vt:lpwstr>Primer ejercicio</vt:lpwstr>
  </property>
  <property fmtid="{D5CDD505-2E9C-101B-9397-08002B2CF9AE}" pid="13" name="etiqueta">
    <vt:lpwstr>Guía del dictamen de coyuntura</vt:lpwstr>
  </property>
  <property fmtid="{D5CDD505-2E9C-101B-9397-08002B2CF9AE}" pid="14" name="fecha">
    <vt:lpwstr>24/10/2026</vt:lpwstr>
  </property>
  <property fmtid="{D5CDD505-2E9C-101B-9397-08002B2CF9AE}" pid="15" name="fecha-cita">
    <vt:lpwstr>2026/10/24</vt:lpwstr>
  </property>
  <property fmtid="{D5CDD505-2E9C-101B-9397-08002B2CF9AE}" pid="16" name="fecha-iso">
    <vt:lpwstr>2026-10-24</vt:lpwstr>
  </property>
  <property fmtid="{D5CDD505-2E9C-101B-9397-08002B2CF9AE}" pid="17" name="graficos-docx">
    <vt:lpwstr>C:\Users\vgutierrez\Documents\src\victorgutierrezmarcos.github.io-revision\oposicion\temario\fuentes\1D01\graficos</vt:lpwstr>
  </property>
  <property fmtid="{D5CDD505-2E9C-101B-9397-08002B2CF9AE}" pid="18" name="link-citations">
    <vt:lpwstr>True</vt:lpwstr>
  </property>
  <property fmtid="{D5CDD505-2E9C-101B-9397-08002B2CF9AE}" pid="19" name="materia">
    <vt:lpwstr>Macroeconomía</vt:lpwstr>
  </property>
  <property fmtid="{D5CDD505-2E9C-101B-9397-08002B2CF9AE}" pid="20" name="nocite">
    <vt:lpwstr/>
  </property>
  <property fmtid="{D5CDD505-2E9C-101B-9397-08002B2CF9AE}" pid="21" name="paginas">
    <vt:lpwstr>Guía: 50 págs. · Anexos: 37 · Bibliografía: 9</vt:lpwstr>
  </property>
  <property fmtid="{D5CDD505-2E9C-101B-9397-08002B2CF9AE}" pid="22" name="palabras-clave">
    <vt:lpwstr>dictamen de coyuntura, análisis de coyuntura, cuadro macroeconómico, perfil cíclico, brecha de producción, PIB potencial, contribuciones al crecimiento, renta nacional bruta, indicadores adelantados, costes laborales unitarios, IPC y deflactor del PIB, balanza de pagos, estabilidad financiera, política macroprudencial, Basilea III, tono de la política fiscal, fortalezas y debilidades, Macroeconomía</vt:lpwstr>
  </property>
  <property fmtid="{D5CDD505-2E9C-101B-9397-08002B2CF9AE}" pid="23" name="reference-section-title">
    <vt:lpwstr>Bibliografía</vt:lpwstr>
  </property>
  <property fmtid="{D5CDD505-2E9C-101B-9397-08002B2CF9AE}" pid="24" name="resumen">
    <vt:lpwstr>Cómo interpretar un cuadro macroeconómico en el dictamen de coyuntura: ciclo, empleo, precios, sector exterior, políticas y estabilidad financiera.</vt:lpwstr>
  </property>
  <property fmtid="{D5CDD505-2E9C-101B-9397-08002B2CF9AE}" pid="25" name="titulo">
    <vt:lpwstr>Guía para el dictamen de coyuntura económica</vt:lpwstr>
  </property>
  <property fmtid="{D5CDD505-2E9C-101B-9397-08002B2CF9AE}" pid="26" name="titulo-cita">
    <vt:lpwstr>Guía para el dictamen de coyuntura económica</vt:lpwstr>
  </property>
  <property fmtid="{D5CDD505-2E9C-101B-9397-08002B2CF9AE}" pid="27" name="titulo-seo">
    <vt:lpwstr>Dictamen de coyuntura económica: guía y método</vt:lpwstr>
  </property>
</Properties>
</file>