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5.png" ContentType="image/png"/>
  <Override PartName="/word/media/rId170.png" ContentType="image/png"/>
  <Override PartName="/word/media/rId59.png" ContentType="image/png"/>
  <Override PartName="/word/media/rId52.png" ContentType="image/png"/>
  <Override PartName="/word/media/rId159.png" ContentType="image/png"/>
  <Override PartName="/word/media/rId113.png" ContentType="image/png"/>
  <Override PartName="/word/media/rId14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20/10/2026</w:t>
      </w:r>
    </w:p>
    <w:p>
      <w:pPr>
        <w:pStyle w:val="Paginasdeltema"/>
      </w:pPr>
      <w:r>
        <w:t xml:space="preserve">Tema: 36 págs. · Anexos: 10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numPr>
          <w:ilvl w:val="2"/>
          <w:numId w:val="1006"/>
        </w:numPr>
      </w:pPr>
      <w:r>
        <w:t xml:space="preserve">Entre 1950 y 1975 se fijan los conceptos de solución: 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 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w:t>
      </w:r>
      <w:r>
        <w:t xml:space="preserve">y 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7"/>
        </w:numPr>
      </w:pPr>
      <w:r>
        <w:t xml:space="preserve">¿Qué cabe predecir cuando cada uno elige pensando en lo que harán los demás? ¿Qué concepto de solución usar en cada tipo de juego?</w:t>
      </w:r>
    </w:p>
    <w:p>
      <w:pPr>
        <w:numPr>
          <w:ilvl w:val="1"/>
          <w:numId w:val="1007"/>
        </w:numPr>
      </w:pPr>
      <w:r>
        <w:t xml:space="preserve">¿Cuándo es creíble una amenaza o una promesa? ¿Cambia la predicción cuando se mueve por turnos, cuando el juego se repite o cuando alguien sabe algo que los demás no saben?</w:t>
      </w:r>
    </w:p>
    <w:p>
      <w:pPr>
        <w:numPr>
          <w:ilvl w:val="1"/>
          <w:numId w:val="1007"/>
        </w:numPr>
      </w:pPr>
      <w:r>
        <w:t xml:space="preserve">¿Cómo se reparten las ganancias de cooperar?</w:t>
      </w:r>
    </w:p>
    <w:p>
      <w:pPr>
        <w:numPr>
          <w:ilvl w:val="1"/>
          <w:numId w:val="1007"/>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numPr>
          <w:ilvl w:val="1"/>
          <w:numId w:val="1008"/>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 los elementos de un juego y su clasificación (</w:t>
      </w:r>
      <w:hyperlink w:anchor="sec_elementos">
        <w:r>
          <w:rPr>
            <w:rStyle w:val="Hyperlink"/>
          </w:rPr>
          <w:t xml:space="preserve">I.1</w:t>
        </w:r>
      </w:hyperlink>
      <w:r>
        <w:t xml:space="preserve">), 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 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numPr>
          <w:ilvl w:val="1"/>
          <w:numId w:val="1008"/>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 los juegos bayesianos (</w:t>
      </w:r>
      <w:hyperlink w:anchor="sec_juegos_bayesianos">
        <w:r>
          <w:rPr>
            <w:rStyle w:val="Hyperlink"/>
          </w:rPr>
          <w:t xml:space="preserve">II.1</w:t>
        </w:r>
      </w:hyperlink>
      <w:r>
        <w:t xml:space="preserve">), el equilibrio bayesiano perfecto y la señalización (</w:t>
      </w:r>
      <w:hyperlink w:anchor="sec_ebp_senalizacion">
        <w:r>
          <w:rPr>
            <w:rStyle w:val="Hyperlink"/>
          </w:rPr>
          <w:t xml:space="preserve">II.2</w:t>
        </w:r>
      </w:hyperlink>
      <w:r>
        <w:t xml:space="preserve">), y 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numPr>
          <w:ilvl w:val="1"/>
          <w:numId w:val="1008"/>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 las aplicaciones en economía (</w:t>
      </w:r>
      <w:hyperlink w:anchor="sec_aplicaciones">
        <w:r>
          <w:rPr>
            <w:rStyle w:val="Hyperlink"/>
          </w:rPr>
          <w:t xml:space="preserve">III.1</w:t>
        </w:r>
      </w:hyperlink>
      <w:r>
        <w:t xml:space="preserve">), el diseño de mecanismos (</w:t>
      </w:r>
      <w:hyperlink w:anchor="sec_diseno_mecanismos">
        <w:r>
          <w:rPr>
            <w:rStyle w:val="Hyperlink"/>
          </w:rPr>
          <w:t xml:space="preserve">III.2</w:t>
        </w:r>
      </w:hyperlink>
      <w:r>
        <w:t xml:space="preserve">) y 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numPr>
          <w:ilvl w:val="0"/>
          <w:numId w:val="1000"/>
        </w:numPr>
      </w:pPr>
      <w:r>
        <w:t xml:space="preserve">El orden va de menos a más información privada, porque las subastas son juegos con información incompleta. El hilo conductor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Una misma historia acompaña a toda la exposición:</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Se enfrentan en una guerra de precios, E decide si entra e I si se resiste, se encuentran cada mes, E no sabe cuáles son los costes de</w:t>
      </w:r>
      <w:r>
        <w:t xml:space="preserve"> </w:t>
      </w:r>
      <w:r>
        <w:t xml:space="preserve">I</w:t>
      </w:r>
      <w:r>
        <w:t xml:space="preserve">, negocian y forman un consorcio con un tercer operador y, al final, pujan por el espectro del 5G que subasta el Gobierno, donde el refrán del enganche reaparece del revés: «hoy gano yo, mañana tú».</w:t>
      </w:r>
    </w:p>
    <w:p>
      <w:pPr>
        <w:pStyle w:val="Esquema"/>
        <w:keepLines/>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hilo de</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keepNext/>
        <w:keepLines/>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keepNext/>
        <w:keepLines/>
        <w:numPr>
          <w:ilvl w:val="0"/>
          <w:numId w:val="1009"/>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5</w:t>
        </w:r>
      </w:hyperlink>
      <w:r>
        <w:t xml:space="preserve">). En el</w:t>
      </w:r>
      <w:r>
        <w:t xml:space="preserve"> </w:t>
      </w:r>
      <w:r>
        <w:rPr>
          <w:i/>
          <w:iCs/>
        </w:rPr>
        <w:t xml:space="preserve">centro</w:t>
      </w:r>
      <w:r>
        <w:t xml:space="preserve">, las matrices y los árboles pequeños de la historia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keepNext/>
        <w:keepLines/>
        <w:numPr>
          <w:ilvl w:val="0"/>
          <w:numId w:val="1009"/>
        </w:numPr>
      </w:pPr>
      <w:r>
        <w:rPr>
          <w:i/>
          <w:iCs/>
        </w:rPr>
        <w:t xml:space="preserve">El hilo</w:t>
      </w:r>
      <w:r>
        <w:t xml:space="preserve">: cada concepto se presenta primero con la historia de</w:t>
      </w:r>
      <w:r>
        <w:t xml:space="preserve"> </w:t>
      </w:r>
      <w:r>
        <w:t xml:space="preserve">I</w:t>
      </w:r>
      <w:r>
        <w:t xml:space="preserve"> </w:t>
      </w:r>
      <w:r>
        <w:t xml:space="preserve">y E (las viñetas que empiezan por «Hilo»),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keepNext/>
        <w:keepLines/>
        <w:numPr>
          <w:ilvl w:val="0"/>
          <w:numId w:val="1009"/>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keepLines/>
        <w:numPr>
          <w:ilvl w:val="0"/>
          <w:numId w:val="1009"/>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2"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keepNext/>
        <w:keepLines/>
      </w:pPr>
      <w:r>
        <w:rPr>
          <w:b/>
          <w:bCs/>
        </w:rPr>
        <w:t xml:space="preserve">Nota al opositor. </w:t>
      </w:r>
      <w:r>
        <w:t xml:space="preserve">En el cante (9′), con la pizarra en sus 3 zonas:</w:t>
      </w:r>
    </w:p>
    <w:p>
      <w:pPr>
        <w:pStyle w:val="Notaalopositor"/>
        <w:keepNext/>
        <w:keepLines/>
        <w:numPr>
          <w:ilvl w:val="0"/>
          <w:numId w:val="1010"/>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keepNext/>
        <w:keepLines/>
        <w:numPr>
          <w:ilvl w:val="0"/>
          <w:numId w:val="1010"/>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keepNext/>
        <w:keepLines/>
        <w:numPr>
          <w:ilvl w:val="0"/>
          <w:numId w:val="1010"/>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keepNext/>
        <w:keepLines/>
        <w:numPr>
          <w:ilvl w:val="0"/>
          <w:numId w:val="1010"/>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keepLines/>
      </w:pPr>
      <w:r>
        <w:t xml:space="preserve">Son de profundización el juego sin estrategias dominadas, el recuadro sobre los nombres «estático» y «dinámico», el ciempiés, los refinamientos de la reputación y las notas al pie.</w:t>
      </w:r>
    </w:p>
    <w:p>
      <w:pPr>
        <w:numPr>
          <w:ilvl w:val="0"/>
          <w:numId w:val="1011"/>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2"/>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w:t>
      </w:r>
    </w:p>
    <w:p>
      <w:pPr>
        <w:numPr>
          <w:ilvl w:val="1"/>
          <w:numId w:val="1013"/>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1"/>
          <w:numId w:val="1013"/>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1"/>
          <w:numId w:val="1013"/>
        </w:numPr>
      </w:pPr>
      <w:r>
        <w:t xml:space="preserve">los</w:t>
      </w:r>
      <w:r>
        <w:t xml:space="preserve"> </w:t>
      </w:r>
      <w:r>
        <w:rPr>
          <w:b/>
          <w:bCs/>
        </w:rPr>
        <w:t xml:space="preserve">resultados</w:t>
      </w:r>
      <w:r>
        <w:t xml:space="preserve"> </w:t>
      </w:r>
      <w:r>
        <w:t xml:space="preserve">de cada combinación de acciones, y</w:t>
      </w:r>
    </w:p>
    <w:p>
      <w:pPr>
        <w:numPr>
          <w:ilvl w:val="1"/>
          <w:numId w:val="1013"/>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0"/>
          <w:numId w:val="1012"/>
        </w:numPr>
      </w:pPr>
      <w:r>
        <w:rPr>
          <w:i/>
          <w:iCs/>
        </w:rPr>
        <w:t xml:space="preserve">Hilo</w:t>
      </w:r>
      <w:r>
        <w:t xml:space="preserve">: los jugadores son 2 operadores de telecomunicaciones, I, el instalado, y E, el que quiere entrar; las reglas dicen, por ejemplo, si fijan sus precios a la vez o uno después del otro; los pagos son sus beneficios, en unidades sencillas. La historia sirve para ilustrar los conceptos, no para describir un mercado concreto: el oligopolio, con sus funciones de demanda y de costes, se estudia aparte</w:t>
      </w:r>
      <w:r>
        <w:t xml:space="preserve"> </w:t>
      </w:r>
      <w:hyperlink r:id="rId21">
        <w:r>
          <w:rPr>
            <w:rStyle w:val="Referenciaatema"/>
          </w:rPr>
          <w:t xml:space="preserve">[ver tema 3.A.19]</w:t>
        </w:r>
      </w:hyperlink>
      <w:r>
        <w:t xml:space="preserve">.</w:t>
      </w:r>
    </w:p>
    <w:p>
      <w:pPr>
        <w:numPr>
          <w:ilvl w:val="0"/>
          <w:numId w:val="1012"/>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2"/>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2"/>
        </w:numPr>
      </w:pPr>
      <w:r>
        <w:rPr>
          <w:i/>
          <w:iCs/>
        </w:rPr>
        <w:t xml:space="preserve">Representaciones</w:t>
      </w:r>
      <w:r>
        <w:t xml:space="preserve">:</w:t>
      </w:r>
    </w:p>
    <w:p>
      <w:pPr>
        <w:numPr>
          <w:ilvl w:val="1"/>
          <w:numId w:val="1014"/>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14"/>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2"/>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15"/>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numPr>
          <w:ilvl w:val="1"/>
          <w:numId w:val="1015"/>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Dentro de los dinámicos hay 2 clases: los</w:t>
      </w:r>
      <w:r>
        <w:t xml:space="preserve"> </w:t>
      </w:r>
      <w:r>
        <w:rPr>
          <w:b/>
          <w:bCs/>
        </w:rPr>
        <w:t xml:space="preserve">secuenciales</w:t>
      </w:r>
      <w:r>
        <w:t xml:space="preserve">, que se juegan una sola vez pero por turnos, y 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w:t>
      </w:r>
    </w:p>
    <w:p>
      <w:pPr>
        <w:numPr>
          <w:ilvl w:val="1"/>
          <w:numId w:val="1015"/>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15"/>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15"/>
        </w:numPr>
      </w:pPr>
      <w:r>
        <w:t xml:space="preserve">de</w:t>
      </w:r>
      <w:r>
        <w:t xml:space="preserve"> </w:t>
      </w:r>
      <w:r>
        <w:rPr>
          <w:b/>
          <w:bCs/>
        </w:rPr>
        <w:t xml:space="preserve">suma cero</w:t>
      </w:r>
      <w:r>
        <w:t xml:space="preserve"> </w:t>
      </w:r>
      <w:r>
        <w:t xml:space="preserve">(lo que gana uno lo pierde otro) o de suma variable.</w:t>
      </w:r>
    </w:p>
    <w:p>
      <w:pPr>
        <w:numPr>
          <w:ilvl w:val="0"/>
          <w:numId w:val="1012"/>
        </w:numPr>
      </w:pPr>
      <w:r>
        <w:rPr>
          <w:i/>
          <w:iCs/>
        </w:rPr>
        <w:t xml:space="preserve">El hilo conductor</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Estáticos</w:t>
            </w:r>
            <w:r>
              <w:t xml:space="preserve"> </w:t>
            </w:r>
            <w:r>
              <w:t xml:space="preserve">(simultáneos)</w:t>
            </w:r>
          </w:p>
        </w:tc>
        <w:tc>
          <w:tcPr>
            <w:shd w:val="clear" w:color="auto" w:fill="DDEBF7"/>
            <w:vAlign w:val="center"/>
          </w:tcPr>
          <w:p>
            <w:pPr>
              <w:pStyle w:val="Celdatceeazulpalido"/>
              <w:jc w:val="center"/>
            </w:pPr>
            <w:r>
              <w:rPr>
                <w:b/>
                <w:bCs/>
              </w:rPr>
              <w:t xml:space="preserve">Dinámicos</w:t>
            </w:r>
            <w:r>
              <w:br/>
            </w:r>
            <w:r>
              <w:t xml:space="preserve">(secuenciales y repetidos)</w:t>
            </w:r>
          </w:p>
        </w:tc>
      </w:tr>
      <w:tr>
        <w:trPr>
          <w:cantSplit/>
        </w:trPr>
        <w:tc>
          <w:tcPr>
            <w:vAlign w:val="center"/>
          </w:tcPr>
          <w:p>
            <w:pPr>
              <w:pStyle w:val="Compact"/>
              <w:jc w:val="center"/>
            </w:pPr>
            <w:r>
              <w:rPr>
                <w:b/>
                <w:bCs/>
              </w:rPr>
              <w:t xml:space="preserve">Información completa</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rPr>
          <w:cantSplit/>
        </w:trPr>
        <w:tc>
          <w:tcPr>
            <w:vAlign w:val="center"/>
          </w:tcPr>
          <w:p>
            <w:pPr>
              <w:pStyle w:val="Compact"/>
              <w:jc w:val="center"/>
            </w:pPr>
            <w:r>
              <w:rPr>
                <w:b/>
                <w:bCs/>
              </w:rPr>
              <w:t xml:space="preserve">Información incompleta</w:t>
            </w:r>
          </w:p>
        </w:tc>
        <w:tc>
          <w:tcPr>
            <w:shd w:val="clear" w:color="auto" w:fill="E2EFD9"/>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shd w:val="clear" w:color="auto" w:fill="E2EFD9"/>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rPr>
          <w:cantSplit/>
        </w:trPr>
        <w:tc>
          <w:tcPr>
            <w:shd w:val="clear" w:color="auto" w:fill="FBE4D5"/>
            <w:vAlign w:val="center"/>
          </w:tcPr>
          <w:p>
            <w:pPr>
              <w:pStyle w:val="Celdatceesalmon"/>
              <w:jc w:val="center"/>
            </w:pPr>
            <w:r>
              <w:rPr>
                <w:b/>
                <w:bCs/>
              </w:rPr>
              <w:t xml:space="preserve">Cooperativos</w:t>
            </w:r>
          </w:p>
        </w:tc>
        <w:tc>
          <w:tcPr>
            <w:gridSpan w:val="2"/>
            <w:shd w:val="clear" w:color="auto" w:fill="FBE4D5"/>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16"/>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17"/>
        </w:numPr>
      </w:pPr>
      <w:r>
        <w:rPr>
          <w:i/>
          <w:iCs/>
        </w:rPr>
        <w:t xml:space="preserve">Idea</w:t>
      </w:r>
      <w:r>
        <w:t xml:space="preserve">: la predicción más sólida es la que solo exige que cada jugador sea racional: no elegir nunca algo que es peor pase lo que pase.</w:t>
      </w:r>
    </w:p>
    <w:p>
      <w:pPr>
        <w:keepNext/>
        <w:numPr>
          <w:ilvl w:val="0"/>
          <w:numId w:val="1017"/>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18"/>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18"/>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17"/>
        </w:numPr>
      </w:pPr>
      <w:r>
        <w:rPr>
          <w:i/>
          <w:iCs/>
        </w:rPr>
        <w:t xml:space="preserve">Hilo: la guerra de precios</w:t>
      </w:r>
      <w:r>
        <w:t xml:space="preserve"> </w:t>
      </w:r>
      <w:r>
        <w:t xml:space="preserve">(tabla </w:t>
      </w:r>
      <w:hyperlink w:anchor="tab_dilema_prisionero">
        <w:r>
          <w:rPr>
            <w:rStyle w:val="Hyperlink"/>
          </w:rPr>
          <w:t xml:space="preserve">2</w:t>
        </w:r>
      </w:hyperlink>
      <w:r>
        <w:t xml:space="preserve">). I y E fijan a la vez un precio alto o uno bajo. Si los 2 mantienen el precio alto, ganan 5 cada uno; si uno lo baja y el otro no, el que lo baja se queda con los clientes del otro y gana 6, y el otro, 0; si los 2 lo bajan, ganan 1.</w:t>
      </w:r>
    </w:p>
    <w:p>
      <w:pPr>
        <w:numPr>
          <w:ilvl w:val="1"/>
          <w:numId w:val="1019"/>
        </w:numPr>
      </w:pPr>
      <w:r>
        <w:t xml:space="preserve">Bajar el precio es estrictamente dominante para los 2 (</w:t>
      </w:r>
      <m:oMath>
        <m:r>
          <m:t>6</m:t>
        </m:r>
        <m:r>
          <m:rPr>
            <m:sty m:val="p"/>
          </m:rPr>
          <m:t>&gt;</m:t>
        </m:r>
        <m:r>
          <m:t>5</m:t>
        </m:r>
      </m:oMath>
      <w:r>
        <w:t xml:space="preserve"> </w:t>
      </w:r>
      <w:r>
        <w:t xml:space="preserve">si el otro lo mantiene y</w:t>
      </w:r>
      <w:r>
        <w:t xml:space="preserve"> </w:t>
      </w:r>
      <m:oMath>
        <m:r>
          <m:t>1</m:t>
        </m:r>
        <m:r>
          <m:rPr>
            <m:sty m:val="p"/>
          </m:rPr>
          <m:t>&gt;</m:t>
        </m:r>
        <m:r>
          <m:t>0</m:t>
        </m:r>
      </m:oMath>
      <w:r>
        <w:t xml:space="preserve"> </w:t>
      </w:r>
      <w:r>
        <w:t xml:space="preserve">si lo baja), y el resultado (Bajo, Bajo) es peor para ambos que (Alto, Alto):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19"/>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17"/>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17"/>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17"/>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rPr>
          <w:cantSplit/>
        </w:trP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rPr>
          <w:cantSplit/>
        </w:trP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20"/>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21"/>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numPr>
          <w:ilvl w:val="0"/>
          <w:numId w:val="1022"/>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r>
        <w:t xml:space="preserve"> </w:t>
      </w:r>
      <w:r>
        <w:rPr>
          <w:i/>
          <w:iCs/>
        </w:rPr>
        <w:t xml:space="preserve">Hilo</w:t>
      </w:r>
      <w:r>
        <w:t xml:space="preserve">: la mejor respuesta de</w:t>
      </w:r>
      <w:r>
        <w:t xml:space="preserve"> </w:t>
      </w:r>
      <w:r>
        <w:t xml:space="preserve">I</w:t>
      </w:r>
      <w:r>
        <w:t xml:space="preserve"> </w:t>
      </w:r>
      <w:r>
        <w:t xml:space="preserve">al precio alto de E es bajar el precio (6 frente a 5), y al precio bajo, también (1 frente a 0).</w:t>
      </w:r>
    </w:p>
    <w:p>
      <w:pPr>
        <w:numPr>
          <w:ilvl w:val="0"/>
          <w:numId w:val="1022"/>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keepLines/>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22"/>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22"/>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22"/>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23"/>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numPr>
          <w:ilvl w:val="1"/>
          <w:numId w:val="1023"/>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numPr>
          <w:ilvl w:val="1"/>
          <w:numId w:val="1023"/>
        </w:numPr>
      </w:pPr>
      <w:r>
        <w:rPr>
          <w:i/>
          <w:iCs/>
        </w:rPr>
        <w:t xml:space="preserve">Hilo: la campaña comercial</w:t>
      </w:r>
      <w:r>
        <w:t xml:space="preserve">. I y E lanzan a la vez una campaña en el norte o en el sur. I quiere coincidir con E, para neutralizar su campaña, y E quiere evitarlo. Ninguna casilla es un EN en puras: si coinciden, E cambia de zona, y si no, la cambia I. El EN existe en mixtas: cada uno elige la zona al azar, al 50 % si los pagos son simétricos, para que el otro no pueda anticiparle.</w:t>
      </w:r>
    </w:p>
    <w:p>
      <w:pPr>
        <w:numPr>
          <w:ilvl w:val="1"/>
          <w:numId w:val="1023"/>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rPr>
          <w:cantSplit/>
        </w:trP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rPr>
          <w:cantSplit/>
        </w:trP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shd w:val="clear" w:color="auto" w:fill="E2EFD9"/>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24"/>
        </w:numPr>
      </w:pPr>
      <w:r>
        <w:t xml:space="preserve">El EN es la predicción mínima de un juego: si la teoría da una predicción que todos los jugadores conocen, tiene que ser un EN, porque si no alguien se desviaría.</w:t>
      </w:r>
    </w:p>
    <w:p>
      <w:pPr>
        <w:numPr>
          <w:ilvl w:val="0"/>
          <w:numId w:val="1024"/>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24"/>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25"/>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25"/>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26"/>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27"/>
        </w:numPr>
      </w:pPr>
      <w:r>
        <w:t xml:space="preserve">El EN tiene 4 limitaciones:</w:t>
      </w:r>
    </w:p>
    <w:p>
      <w:pPr>
        <w:numPr>
          <w:ilvl w:val="1"/>
          <w:numId w:val="1028"/>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28"/>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numPr>
          <w:ilvl w:val="2"/>
          <w:numId w:val="1029"/>
        </w:numPr>
      </w:pPr>
      <w:r>
        <w:rPr>
          <w:i/>
          <w:iCs/>
        </w:rPr>
        <w:t xml:space="preserve">Hilo</w:t>
      </w:r>
      <w:r>
        <w:t xml:space="preserve">: I y E tienen que adoptar el mismo estándar técnico para que sus redes se conecten, pero cada uno prefiere el suyo: hay 2 EN, uno con cada estándar, y ninguno es mejor para los 2.</w:t>
      </w:r>
      <w:r>
        <w:t xml:space="preserve"> </w:t>
      </w:r>
      <w:r>
        <w:rPr>
          <w:i/>
          <w:iCs/>
        </w:rPr>
        <w:t xml:space="preserve">Clásico</w:t>
      </w:r>
      <w:r>
        <w:t xml:space="preserv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numPr>
          <w:ilvl w:val="2"/>
          <w:numId w:val="1029"/>
        </w:numPr>
      </w:pPr>
      <w:r>
        <w:rPr>
          <w:i/>
          <w:iCs/>
        </w:rPr>
        <w:t xml:space="preserve">Hilo</w:t>
      </w:r>
      <w:r>
        <w:t xml:space="preserve">: si los 2 amenazan con una guerra de precios que arruinaría a ambos, cada uno quiere que ceda el otro: hay 2 EN, uno en el que cede I y otro en el que cede E, y gana quien logra mostrarse decidido.</w:t>
      </w:r>
      <w:r>
        <w:t xml:space="preserve"> </w:t>
      </w:r>
      <w:r>
        <w:rPr>
          <w:i/>
          <w:iCs/>
        </w:rPr>
        <w:t xml:space="preserve">Clásico</w:t>
      </w:r>
      <w:r>
        <w:t xml:space="preserve">: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28"/>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28"/>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1" w:name="sec_juegos_dinamicos"/>
    <w:p>
      <w:pPr>
        <w:pStyle w:val="Heading2"/>
      </w:pPr>
      <w:r>
        <w:t xml:space="preserve">I.3.</w:t>
      </w:r>
      <w:r>
        <w:t xml:space="preserve"> </w:t>
      </w:r>
      <w:r>
        <w:t xml:space="preserve">Juegos dinámicos: juegos secuenciales y juegos repetidos</w:t>
      </w:r>
    </w:p>
    <w:p>
      <w:pPr>
        <w:numPr>
          <w:ilvl w:val="0"/>
          <w:numId w:val="1030"/>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 los</w:t>
      </w:r>
      <w:r>
        <w:t xml:space="preserve"> </w:t>
      </w:r>
      <w:r>
        <w:rPr>
          <w:i/>
          <w:iCs/>
        </w:rPr>
        <w:t xml:space="preserve">secuenciales</w:t>
      </w:r>
      <w:r>
        <w:t xml:space="preserve">, en los que se mueve por turnos (E decide si entra e I responde), y 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los primeros aparece un problema nuevo, la</w:t>
      </w:r>
      <w:r>
        <w:t xml:space="preserve"> </w:t>
      </w:r>
      <w:r>
        <w:rPr>
          <w:b/>
          <w:bCs/>
        </w:rPr>
        <w:t xml:space="preserve">credibilidad</w:t>
      </w:r>
      <w:r>
        <w:t xml:space="preserve">: un EN puede apoyarse en una amenaza que el jugador no cumpliría si llegara el momento. En los segundos, una oportunidad nueva: la amenaza de castigar mañana puede sostener la cooperación hoy.</w:t>
      </w:r>
      <w:r>
        <w:t xml:space="preserve"> </w:t>
      </w: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numPr>
          <w:ilvl w:val="0"/>
          <w:numId w:val="1031"/>
        </w:numPr>
      </w:pPr>
      <w:r>
        <w:rPr>
          <w:i/>
          <w:iCs/>
        </w:rPr>
        <w:t xml:space="preserve">Hilo: la entrada de E</w:t>
      </w:r>
      <w:r>
        <w:t xml:space="preserve"> </w:t>
      </w:r>
      <w:r>
        <w:t xml:space="preserve">(gráfico </w:t>
      </w:r>
      <w:hyperlink w:anchor="fig_juego_entrada">
        <w:r>
          <w:rPr>
            <w:rStyle w:val="Hyperlink"/>
          </w:rPr>
          <w:t xml:space="preserve">1</w:t>
        </w:r>
      </w:hyperlink>
      <w:r>
        <w:t xml:space="preserve">). E decide si entra en el mercado de</w:t>
      </w:r>
      <w:r>
        <w:t xml:space="preserve"> </w:t>
      </w:r>
      <w:r>
        <w:t xml:space="preserve">I</w:t>
      </w:r>
      <w:r>
        <w:t xml:space="preserve">; si entra, I decide si acomoda o lucha con una guerra de precios. I amenaza: «si entras, lucharé». En forma normal hay 2 EN: (Entrar, Acomodar) y (No entrar, Luchar si entra). El segundo descansa en una amenaza</w:t>
      </w:r>
      <w:r>
        <w:t xml:space="preserve"> </w:t>
      </w:r>
      <w:r>
        <w:rPr>
          <w:i/>
          <w:iCs/>
        </w:rPr>
        <w:t xml:space="preserve">no creíble</w:t>
      </w:r>
      <w:r>
        <w:t xml:space="preserve">: si E entrara, a I le convendría acomodar (</w:t>
      </w:r>
      <m:oMath>
        <m:r>
          <m:t>1</m:t>
        </m:r>
        <m:r>
          <m:rPr>
            <m:sty m:val="p"/>
          </m:rPr>
          <m:t>&gt;</m:t>
        </m:r>
        <m:r>
          <m:rPr>
            <m:sty m:val="p"/>
          </m:rPr>
          <m:t>−</m:t>
        </m:r>
        <m:r>
          <m:t>1</m:t>
        </m:r>
      </m:oMath>
      <w:r>
        <w:t xml:space="preserve">). «Perro ladrador, poco mordedor»: E sabe que I ladra pero no muerde. 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32"/>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numPr>
          <w:ilvl w:val="0"/>
          <w:numId w:val="1033"/>
        </w:numPr>
      </w:pPr>
      <w:r>
        <w:rPr>
          <w:i/>
          <w:iCs/>
        </w:rPr>
        <w:t xml:space="preserve">Inducción hacia atrás</w:t>
      </w:r>
      <w:r>
        <w:t xml:space="preserve">: es un</w:t>
      </w:r>
      <w:r>
        <w:t xml:space="preserve"> </w:t>
      </w:r>
      <w:r>
        <w:rPr>
          <w:i/>
          <w:iCs/>
        </w:rPr>
        <w:t xml:space="preserve">procedimiento</w:t>
      </w:r>
      <w:r>
        <w:t xml:space="preserve">, no un tipo de equilibrio. Se resuelve primero la última decisión, se sustituye el subárbol por su resultado y se repite hacia la raíz. 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r>
        <w:t xml:space="preserve"> </w:t>
      </w:r>
      <w:r>
        <w:rPr>
          <w:i/>
          <w:iCs/>
        </w:rPr>
        <w:t xml:space="preserve">Hilo</w:t>
      </w:r>
      <w:r>
        <w:t xml:space="preserve">: I, si E entra, acomoda (</w:t>
      </w:r>
      <m:oMath>
        <m:r>
          <m:t>1</m:t>
        </m:r>
        <m:r>
          <m:rPr>
            <m:sty m:val="p"/>
          </m:rPr>
          <m:t>&gt;</m:t>
        </m:r>
        <m:r>
          <m:rPr>
            <m:sty m:val="p"/>
          </m:rPr>
          <m:t>−</m:t>
        </m:r>
        <m:r>
          <m:t>1</m:t>
        </m:r>
      </m:oMath>
      <w:r>
        <w:t xml:space="preserve">); E, que lo anticipa, entra (</w:t>
      </w:r>
      <m:oMath>
        <m:r>
          <m:t>1</m:t>
        </m:r>
        <m:r>
          <m:rPr>
            <m:sty m:val="p"/>
          </m:rPr>
          <m:t>&gt;</m:t>
        </m:r>
        <m:r>
          <m:t>0</m:t>
        </m:r>
      </m:oMath>
      <w:r>
        <w:t xml:space="preserve">).</w:t>
      </w:r>
    </w:p>
    <w:p>
      <w:pPr>
        <w:numPr>
          <w:ilvl w:val="0"/>
          <w:numId w:val="1033"/>
        </w:numPr>
      </w:pPr>
      <w:r>
        <w:rPr>
          <w:i/>
          <w:iCs/>
        </w:rPr>
        <w:t xml:space="preserve">Subjuego</w:t>
      </w:r>
      <w:r>
        <w:t xml:space="preserve">: la parte del árbol que empieza en un nodo cuyo conjunto de información tiene ese solo nodo y que incluye todos sus sucesores sin cortar ningún conjunto de información.</w:t>
      </w:r>
      <w:r>
        <w:t xml:space="preserve"> </w:t>
      </w:r>
      <w:r>
        <w:rPr>
          <w:i/>
          <w:iCs/>
        </w:rPr>
        <w:t xml:space="preserve">Hilo</w:t>
      </w:r>
      <w:r>
        <w:t xml:space="preserve">: el juego que empieza cuando E ya ha entrado e I tiene que decidir es un subjuego.</w:t>
      </w:r>
    </w:p>
    <w:p>
      <w:pPr>
        <w:keepNext/>
        <w:numPr>
          <w:ilvl w:val="0"/>
          <w:numId w:val="1033"/>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34"/>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34"/>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35"/>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1"/>
          <w:numId w:val="1036"/>
        </w:numPr>
      </w:pPr>
      <w:r>
        <w:rPr>
          <w:i/>
          <w:iCs/>
        </w:rPr>
        <w:t xml:space="preserve">Hilo: I invierte antes en capacidad</w:t>
      </w:r>
      <w:r>
        <w:t xml:space="preserve"> </w:t>
      </w:r>
      <w:r>
        <w:t xml:space="preserve">(gráfico </w:t>
      </w:r>
      <w:hyperlink w:anchor="fig_juego_entrada_compromiso">
        <w:r>
          <w:rPr>
            <w:rStyle w:val="Hyperlink"/>
          </w:rPr>
          <w:t xml:space="preserve">2</w:t>
        </w:r>
      </w:hyperlink>
      <w:r>
        <w:t xml:space="preserve">). Antes de que E decida, I puede comprar una gran capacidad con un coste hundido de 2,5. Si E entra, la capacidad ociosa se pierde si acomoda (</w:t>
      </w:r>
      <m:oMath>
        <m:r>
          <m:t>1</m:t>
        </m:r>
        <m:r>
          <m:rPr>
            <m:sty m:val="p"/>
          </m:rPr>
          <m:t>−</m:t>
        </m:r>
        <m:r>
          <m:t>2</m:t>
        </m:r>
        <m:r>
          <m:rPr>
            <m:sty m:val="p"/>
          </m:rPr>
          <m:t>,</m:t>
        </m:r>
        <m:r>
          <m:t>5</m:t>
        </m:r>
        <m:r>
          <m:rPr>
            <m:sty m:val="p"/>
          </m:rPr>
          <m:t>=</m:t>
        </m:r>
        <m:r>
          <m:rPr>
            <m:sty m:val="p"/>
          </m:rPr>
          <m:t>−</m:t>
        </m:r>
        <m:r>
          <m:t>1</m:t>
        </m:r>
        <m:r>
          <m:rPr>
            <m:sty m:val="p"/>
          </m:rPr>
          <m:t>,</m:t>
        </m:r>
        <m:r>
          <m:t>5</m:t>
        </m:r>
      </m:oMath>
      <w:r>
        <w:t xml:space="preserve">), mientras que luchando la aprovecha (</w:t>
      </w:r>
      <m:oMath>
        <m:r>
          <m:rPr>
            <m:sty m:val="p"/>
          </m:rPr>
          <m:t>−</m:t>
        </m:r>
        <m:r>
          <m:t>1</m:t>
        </m:r>
      </m:oMath>
      <w:r>
        <w:t xml:space="preserve">): ahora lucharía, de verdad. E, que lo anticipa, no entra, e I gana</w:t>
      </w:r>
      <w:r>
        <w:t xml:space="preserve"> </w:t>
      </w:r>
      <m:oMath>
        <m:r>
          <m:t>4</m:t>
        </m:r>
        <m:r>
          <m:rPr>
            <m:sty m:val="p"/>
          </m:rPr>
          <m:t>−</m:t>
        </m:r>
        <m:r>
          <m:t>2</m:t>
        </m:r>
        <m:r>
          <m:rPr>
            <m:sty m:val="p"/>
          </m:rPr>
          <m:t>,</m:t>
        </m:r>
        <m:r>
          <m:t>5</m:t>
        </m:r>
        <m:r>
          <m:rPr>
            <m:sty m:val="p"/>
          </m:rPr>
          <m:t>=</m:t>
        </m:r>
        <m:r>
          <m:t>1</m:t>
        </m:r>
        <m:r>
          <m:rPr>
            <m:sty m:val="p"/>
          </m:rPr>
          <m:t>,</m:t>
        </m:r>
        <m:r>
          <m:t>5</m:t>
        </m:r>
      </m:oMath>
      <w:r>
        <w:t xml:space="preserve">, más que el 1 que obtiene acomodando sin invertir. Invertir es parte del ENPS: la amenaza se ha vuelto creíble porque I 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36"/>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35"/>
        </w:numPr>
      </w:pPr>
      <w:r>
        <w:t xml:space="preserve">En economía:</w:t>
      </w:r>
    </w:p>
    <w:p>
      <w:pPr>
        <w:numPr>
          <w:ilvl w:val="1"/>
          <w:numId w:val="1037"/>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37"/>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numPr>
          <w:ilvl w:val="0"/>
          <w:numId w:val="1038"/>
        </w:numPr>
      </w:pPr>
      <w:r>
        <w:rPr>
          <w:i/>
          <w:iCs/>
        </w:rPr>
        <w:t xml:space="preserve">Juegos en 2 etapas</w:t>
      </w:r>
      <w:r>
        <w:t xml:space="preserve">: primero se elige la localización, la capacidad o la calidad y después se compite en precios o cantidades.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 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38"/>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keepNext/>
        <w:keepLi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keepNext/>
        <w:keepLines/>
        <w:numPr>
          <w:ilvl w:val="0"/>
          <w:numId w:val="1039"/>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keepNext/>
        <w:keepLi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keepNext/>
        <w:keepLi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keepNext/>
        <w:keepLines/>
        <w:numPr>
          <w:ilvl w:val="0"/>
          <w:numId w:val="1039"/>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keepLines/>
        <w:numPr>
          <w:ilvl w:val="0"/>
          <w:numId w:val="1039"/>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40"/>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41"/>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0"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numPr>
          <w:ilvl w:val="0"/>
          <w:numId w:val="1042"/>
        </w:numPr>
      </w:pPr>
      <w:r>
        <w:rPr>
          <w:i/>
          <w:iCs/>
        </w:rPr>
        <w:t xml:space="preserve">Hilo: I y E se encuentran cada mes</w:t>
      </w:r>
      <w:r>
        <w:t xml:space="preserve">. Una vez que E ha entrado, I y E fijan sus precios cada mes, y cada mes se enfrentan a la guerra de precios de la tabla </w:t>
      </w:r>
      <w:hyperlink w:anchor="tab_dilema_prisionero">
        <w:r>
          <w:rPr>
            <w:rStyle w:val="Hyperlink"/>
          </w:rPr>
          <w:t xml:space="preserve">2</w:t>
        </w:r>
      </w:hyperlink>
      <w:r>
        <w:t xml:space="preserve">. ¿Pueden sostener el precio alto sin firmar nada? Es la pregunta del enganche, «Hoy por ti, mañana por mí»: quien sabe que volverá a encontrarse con el otro puede ganar más cooperando que aprovechándose de él. La respuesta depende de si el juego tiene un final conocido.</w:t>
      </w:r>
    </w:p>
    <w:bookmarkEnd w:id="70"/>
    <w:bookmarkStart w:id="76" w:name="b_modelo_2"/>
    <w:p>
      <w:pPr>
        <w:pStyle w:val="Heading4"/>
      </w:pPr>
      <w:r>
        <w:t xml:space="preserve">b) Modelo</w:t>
      </w:r>
    </w:p>
    <w:bookmarkStart w:id="71" w:name="i_supuestos_2"/>
    <w:p>
      <w:pPr>
        <w:pStyle w:val="Heading5"/>
      </w:pPr>
      <w:r>
        <w:t xml:space="preserve">i) Supuestos</w:t>
      </w:r>
    </w:p>
    <w:p>
      <w:pPr>
        <w:numPr>
          <w:ilvl w:val="0"/>
          <w:numId w:val="104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4" w:name="ii_desarrollo_2"/>
    <w:p>
      <w:pPr>
        <w:pStyle w:val="Heading5"/>
      </w:pPr>
      <w:r>
        <w:t xml:space="preserve">ii) Desarrollo</w:t>
      </w:r>
    </w:p>
    <w:p>
      <w:pPr>
        <w:numPr>
          <w:ilvl w:val="0"/>
          <w:numId w:val="104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4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r>
        <w:t xml:space="preserve"> </w:t>
      </w:r>
      <w:r>
        <w:rPr>
          <w:i/>
          <w:iCs/>
        </w:rPr>
        <w:t xml:space="preserve">Hilo</w:t>
      </w:r>
      <w:r>
        <w:t xml:space="preserve">: si I y E saben que la licencia de E vence dentro de 24 meses, el mes 24 bajan el precio, y, sabiéndolo, también el 23, y así hasta el primero.</w:t>
      </w:r>
    </w:p>
    <w:p>
      <w:pPr>
        <w:numPr>
          <w:ilvl w:val="1"/>
          <w:numId w:val="104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4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46"/>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46"/>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keepLines/>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p>
    <w:p>
      <w:pPr>
        <w:numPr>
          <w:ilvl w:val="0"/>
          <w:numId w:val="1044"/>
        </w:numPr>
      </w:pPr>
      <w:r>
        <w:rPr>
          <w:i/>
          <w:iCs/>
        </w:rPr>
        <w:t xml:space="preserve">Hilo</w:t>
      </w:r>
      <w:r>
        <w:t xml:space="preserve">: con los pagos de la guerra de precios,</w:t>
      </w:r>
      <w:r>
        <w:t xml:space="preserve"> </w:t>
      </w:r>
      <m:oMath>
        <m:sSup>
          <m:e>
            <m:r>
              <m:t>u</m:t>
            </m:r>
          </m:e>
          <m:sup>
            <m:r>
              <m:rPr>
                <m:sty m:val="p"/>
              </m:rPr>
              <m:t>C</m:t>
            </m:r>
          </m:sup>
        </m:sSup>
        <m:r>
          <m:rPr>
            <m:sty m:val="p"/>
          </m:rPr>
          <m:t>=</m:t>
        </m:r>
        <m:r>
          <m:t>5</m:t>
        </m:r>
      </m:oMath>
      <w:r>
        <w:t xml:space="preserve">,</w:t>
      </w:r>
      <w:r>
        <w:t xml:space="preserve"> </w:t>
      </w:r>
      <m:oMath>
        <m:sSup>
          <m:e>
            <m:r>
              <m:t>u</m:t>
            </m:r>
          </m:e>
          <m:sup>
            <m:r>
              <m:rPr>
                <m:sty m:val="p"/>
              </m:rPr>
              <m:t>D</m:t>
            </m:r>
          </m:sup>
        </m:sSup>
        <m:r>
          <m:rPr>
            <m:sty m:val="p"/>
          </m:rPr>
          <m:t>=</m:t>
        </m:r>
        <m:r>
          <m:t>6</m:t>
        </m:r>
      </m:oMath>
      <w:r>
        <w:t xml:space="preserve"> </w:t>
      </w:r>
      <w:r>
        <w:t xml:space="preserve">y</w:t>
      </w:r>
      <w:r>
        <w:t xml:space="preserve"> </w:t>
      </w:r>
      <m:oMath>
        <m:sSup>
          <m:e>
            <m:r>
              <m:t>u</m:t>
            </m:r>
          </m:e>
          <m:sup>
            <m:r>
              <m:rPr>
                <m:sty m:val="p"/>
              </m:rPr>
              <m:t>N</m:t>
            </m:r>
          </m:sup>
        </m:sSup>
        <m:r>
          <m:rPr>
            <m:sty m:val="p"/>
          </m:rPr>
          <m:t>=</m:t>
        </m:r>
        <m:r>
          <m:t>1</m:t>
        </m:r>
      </m:oMath>
      <w:r>
        <w:t xml:space="preserve">, así que el precio alto se sostiene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Como I y E se encuentran cada mes,</w:t>
      </w:r>
      <w:r>
        <w:t xml:space="preserve"> </w:t>
      </w:r>
      <m:oMath>
        <m:r>
          <m:t>β</m:t>
        </m:r>
      </m:oMath>
      <w:r>
        <w:t xml:space="preserve"> </w:t>
      </w:r>
      <w:r>
        <w:t xml:space="preserve">está muy cerca de 1, y cooperar sin contrato es un ENPS.</w:t>
      </w:r>
    </w:p>
    <w:bookmarkStart w:id="73"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cantSplit/>
          <w:tblHeader w:val="on"/>
        </w:trPr>
        <w:tc>
          <w:tcPr>
            <w:shd w:val="clear" w:color="auto" w:fill="DDEBF7"/>
            <w:vAlign w:val="center"/>
          </w:tcPr>
          <w:p>
            <w:pPr>
              <w:pStyle w:val="Celdatceeazulpalido"/>
              <w:jc w:val="left"/>
            </w:pPr>
            <w:r>
              <w:rPr>
                <w:b/>
                <w:bCs/>
              </w:rPr>
              <w:t xml:space="preserve">Estrategia</w:t>
            </w:r>
          </w:p>
        </w:tc>
        <w:tc>
          <w:tcPr>
            <w:shd w:val="clear" w:color="auto" w:fill="DDEBF7"/>
            <w:vAlign w:val="center"/>
          </w:tcPr>
          <w:p>
            <w:pPr>
              <w:pStyle w:val="Celdatceeazulpalido"/>
              <w:jc w:val="left"/>
            </w:pPr>
            <w:r>
              <w:rPr>
                <w:b/>
                <w:bCs/>
              </w:rPr>
              <w:t xml:space="preserve">Regla</w:t>
            </w:r>
          </w:p>
        </w:tc>
        <w:tc>
          <w:tcPr>
            <w:shd w:val="clear" w:color="auto" w:fill="DDEBF7"/>
            <w:vAlign w:val="center"/>
          </w:tcPr>
          <w:p>
            <w:pPr>
              <w:pStyle w:val="Celdatceeazulpalido"/>
              <w:jc w:val="center"/>
            </w:pPr>
            <w:r>
              <w:rPr>
                <w:b/>
                <w:bCs/>
              </w:rPr>
              <w:t xml:space="preserve">¿ENPS?</w:t>
            </w:r>
          </w:p>
        </w:tc>
      </w:tr>
      <w:tr>
        <w:trPr>
          <w:cantSplit/>
        </w:trP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rPr>
          <w:cantSplit/>
        </w:trP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rPr>
          <w:cantSplit/>
        </w:trP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rPr>
          <w:cantSplit/>
        </w:trP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rPr>
          <w:cantSplit/>
        </w:trP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3"/>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numPr>
          <w:ilvl w:val="0"/>
          <w:numId w:val="1047"/>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 «donde las dan, las toman» (</w:t>
      </w:r>
      <w:r>
        <w:rPr>
          <w:i/>
          <w:iCs/>
        </w:rPr>
        <w:t xml:space="preserve">tit for tat</w:t>
      </w:r>
      <w:r>
        <w:t xml:space="preserve">), que repite lo que el otro hizo en la etapa anterior; la que solo castiga tras 2 desviaciones seguidas (</w:t>
      </w:r>
      <w:r>
        <w:rPr>
          <w:i/>
          <w:iCs/>
        </w:rPr>
        <w:t xml:space="preserve">tit for two tats</w:t>
      </w:r>
      <w:r>
        <w:t xml:space="preserve">), que perdona una desviación aislada, y «si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numPr>
          <w:ilvl w:val="0"/>
          <w:numId w:val="1047"/>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r>
        <w:t xml:space="preserve"> </w:t>
      </w:r>
      <w:r>
        <w:rPr>
          <w:i/>
          <w:iCs/>
        </w:rPr>
        <w:t xml:space="preserve">Hilo</w:t>
      </w:r>
      <w:r>
        <w:t xml:space="preserve">: I y E pueden sostener cualquier par de beneficios medios entre 1 y 5 cada uno (y otros que alternen precios), no solo el precio alto.</w:t>
      </w:r>
    </w:p>
    <w:bookmarkEnd w:id="74"/>
    <w:bookmarkStart w:id="75" w:name="iii_implicaciones_1"/>
    <w:p>
      <w:pPr>
        <w:pStyle w:val="Heading5"/>
      </w:pPr>
      <w:r>
        <w:t xml:space="preserve">iii) Implicaciones</w:t>
      </w:r>
    </w:p>
    <w:p>
      <w:pPr>
        <w:numPr>
          <w:ilvl w:val="0"/>
          <w:numId w:val="1048"/>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48"/>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5"/>
    <w:bookmarkEnd w:id="76"/>
    <w:bookmarkStart w:id="77" w:name="c_extensiones_reputaci__n_con_info_27822"/>
    <w:p>
      <w:pPr>
        <w:pStyle w:val="Heading4"/>
      </w:pPr>
      <w:r>
        <w:t xml:space="preserve">c) Extensiones: reputación con información incompleta</w:t>
      </w:r>
    </w:p>
    <w:p>
      <w:pPr>
        <w:numPr>
          <w:ilvl w:val="0"/>
          <w:numId w:val="1049"/>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77"/>
    <w:bookmarkStart w:id="78" w:name="d_evidencia_emp__rica_2"/>
    <w:p>
      <w:pPr>
        <w:pStyle w:val="Heading4"/>
      </w:pPr>
      <w:r>
        <w:t xml:space="preserve">d) Evidencia empírica</w:t>
      </w:r>
    </w:p>
    <w:p>
      <w:pPr>
        <w:numPr>
          <w:ilvl w:val="0"/>
          <w:numId w:val="1050"/>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78"/>
    <w:bookmarkStart w:id="79" w:name="e_valoraci__n_2"/>
    <w:p>
      <w:pPr>
        <w:pStyle w:val="Heading4"/>
      </w:pPr>
      <w:r>
        <w:t xml:space="preserve">e) Valoración</w:t>
      </w:r>
    </w:p>
    <w:p>
      <w:pPr>
        <w:numPr>
          <w:ilvl w:val="0"/>
          <w:numId w:val="1051"/>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52"/>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79"/>
    <w:bookmarkEnd w:id="80"/>
    <w:bookmarkEnd w:id="81"/>
    <w:bookmarkEnd w:id="82"/>
    <w:bookmarkStart w:id="123"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keepNext/>
        <w:keepLines/>
      </w:pPr>
      <w:r>
        <w:rPr>
          <w:b/>
          <w:bCs/>
        </w:rPr>
        <w:t xml:space="preserve">Nota al opositor. </w:t>
      </w:r>
      <w:r>
        <w:t xml:space="preserve">En el cante (7′30″): se borra el centro y se quedan la tabla de la izquierda y las fórmulas de la derecha.</w:t>
      </w:r>
    </w:p>
    <w:p>
      <w:pPr>
        <w:pStyle w:val="Notaalopositor"/>
        <w:keepNext/>
        <w:keepLines/>
        <w:numPr>
          <w:ilvl w:val="0"/>
          <w:numId w:val="1053"/>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keepNext/>
        <w:keepLines/>
        <w:numPr>
          <w:ilvl w:val="0"/>
          <w:numId w:val="1053"/>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keepNext/>
        <w:keepLines/>
        <w:numPr>
          <w:ilvl w:val="0"/>
          <w:numId w:val="1053"/>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keepLines/>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54"/>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4"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3" w:name="a_idea_3"/>
    <w:p>
      <w:pPr>
        <w:pStyle w:val="Heading4"/>
      </w:pPr>
      <w:r>
        <w:t xml:space="preserve">a) Idea</w:t>
      </w:r>
    </w:p>
    <w:p>
      <w:pPr>
        <w:numPr>
          <w:ilvl w:val="0"/>
          <w:numId w:val="1055"/>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numPr>
          <w:ilvl w:val="0"/>
          <w:numId w:val="1055"/>
        </w:numPr>
      </w:pPr>
      <w:r>
        <w:rPr>
          <w:i/>
          <w:iCs/>
        </w:rPr>
        <w:t xml:space="preserve">Hilo: E no sabe cuánto le cuesta a I ampliar su red</w:t>
      </w:r>
      <w:r>
        <w:t xml:space="preserve">. E decide si entra sin saber si a I le resulta caro o barato ampliar su capacidad: E no conoce el</w:t>
      </w:r>
      <w:r>
        <w:t xml:space="preserve"> </w:t>
      </w:r>
      <w:r>
        <w:rPr>
          <w:i/>
          <w:iCs/>
        </w:rPr>
        <w:t xml:space="preserve">tipo</w:t>
      </w:r>
      <w:r>
        <w:t xml:space="preserve"> </w:t>
      </w:r>
      <w:r>
        <w:t xml:space="preserve">de</w:t>
      </w:r>
      <w:r>
        <w:t xml:space="preserve"> </w:t>
      </w:r>
      <w:r>
        <w:t xml:space="preserve">I</w:t>
      </w:r>
      <w:r>
        <w:t xml:space="preserve">. Con</w:t>
      </w:r>
      <w:r>
        <w:t xml:space="preserve"> </w:t>
      </w:r>
      <w:r>
        <w:rPr>
          <w:smallCaps/>
        </w:rPr>
        <w:t xml:space="preserve">Harsanyi</w:t>
      </w:r>
      <w:r>
        <w:t xml:space="preserve">, la Naturaleza elige primero el tipo de</w:t>
      </w:r>
      <w:r>
        <w:t xml:space="preserve"> </w:t>
      </w:r>
      <w:r>
        <w:t xml:space="preserve">I</w:t>
      </w:r>
      <w:r>
        <w:t xml:space="preserve">, I lo observa y E solo conoce las probabilidades.</w:t>
      </w:r>
    </w:p>
    <w:bookmarkEnd w:id="83"/>
    <w:bookmarkStart w:id="91" w:name="b_modelo_3"/>
    <w:p>
      <w:pPr>
        <w:pStyle w:val="Heading4"/>
      </w:pPr>
      <w:r>
        <w:t xml:space="preserve">b) Modelo</w:t>
      </w:r>
    </w:p>
    <w:bookmarkStart w:id="84" w:name="i_supuestos_3"/>
    <w:p>
      <w:pPr>
        <w:pStyle w:val="Heading5"/>
      </w:pPr>
      <w:r>
        <w:t xml:space="preserve">i) Supuestos</w:t>
      </w:r>
    </w:p>
    <w:p>
      <w:pPr>
        <w:numPr>
          <w:ilvl w:val="0"/>
          <w:numId w:val="1056"/>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56"/>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4"/>
    <w:bookmarkStart w:id="89" w:name="ii_desarrollo_3"/>
    <w:p>
      <w:pPr>
        <w:pStyle w:val="Heading5"/>
      </w:pPr>
      <w:r>
        <w:t xml:space="preserve">ii) Desarrollo</w:t>
      </w:r>
    </w:p>
    <w:p>
      <w:pPr>
        <w:numPr>
          <w:ilvl w:val="0"/>
          <w:numId w:val="1057"/>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57"/>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keepNext/>
        <w:numPr>
          <w:ilvl w:val="0"/>
          <w:numId w:val="1057"/>
        </w:numPr>
      </w:pPr>
      <w:r>
        <w:rPr>
          <w:i/>
          <w:iCs/>
        </w:rPr>
        <w:t xml:space="preserve">Hilo: la entrada de E con costes desconocidos</w:t>
      </w:r>
      <w:r>
        <w:t xml:space="preserve">. E decide si entra en el mercado mientras I decide, a la vez, si amplía su capacidad. Ampliar es caro para I si es de</w:t>
      </w:r>
      <w:r>
        <w:t xml:space="preserve"> </w:t>
      </w:r>
      <w:r>
        <w:rPr>
          <w:i/>
          <w:iCs/>
        </w:rPr>
        <w:t xml:space="preserve">coste alto</w:t>
      </w:r>
      <w:r>
        <w:t xml:space="preserve">, con probabilidad</w:t>
      </w:r>
      <w:r>
        <w:t xml:space="preserve"> </w:t>
      </w:r>
      <m:oMath>
        <m:r>
          <m:t>π</m:t>
        </m:r>
      </m:oMath>
      <w:r>
        <w:t xml:space="preserve">, y barato si es de</w:t>
      </w:r>
      <w:r>
        <w:t xml:space="preserve"> </w:t>
      </w:r>
      <w:r>
        <w:rPr>
          <w:i/>
          <w:iCs/>
        </w:rPr>
        <w:t xml:space="preserve">coste bajo</w:t>
      </w:r>
      <w:r>
        <w:t xml:space="preserve">; E no sabe cuál tiene enfrente.</w:t>
      </w:r>
    </w:p>
    <w:p>
      <w:pPr>
        <w:numPr>
          <w:ilvl w:val="1"/>
          <w:numId w:val="1058"/>
        </w:numPr>
      </w:pPr>
      <w:r>
        <w:t xml:space="preserve">Pagos (E, I). Si I es de coste alto: Entrar y Ampliar,</w:t>
      </w:r>
      <w:r>
        <w:t xml:space="preserve"> </w:t>
      </w:r>
      <m:oMath>
        <m:d>
          <m:dPr>
            <m:begChr m:val="("/>
            <m:sepChr m:val=""/>
            <m:endChr m:val=")"/>
            <m:grow/>
          </m:dPr>
          <m:e>
            <m:r>
              <m:rPr>
                <m:sty m:val="p"/>
              </m:rPr>
              <m:t>−</m:t>
            </m:r>
            <m:r>
              <m:t>1</m:t>
            </m:r>
            <m:r>
              <m:rPr>
                <m:sty m:val="p"/>
              </m:rPr>
              <m:t>,</m:t>
            </m:r>
            <m:r>
              <m:rPr>
                <m:sty m:val="p"/>
              </m:rPr>
              <m:t>−</m:t>
            </m:r>
            <m:r>
              <m:t>1</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2</m:t>
            </m:r>
          </m:e>
        </m:d>
      </m:oMath>
      <w:r>
        <w:t xml:space="preserve">; No entrar y No ampliar,</w:t>
      </w:r>
      <w:r>
        <w:t xml:space="preserve"> </w:t>
      </w:r>
      <m:oMath>
        <m:d>
          <m:dPr>
            <m:begChr m:val="("/>
            <m:sepChr m:val=""/>
            <m:endChr m:val=")"/>
            <m:grow/>
          </m:dPr>
          <m:e>
            <m:r>
              <m:t>0</m:t>
            </m:r>
            <m:r>
              <m:rPr>
                <m:sty m:val="p"/>
              </m:rPr>
              <m:t>,</m:t>
            </m:r>
            <m:r>
              <m:t>3</m:t>
            </m:r>
          </m:e>
        </m:d>
      </m:oMath>
      <w:r>
        <w:t xml:space="preserve">. Si es de coste bajo: Entrar y Ampliar,</w:t>
      </w:r>
      <w:r>
        <w:t xml:space="preserve"> </w:t>
      </w:r>
      <m:oMath>
        <m:d>
          <m:dPr>
            <m:begChr m:val="("/>
            <m:sepChr m:val=""/>
            <m:endChr m:val=")"/>
            <m:grow/>
          </m:dPr>
          <m:e>
            <m:r>
              <m:rPr>
                <m:sty m:val="p"/>
              </m:rPr>
              <m:t>−</m:t>
            </m:r>
            <m:r>
              <m:t>1</m:t>
            </m:r>
            <m:r>
              <m:rPr>
                <m:sty m:val="p"/>
              </m:rPr>
              <m:t>,</m:t>
            </m:r>
            <m:r>
              <m:t>2</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4</m:t>
            </m:r>
          </m:e>
        </m:d>
      </m:oMath>
      <w:r>
        <w:t xml:space="preserve">; No entrar y No ampliar,</w:t>
      </w:r>
      <w:r>
        <w:t xml:space="preserve"> </w:t>
      </w:r>
      <m:oMath>
        <m:d>
          <m:dPr>
            <m:begChr m:val="("/>
            <m:sepChr m:val=""/>
            <m:endChr m:val=")"/>
            <m:grow/>
          </m:dPr>
          <m:e>
            <m:r>
              <m:t>0</m:t>
            </m:r>
            <m:r>
              <m:rPr>
                <m:sty m:val="p"/>
              </m:rPr>
              <m:t>,</m:t>
            </m:r>
            <m:r>
              <m:t>3</m:t>
            </m:r>
          </m:e>
        </m:d>
      </m:oMath>
      <w:r>
        <w:t xml:space="preserve">.</w:t>
      </w:r>
    </w:p>
    <w:p>
      <w:pPr>
        <w:numPr>
          <w:ilvl w:val="1"/>
          <w:numId w:val="1058"/>
        </w:numPr>
      </w:pPr>
      <w:r>
        <w:t xml:space="preserve">Cada tipo de</w:t>
      </w:r>
      <w:r>
        <w:t xml:space="preserve"> </w:t>
      </w:r>
      <w:r>
        <w:t xml:space="preserve">I</w:t>
      </w:r>
      <w:r>
        <w:t xml:space="preserve"> </w:t>
      </w:r>
      <w:r>
        <w:t xml:space="preserve">tiene una estrategia dominante: el de coste alto no amplía nunca (</w:t>
      </w:r>
      <m:oMath>
        <m:r>
          <m:t>1</m:t>
        </m:r>
        <m:r>
          <m:rPr>
            <m:sty m:val="p"/>
          </m:rPr>
          <m:t>&gt;</m:t>
        </m:r>
        <m:r>
          <m:rPr>
            <m:sty m:val="p"/>
          </m:rPr>
          <m:t>−</m:t>
        </m:r>
        <m:r>
          <m:t>1</m:t>
        </m:r>
      </m:oMath>
      <w:r>
        <w:t xml:space="preserve"> </w:t>
      </w:r>
      <w:r>
        <w:t xml:space="preserve">y</w:t>
      </w:r>
      <w:r>
        <w:t xml:space="preserve"> </w:t>
      </w:r>
      <m:oMath>
        <m:r>
          <m:t>3</m:t>
        </m:r>
        <m:r>
          <m:rPr>
            <m:sty m:val="p"/>
          </m:rPr>
          <m:t>&gt;</m:t>
        </m:r>
        <m:r>
          <m:t>2</m:t>
        </m:r>
      </m:oMath>
      <w:r>
        <w:t xml:space="preserve">) y el de coste bajo amplía siempre (</w:t>
      </w:r>
      <m:oMath>
        <m:r>
          <m:t>2</m:t>
        </m:r>
        <m:r>
          <m:rPr>
            <m:sty m:val="p"/>
          </m:rPr>
          <m:t>&gt;</m:t>
        </m:r>
        <m:r>
          <m:t>1</m:t>
        </m:r>
      </m:oMath>
      <w:r>
        <w:t xml:space="preserve"> </w:t>
      </w:r>
      <w:r>
        <w:t xml:space="preserve">y</w:t>
      </w:r>
      <w:r>
        <w:t xml:space="preserve"> </w:t>
      </w:r>
      <m:oMath>
        <m:r>
          <m:t>4</m:t>
        </m:r>
        <m:r>
          <m:rPr>
            <m:sty m:val="p"/>
          </m:rPr>
          <m:t>&gt;</m:t>
        </m:r>
        <m:r>
          <m:t>3</m:t>
        </m:r>
      </m:oMath>
      <w:r>
        <w:t xml:space="preserve">). La estrategia de</w:t>
      </w:r>
      <w:r>
        <w:t xml:space="preserve"> </w:t>
      </w:r>
      <w:r>
        <w:t xml:space="preserve">I</w:t>
      </w:r>
      <w:r>
        <w:t xml:space="preserve"> </w:t>
      </w:r>
      <w:r>
        <w:t xml:space="preserve">es la regla «no ampliar si mi coste es alto, ampliar si es bajo».</w:t>
      </w:r>
    </w:p>
    <w:p>
      <w:pPr>
        <w:numPr>
          <w:ilvl w:val="1"/>
          <w:numId w:val="1058"/>
        </w:numPr>
      </w:pPr>
      <w:r>
        <w:t xml:space="preserve">E compara su pago esperado con su creencia a priori: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no entrar, 0.</w:t>
      </w:r>
    </w:p>
    <w:p>
      <w:pPr>
        <w:numPr>
          <w:ilvl w:val="1"/>
          <w:numId w:val="1058"/>
        </w:numPr>
      </w:pPr>
      <w:r>
        <w:t xml:space="preserve">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w:t>
      </w:r>
    </w:p>
    <w:bookmarkStart w:id="88"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86" name="Picture"/>
            <a:graphic>
              <a:graphicData uri="http://schemas.openxmlformats.org/drawingml/2006/picture">
                <pic:pic>
                  <pic:nvPicPr>
                    <pic:cNvPr descr="C:\Users\vgutierrez\Documents\src\victorgutierrezmarcos.github.io-revision\oposicion\temario\fuentes\3A14\graficos/arbol-harsanyi.png" id="87" name="Picture"/>
                    <pic:cNvPicPr>
                      <a:picLocks noChangeArrowheads="1" noChangeAspect="1"/>
                    </pic:cNvPicPr>
                  </pic:nvPicPr>
                  <pic:blipFill>
                    <a:blip r:embed="rId85"/>
                    <a:stretch>
                      <a:fillRect/>
                    </a:stretch>
                  </pic:blipFill>
                  <pic:spPr bwMode="auto">
                    <a:xfrm>
                      <a:off x="0" y="0"/>
                      <a:ext cx="5073650" cy="1991128"/>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89"/>
    <w:bookmarkStart w:id="90" w:name="iii_implicaciones_2"/>
    <w:p>
      <w:pPr>
        <w:pStyle w:val="Heading5"/>
      </w:pPr>
      <w:r>
        <w:t xml:space="preserve">iii) Implicaciones</w:t>
      </w:r>
    </w:p>
    <w:p>
      <w:pPr>
        <w:numPr>
          <w:ilvl w:val="0"/>
          <w:numId w:val="1059"/>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59"/>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0"/>
    <w:bookmarkEnd w:id="91"/>
    <w:bookmarkStart w:id="92" w:name="c_extensiones_1"/>
    <w:p>
      <w:pPr>
        <w:pStyle w:val="Heading4"/>
      </w:pPr>
      <w:r>
        <w:t xml:space="preserve">c) Extensiones</w:t>
      </w:r>
    </w:p>
    <w:p>
      <w:pPr>
        <w:numPr>
          <w:ilvl w:val="0"/>
          <w:numId w:val="1060"/>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60"/>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2"/>
    <w:bookmarkStart w:id="93" w:name="d_valoraci__n"/>
    <w:p>
      <w:pPr>
        <w:pStyle w:val="Heading4"/>
      </w:pPr>
      <w:r>
        <w:t xml:space="preserve">d) Valoración</w:t>
      </w:r>
    </w:p>
    <w:p>
      <w:pPr>
        <w:numPr>
          <w:ilvl w:val="0"/>
          <w:numId w:val="1061"/>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3"/>
    <w:bookmarkEnd w:id="94"/>
    <w:bookmarkStart w:id="102" w:name="sec_ebp_senalizacion"/>
    <w:p>
      <w:pPr>
        <w:pStyle w:val="Heading2"/>
      </w:pPr>
      <w:r>
        <w:t xml:space="preserve">II.2.</w:t>
      </w:r>
      <w:r>
        <w:t xml:space="preserve"> </w:t>
      </w:r>
      <w:r>
        <w:t xml:space="preserve">Juegos dinámicos con información incompleta: equilibrio bayesiano perfecto y señalización</w:t>
      </w:r>
    </w:p>
    <w:bookmarkStart w:id="95" w:name="a_idea_4"/>
    <w:p>
      <w:pPr>
        <w:pStyle w:val="Heading4"/>
      </w:pPr>
      <w:r>
        <w:t xml:space="preserve">a) Idea</w:t>
      </w:r>
    </w:p>
    <w:p>
      <w:pPr>
        <w:numPr>
          <w:ilvl w:val="0"/>
          <w:numId w:val="1062"/>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numPr>
          <w:ilvl w:val="0"/>
          <w:numId w:val="1062"/>
        </w:numPr>
      </w:pPr>
      <w:r>
        <w:rPr>
          <w:i/>
          <w:iCs/>
        </w:rPr>
        <w:t xml:space="preserve">Hilo: I habla con su precio</w:t>
      </w:r>
      <w:r>
        <w:t xml:space="preserve">. Antes de que E decida, I fija su precio de hoy. Si solo a I de coste bajo le compensa un precio muy bajo, ese precio es una</w:t>
      </w:r>
      <w:r>
        <w:t xml:space="preserve"> </w:t>
      </w:r>
      <w:r>
        <w:rPr>
          <w:i/>
          <w:iCs/>
        </w:rPr>
        <w:t xml:space="preserve">señal</w:t>
      </w:r>
      <w:r>
        <w:t xml:space="preserve">: E, que partía de la creencia</w:t>
      </w:r>
      <w:r>
        <w:t xml:space="preserve"> </w:t>
      </w:r>
      <m:oMath>
        <m:r>
          <m:t>π</m:t>
        </m:r>
      </m:oMath>
      <w:r>
        <w:t xml:space="preserve"> </w:t>
      </w:r>
      <w:r>
        <w:t xml:space="preserve">de que I es de coste alto, la revisa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numPr>
          <w:ilvl w:val="0"/>
          <w:numId w:val="1000"/>
        </w:numPr>
      </w:pPr>
      <w:r>
        <w:t xml:space="preserve">Si solo el de coste bajo fija el precio bajo, al verlo E pasa a creer</w:t>
      </w:r>
      <w:r>
        <w:t xml:space="preserve"> </w:t>
      </w:r>
      <m:oMath>
        <m:r>
          <m:t>μ</m:t>
        </m:r>
        <m:r>
          <m:rPr>
            <m:sty m:val="p"/>
          </m:rPr>
          <m:t>=</m:t>
        </m:r>
        <m:r>
          <m:t>0</m:t>
        </m:r>
      </m:oMath>
      <w:r>
        <w:t xml:space="preserve"> </w:t>
      </w:r>
      <w:r>
        <w:t xml:space="preserve">y no entra; si lo fijan los 2 tipos, el precio no dice nada y</w:t>
      </w:r>
      <w:r>
        <w:t xml:space="preserve"> </w:t>
      </w:r>
      <m:oMath>
        <m:r>
          <m:t>μ</m:t>
        </m:r>
        <m:r>
          <m:rPr>
            <m:sty m:val="p"/>
          </m:rPr>
          <m:t>=</m:t>
        </m:r>
        <m:r>
          <m:t>π</m:t>
        </m:r>
      </m:oMath>
      <w:r>
        <w:t xml:space="preserve">. «Cuando el río suena, agua lleva»: E lee en lo que I hace lo que I 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95"/>
    <w:bookmarkStart w:id="99" w:name="b_modelo_4"/>
    <w:p>
      <w:pPr>
        <w:pStyle w:val="Heading4"/>
      </w:pPr>
      <w:r>
        <w:t xml:space="preserve">b) Modelo</w:t>
      </w:r>
    </w:p>
    <w:bookmarkStart w:id="96" w:name="i_supuestos_el_juego_de_se__alizaci__n"/>
    <w:p>
      <w:pPr>
        <w:pStyle w:val="Heading5"/>
      </w:pPr>
      <w:r>
        <w:t xml:space="preserve">i) Supuestos: el juego de señalización</w:t>
      </w:r>
    </w:p>
    <w:p>
      <w:pPr>
        <w:numPr>
          <w:ilvl w:val="0"/>
          <w:numId w:val="1063"/>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063"/>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063"/>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96"/>
    <w:bookmarkStart w:id="97" w:name="ii_desarrollo_4"/>
    <w:p>
      <w:pPr>
        <w:pStyle w:val="Heading5"/>
      </w:pPr>
      <w:r>
        <w:t xml:space="preserve">ii) Desarrollo</w:t>
      </w:r>
    </w:p>
    <w:p>
      <w:pPr>
        <w:keepNext/>
        <w:numPr>
          <w:ilvl w:val="0"/>
          <w:numId w:val="1064"/>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065"/>
        </w:numPr>
      </w:pPr>
      <w:r>
        <w:rPr>
          <w:i/>
          <w:iCs/>
        </w:rPr>
        <w:t xml:space="preserve">racionalidad secuencial</w:t>
      </w:r>
      <w:r>
        <w:t xml:space="preserve">: en cada conjunto de información, quien mueve elige lo mejor dadas sus creencias y las estrategias de los demás;</w:t>
      </w:r>
    </w:p>
    <w:p>
      <w:pPr>
        <w:numPr>
          <w:ilvl w:val="1"/>
          <w:numId w:val="1065"/>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065"/>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064"/>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64"/>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064"/>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064"/>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97"/>
    <w:bookmarkStart w:id="98" w:name="iii_implicaciones_3"/>
    <w:p>
      <w:pPr>
        <w:pStyle w:val="Heading5"/>
      </w:pPr>
      <w:r>
        <w:t xml:space="preserve">iii) Implicaciones</w:t>
      </w:r>
    </w:p>
    <w:p>
      <w:pPr>
        <w:numPr>
          <w:ilvl w:val="0"/>
          <w:numId w:val="1066"/>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066"/>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98"/>
    <w:bookmarkEnd w:id="99"/>
    <w:bookmarkStart w:id="100" w:name="c_extensiones_2"/>
    <w:p>
      <w:pPr>
        <w:pStyle w:val="Heading4"/>
      </w:pPr>
      <w:r>
        <w:t xml:space="preserve">c) Extensiones</w:t>
      </w:r>
    </w:p>
    <w:p>
      <w:pPr>
        <w:numPr>
          <w:ilvl w:val="0"/>
          <w:numId w:val="1067"/>
        </w:numPr>
      </w:pPr>
      <w:r>
        <w:rPr>
          <w:i/>
          <w:iCs/>
        </w:rPr>
        <w:t xml:space="preserve">Refinamientos</w:t>
      </w:r>
      <w:r>
        <w:t xml:space="preserve">: 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 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067"/>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0"/>
    <w:bookmarkStart w:id="101" w:name="d_valoraci__n_1"/>
    <w:p>
      <w:pPr>
        <w:pStyle w:val="Heading4"/>
      </w:pPr>
      <w:r>
        <w:t xml:space="preserve">d) Valoración</w:t>
      </w:r>
    </w:p>
    <w:p>
      <w:pPr>
        <w:numPr>
          <w:ilvl w:val="0"/>
          <w:numId w:val="1068"/>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1"/>
    <w:bookmarkEnd w:id="102"/>
    <w:bookmarkStart w:id="122" w:name="sec_negociacion_cooperativos"/>
    <w:p>
      <w:pPr>
        <w:pStyle w:val="Heading2"/>
      </w:pPr>
      <w:r>
        <w:t xml:space="preserve">II.3.</w:t>
      </w:r>
      <w:r>
        <w:t xml:space="preserve"> </w:t>
      </w:r>
      <w:r>
        <w:t xml:space="preserve">Negociación y juegos cooperativos</w:t>
      </w:r>
    </w:p>
    <w:p>
      <w:pPr>
        <w:numPr>
          <w:ilvl w:val="0"/>
          <w:numId w:val="1069"/>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2"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3" w:name="a_idea_5"/>
    <w:p>
      <w:pPr>
        <w:pStyle w:val="Heading4"/>
      </w:pPr>
      <w:r>
        <w:t xml:space="preserve">a) Idea</w:t>
      </w:r>
    </w:p>
    <w:p>
      <w:pPr>
        <w:numPr>
          <w:ilvl w:val="0"/>
          <w:numId w:val="1070"/>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numPr>
          <w:ilvl w:val="0"/>
          <w:numId w:val="1070"/>
        </w:numPr>
      </w:pPr>
      <w:r>
        <w:rPr>
          <w:i/>
          <w:iCs/>
        </w:rPr>
        <w:t xml:space="preserve">Hilo: I y E negocian el acceso a la red</w:t>
      </w:r>
      <w:r>
        <w:t xml:space="preserve">. Si E, en lugar de construir su red, alquila la de</w:t>
      </w:r>
      <w:r>
        <w:t xml:space="preserve"> </w:t>
      </w:r>
      <w:r>
        <w:t xml:space="preserve">I</w:t>
      </w:r>
      <w:r>
        <w:t xml:space="preserve">, los 2 ganan; pero el precio puede estar en cualquier punto entre lo mínimo que I acepta y lo máximo que E paga. ¿Dónde acabará?</w:t>
      </w:r>
    </w:p>
    <w:bookmarkEnd w:id="103"/>
    <w:bookmarkStart w:id="108" w:name="b_modelo_5"/>
    <w:p>
      <w:pPr>
        <w:pStyle w:val="Heading4"/>
      </w:pPr>
      <w:r>
        <w:t xml:space="preserve">b) Modelo</w:t>
      </w:r>
    </w:p>
    <w:bookmarkStart w:id="104" w:name="i_supuestos_4"/>
    <w:p>
      <w:pPr>
        <w:pStyle w:val="Heading5"/>
      </w:pPr>
      <w:r>
        <w:t xml:space="preserve">i) Supuestos</w:t>
      </w:r>
    </w:p>
    <w:p>
      <w:pPr>
        <w:numPr>
          <w:ilvl w:val="0"/>
          <w:numId w:val="1071"/>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4"/>
    <w:bookmarkStart w:id="106" w:name="ii_desarrollo_5"/>
    <w:p>
      <w:pPr>
        <w:pStyle w:val="Heading5"/>
      </w:pPr>
      <w:r>
        <w:t xml:space="preserve">ii) Desarrollo</w:t>
      </w:r>
    </w:p>
    <w:p>
      <w:pPr>
        <w:numPr>
          <w:ilvl w:val="0"/>
          <w:numId w:val="1072"/>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 que sea</w:t>
      </w:r>
      <w:r>
        <w:t xml:space="preserve"> </w:t>
      </w:r>
      <w:r>
        <w:rPr>
          <w:i/>
          <w:iCs/>
        </w:rPr>
        <w:t xml:space="preserve">eficiente</w:t>
      </w:r>
      <w:r>
        <w:t xml:space="preserve">, que trate igual a jugadores iguales (</w:t>
      </w:r>
      <w:r>
        <w:rPr>
          <w:i/>
          <w:iCs/>
        </w:rPr>
        <w:t xml:space="preserve">simetría</w:t>
      </w:r>
      <w:r>
        <w:t xml:space="preserve">), que no dependa de las unidades en que se mide la utilidad (</w:t>
      </w:r>
      <w:r>
        <w:rPr>
          <w:i/>
          <w:iCs/>
        </w:rPr>
        <w:t xml:space="preserve">invariancia</w:t>
      </w:r>
      <w:r>
        <w:t xml:space="preserve"> </w:t>
      </w:r>
      <w:r>
        <w:t xml:space="preserve">a transformaciones afines) y que no cambie si se quitan alternativas que de todos modos no se habrían elegido (</w:t>
      </w:r>
      <w:r>
        <w:rPr>
          <w:i/>
          <w:iCs/>
        </w:rPr>
        <w:t xml:space="preserve">independencia de las alternativas irrelevantes</w:t>
      </w:r>
      <w:r>
        <w:t xml:space="preserve">). La única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05" w:name="eq_nash_negociacion"/>
    <w:bookmarkEnd w:id="105"/>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0"/>
          <w:numId w:val="1072"/>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072"/>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bookmarkEnd w:id="106"/>
    <w:bookmarkStart w:id="107" w:name="iii_implicaciones_4"/>
    <w:p>
      <w:pPr>
        <w:pStyle w:val="Heading5"/>
      </w:pPr>
      <w:r>
        <w:t xml:space="preserve">iii) Implicaciones</w:t>
      </w:r>
    </w:p>
    <w:p>
      <w:pPr>
        <w:numPr>
          <w:ilvl w:val="0"/>
          <w:numId w:val="1073"/>
        </w:numPr>
      </w:pPr>
      <w:r>
        <w:t xml:space="preserve">El resultado de una negociación depende de lo que cada parte obtiene sin acuerdo (sus alternativas) y de su paciencia: mejorar la opción externa o poder esperar más da poder de negociación.</w:t>
      </w:r>
    </w:p>
    <w:p>
      <w:pPr>
        <w:numPr>
          <w:ilvl w:val="0"/>
          <w:numId w:val="1073"/>
        </w:numPr>
      </w:pPr>
      <w:r>
        <w:rPr>
          <w:i/>
          <w:iCs/>
        </w:rPr>
        <w:t xml:space="preserve">Aplicaciones</w:t>
      </w:r>
      <w:r>
        <w:t xml:space="preserve">: 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 la negociación salarial</w:t>
      </w:r>
      <w:r>
        <w:t xml:space="preserve"> </w:t>
      </w:r>
      <w:hyperlink r:id="rId22">
        <w:r>
          <w:rPr>
            <w:rStyle w:val="Referenciaatema"/>
          </w:rPr>
          <w:t xml:space="preserve">[ver tema 3.A.27]</w:t>
        </w:r>
      </w:hyperlink>
      <w:r>
        <w:t xml:space="preserve">, 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w:t>
      </w:r>
      <w:r>
        <w:t xml:space="preserve">y 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07"/>
    <w:bookmarkEnd w:id="108"/>
    <w:bookmarkStart w:id="110" w:name="c_evidencia_emp__rica"/>
    <w:p>
      <w:pPr>
        <w:pStyle w:val="Heading4"/>
      </w:pPr>
      <w:r>
        <w:t xml:space="preserve">c) Evidencia empírica</w:t>
      </w:r>
    </w:p>
    <w:p>
      <w:pPr>
        <w:numPr>
          <w:ilvl w:val="0"/>
          <w:numId w:val="1074"/>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09">
        <w:r>
          <w:rPr>
            <w:rStyle w:val="Referenciaatema"/>
          </w:rPr>
          <w:t xml:space="preserve">[ver tema 3.A.1]</w:t>
        </w:r>
      </w:hyperlink>
      <w:r>
        <w:t xml:space="preserve">.</w:t>
      </w:r>
    </w:p>
    <w:bookmarkEnd w:id="110"/>
    <w:bookmarkStart w:id="111" w:name="d_valoraci__n_2"/>
    <w:p>
      <w:pPr>
        <w:pStyle w:val="Heading4"/>
      </w:pPr>
      <w:r>
        <w:t xml:space="preserve">d) Valoración</w:t>
      </w:r>
    </w:p>
    <w:p>
      <w:pPr>
        <w:numPr>
          <w:ilvl w:val="0"/>
          <w:numId w:val="1075"/>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1"/>
    <w:bookmarkEnd w:id="112"/>
    <w:bookmarkStart w:id="117" w:name="sec_nucleo"/>
    <w:p>
      <w:pPr>
        <w:pStyle w:val="Heading3"/>
      </w:pPr>
      <w:r>
        <w:t xml:space="preserve">II.3.2.</w:t>
      </w:r>
      <w:r>
        <w:t xml:space="preserve"> </w:t>
      </w:r>
      <w:r>
        <w:t xml:space="preserve">Juegos cooperativos: función característica y núcleo</w:t>
      </w:r>
    </w:p>
    <w:p>
      <w:pPr>
        <w:numPr>
          <w:ilvl w:val="0"/>
          <w:numId w:val="1076"/>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numPr>
          <w:ilvl w:val="0"/>
          <w:numId w:val="1076"/>
        </w:numPr>
      </w:pPr>
      <w:r>
        <w:rPr>
          <w:i/>
          <w:iCs/>
        </w:rPr>
        <w:t xml:space="preserve">Elementos</w:t>
      </w:r>
      <w:r>
        <w:t xml:space="preserve">: el conjunto de jugadores</w:t>
      </w:r>
      <w:r>
        <w:t xml:space="preserve"> </w:t>
      </w:r>
      <m:oMath>
        <m:r>
          <m:t>N</m:t>
        </m:r>
      </m:oMath>
      <w:r>
        <w:t xml:space="preserve">; las</w:t>
      </w:r>
      <w:r>
        <w:t xml:space="preserve"> </w:t>
      </w:r>
      <w:r>
        <w:rPr>
          <w:b/>
          <w:bCs/>
        </w:rPr>
        <w:t xml:space="preserve">coaliciones</w:t>
      </w:r>
      <w:r>
        <w:t xml:space="preserve"> </w:t>
      </w:r>
      <m:oMath>
        <m:r>
          <m:t>T</m:t>
        </m:r>
        <m:r>
          <m:rPr>
            <m:sty m:val="p"/>
          </m:rPr>
          <m:t>⊆</m:t>
        </m:r>
        <m:r>
          <m:t>N</m:t>
        </m:r>
      </m:oMath>
      <w:r>
        <w:t xml:space="preserve">; 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 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076"/>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numPr>
          <w:ilvl w:val="0"/>
          <w:numId w:val="1076"/>
        </w:numPr>
      </w:pPr>
      <w:r>
        <w:rPr>
          <w:i/>
          <w:iCs/>
        </w:rPr>
        <w:t xml:space="preserve">Hilo: I, E y un tercero, O</w:t>
      </w:r>
      <w:r>
        <w:t xml:space="preserve">. I (jugador 1) tiene una red de torres que, si la usa él solo, le rinde 20. E (jugador 2) sacaría de ella 60 y un tercer operador, O (de «otro»; jugador 3), 100, pero solo cabe uno: I es un vendedor y E y O, 2 compradores. Si I se asocia con uno de ellos (forman un consorcio) y se reparten lo que obtienen, ¿qué repartos son estables? Entonces</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r>
          <m:rPr>
            <m:sty m:val="p"/>
          </m:rPr>
          <m:t>=</m:t>
        </m:r>
        <m:r>
          <m:t>v</m:t>
        </m:r>
        <m:d>
          <m:dPr>
            <m:begChr m:val="("/>
            <m:sepChr m:val=""/>
            <m:endChr m:val=")"/>
            <m:grow/>
          </m:dPr>
          <m:e>
            <m:r>
              <m:t>N</m:t>
            </m:r>
          </m:e>
        </m:d>
      </m:oMath>
      <w:r>
        <w:t xml:space="preserve"> </w:t>
      </w:r>
      <w:r>
        <w:t xml:space="preserve">obliga a</w:t>
      </w:r>
      <w:r>
        <w:t xml:space="preserve"> </w:t>
      </w:r>
      <m:oMath>
        <m:sSub>
          <m:e>
            <m:r>
              <m:t>x</m:t>
            </m:r>
          </m:e>
          <m:sub>
            <m:r>
              <m:t>2</m:t>
            </m:r>
          </m:sub>
        </m:sSub>
        <m:r>
          <m:rPr>
            <m:sty m:val="p"/>
          </m:rPr>
          <m:t>=</m:t>
        </m:r>
        <m:r>
          <m:t>0</m:t>
        </m:r>
      </m:oMath>
      <w:r>
        <w:t xml:space="preserve">, y</w:t>
      </w:r>
      <w:r>
        <w:t xml:space="preserve"> </w:t>
      </w:r>
      <m:oMath>
        <m:sSub>
          <m:e>
            <m:r>
              <m:t>x</m:t>
            </m:r>
          </m:e>
          <m:sub>
            <m:r>
              <m:t>1</m:t>
            </m:r>
          </m:sub>
        </m:sSub>
        <m:r>
          <m:rPr>
            <m:sty m:val="p"/>
          </m:rPr>
          <m:t>+</m:t>
        </m:r>
        <m:sSub>
          <m:e>
            <m:r>
              <m:t>x</m:t>
            </m:r>
          </m:e>
          <m:sub>
            <m:r>
              <m:t>2</m:t>
            </m:r>
          </m:sub>
        </m:sSub>
        <m:r>
          <m:rPr>
            <m:sty m:val="p"/>
          </m:rPr>
          <m:t>≥</m:t>
        </m:r>
        <m:r>
          <m:t>60</m:t>
        </m:r>
      </m:oMath>
      <w:r>
        <w:t xml:space="preserve">, a</w:t>
      </w:r>
      <w:r>
        <w:t xml:space="preserve"> </w:t>
      </w:r>
      <m:oMath>
        <m:sSub>
          <m:e>
            <m:r>
              <m:t>x</m:t>
            </m:r>
          </m:e>
          <m:sub>
            <m:r>
              <m:t>1</m:t>
            </m:r>
          </m:sub>
        </m:sSub>
        <m:r>
          <m:rPr>
            <m:sty m:val="p"/>
          </m:rPr>
          <m:t>≥</m:t>
        </m:r>
        <m:r>
          <m:t>60</m:t>
        </m:r>
      </m:oMath>
      <w:r>
        <w:t xml:space="preserve">. 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0"/>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con I como vendedor y E y O como compradores 2 y 3). Es el mismo resultado que dará una subasta inglesa (</w:t>
      </w:r>
      <w:hyperlink w:anchor="sec_subastas">
        <w:r>
          <w:rPr>
            <w:rStyle w:val="Hyperlink"/>
          </w:rPr>
          <w:t xml:space="preserve">III.3</w:t>
        </w:r>
      </w:hyperlink>
      <w:r>
        <w:t xml:space="preserve">): la competencia de E es lo que protege a I, aunque E se quede fuera.</w:t>
      </w:r>
    </w:p>
    <w:p>
      <w:pPr>
        <w:keepNext/>
        <w:numPr>
          <w:ilvl w:val="0"/>
          <w:numId w:val="1076"/>
        </w:numPr>
      </w:pPr>
      <w:r>
        <w:rPr>
          <w:i/>
          <w:iCs/>
        </w:rPr>
        <w:t xml:space="preserve">Propiedades y limitaciones</w:t>
      </w:r>
      <w:r>
        <w:t xml:space="preserve">:</w:t>
      </w:r>
    </w:p>
    <w:p>
      <w:pPr>
        <w:numPr>
          <w:ilvl w:val="1"/>
          <w:numId w:val="1077"/>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077"/>
        </w:numPr>
      </w:pPr>
      <w:r>
        <w:t xml:space="preserve">rara vez tiene un solo punto: dice qué repartos son estables, no cuál se elige;</w:t>
      </w:r>
    </w:p>
    <w:p>
      <w:pPr>
        <w:numPr>
          <w:ilvl w:val="1"/>
          <w:numId w:val="1077"/>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Start w:id="116"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14" name="Picture"/>
            <a:graphic>
              <a:graphicData uri="http://schemas.openxmlformats.org/drawingml/2006/picture">
                <pic:pic>
                  <pic:nvPicPr>
                    <pic:cNvPr descr="C:\Users\vgutierrez\Documents\src\victorgutierrezmarcos.github.io-revision\oposicion\temario\fuentes\3A14\graficos/nucleo.png" id="115" name="Picture"/>
                    <pic:cNvPicPr>
                      <a:picLocks noChangeArrowheads="1" noChangeAspect="1"/>
                    </pic:cNvPicPr>
                  </pic:nvPicPr>
                  <pic:blipFill>
                    <a:blip r:embed="rId113"/>
                    <a:stretch>
                      <a:fillRect/>
                    </a:stretch>
                  </pic:blipFill>
                  <pic:spPr bwMode="auto">
                    <a:xfrm>
                      <a:off x="0" y="0"/>
                      <a:ext cx="3137707" cy="2617814"/>
                    </a:xfrm>
                    <a:prstGeom prst="rect">
                      <a:avLst/>
                    </a:prstGeom>
                    <a:noFill/>
                    <a:ln w="9525">
                      <a:noFill/>
                      <a:headEnd/>
                      <a:tailEnd/>
                    </a:ln>
                  </pic:spPr>
                </pic:pic>
              </a:graphicData>
            </a:graphic>
          </wp:inline>
        </w:drawing>
      </w:r>
    </w:p>
    <w:bookmarkEnd w:id="116"/>
    <w:p>
      <w:pPr>
        <w:pStyle w:val="Piedeimagen"/>
      </w:pPr>
      <w:r>
        <w:t xml:space="preserve">Fuente: elaboración propia.</w:t>
      </w:r>
    </w:p>
    <w:bookmarkEnd w:id="117"/>
    <w:bookmarkStart w:id="121" w:name="sec_shapley"/>
    <w:p>
      <w:pPr>
        <w:pStyle w:val="Heading3"/>
      </w:pPr>
      <w:r>
        <w:t xml:space="preserve">II.3.3.</w:t>
      </w:r>
      <w:r>
        <w:t xml:space="preserve"> </w:t>
      </w:r>
      <w:r>
        <w:t xml:space="preserve">Valor de</w:t>
      </w:r>
      <w:r>
        <w:t xml:space="preserve"> </w:t>
      </w:r>
      <w:r>
        <w:rPr>
          <w:smallCaps/>
        </w:rPr>
        <w:t xml:space="preserve">Shapley</w:t>
      </w:r>
    </w:p>
    <w:p>
      <w:pPr>
        <w:numPr>
          <w:ilvl w:val="0"/>
          <w:numId w:val="1078"/>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078"/>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079"/>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079"/>
        </w:numPr>
      </w:pPr>
      <w:r>
        <w:rPr>
          <w:i/>
          <w:iCs/>
        </w:rPr>
        <w:t xml:space="preserve">simetría</w:t>
      </w:r>
      <w:r>
        <w:t xml:space="preserve">: 2 jugadores que aportan lo mismo a toda coalición reciben lo mismo;</w:t>
      </w:r>
    </w:p>
    <w:p>
      <w:pPr>
        <w:numPr>
          <w:ilvl w:val="1"/>
          <w:numId w:val="1079"/>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18"/>
      </w:r>
    </w:p>
    <w:p>
      <w:pPr>
        <w:numPr>
          <w:ilvl w:val="1"/>
          <w:numId w:val="1079"/>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078"/>
        </w:numPr>
      </w:pPr>
      <w:r>
        <w:rPr>
          <w:i/>
          <w:iCs/>
        </w:rPr>
        <w:t xml:space="preserve">Teorema</w:t>
      </w:r>
      <w:r>
        <w:t xml:space="preserve">: la única regla que los cumple es</w:t>
      </w:r>
      <w:r>
        <w:t xml:space="preserve"> </w:t>
      </w:r>
      <w:bookmarkStart w:id="119" w:name="eq_shapley"/>
      <w:bookmarkEnd w:id="119"/>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numPr>
          <w:ilvl w:val="0"/>
          <w:numId w:val="1078"/>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numPr>
          <w:ilvl w:val="0"/>
          <w:numId w:val="1078"/>
        </w:numPr>
      </w:pPr>
      <w:r>
        <w:rPr>
          <w:i/>
          <w:iCs/>
        </w:rPr>
        <w:t xml:space="preserve">Hilo</w:t>
      </w:r>
      <w:r>
        <w:t xml:space="preserve">: en el juego de</w:t>
      </w:r>
      <w:r>
        <w:t xml:space="preserve"> </w:t>
      </w:r>
      <w:r>
        <w:t xml:space="preserve">I</w:t>
      </w:r>
      <w:r>
        <w:t xml:space="preserve">, E y O (</w:t>
      </w:r>
      <w:hyperlink w:anchor="sec_nucleo">
        <w:r>
          <w:rPr>
            <w:rStyle w:val="Hyperlink"/>
          </w:rPr>
          <w:t xml:space="preserve">II.3.2</w:t>
        </w:r>
      </w:hyperlink>
      <w:r>
        <w:t xml:space="preserve">), promediando las aportaciones en los 6 órdenes posibles (anexo </w:t>
      </w:r>
      <w:hyperlink w:anchor="anexo_cooperativos">
        <w:r>
          <w:rPr>
            <w:rStyle w:val="Hyperlink"/>
          </w:rPr>
          <w:t xml:space="preserve">C</w:t>
        </w:r>
      </w:hyperlink>
      <w:r>
        <w:t xml:space="preserve">),</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 I, E y O: se reparte todo (eficiencia), y E recibe algo porque su presencia sube lo que I puede pedir. No está en el núcleo, porque da algo a E, que no se queda con la red. 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078"/>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numPr>
          <w:ilvl w:val="0"/>
          <w:numId w:val="1078"/>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 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0">
        <w:r>
          <w:rPr>
            <w:rStyle w:val="Referenciaatema"/>
          </w:rPr>
          <w:t xml:space="preserve">[ver tema 3.A.24]</w:t>
        </w:r>
      </w:hyperlink>
      <w:r>
        <w:t xml:space="preserve">, repartir costes comunes, estudiar qué cárteles y alianzas entre empresas son estables</w:t>
      </w:r>
      <w:r>
        <w:t xml:space="preserve"> </w:t>
      </w:r>
      <w:hyperlink r:id="rId21">
        <w:r>
          <w:rPr>
            <w:rStyle w:val="Referenciaatema"/>
          </w:rPr>
          <w:t xml:space="preserve">[ver tema 3.A.19]</w:t>
        </w:r>
      </w:hyperlink>
      <w:r>
        <w:t xml:space="preserve"> </w:t>
      </w:r>
      <w:r>
        <w:t xml:space="preserve">y atribuir la contribución de cada variable en la estadística y el aprendizaje automático; con un continuo de agentes 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numPr>
          <w:ilvl w:val="0"/>
          <w:numId w:val="1080"/>
        </w:numPr>
      </w:pPr>
      <w:r>
        <w:rPr>
          <w:i/>
          <w:iCs/>
        </w:rPr>
        <w:t xml:space="preserve">Recapitulación del bloque II</w:t>
      </w:r>
      <w:r>
        <w:t xml:space="preserve">: la información privada se incorpora con tipos, probabilidades y creencias (EBN y EBP), y la señalización muestra que las creencias fuera del equilibrio son las que sostienen el resultado; con acuerdos vinculantes, la solución de</w:t>
      </w:r>
      <w:r>
        <w:t xml:space="preserve"> </w:t>
      </w:r>
      <w:r>
        <w:rPr>
          <w:smallCaps/>
        </w:rPr>
        <w:t xml:space="preserve">Nash</w:t>
      </w:r>
      <w:r>
        <w:t xml:space="preserve"> </w:t>
      </w:r>
      <w:r>
        <w:t xml:space="preserve">reparte entre 2 según sus alternativas y su paciencia, el núcleo dice qué repartos son estables frente a las coaliciones y el valor de</w:t>
      </w:r>
      <w:r>
        <w:t xml:space="preserve"> </w:t>
      </w:r>
      <w:r>
        <w:rPr>
          <w:smallCaps/>
        </w:rPr>
        <w:t xml:space="preserve">Shapley</w:t>
      </w:r>
      <w:r>
        <w:t xml:space="preserve"> </w:t>
      </w:r>
      <w:r>
        <w:t xml:space="preserve">elige uno equitativo. 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1"/>
    <w:bookmarkEnd w:id="122"/>
    <w:bookmarkEnd w:id="123"/>
    <w:bookmarkStart w:id="167"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keepNext/>
        <w:keepLines/>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keepNext/>
        <w:keepLines/>
        <w:numPr>
          <w:ilvl w:val="0"/>
          <w:numId w:val="1081"/>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5</w:t>
        </w:r>
      </w:hyperlink>
      <w:r>
        <w:t xml:space="preserve">), que se dibuja vacía al presentar los formatos y se rellena fila a fila. En el</w:t>
      </w:r>
      <w:r>
        <w:t xml:space="preserve"> </w:t>
      </w:r>
      <w:r>
        <w:rPr>
          <w:i/>
          <w:iCs/>
        </w:rPr>
        <w:t xml:space="preserve">centro</w:t>
      </w:r>
      <w:r>
        <w:t xml:space="preserve">, los ejemplos del hilo: las valoraciones de</w:t>
      </w:r>
      <w:r>
        <w:t xml:space="preserve"> </w:t>
      </w:r>
      <w:r>
        <w:t xml:space="preserve">I</w:t>
      </w:r>
      <w:r>
        <w:t xml:space="preserve">, E y O y lo que paga cada uno en cada formato, que se borran al cambiar de idea.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keepNext/>
        <w:keepLines/>
        <w:numPr>
          <w:ilvl w:val="0"/>
          <w:numId w:val="1081"/>
        </w:numPr>
      </w:pPr>
      <w:r>
        <w:rPr>
          <w:i/>
          <w:iCs/>
        </w:rPr>
        <w:t xml:space="preserve">Aplicaciones</w:t>
      </w:r>
      <w:r>
        <w:t xml:space="preserve"> </w:t>
      </w:r>
      <w:r>
        <w:t xml:space="preserve">(1′30″): de palabra, los campos con su ejemplo y su remisión; nada en la pizarra.</w:t>
      </w:r>
    </w:p>
    <w:p>
      <w:pPr>
        <w:pStyle w:val="Notaalopositor"/>
        <w:keepNext/>
        <w:keepLines/>
        <w:numPr>
          <w:ilvl w:val="0"/>
          <w:numId w:val="1081"/>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keepLines/>
        <w:numPr>
          <w:ilvl w:val="0"/>
          <w:numId w:val="1081"/>
        </w:numPr>
      </w:pPr>
      <w:r>
        <w:rPr>
          <w:i/>
          <w:iCs/>
        </w:rPr>
        <w:t xml:space="preserve">Subastas</w:t>
      </w:r>
      <w:r>
        <w:t xml:space="preserve"> </w:t>
      </w:r>
      <w:r>
        <w:t xml:space="preserve">(6′30″):</w:t>
      </w:r>
    </w:p>
    <w:p>
      <w:pPr>
        <w:pStyle w:val="Notaalopositor"/>
        <w:keepNext/>
        <w:keepLines/>
        <w:numPr>
          <w:ilvl w:val="1"/>
          <w:numId w:val="1082"/>
        </w:numPr>
      </w:pPr>
      <w:r>
        <w:t xml:space="preserve">formatos y valores (1′): a la izquierda, la tabla con sus 4 filas y las columnas vacías; valores privados y valor común, de palabra, con el hilo;</w:t>
      </w:r>
    </w:p>
    <w:p>
      <w:pPr>
        <w:pStyle w:val="Notaalopositor"/>
        <w:keepNext/>
        <w:keepLines/>
        <w:numPr>
          <w:ilvl w:val="1"/>
          <w:numId w:val="1082"/>
        </w:numPr>
      </w:pPr>
      <w:r>
        <w:t xml:space="preserve">segundo precio (1′): en el centro,</w:t>
      </w:r>
      <w:r>
        <w:t xml:space="preserve"> </w:t>
      </w:r>
      <m:oMath>
        <m:sSub>
          <m:e>
            <m:r>
              <m:t>v</m:t>
            </m:r>
          </m:e>
          <m:sub>
            <m:r>
              <m:rPr>
                <m:sty m:val="p"/>
              </m:rPr>
              <m:t>I</m:t>
            </m:r>
          </m:sub>
        </m:sSub>
        <m:r>
          <m:rPr>
            <m:sty m:val="p"/>
          </m:rPr>
          <m:t>=</m:t>
        </m:r>
        <m:r>
          <m:t>10</m:t>
        </m:r>
      </m:oMath>
      <w:r>
        <w:t xml:space="preserve">,</w:t>
      </w:r>
      <w:r>
        <w:t xml:space="preserve"> </w:t>
      </w:r>
      <m:oMath>
        <m:sSub>
          <m:e>
            <m:r>
              <m:t>v</m:t>
            </m:r>
          </m:e>
          <m:sub>
            <m:r>
              <m:rPr>
                <m:sty m:val="p"/>
              </m:rPr>
              <m:t>E</m:t>
            </m:r>
          </m:sub>
        </m:sSub>
        <m:r>
          <m:rPr>
            <m:sty m:val="p"/>
          </m:rPr>
          <m:t>=</m:t>
        </m:r>
        <m:r>
          <m:t>8</m:t>
        </m:r>
      </m:oMath>
      <w:r>
        <w:t xml:space="preserve"> </w:t>
      </w:r>
      <w:r>
        <w:t xml:space="preserve">y</w:t>
      </w:r>
      <w:r>
        <w:t xml:space="preserve"> </w:t>
      </w:r>
      <m:oMath>
        <m:sSub>
          <m:e>
            <m:r>
              <m:t>v</m:t>
            </m:r>
          </m:e>
          <m:sub>
            <m:r>
              <m:rPr>
                <m:sty m:val="p"/>
              </m:rPr>
              <m:t>O</m:t>
            </m:r>
          </m:sub>
        </m:sSub>
        <m:r>
          <m:rPr>
            <m:sty m:val="p"/>
          </m:rPr>
          <m:t>=</m:t>
        </m:r>
        <m:r>
          <m:t>6</m:t>
        </m:r>
      </m:oMath>
      <w:r>
        <w:t xml:space="preserve">; I gana y paga 8; por qué ni pujar más ni pujar menos compensa; «</w:t>
      </w:r>
      <m:oMath>
        <m:r>
          <m:t>b</m:t>
        </m:r>
        <m:r>
          <m:rPr>
            <m:sty m:val="p"/>
          </m:rPr>
          <m:t>=</m:t>
        </m:r>
        <m:r>
          <m:t>v</m:t>
        </m:r>
      </m:oMath>
      <w:r>
        <w:t xml:space="preserve">» en su fila;</w:t>
      </w:r>
    </w:p>
    <w:p>
      <w:pPr>
        <w:pStyle w:val="Notaalopositor"/>
        <w:keepNext/>
        <w:keepLines/>
        <w:numPr>
          <w:ilvl w:val="1"/>
          <w:numId w:val="1082"/>
        </w:numPr>
      </w:pPr>
      <w:r>
        <w:t xml:space="preserve">primer precio (1′30″): el dilema del pujador, de palabra; a la derecha, (</w:t>
      </w:r>
      <w:hyperlink w:anchor="eq_puja">
        <w:r>
          <w:rPr>
            <w:rStyle w:val="Hyperlink"/>
          </w:rPr>
          <w:t xml:space="preserve">5</w:t>
        </w:r>
      </w:hyperlink>
      <w:r>
        <w:t xml:space="preserve">), que se recuadra; en el centro, las pujas del hilo (6,67, 5,33 y 4); el gráfico de pujas (gráfico </w:t>
      </w:r>
      <w:hyperlink w:anchor="fig_pujas">
        <w:r>
          <w:rPr>
            <w:rStyle w:val="Hyperlink"/>
          </w:rPr>
          <w:t xml:space="preserve">5</w:t>
        </w:r>
      </w:hyperlink>
      <w:r>
        <w:t xml:space="preserve">) como apoyo; «sombrear» en su fila;</w:t>
      </w:r>
    </w:p>
    <w:p>
      <w:pPr>
        <w:pStyle w:val="Notaalopositor"/>
        <w:keepNext/>
        <w:keepLines/>
        <w:numPr>
          <w:ilvl w:val="1"/>
          <w:numId w:val="1082"/>
        </w:numPr>
      </w:pPr>
      <w:r>
        <w:t xml:space="preserve">equivalencia de ingresos y precio de reserva (1′): (</w:t>
      </w:r>
      <w:hyperlink w:anchor="eq_equivalencia">
        <w:r>
          <w:rPr>
            <w:rStyle w:val="Hyperlink"/>
          </w:rPr>
          <w:t xml:space="preserve">6</w:t>
        </w:r>
      </w:hyperlink>
      <w:r>
        <w:t xml:space="preserve">) en una línea en el centro, con el 6 del hilo; la fila de la equivalencia, al pie de la tabla;</w:t>
      </w:r>
    </w:p>
    <w:p>
      <w:pPr>
        <w:pStyle w:val="Notaalopositor"/>
        <w:keepNext/>
        <w:keepLines/>
        <w:numPr>
          <w:ilvl w:val="1"/>
          <w:numId w:val="1082"/>
        </w:numPr>
      </w:pPr>
      <w:r>
        <w:t xml:space="preserve">valor común y maldición del ganador (0′30″): «No es oro todo lo que reluce» y el clásico del golfo de México, de palabra;</w:t>
      </w:r>
    </w:p>
    <w:p>
      <w:pPr>
        <w:pStyle w:val="Notaalopositor"/>
        <w:keepNext/>
        <w:keepLines/>
        <w:numPr>
          <w:ilvl w:val="1"/>
          <w:numId w:val="1082"/>
        </w:numPr>
      </w:pPr>
      <w:r>
        <w:t xml:space="preserve">varias unidades y espectro (0′30″): la SMRA, la subasta de 700 MHz y las del 3G, de palabra;</w:t>
      </w:r>
    </w:p>
    <w:p>
      <w:pPr>
        <w:pStyle w:val="Notaalopositor"/>
        <w:keepNext/>
        <w:keepLines/>
        <w:numPr>
          <w:ilvl w:val="1"/>
          <w:numId w:val="1082"/>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keepLines/>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numPr>
          <w:ilvl w:val="0"/>
          <w:numId w:val="1083"/>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0"/>
          <w:numId w:val="1083"/>
        </w:numPr>
      </w:pPr>
      <w:r>
        <w:rPr>
          <w:i/>
          <w:iCs/>
        </w:rPr>
        <w:t xml:space="preserve">Hilo</w:t>
      </w:r>
      <w:r>
        <w:t xml:space="preserve">: el Gobierno subasta las licencias de espectro del 5G, e I, E y O pujan por ellas. Hasta ahora las reglas venían dadas; ahora las escribe el Gobierno, que no sabe cuánto vale cada licencia para cada operador.</w:t>
      </w:r>
    </w:p>
    <w:p>
      <w:pPr>
        <w:numPr>
          <w:ilvl w:val="0"/>
          <w:numId w:val="1083"/>
        </w:numPr>
      </w:pPr>
      <w:r>
        <w:rPr>
          <w:i/>
          <w:iCs/>
        </w:rPr>
        <w:t xml:space="preserve">Conclusión anticipada</w:t>
      </w:r>
      <w:r>
        <w:t xml:space="preserve">: basta con buscar entre mecanismos en los que decir la verdad es óptimo; la información privada tiene un coste que el diseño reduce pero no elimina, y en las subastas, con valores privados independientes, el formato importa menos de lo que parece. En la práctica, lo decisivo es lo que el modelo da por resuelto: que acudan pujadores y que no se repartan el bien entre ellos.</w:t>
      </w:r>
    </w:p>
    <w:bookmarkStart w:id="127" w:name="sec_aplicaciones"/>
    <w:p>
      <w:pPr>
        <w:pStyle w:val="Heading2"/>
      </w:pPr>
      <w:r>
        <w:t xml:space="preserve">III.1.</w:t>
      </w:r>
      <w:r>
        <w:t xml:space="preserve"> </w:t>
      </w:r>
      <w:r>
        <w:t xml:space="preserve">Aplicaciones de la teoría de juegos en economía</w:t>
      </w:r>
    </w:p>
    <w:p>
      <w:pPr>
        <w:numPr>
          <w:ilvl w:val="0"/>
          <w:numId w:val="1084"/>
        </w:numPr>
      </w:pPr>
      <w:r>
        <w:rPr>
          <w:i/>
          <w:iCs/>
        </w:rPr>
        <w:t xml:space="preserve">Organización industrial</w:t>
      </w:r>
      <w:r>
        <w:t xml:space="preserve">: 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 la diferenciación de producto resuelta por etapas</w:t>
      </w:r>
      <w:r>
        <w:t xml:space="preserve"> </w:t>
      </w:r>
      <w:hyperlink r:id="rId65">
        <w:r>
          <w:rPr>
            <w:rStyle w:val="Referenciaatema"/>
          </w:rPr>
          <w:t xml:space="preserve">[ver tema 3.A.18]</w:t>
        </w:r>
      </w:hyperlink>
      <w:r>
        <w:t xml:space="preserve">; 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084"/>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084"/>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numPr>
          <w:ilvl w:val="0"/>
          <w:numId w:val="1084"/>
        </w:numPr>
      </w:pPr>
      <w:r>
        <w:rPr>
          <w:i/>
          <w:iCs/>
        </w:rPr>
        <w:t xml:space="preserve">Sector público y elección colectiva</w:t>
      </w:r>
      <w:r>
        <w:t xml:space="preserve">: 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 el voto estratégico y el teorema de</w:t>
      </w:r>
      <w:r>
        <w:t xml:space="preserve"> </w:t>
      </w:r>
      <w:r>
        <w:rPr>
          <w:smallCaps/>
        </w:rPr>
        <w:t xml:space="preserve">Gibbard</w:t>
      </w:r>
      <w:r>
        <w:t xml:space="preserve">-</w:t>
      </w:r>
      <w:r>
        <w:rPr>
          <w:smallCaps/>
        </w:rPr>
        <w:t xml:space="preserve">Satterthwaite</w:t>
      </w:r>
      <w:r>
        <w:t xml:space="preserve"> </w:t>
      </w:r>
      <w:hyperlink r:id="rId120">
        <w:r>
          <w:rPr>
            <w:rStyle w:val="Referenciaatema"/>
          </w:rPr>
          <w:t xml:space="preserve">[ver tema 3.A.24]</w:t>
        </w:r>
      </w:hyperlink>
      <w:r>
        <w:t xml:space="preserve">; la imposición óptima con información privada</w:t>
      </w:r>
      <w:r>
        <w:t xml:space="preserve"> </w:t>
      </w:r>
      <w:hyperlink r:id="rId124">
        <w:r>
          <w:rPr>
            <w:rStyle w:val="Referenciaatema"/>
          </w:rPr>
          <w:t xml:space="preserve">[ver tema 4.B.11]</w:t>
        </w:r>
      </w:hyperlink>
      <w:r>
        <w:t xml:space="preserve">.</w:t>
      </w:r>
    </w:p>
    <w:p>
      <w:pPr>
        <w:numPr>
          <w:ilvl w:val="0"/>
          <w:numId w:val="1084"/>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25">
        <w:r>
          <w:rPr>
            <w:rStyle w:val="Referenciaatema"/>
          </w:rPr>
          <w:t xml:space="preserve">[ver tema 3.B.8]</w:t>
        </w:r>
      </w:hyperlink>
      <w:r>
        <w:t xml:space="preserve">.</w:t>
      </w:r>
    </w:p>
    <w:p>
      <w:pPr>
        <w:numPr>
          <w:ilvl w:val="0"/>
          <w:numId w:val="1084"/>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26">
        <w:r>
          <w:rPr>
            <w:rStyle w:val="Referenciaatema"/>
          </w:rPr>
          <w:t xml:space="preserve">[ver tema 3.B.17]</w:t>
        </w:r>
      </w:hyperlink>
      <w:r>
        <w:t xml:space="preserve"> </w:t>
      </w:r>
      <w:r>
        <w:t xml:space="preserve">y la coordinación de políticas entre países.</w:t>
      </w:r>
    </w:p>
    <w:p>
      <w:pPr>
        <w:numPr>
          <w:ilvl w:val="0"/>
          <w:numId w:val="1084"/>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084"/>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084"/>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09">
        <w:r>
          <w:rPr>
            <w:rStyle w:val="Referenciaatema"/>
          </w:rPr>
          <w:t xml:space="preserve">[ver tema 3.A.1]</w:t>
        </w:r>
      </w:hyperlink>
      <w:r>
        <w:t xml:space="preserve">.</w:t>
      </w:r>
    </w:p>
    <w:bookmarkEnd w:id="127"/>
    <w:bookmarkStart w:id="135" w:name="sec_diseno_mecanismos"/>
    <w:p>
      <w:pPr>
        <w:pStyle w:val="Heading2"/>
      </w:pPr>
      <w:r>
        <w:t xml:space="preserve">III.2.</w:t>
      </w:r>
      <w:r>
        <w:t xml:space="preserve"> </w:t>
      </w:r>
      <w:r>
        <w:t xml:space="preserve">Diseño de mecanismos y principio de revelación</w:t>
      </w:r>
    </w:p>
    <w:bookmarkStart w:id="128" w:name="a_idea_6"/>
    <w:p>
      <w:pPr>
        <w:pStyle w:val="Heading4"/>
      </w:pPr>
      <w:r>
        <w:t xml:space="preserve">a) Idea</w:t>
      </w:r>
    </w:p>
    <w:p>
      <w:pPr>
        <w:numPr>
          <w:ilvl w:val="0"/>
          <w:numId w:val="1085"/>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numPr>
          <w:ilvl w:val="0"/>
          <w:numId w:val="1085"/>
        </w:numPr>
      </w:pPr>
      <w:r>
        <w:rPr>
          <w:i/>
          <w:iCs/>
        </w:rPr>
        <w:t xml:space="preserve">Hilo: el Gobierno no sabe cuánto valen las licencias</w:t>
      </w:r>
      <w:r>
        <w:t xml:space="preserve">. Si preguntara a I, E y O cuánto vale cada licencia para ellos, cada uno le diría lo que más le conviniera: poco, si con eso paga menos, o mucho, si con eso gana. El Gobierno no observa las valoraciones; solo puede elegir las reglas. ¿Hay reglas con las que a cada operador le convenga decir la verdad?</w:t>
      </w:r>
    </w:p>
    <w:bookmarkEnd w:id="128"/>
    <w:bookmarkStart w:id="132" w:name="b_modelo_6"/>
    <w:p>
      <w:pPr>
        <w:pStyle w:val="Heading4"/>
      </w:pPr>
      <w:r>
        <w:t xml:space="preserve">b) Modelo</w:t>
      </w:r>
    </w:p>
    <w:bookmarkStart w:id="129" w:name="i_supuestos_5"/>
    <w:p>
      <w:pPr>
        <w:pStyle w:val="Heading5"/>
      </w:pPr>
      <w:r>
        <w:t xml:space="preserve">i) Supuestos</w:t>
      </w:r>
    </w:p>
    <w:p>
      <w:pPr>
        <w:numPr>
          <w:ilvl w:val="0"/>
          <w:numId w:val="1086"/>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086"/>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29"/>
    <w:bookmarkStart w:id="130" w:name="ii_desarrollo_6"/>
    <w:p>
      <w:pPr>
        <w:pStyle w:val="Heading5"/>
      </w:pPr>
      <w:r>
        <w:t xml:space="preserve">ii) Desarrollo</w:t>
      </w:r>
    </w:p>
    <w:p>
      <w:pPr>
        <w:numPr>
          <w:ilvl w:val="0"/>
          <w:numId w:val="1087"/>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0"/>
          <w:numId w:val="1087"/>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087"/>
        </w:numPr>
      </w:pPr>
      <w:r>
        <w:rPr>
          <w:i/>
          <w:iCs/>
        </w:rPr>
        <w:t xml:space="preserve">Consecuencia</w:t>
      </w:r>
      <w:r>
        <w:t xml:space="preserve">: el diseñador puede buscar solo entre mecanismos directos que cumplan 2 restricciones para cada tipo:</w:t>
      </w:r>
    </w:p>
    <w:p>
      <w:pPr>
        <w:numPr>
          <w:ilvl w:val="1"/>
          <w:numId w:val="1088"/>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088"/>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087"/>
        </w:numPr>
      </w:pPr>
      <w:r>
        <w:rPr>
          <w:i/>
          <w:iCs/>
        </w:rPr>
        <w:t xml:space="preserve">Hilo</w:t>
      </w:r>
      <w:r>
        <w:t xml:space="preserve">: el Gobierno no tiene que imaginar todas las reglas posibles; le basta con buscar unas en las que cada operador declare su valoración y le convenga declararla bien. La subasta de segundo precio es una de ellas (</w:t>
      </w:r>
      <w:hyperlink w:anchor="sec_ipv">
        <w:r>
          <w:rPr>
            <w:rStyle w:val="Hyperlink"/>
          </w:rPr>
          <w:t xml:space="preserve">III.3.2</w:t>
        </w:r>
      </w:hyperlink>
      <w:r>
        <w:t xml:space="preserve">).</w:t>
      </w:r>
    </w:p>
    <w:p>
      <w:pPr>
        <w:numPr>
          <w:ilvl w:val="0"/>
          <w:numId w:val="1087"/>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087"/>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0"/>
    <w:bookmarkStart w:id="131" w:name="iii_implicaciones_5"/>
    <w:p>
      <w:pPr>
        <w:pStyle w:val="Heading5"/>
      </w:pPr>
      <w:r>
        <w:t xml:space="preserve">iii) Implicaciones</w:t>
      </w:r>
    </w:p>
    <w:p>
      <w:pPr>
        <w:numPr>
          <w:ilvl w:val="0"/>
          <w:numId w:val="1089"/>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24">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1"/>
    <w:bookmarkEnd w:id="132"/>
    <w:bookmarkStart w:id="133" w:name="c_extensiones_implementaci__n"/>
    <w:p>
      <w:pPr>
        <w:pStyle w:val="Heading4"/>
      </w:pPr>
      <w:r>
        <w:t xml:space="preserve">c) Extensiones: implementación</w:t>
      </w:r>
    </w:p>
    <w:p>
      <w:pPr>
        <w:numPr>
          <w:ilvl w:val="0"/>
          <w:numId w:val="1090"/>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3"/>
    <w:bookmarkStart w:id="134" w:name="d_valoraci__n_los_l__mites"/>
    <w:p>
      <w:pPr>
        <w:pStyle w:val="Heading4"/>
      </w:pPr>
      <w:r>
        <w:t xml:space="preserve">d) Valoración: los límites</w:t>
      </w:r>
    </w:p>
    <w:p>
      <w:pPr>
        <w:numPr>
          <w:ilvl w:val="0"/>
          <w:numId w:val="1091"/>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0">
        <w:r>
          <w:rPr>
            <w:rStyle w:val="Referenciaatema"/>
          </w:rPr>
          <w:t xml:space="preserve">[ver tema 3.A.24]</w:t>
        </w:r>
      </w:hyperlink>
      <w:r>
        <w:t xml:space="preserve">. Por eso los mecanismos VCG necesitan pagos monetarios.</w:t>
      </w:r>
    </w:p>
    <w:p>
      <w:pPr>
        <w:numPr>
          <w:ilvl w:val="0"/>
          <w:numId w:val="1091"/>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091"/>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34"/>
    <w:bookmarkEnd w:id="135"/>
    <w:bookmarkStart w:id="166" w:name="sec_subastas"/>
    <w:p>
      <w:pPr>
        <w:pStyle w:val="Heading2"/>
      </w:pPr>
      <w:r>
        <w:t xml:space="preserve">III.3.</w:t>
      </w:r>
      <w:r>
        <w:t xml:space="preserve"> </w:t>
      </w:r>
      <w:r>
        <w:t xml:space="preserve">Subastas</w:t>
      </w:r>
    </w:p>
    <w:p>
      <w:pPr>
        <w:numPr>
          <w:ilvl w:val="0"/>
          <w:numId w:val="1092"/>
        </w:numPr>
      </w:pPr>
      <w:r>
        <w:t xml:space="preserve">Una vez establecido el marco del diseño de mecanismos, pasamos a su aplicación central, que es la «especial referencia» del título. Seguimos al Gobierno en las decisiones que tiene que tomar: qué formato usar, cómo pujarán los operadores en cada uno, cuánto recaudará, qué ocurre si nadie sabe lo que vale la licencia, cómo vender varias a la vez y cómo evitar que los operadores se pongan de acuerdo.</w:t>
      </w:r>
    </w:p>
    <w:bookmarkStart w:id="137" w:name="sec_subastas_formatos"/>
    <w:p>
      <w:pPr>
        <w:pStyle w:val="Heading3"/>
      </w:pPr>
      <w:r>
        <w:t xml:space="preserve">III.3.1.</w:t>
      </w:r>
      <w:r>
        <w:t xml:space="preserve"> </w:t>
      </w:r>
      <w:r>
        <w:t xml:space="preserve">Concepto, formatos y tipos de valores</w:t>
      </w:r>
    </w:p>
    <w:p>
      <w:pPr>
        <w:numPr>
          <w:ilvl w:val="0"/>
          <w:numId w:val="1093"/>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093"/>
        </w:numPr>
      </w:pPr>
      <w:r>
        <w:rPr>
          <w:i/>
          <w:iCs/>
        </w:rPr>
        <w:t xml:space="preserve">Formatos estándar</w:t>
      </w:r>
      <w:r>
        <w:t xml:space="preserve"> </w:t>
      </w:r>
      <w:r>
        <w:t xml:space="preserve">(un solo objeto; tabla </w:t>
      </w:r>
      <w:hyperlink w:anchor="tab_formatos_subasta">
        <w:r>
          <w:rPr>
            <w:rStyle w:val="Hyperlink"/>
          </w:rPr>
          <w:t xml:space="preserve">5</w:t>
        </w:r>
      </w:hyperlink>
      <w:r>
        <w:t xml:space="preserve">):</w:t>
      </w:r>
    </w:p>
    <w:p>
      <w:pPr>
        <w:numPr>
          <w:ilvl w:val="1"/>
          <w:numId w:val="1094"/>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094"/>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numPr>
          <w:ilvl w:val="0"/>
          <w:numId w:val="1093"/>
        </w:numPr>
      </w:pPr>
      <w:r>
        <w:rPr>
          <w:i/>
          <w:iCs/>
        </w:rPr>
        <w:t xml:space="preserve">Hilo: ¿inglesa o sobre cerrado?</w:t>
      </w:r>
      <w:r>
        <w:t xml:space="preserve"> </w:t>
      </w:r>
      <w:r>
        <w:t xml:space="preserve">El Gobierno puede subir el precio ronda a ronda,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 pedir a cada operador una oferta en un sobre que se abre a la vez.</w:t>
      </w:r>
    </w:p>
    <w:p>
      <w:pPr>
        <w:keepNext/>
        <w:numPr>
          <w:ilvl w:val="0"/>
          <w:numId w:val="1093"/>
        </w:numPr>
      </w:pPr>
      <w:r>
        <w:rPr>
          <w:i/>
          <w:iCs/>
        </w:rPr>
        <w:t xml:space="preserve">Tipos de valores</w:t>
      </w:r>
      <w:r>
        <w:t xml:space="preserve">:</w:t>
      </w:r>
    </w:p>
    <w:p>
      <w:pPr>
        <w:numPr>
          <w:ilvl w:val="1"/>
          <w:numId w:val="1095"/>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1"/>
          <w:numId w:val="1095"/>
        </w:numPr>
      </w:pPr>
      <w:r>
        <w:rPr>
          <w:b/>
          <w:bCs/>
        </w:rPr>
        <w:t xml:space="preserve">valor común</w:t>
      </w:r>
      <w:r>
        <w:t xml:space="preserve">: el bien vale lo mismo para todos, pero nadie lo sabe; cada uno recibe una estimación (los derechos de explotación de un yacimiento de petróleo);</w:t>
      </w:r>
    </w:p>
    <w:p>
      <w:pPr>
        <w:numPr>
          <w:ilvl w:val="1"/>
          <w:numId w:val="1095"/>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093"/>
        </w:numPr>
      </w:pPr>
      <w:r>
        <w:rPr>
          <w:i/>
          <w:iCs/>
        </w:rPr>
        <w:t xml:space="preserve">Hilo</w:t>
      </w:r>
      <w:r>
        <w:t xml:space="preserve">: si lo que vale una licencia depende de los costes y los clientes de cada operador, los valores son privados; si depende sobre todo de cuántos clientes querrán el 5G dentro de 10 años, algo que nadie sabe y que cada operador estima con su propio estudio de mercado, el valor es común.</w:t>
      </w:r>
    </w:p>
    <w:p>
      <w:pPr>
        <w:numPr>
          <w:ilvl w:val="0"/>
          <w:numId w:val="1093"/>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36" w:name="tab_formatos_subasta"/>
    <w:p>
      <w:pPr>
        <w:pStyle w:val="TableCaption"/>
      </w:pPr>
      <w:r>
        <w:t xml:space="preserve">Tabla 5.–</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5.– Los 4 formatos estándar de subasta y cómo se puja en cada uno con valores privados independientes"/>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Formato</w:t>
            </w:r>
          </w:p>
        </w:tc>
        <w:tc>
          <w:tcPr>
            <w:shd w:val="clear" w:color="auto" w:fill="DDEBF7"/>
            <w:vAlign w:val="center"/>
          </w:tcPr>
          <w:p>
            <w:pPr>
              <w:pStyle w:val="Celdatceeazulpalido"/>
              <w:jc w:val="center"/>
            </w:pPr>
            <w:r>
              <w:rPr>
                <w:b/>
                <w:bCs/>
              </w:rPr>
              <w:t xml:space="preserve">Cómo se puja</w:t>
            </w:r>
          </w:p>
        </w:tc>
        <w:tc>
          <w:tcPr>
            <w:shd w:val="clear" w:color="auto" w:fill="DDEBF7"/>
            <w:vAlign w:val="center"/>
          </w:tcPr>
          <w:p>
            <w:pPr>
              <w:pStyle w:val="Celdatceeazulpalido"/>
              <w:jc w:val="center"/>
            </w:pPr>
            <w:r>
              <w:rPr>
                <w:b/>
                <w:bCs/>
              </w:rPr>
              <w:t xml:space="preserve">Quién gana y qué paga</w:t>
            </w:r>
          </w:p>
        </w:tc>
        <w:tc>
          <w:tcPr>
            <w:shd w:val="clear" w:color="auto" w:fill="DDEBF7"/>
            <w:vAlign w:val="center"/>
          </w:tcPr>
          <w:p>
            <w:pPr>
              <w:pStyle w:val="Celdatceeazulpalido"/>
              <w:jc w:val="center"/>
            </w:pPr>
            <w:r>
              <w:rPr>
                <w:b/>
                <w:bCs/>
              </w:rPr>
              <w:t xml:space="preserve">Puja de equilibrio</w:t>
            </w:r>
          </w:p>
        </w:tc>
      </w:tr>
      <w:tr>
        <w:trPr>
          <w:cantSplit/>
        </w:trP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rPr>
          <w:cantSplit/>
        </w:trP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rPr>
          <w:cantSplit/>
        </w:trP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rPr>
          <w:cantSplit/>
        </w:trP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rPr>
          <w:cantSplit/>
        </w:trPr>
        <w:tc>
          <w:tcPr>
            <w:gridSpan w:val="4"/>
            <w:shd w:val="clear" w:color="auto" w:fill="E2EFD9"/>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36"/>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37"/>
    <w:bookmarkStart w:id="153" w:name="sec_ipv"/>
    <w:p>
      <w:pPr>
        <w:pStyle w:val="Heading3"/>
      </w:pPr>
      <w:r>
        <w:t xml:space="preserve">III.3.2.</w:t>
      </w:r>
      <w:r>
        <w:t xml:space="preserve"> </w:t>
      </w:r>
      <w:r>
        <w:t xml:space="preserve">El modelo de referencia: valores privados independientes</w:t>
      </w:r>
    </w:p>
    <w:bookmarkStart w:id="138" w:name="a_idea_7"/>
    <w:p>
      <w:pPr>
        <w:pStyle w:val="Heading4"/>
      </w:pPr>
      <w:r>
        <w:t xml:space="preserve">a) Idea</w:t>
      </w:r>
    </w:p>
    <w:p>
      <w:pPr>
        <w:numPr>
          <w:ilvl w:val="0"/>
          <w:numId w:val="1096"/>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38"/>
    <w:bookmarkStart w:id="149" w:name="b_modelo_7"/>
    <w:p>
      <w:pPr>
        <w:pStyle w:val="Heading4"/>
      </w:pPr>
      <w:r>
        <w:t xml:space="preserve">b) Modelo</w:t>
      </w:r>
    </w:p>
    <w:bookmarkStart w:id="139" w:name="i_supuestos_6"/>
    <w:p>
      <w:pPr>
        <w:pStyle w:val="Heading5"/>
      </w:pPr>
      <w:r>
        <w:t xml:space="preserve">i) Supuestos</w:t>
      </w:r>
    </w:p>
    <w:p>
      <w:pPr>
        <w:numPr>
          <w:ilvl w:val="0"/>
          <w:numId w:val="1097"/>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numPr>
          <w:ilvl w:val="0"/>
          <w:numId w:val="1097"/>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0"/>
          <w:numId w:val="1097"/>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39"/>
    <w:bookmarkStart w:id="145" w:name="ii_desarrollo_7"/>
    <w:p>
      <w:pPr>
        <w:pStyle w:val="Heading5"/>
      </w:pPr>
      <w:r>
        <w:t xml:space="preserve">ii) Desarrollo</w:t>
      </w:r>
    </w:p>
    <w:p>
      <w:pPr>
        <w:keepNext/>
        <w:numPr>
          <w:ilvl w:val="0"/>
          <w:numId w:val="1098"/>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099"/>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099"/>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099"/>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numPr>
          <w:ilvl w:val="1"/>
          <w:numId w:val="1099"/>
        </w:numPr>
      </w:pPr>
      <w:r>
        <w:rPr>
          <w:i/>
          <w:iCs/>
        </w:rPr>
        <w:t xml:space="preserve">Hilo</w:t>
      </w:r>
      <w:r>
        <w:t xml:space="preserve">: la licencia vale 10 para I, 8 para E y 6 para O. Cada uno puja su valoración: I gana y paga 8. Si I pujara 7, la perdería frente a E y dejaría de ganar 2; si E pujara 12 para quedársela, pagaría 10 por algo que para él vale 8. A ninguno le compensa mentir: el Gobierno ha conseguido que le digan la verdad.</w:t>
      </w:r>
    </w:p>
    <w:p>
      <w:pPr>
        <w:numPr>
          <w:ilvl w:val="0"/>
          <w:numId w:val="1098"/>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r>
        <w:t xml:space="preserve"> </w:t>
      </w:r>
      <w:r>
        <w:rPr>
          <w:i/>
          <w:iCs/>
        </w:rPr>
        <w:t xml:space="preserve">Hilo</w:t>
      </w:r>
      <w:r>
        <w:t xml:space="preserve">: O se retira en 6 y E en 8; I se queda la licencia por 8, como en segundo precio.</w:t>
      </w:r>
    </w:p>
    <w:p>
      <w:pPr>
        <w:numPr>
          <w:ilvl w:val="0"/>
          <w:numId w:val="1098"/>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40" w:name="eq_puja"/>
    <w:bookmarkEnd w:id="140"/>
    <w:p>
      <w:pPr>
        <w:pStyle w:val="Funcionclave"/>
        <w:keepLines/>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5</w:t>
        </w:r>
      </w:hyperlink>
      <w:r>
        <w:t xml:space="preserve">).</w:t>
      </w:r>
    </w:p>
    <w:p>
      <w:pPr>
        <w:numPr>
          <w:ilvl w:val="1"/>
          <w:numId w:val="1100"/>
        </w:numPr>
      </w:pPr>
      <w:r>
        <w:rPr>
          <w:i/>
          <w:iCs/>
        </w:rPr>
        <w:t xml:space="preserve">Hilo</w:t>
      </w:r>
      <w:r>
        <w:t xml:space="preserve">: si cada operador solo sabe de los otros 2 que sus valoraciones se reparten de forma uniforme entre 0 y 12 (la regla es la misma con cualquier tope), con</w:t>
      </w:r>
      <w:r>
        <w:t xml:space="preserve"> </w:t>
      </w:r>
      <m:oMath>
        <m:r>
          <m:t>n</m:t>
        </m:r>
        <m:r>
          <m:rPr>
            <m:sty m:val="p"/>
          </m:rPr>
          <m:t>=</m:t>
        </m:r>
        <m:r>
          <m:t>3</m:t>
        </m:r>
      </m:oMath>
      <w:r>
        <w:t xml:space="preserve"> </w:t>
      </w:r>
      <w:r>
        <w:t xml:space="preserve">cada uno puja 2/3 de la suya: I, 6,67; E, 5,33, y O, 4. Gana I, que paga 6,67.</w:t>
      </w:r>
    </w:p>
    <w:p>
      <w:pPr>
        <w:numPr>
          <w:ilvl w:val="0"/>
          <w:numId w:val="1098"/>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bookmarkStart w:id="144" w:name="fig_pujas"/>
    <w:p>
      <w:pPr>
        <w:pStyle w:val="ImageCaption"/>
      </w:pPr>
      <w:r>
        <w:t xml:space="preserve">Gráfico 5.–</w:t>
      </w:r>
      <w:r>
        <w:t xml:space="preserve"> </w:t>
      </w:r>
      <w:r>
        <w:t xml:space="preserve">Pujas de equilibrio con valores privados independientes y uniformes</w:t>
      </w:r>
    </w:p>
    <w:p>
      <w:pPr>
        <w:pStyle w:val="CaptionedFigure"/>
      </w:pPr>
      <w:r>
        <w:drawing>
          <wp:inline>
            <wp:extent cx="3082659" cy="2605581"/>
            <wp:effectExtent b="0" l="0" r="0" t="0"/>
            <wp:docPr descr="Gráfico 5.– Pujas de equilibrio con valores privados independientes y uniformes" title="" id="142" name="Picture"/>
            <a:graphic>
              <a:graphicData uri="http://schemas.openxmlformats.org/drawingml/2006/picture">
                <pic:pic>
                  <pic:nvPicPr>
                    <pic:cNvPr descr="C:\Users\vgutierrez\Documents\src\victorgutierrezmarcos.github.io-revision\oposicion\temario\fuentes\3A14\graficos/pujas.png" id="143" name="Picture"/>
                    <pic:cNvPicPr>
                      <a:picLocks noChangeArrowheads="1" noChangeAspect="1"/>
                    </pic:cNvPicPr>
                  </pic:nvPicPr>
                  <pic:blipFill>
                    <a:blip r:embed="rId141"/>
                    <a:stretch>
                      <a:fillRect/>
                    </a:stretch>
                  </pic:blipFill>
                  <pic:spPr bwMode="auto">
                    <a:xfrm>
                      <a:off x="0" y="0"/>
                      <a:ext cx="3082659" cy="260558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45"/>
    <w:bookmarkStart w:id="148" w:name="iii_implicaciones_el_teorema_de_eq_62604"/>
    <w:p>
      <w:pPr>
        <w:pStyle w:val="Heading5"/>
      </w:pPr>
      <w:r>
        <w:t xml:space="preserve">iii) Implicaciones: el teorema de equivalencia de ingresos</w:t>
      </w:r>
    </w:p>
    <w:p>
      <w:pPr>
        <w:numPr>
          <w:ilvl w:val="0"/>
          <w:numId w:val="1101"/>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46" w:name="eq_equivalencia"/>
      <w:bookmarkEnd w:id="146"/>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47"/>
      </w:r>
    </w:p>
    <w:p>
      <w:pPr>
        <w:numPr>
          <w:ilvl w:val="0"/>
          <w:numId w:val="1101"/>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en el que, en equilibrio, (1) el bien va a quien más lo valora y (2) el pujador con el valor más bajo posible espera una ganancia nula, da al vendedor el</w:t>
      </w:r>
      <w:r>
        <w:t xml:space="preserve"> </w:t>
      </w:r>
      <w:r>
        <w:rPr>
          <w:i/>
          <w:iCs/>
        </w:rPr>
        <w:t xml:space="preserve">mismo ingreso esperado</w:t>
      </w:r>
      <w:r>
        <w:t xml:space="preserve">, y a cada tipo de pujador, el mismo pago esperado.</w:t>
      </w:r>
    </w:p>
    <w:p>
      <w:pPr>
        <w:numPr>
          <w:ilvl w:val="0"/>
          <w:numId w:val="1101"/>
        </w:numPr>
      </w:pPr>
      <w:r>
        <w:rPr>
          <w:i/>
          <w:iCs/>
        </w:rPr>
        <w:t xml:space="preserve">Hilo</w:t>
      </w:r>
      <w:r>
        <w:t xml:space="preserve">: con las valoraciones de</w:t>
      </w:r>
      <w:r>
        <w:t xml:space="preserve"> </w:t>
      </w:r>
      <w:r>
        <w:t xml:space="preserve">I</w:t>
      </w:r>
      <w:r>
        <w:t xml:space="preserve">, E y O, el Gobierno cobra 8 en segundo precio y 6,67 en primer precio; con otras, sería al revés.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w:t>
      </w:r>
    </w:p>
    <w:p>
      <w:pPr>
        <w:numPr>
          <w:ilvl w:val="0"/>
          <w:numId w:val="1101"/>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01"/>
        </w:numPr>
      </w:pPr>
      <w:r>
        <w:rPr>
          <w:i/>
          <w:iCs/>
        </w:rPr>
        <w:t xml:space="preserve">Lectura</w:t>
      </w:r>
      <w:r>
        <w:t xml:space="preserve">: a igualdad de supuestos, elegir el formato no da más ingreso. Gran parte de la teoría de subastas consiste en ver qué pasa cuando fallan los supuestos.</w:t>
      </w:r>
    </w:p>
    <w:bookmarkEnd w:id="148"/>
    <w:bookmarkEnd w:id="149"/>
    <w:bookmarkStart w:id="150" w:name="c_extensiones_3"/>
    <w:p>
      <w:pPr>
        <w:pStyle w:val="Heading4"/>
      </w:pPr>
      <w:r>
        <w:t xml:space="preserve">c) Extensiones</w:t>
      </w:r>
    </w:p>
    <w:p>
      <w:pPr>
        <w:keepNext/>
        <w:numPr>
          <w:ilvl w:val="0"/>
          <w:numId w:val="1102"/>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03"/>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numPr>
          <w:ilvl w:val="1"/>
          <w:numId w:val="1103"/>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r>
        <w:t xml:space="preserve"> </w:t>
      </w:r>
      <w:r>
        <w:rPr>
          <w:i/>
          <w:iCs/>
        </w:rPr>
        <w:t xml:space="preserve">Hilo</w:t>
      </w:r>
      <w:r>
        <w:t xml:space="preserve">: con valoraciones entre 0 y 12, el Gobierno no vendería por menos de 6.</w:t>
      </w:r>
    </w:p>
    <w:p>
      <w:pPr>
        <w:numPr>
          <w:ilvl w:val="1"/>
          <w:numId w:val="1103"/>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02"/>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02"/>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02"/>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104"/>
        </w:numPr>
      </w:pPr>
      <w:r>
        <w:rPr>
          <w:i/>
          <w:iCs/>
        </w:rPr>
        <w:t xml:space="preserve">Hilo</w:t>
      </w:r>
      <w:r>
        <w:t xml:space="preserve">: si la licencia vale lo mismo para I, E y O, pero cada uno lo estima con su propio estudio de mercado, gana quien hizo el estudio más optimista, y lo más probable es que fuera demasiado optimista. «No es oro todo lo que reluce»: ganar la subasta es, en sí mismo, una mala noticia sobre lo que vale lo ganado, y el operador sensato puja por debajo de lo que dice su estudio, y tanto más cuantos más rivales tiene.</w:t>
      </w:r>
    </w:p>
    <w:p>
      <w:pPr>
        <w:numPr>
          <w:ilvl w:val="1"/>
          <w:numId w:val="1104"/>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04"/>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02"/>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50"/>
    <w:bookmarkStart w:id="151" w:name="d_evidencia_emp__rica_3"/>
    <w:p>
      <w:pPr>
        <w:pStyle w:val="Heading4"/>
      </w:pPr>
      <w:r>
        <w:t xml:space="preserve">d) Evidencia empírica</w:t>
      </w:r>
    </w:p>
    <w:p>
      <w:pPr>
        <w:numPr>
          <w:ilvl w:val="0"/>
          <w:numId w:val="1105"/>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05"/>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numPr>
          <w:ilvl w:val="0"/>
          <w:numId w:val="1105"/>
        </w:numPr>
      </w:pPr>
      <w:r>
        <w:rPr>
          <w:i/>
          <w:iCs/>
        </w:rPr>
        <w:t xml:space="preserve">El precio de reserva en acción</w:t>
      </w:r>
      <w:r>
        <w:t xml:space="preserve">: 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 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51"/>
    <w:bookmarkStart w:id="152" w:name="e_valoraci__n_lo_que_de_verdad_importa"/>
    <w:p>
      <w:pPr>
        <w:pStyle w:val="Heading4"/>
      </w:pPr>
      <w:r>
        <w:t xml:space="preserve">e) Valoración: lo que de verdad importa</w:t>
      </w:r>
    </w:p>
    <w:p>
      <w:pPr>
        <w:keepNext/>
        <w:numPr>
          <w:ilvl w:val="0"/>
          <w:numId w:val="1106"/>
        </w:numPr>
      </w:pPr>
      <w:r>
        <w:rPr>
          <w:smallCaps/>
        </w:rPr>
        <w:t xml:space="preserve">Klemperer</w:t>
      </w:r>
      <w:r>
        <w:t xml:space="preserve"> </w:t>
      </w:r>
      <w:r>
        <w:t xml:space="preserve">(</w:t>
      </w:r>
      <w:hyperlink w:anchor="ref_Klemperer2002WhatReallyMatters">
        <w:r>
          <w:rPr>
            <w:rStyle w:val="Hyperlink"/>
          </w:rPr>
          <w:t xml:space="preserve">2002</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07"/>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07"/>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0"/>
          <w:numId w:val="1106"/>
        </w:numPr>
      </w:pPr>
      <w:r>
        <w:rPr>
          <w:i/>
          <w:iCs/>
        </w:rPr>
        <w:t xml:space="preserve">Hilo</w:t>
      </w:r>
      <w:r>
        <w:t xml:space="preserve">: si el Gobierno saca tantas licencias como operadores hay, I, E y O no tienen por qué competir: cada uno sabe que se llevará la suya, y pujará el precio de salida.</w:t>
      </w:r>
    </w:p>
    <w:p>
      <w:pPr>
        <w:numPr>
          <w:ilvl w:val="0"/>
          <w:numId w:val="1106"/>
        </w:numPr>
      </w:pPr>
      <w:r>
        <w:rPr>
          <w:i/>
          <w:iCs/>
        </w:rPr>
        <w:t xml:space="preserve">Clásico: las subastas del 3G de 2000</w:t>
      </w:r>
      <w:r>
        <w:t xml:space="preserve">. 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 en los Países Bajos había tantas licencias como operadores instalados, y 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r>
        <w:t xml:space="preserve">(anexo </w:t>
      </w:r>
      <w:hyperlink w:anchor="anexo_clasicos">
        <w:r>
          <w:rPr>
            <w:rStyle w:val="Hyperlink"/>
          </w:rPr>
          <w:t xml:space="preserve">E</w:t>
        </w:r>
      </w:hyperlink>
      <w:r>
        <w:t xml:space="preserve">).</w:t>
      </w:r>
    </w:p>
    <w:bookmarkEnd w:id="152"/>
    <w:bookmarkEnd w:id="153"/>
    <w:bookmarkStart w:id="163" w:name="sec_multiunidad"/>
    <w:p>
      <w:pPr>
        <w:pStyle w:val="Heading3"/>
      </w:pPr>
      <w:r>
        <w:t xml:space="preserve">III.3.3.</w:t>
      </w:r>
      <w:r>
        <w:t xml:space="preserve"> </w:t>
      </w:r>
      <w:r>
        <w:t xml:space="preserve">Varias unidades, nuevos formatos y subastas en España y en la UE</w:t>
      </w:r>
    </w:p>
    <w:p>
      <w:pPr>
        <w:numPr>
          <w:ilvl w:val="0"/>
          <w:numId w:val="1108"/>
        </w:numPr>
      </w:pPr>
      <w:r>
        <w:rPr>
          <w:i/>
          <w:iCs/>
        </w:rPr>
        <w:t xml:space="preserve">Hilo</w:t>
      </w:r>
      <w:r>
        <w:t xml:space="preserve">: el Gobierno no vende una sola licencia, sino varios bloques de espectro, en varias bandas y a veces por regiones, e I, E y O quieren más de uno.</w:t>
      </w:r>
    </w:p>
    <w:p>
      <w:pPr>
        <w:keepNext/>
        <w:numPr>
          <w:ilvl w:val="0"/>
          <w:numId w:val="1108"/>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6</w:t>
        </w:r>
      </w:hyperlink>
      <w:r>
        <w:t xml:space="preserve">).</w:t>
      </w:r>
    </w:p>
    <w:p>
      <w:pPr>
        <w:numPr>
          <w:ilvl w:val="1"/>
          <w:numId w:val="1109"/>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09"/>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54"/>
      </w:r>
    </w:p>
    <w:p>
      <w:pPr>
        <w:keepNext/>
        <w:numPr>
          <w:ilvl w:val="0"/>
          <w:numId w:val="1108"/>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10"/>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10"/>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08"/>
        </w:numPr>
      </w:pPr>
      <w:r>
        <w:rPr>
          <w:i/>
          <w:iCs/>
        </w:rPr>
        <w:t xml:space="preserve">España y la UE</w:t>
      </w:r>
      <w:r>
        <w:t xml:space="preserve">:</w:t>
      </w:r>
    </w:p>
    <w:p>
      <w:pPr>
        <w:numPr>
          <w:ilvl w:val="1"/>
          <w:numId w:val="1111"/>
        </w:numPr>
      </w:pPr>
      <w:r>
        <w:rPr>
          <w:i/>
          <w:iCs/>
        </w:rPr>
        <w:t xml:space="preserve">Deuda pública</w:t>
      </w:r>
      <w:r>
        <w:t xml:space="preserve">: el Tesoro emite con una subasta de varias unidades híbrida, que llama «convencional corregida»: las pujas competitivas por encima del precio medio ponderado pagan ese precio medio, las que quedan entre él y el precio mínimo aceptado pagan lo que ofrecieron y las no competitivas pagan el precio medio</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55">
        <w:r>
          <w:rPr>
            <w:rStyle w:val="Referenciaatema"/>
          </w:rPr>
          <w:t xml:space="preserve">[ver tema 4.B.26]</w:t>
        </w:r>
      </w:hyperlink>
      <w:r>
        <w:t xml:space="preserve">.</w:t>
      </w:r>
    </w:p>
    <w:p>
      <w:pPr>
        <w:numPr>
          <w:ilvl w:val="1"/>
          <w:numId w:val="1111"/>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56">
        <w:r>
          <w:rPr>
            <w:rStyle w:val="Referenciaatema"/>
          </w:rPr>
          <w:t xml:space="preserve">[ver tema 4.A.12]</w:t>
        </w:r>
      </w:hyperlink>
      <w:r>
        <w:t xml:space="preserve">.</w:t>
      </w:r>
    </w:p>
    <w:p>
      <w:pPr>
        <w:numPr>
          <w:ilvl w:val="1"/>
          <w:numId w:val="1111"/>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57">
        <w:r>
          <w:rPr>
            <w:rStyle w:val="Referenciaatema"/>
          </w:rPr>
          <w:t xml:space="preserve">[ver tema 4.A.5]</w:t>
        </w:r>
      </w:hyperlink>
      <w:r>
        <w:t xml:space="preserve"> </w:t>
      </w:r>
      <w:hyperlink r:id="rId158">
        <w:r>
          <w:rPr>
            <w:rStyle w:val="Referenciaatema"/>
          </w:rPr>
          <w:t xml:space="preserve">[ver tema 4.A.6]</w:t>
        </w:r>
      </w:hyperlink>
      <w:r>
        <w:t xml:space="preserve">.</w:t>
      </w:r>
    </w:p>
    <w:p>
      <w:pPr>
        <w:numPr>
          <w:ilvl w:val="1"/>
          <w:numId w:val="1111"/>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58">
        <w:r>
          <w:rPr>
            <w:rStyle w:val="Referenciaatema"/>
          </w:rPr>
          <w:t xml:space="preserve">[ver tema 4.A.6]</w:t>
        </w:r>
      </w:hyperlink>
      <w:r>
        <w:t xml:space="preserve">.</w:t>
      </w:r>
    </w:p>
    <w:bookmarkStart w:id="162" w:name="fig_multiunidad"/>
    <w:p>
      <w:pPr>
        <w:pStyle w:val="ImageCaption"/>
      </w:pPr>
      <w:r>
        <w:t xml:space="preserve">Gráfico 6.–</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6.– Subasta de varias unidades: precio uniforme frente a precio discriminatorio" title="" id="160" name="Picture"/>
            <a:graphic>
              <a:graphicData uri="http://schemas.openxmlformats.org/drawingml/2006/picture">
                <pic:pic>
                  <pic:nvPicPr>
                    <pic:cNvPr descr="C:\Users\vgutierrez\Documents\src\victorgutierrezmarcos.github.io-revision\oposicion\temario\fuentes\3A14\graficos/multiunidad.png" id="161" name="Picture"/>
                    <pic:cNvPicPr>
                      <a:picLocks noChangeArrowheads="1" noChangeAspect="1"/>
                    </pic:cNvPicPr>
                  </pic:nvPicPr>
                  <pic:blipFill>
                    <a:blip r:embed="rId159"/>
                    <a:stretch>
                      <a:fillRect/>
                    </a:stretch>
                  </pic:blipFill>
                  <pic:spPr bwMode="auto">
                    <a:xfrm>
                      <a:off x="0" y="0"/>
                      <a:ext cx="3282950" cy="2124261"/>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63"/>
    <w:bookmarkStart w:id="165" w:name="sec_colusion_subastas"/>
    <w:p>
      <w:pPr>
        <w:pStyle w:val="Heading3"/>
      </w:pPr>
      <w:r>
        <w:t xml:space="preserve">III.3.4.</w:t>
      </w:r>
      <w:r>
        <w:t xml:space="preserve"> </w:t>
      </w:r>
      <w:r>
        <w:t xml:space="preserve">Colusión en las subastas: la rotación de ofertas</w:t>
      </w:r>
    </w:p>
    <w:p>
      <w:pPr>
        <w:numPr>
          <w:ilvl w:val="0"/>
          <w:numId w:val="1112"/>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numPr>
          <w:ilvl w:val="0"/>
          <w:numId w:val="1112"/>
        </w:numPr>
      </w:pPr>
      <w:r>
        <w:rPr>
          <w:i/>
          <w:iCs/>
        </w:rPr>
        <w:t xml:space="preserve">Hilo</w:t>
      </w:r>
      <w:r>
        <w:t xml:space="preserve">: el Gobierno subasta una banda cada pocos años. I y E acuerdan que en esta subasta solo puje en serio I, al precio de reserva, y en la próxima, E. Quien gana se lleva una ganancia</w:t>
      </w:r>
      <w:r>
        <w:t xml:space="preserve"> </w:t>
      </w:r>
      <m:oMath>
        <m:r>
          <m:t>G</m:t>
        </m:r>
      </m:oMath>
      <w:r>
        <w:t xml:space="preserve"> </w:t>
      </w:r>
      <w:r>
        <w:t xml:space="preserve">(lo que vale la licencia menos el precio de reserva), y el otro, nada. La tentación es para quien no le toca: pujar un poco más, quedarse hoy con</w:t>
      </w:r>
      <w:r>
        <w:t xml:space="preserve"> </w:t>
      </w:r>
      <m:oMath>
        <m:r>
          <m:t>G</m:t>
        </m:r>
      </m:oMath>
      <w:r>
        <w:t xml:space="preserve"> </w:t>
      </w:r>
      <w:r>
        <w:t xml:space="preserve">y romper el acuerdo, tras lo cual vuelve la competencia, que se lleva toda la ganancia. Al que le toca esperar una subasta, el acuerdo le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 y desviarse,</w:t>
      </w:r>
      <w:r>
        <w:t xml:space="preserve"> </w:t>
      </w:r>
      <m:oMath>
        <m:r>
          <m:t>G</m:t>
        </m:r>
      </m:oMath>
      <w:r>
        <w:t xml:space="preserve">; la rotación se sostiene si</w:t>
      </w:r>
      <w:r>
        <w:t xml:space="preserve"> </w:t>
      </w:r>
      <w:bookmarkStart w:id="164" w:name="eq_rotacion"/>
      <w:bookmarkEnd w:id="164"/>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113"/>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113"/>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p>
      <w:pPr>
        <w:keepNext/>
        <w:numPr>
          <w:ilvl w:val="0"/>
          <w:numId w:val="1112"/>
        </w:numPr>
      </w:pPr>
      <w:r>
        <w:rPr>
          <w:i/>
          <w:iCs/>
        </w:rPr>
        <w:t xml:space="preserve">Cómo la dificulta el diseño</w:t>
      </w:r>
      <w:r>
        <w:t xml:space="preserve">: el objetivo es que no haya «mañana» que repartir.</w:t>
      </w:r>
    </w:p>
    <w:p>
      <w:pPr>
        <w:numPr>
          <w:ilvl w:val="1"/>
          <w:numId w:val="1114"/>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1"/>
          <w:numId w:val="1114"/>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114"/>
        </w:numPr>
      </w:pPr>
      <w:r>
        <w:rPr>
          <w:i/>
          <w:iCs/>
        </w:rPr>
        <w:t xml:space="preserve">Más pujadores</w:t>
      </w:r>
      <w:r>
        <w:t xml:space="preserve">: cada uno espera más su turno y la condición se endurece (de 0,62 a 0,76 al pasar de 2 a 3), y el que entra de fuera no está en el acuerdo.</w:t>
      </w:r>
    </w:p>
    <w:p>
      <w:pPr>
        <w:numPr>
          <w:ilvl w:val="1"/>
          <w:numId w:val="1114"/>
        </w:numPr>
      </w:pPr>
      <w:r>
        <w:rPr>
          <w:i/>
          <w:iCs/>
        </w:rPr>
        <w:t xml:space="preserve">Precio de reserva</w:t>
      </w:r>
      <w:r>
        <w:t xml:space="preserve">: pone un suelo a lo que el cártel paga, y limita lo que la colusión le quita al vendedor.</w:t>
      </w:r>
    </w:p>
    <w:p>
      <w:pPr>
        <w:numPr>
          <w:ilvl w:val="1"/>
          <w:numId w:val="1114"/>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12"/>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112"/>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numPr>
          <w:ilvl w:val="0"/>
          <w:numId w:val="1115"/>
        </w:numPr>
      </w:pPr>
      <w:r>
        <w:rPr>
          <w:i/>
          <w:iCs/>
        </w:rPr>
        <w:t xml:space="preserve">Recapitulación del bloque III</w:t>
      </w:r>
      <w:r>
        <w:t xml:space="preserve">: la teoría de juegos se aplica en casi toda la economía; el diseño de mecanismos busca reglas en las que decir la verdad sea óptimo, y las subastas son su aplicación central. Con valores privados independientes, todos los formatos estándar asignan bien y recaudan lo mismo; el precio de reserva sube el ingreso a costa de la eficiencia; con valor común, ganar es una mala noticia, y revelar información ayuda. 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la historia ya sabe qué hacer: un formato en el que a I, E y O les convenga pujar lo que valoran, con suficientes pujadores, un precio de reserva y sin dar pistas para el reparto.</w:t>
      </w:r>
    </w:p>
    <w:bookmarkEnd w:id="165"/>
    <w:bookmarkEnd w:id="166"/>
    <w:bookmarkEnd w:id="167"/>
    <w:bookmarkStart w:id="168" w:name="conclusi__n"/>
    <w:p>
      <w:pPr>
        <w:pStyle w:val="Heading1"/>
      </w:pPr>
      <w:r>
        <w:t xml:space="preserve">Conclusión</w:t>
      </w:r>
      <w:r>
        <w:t xml:space="preserve"> </w:t>
      </w:r>
      <w:r>
        <w:rPr>
          <w:rStyle w:val="Minutos"/>
        </w:rPr>
        <w:t xml:space="preserve">1′</w:t>
      </w:r>
    </w:p>
    <w:p>
      <w:pPr>
        <w:keepNext/>
        <w:numPr>
          <w:ilvl w:val="0"/>
          <w:numId w:val="1116"/>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117"/>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117"/>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117"/>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numPr>
          <w:ilvl w:val="1"/>
          <w:numId w:val="1117"/>
        </w:numPr>
      </w:pPr>
      <w:r>
        <w:t xml:space="preserve">I y E han recorrido todo el camino: se han enfrentado en precios, han medido la credibilidad de sus amenazas, se han encontrado cada mes, se han ocultado información, han negociado y, al final, han pujado por el espectro.</w:t>
      </w:r>
    </w:p>
    <w:p>
      <w:pPr>
        <w:numPr>
          <w:ilvl w:val="0"/>
          <w:numId w:val="1116"/>
        </w:numPr>
      </w:pPr>
      <w:r>
        <w:rPr>
          <w:b/>
          <w:bCs/>
          <w:i/>
          <w:iCs/>
        </w:rPr>
        <w:t xml:space="preserve">Relevancia</w:t>
      </w:r>
      <w:r>
        <w:t xml:space="preserve">: 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r>
        <w:t xml:space="preserve"> </w:t>
      </w:r>
      <w:r>
        <w:rPr>
          <w:smallCaps/>
        </w:rPr>
        <w:t xml:space="preserve">Wilson</w:t>
      </w:r>
      <w:r>
        <w:t xml:space="preserve"> </w:t>
      </w:r>
      <w:r>
        <w:t xml:space="preserve">explicó la maldición del ganador;</w:t>
      </w:r>
      <w:r>
        <w:t xml:space="preserve"> </w:t>
      </w:r>
      <w:r>
        <w:rPr>
          <w:smallCaps/>
        </w:rPr>
        <w:t xml:space="preserve">Milgrom</w:t>
      </w:r>
      <w:r>
        <w:t xml:space="preserve">, por qué los formatos que revelan información dan más ingreso esperado con valores afiliados, y 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 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116"/>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0">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09">
        <w:r>
          <w:rPr>
            <w:rStyle w:val="Referenciaatema"/>
          </w:rPr>
          <w:t xml:space="preserve">[ver tema 3.A.1]</w:t>
        </w:r>
      </w:hyperlink>
      <w:r>
        <w:t xml:space="preserve">.</w:t>
      </w:r>
    </w:p>
    <w:p>
      <w:pPr>
        <w:numPr>
          <w:ilvl w:val="0"/>
          <w:numId w:val="1116"/>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16"/>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8"/>
    <w:bookmarkStart w:id="178" w:name="anexo_test"/>
    <w:p>
      <w:pPr>
        <w:pStyle w:val="Heading1"/>
      </w:pPr>
      <w:r>
        <w:t xml:space="preserve">A. Anexo: métodos y ejemplos para el test</w:t>
      </w:r>
    </w:p>
    <w:p>
      <w:pPr>
        <w:numPr>
          <w:ilvl w:val="0"/>
          <w:numId w:val="1118"/>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118"/>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6</w:t>
        </w:r>
      </w:hyperlink>
      <w:r>
        <w:t xml:space="preserve">).</w:t>
      </w:r>
    </w:p>
    <w:p>
      <w:pPr>
        <w:numPr>
          <w:ilvl w:val="0"/>
          <w:numId w:val="1118"/>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118"/>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119"/>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119"/>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119"/>
        </w:numPr>
      </w:pPr>
      <w:r>
        <w:t xml:space="preserve">(Fuera e Izquierda si entra; Derecha si entra) es EN de todo el juego, pero no ENPS, porque (Izquierda, Derecha) no es EN del subjuego.</w:t>
      </w:r>
    </w:p>
    <w:p>
      <w:pPr>
        <w:numPr>
          <w:ilvl w:val="0"/>
          <w:numId w:val="1118"/>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(1) hallar la mejor respuesta de</w:t>
      </w:r>
      <w:r>
        <w:t xml:space="preserve"> </w:t>
      </w:r>
      <w:r>
        <w:rPr>
          <w:i/>
          <w:iCs/>
        </w:rPr>
        <w:t xml:space="preserve">cada tipo</w:t>
      </w:r>
      <w:r>
        <w:t xml:space="preserve"> </w:t>
      </w:r>
      <w:r>
        <w:t xml:space="preserve">del jugador informado; (2) calcular el pago esperado del no informado con la distribución a priori; (3) comprobar para qué probabilidades cada perfil es equilibrio. Ejemplo resuelto: la entrada con capacidad desconocida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w:t>
      </w:r>
    </w:p>
    <w:p>
      <w:pPr>
        <w:numPr>
          <w:ilvl w:val="0"/>
          <w:numId w:val="1118"/>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numPr>
          <w:ilvl w:val="0"/>
          <w:numId w:val="1118"/>
        </w:numPr>
      </w:pPr>
      <w:r>
        <w:rPr>
          <w:i/>
          <w:iCs/>
        </w:rPr>
        <w:t xml:space="preserve">Subastas</w:t>
      </w:r>
      <w:r>
        <w:t xml:space="preserve">: en segundo precio (e inglesa con valores privados) se puja la valoración; 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 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74"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El salario es 4 y esforzarse cuesta 2; quien se escaquea y es descubierto no cobra; trabajar produce 6 (tabla </w:t>
      </w:r>
      <w:hyperlink w:anchor="tab_inspeccion">
        <w:r>
          <w:rPr>
            <w:rStyle w:val="Hyperlink"/>
          </w:rPr>
          <w:t xml:space="preserve">6</w:t>
        </w:r>
      </w:hyperlink>
      <w:r>
        <w:t xml:space="preserve">). No hay EN en puras: las mejores respuestas dan vueltas (gráfico </w:t>
      </w:r>
      <w:hyperlink w:anchor="fig_inspeccion">
        <w:r>
          <w:rPr>
            <w:rStyle w:val="Hyperlink"/>
          </w:rPr>
          <w:t xml:space="preserve">7</w:t>
        </w:r>
      </w:hyperlink>
      <w:r>
        <w:t xml:space="preserve">).</w:t>
      </w:r>
    </w:p>
    <w:p>
      <w:pPr>
        <w:numPr>
          <w:ilvl w:val="0"/>
          <w:numId w:val="1120"/>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120"/>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120"/>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69" w:name="tab_inspeccion"/>
    <w:p>
      <w:pPr>
        <w:pStyle w:val="TableCaption"/>
      </w:pPr>
      <w:r>
        <w:t xml:space="preserve">Tabla 6.–</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6.– El juego de la inspección (trabajador, filas; empresa, columnas): sin equilibrio en estrategias pura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rPr>
          <w:cantSplit/>
        </w:trP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rPr>
          <w:cantSplit/>
        </w:trP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69"/>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73" w:name="fig_inspeccion"/>
    <w:p>
      <w:pPr>
        <w:pStyle w:val="ImageCaption"/>
      </w:pPr>
      <w:r>
        <w:t xml:space="preserve">Gráfico 7.–</w:t>
      </w:r>
      <w:r>
        <w:t xml:space="preserve"> </w:t>
      </w:r>
      <w:r>
        <w:t xml:space="preserve">Mejores respuestas en el juego de la inspección y equilibrio en mixtas</w:t>
      </w:r>
    </w:p>
    <w:p>
      <w:pPr>
        <w:pStyle w:val="CaptionedFigure"/>
      </w:pPr>
      <w:r>
        <w:drawing>
          <wp:inline>
            <wp:extent cx="2776840" cy="2434322"/>
            <wp:effectExtent b="0" l="0" r="0" t="0"/>
            <wp:docPr descr="Gráfico 7.– Mejores respuestas en el juego de la inspección y equilibrio en mixtas" title="" id="171" name="Picture"/>
            <a:graphic>
              <a:graphicData uri="http://schemas.openxmlformats.org/drawingml/2006/picture">
                <pic:pic>
                  <pic:nvPicPr>
                    <pic:cNvPr descr="C:\Users\vgutierrez\Documents\src\victorgutierrezmarcos.github.io-revision\oposicion\temario\fuentes\3A14\graficos/inspeccion.png" id="172" name="Picture"/>
                    <pic:cNvPicPr>
                      <a:picLocks noChangeArrowheads="1" noChangeAspect="1"/>
                    </pic:cNvPicPr>
                  </pic:nvPicPr>
                  <pic:blipFill>
                    <a:blip r:embed="rId170"/>
                    <a:stretch>
                      <a:fillRect/>
                    </a:stretch>
                  </pic:blipFill>
                  <pic:spPr bwMode="auto">
                    <a:xfrm>
                      <a:off x="0" y="0"/>
                      <a:ext cx="2776840" cy="2434322"/>
                    </a:xfrm>
                    <a:prstGeom prst="rect">
                      <a:avLst/>
                    </a:prstGeom>
                    <a:noFill/>
                    <a:ln w="9525">
                      <a:noFill/>
                      <a:headEnd/>
                      <a:tailEnd/>
                    </a:ln>
                  </pic:spPr>
                </pic:pic>
              </a:graphicData>
            </a:graphic>
          </wp:inline>
        </w:drawing>
      </w:r>
    </w:p>
    <w:bookmarkEnd w:id="173"/>
    <w:p>
      <w:pPr>
        <w:pStyle w:val="Piedeimagen"/>
      </w:pPr>
      <w:r>
        <w:t xml:space="preserve">Fuente: elaboración propia.</w:t>
      </w:r>
    </w:p>
    <w:bookmarkEnd w:id="174"/>
    <w:bookmarkStart w:id="175"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121"/>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121"/>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121"/>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121"/>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75"/>
    <w:bookmarkStart w:id="177"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76">
        <w:r>
          <w:rPr>
            <w:rStyle w:val="Hyperlink"/>
          </w:rPr>
          <w:t xml:space="preserve">https://www.victorgutierrezmarcos.es/oposicion/temario/primer-ejercicio/test/simulador.html</w:t>
        </w:r>
      </w:hyperlink>
      <w:r>
        <w:t xml:space="preserve">.</w:t>
      </w:r>
    </w:p>
    <w:bookmarkEnd w:id="177"/>
    <w:bookmarkEnd w:id="178"/>
    <w:bookmarkStart w:id="179"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122"/>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122"/>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123"/>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123"/>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123"/>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122"/>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79"/>
    <w:bookmarkStart w:id="181" w:name="anexo_cooperativos"/>
    <w:p>
      <w:pPr>
        <w:pStyle w:val="Heading1"/>
      </w:pPr>
      <w:r>
        <w:t xml:space="preserve">C. Anexo: cálculo del núcleo y del valor de</w:t>
      </w:r>
      <w:r>
        <w:t xml:space="preserve"> </w:t>
      </w:r>
      <w:r>
        <w:rPr>
          <w:smallCaps/>
        </w:rPr>
        <w:t xml:space="preserve">Shapley</w:t>
      </w:r>
    </w:p>
    <w:p>
      <w:pPr>
        <w:numPr>
          <w:ilvl w:val="0"/>
          <w:numId w:val="1124"/>
        </w:numPr>
      </w:pPr>
      <w:r>
        <w:rPr>
          <w:i/>
          <w:iCs/>
        </w:rPr>
        <w:t xml:space="preserve">Núcleo del ejemplo</w:t>
      </w:r>
      <w:r>
        <w:t xml:space="preserve"> </w:t>
      </w:r>
      <w:r>
        <w:t xml:space="preserve">(</w:t>
      </w:r>
      <w:hyperlink w:anchor="sec_nucleo">
        <w:r>
          <w:rPr>
            <w:rStyle w:val="Hyperlink"/>
          </w:rPr>
          <w:t xml:space="preserve">II.3.2</w:t>
        </w:r>
      </w:hyperlink>
      <w:r>
        <w:t xml:space="preserve">; en la historia, el vendedor 1 es I 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124"/>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124"/>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7</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80" w:name="tab_shapley"/>
    <w:p>
      <w:pPr>
        <w:pStyle w:val="TableCaption"/>
      </w:pPr>
      <w:r>
        <w:t xml:space="preserve">Tabla 7.–</w:t>
      </w:r>
      <w:r>
        <w:t xml:space="preserve"> </w:t>
      </w:r>
      <w:r>
        <w:t xml:space="preserve">Aportaciones marginales en cada orden de llegada</w:t>
      </w:r>
    </w:p>
    <w:tbl>
      <w:tblPr>
        <w:tblStyle w:val="Table"/>
        <w:tblW w:type="auto" w:w="0"/>
        <w:tblLook w:firstRow="1" w:lastRow="0" w:firstColumn="0" w:lastColumn="0" w:noHBand="0" w:noVBand="0" w:val="0020"/>
        <w:tblCaption w:val="Tabla 7.– Aportaciones marginales en cada orden de llegada"/>
      </w:tblPr>
      <w:tblGrid>
        <w:gridCol w:w="1980"/>
        <w:gridCol w:w="1980"/>
        <w:gridCol w:w="1980"/>
        <w:gridCol w:w="1980"/>
      </w:tblGrid>
      <w:tr>
        <w:trPr>
          <w:cantSplit/>
          <w:tblHeader w:val="on"/>
        </w:trPr>
        <w:tc>
          <w:tcPr>
            <w:shd w:val="clear" w:color="auto" w:fill="DDEBF7"/>
            <w:vAlign w:val="center"/>
          </w:tcPr>
          <w:p>
            <w:pPr>
              <w:pStyle w:val="Celdatceeazulpalido"/>
              <w:jc w:val="center"/>
            </w:pPr>
            <w:r>
              <w:t xml:space="preserve"> </w:t>
            </w:r>
            <w:r>
              <w:rPr>
                <w:b/>
                <w:bCs/>
              </w:rPr>
              <w:t xml:space="preserve">Orden</w:t>
            </w:r>
          </w:p>
        </w:tc>
        <w:tc>
          <w:tcPr>
            <w:shd w:val="clear" w:color="auto" w:fill="DDEBF7"/>
            <w:vAlign w:val="center"/>
          </w:tcPr>
          <w:p>
            <w:pPr>
              <w:pStyle w:val="Celdatceeazulpalido"/>
              <w:jc w:val="center"/>
            </w:pPr>
            <w:r>
              <w:rPr>
                <w:b/>
                <w:bCs/>
              </w:rPr>
              <w:t xml:space="preserve">Vendedor (1)</w:t>
            </w:r>
          </w:p>
        </w:tc>
        <w:tc>
          <w:tcPr>
            <w:shd w:val="clear" w:color="auto" w:fill="DDEBF7"/>
            <w:vAlign w:val="center"/>
          </w:tcPr>
          <w:p>
            <w:pPr>
              <w:pStyle w:val="Celdatceeazulpalido"/>
              <w:jc w:val="center"/>
            </w:pPr>
            <w:r>
              <w:rPr>
                <w:b/>
                <w:bCs/>
              </w:rPr>
              <w:t xml:space="preserve">Comprador 2</w:t>
            </w:r>
          </w:p>
        </w:tc>
        <w:tc>
          <w:tcPr>
            <w:shd w:val="clear" w:color="auto" w:fill="DDEBF7"/>
            <w:vAlign w:val="center"/>
          </w:tcPr>
          <w:p>
            <w:pPr>
              <w:pStyle w:val="Celdatceeazulpalido"/>
              <w:jc w:val="center"/>
            </w:pPr>
            <w:r>
              <w:rPr>
                <w:b/>
                <w:bCs/>
              </w:rPr>
              <w:t xml:space="preserve">Comprador 3</w:t>
            </w:r>
          </w:p>
        </w:tc>
      </w:tr>
      <w:tr>
        <w:trPr>
          <w:cantSplit/>
        </w:trP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rPr>
          <w:cantSplit/>
        </w:trP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rPr>
          <w:cantSplit/>
        </w:trP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rPr>
          <w:cantSplit/>
        </w:trP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shd w:val="clear" w:color="auto" w:fill="E2EFD9"/>
            <w:vAlign w:val="center"/>
          </w:tcPr>
          <w:p>
            <w:pPr>
              <w:pStyle w:val="Celdatceesalvia"/>
              <w:jc w:val="center"/>
            </w:pPr>
            <w:r>
              <w:t xml:space="preserve"> </w:t>
            </w:r>
            <w:r>
              <w:rPr>
                <w:b/>
                <w:bCs/>
              </w:rPr>
              <w:t xml:space="preserve">Media</w:t>
            </w:r>
          </w:p>
        </w:tc>
        <w:tc>
          <w:tcPr>
            <w:shd w:val="clear" w:color="auto" w:fill="E2EFD9"/>
            <w:vAlign w:val="center"/>
          </w:tcPr>
          <w:p>
            <w:pPr>
              <w:pStyle w:val="Celdatceesalvia"/>
              <w:jc w:val="center"/>
            </w:pPr>
            <m:oMath>
              <m:r>
                <m:t>66</m:t>
              </m:r>
              <m:f>
                <m:fPr>
                  <m:type m:val="lin"/>
                </m:fPr>
                <m:num>
                  <m:r>
                    <m:t>2</m:t>
                  </m:r>
                </m:num>
                <m:den>
                  <m:r>
                    <m:t>3</m:t>
                  </m:r>
                </m:den>
              </m:f>
            </m:oMath>
          </w:p>
        </w:tc>
        <w:tc>
          <w:tcPr>
            <w:shd w:val="clear" w:color="auto" w:fill="E2EFD9"/>
            <w:vAlign w:val="center"/>
          </w:tcPr>
          <w:p>
            <w:pPr>
              <w:pStyle w:val="Celdatceesalvia"/>
              <w:jc w:val="center"/>
            </w:pPr>
            <m:oMath>
              <m:r>
                <m:t>6</m:t>
              </m:r>
              <m:f>
                <m:fPr>
                  <m:type m:val="lin"/>
                </m:fPr>
                <m:num>
                  <m:r>
                    <m:t>2</m:t>
                  </m:r>
                </m:num>
                <m:den>
                  <m:r>
                    <m:t>3</m:t>
                  </m:r>
                </m:den>
              </m:f>
            </m:oMath>
          </w:p>
        </w:tc>
        <w:tc>
          <w:tcPr>
            <w:shd w:val="clear" w:color="auto" w:fill="E2EFD9"/>
            <w:vAlign w:val="center"/>
          </w:tcPr>
          <w:p>
            <w:pPr>
              <w:pStyle w:val="Celdatceesalvia"/>
              <w:jc w:val="center"/>
            </w:pPr>
            <m:oMath>
              <m:r>
                <m:t>26</m:t>
              </m:r>
              <m:f>
                <m:fPr>
                  <m:type m:val="lin"/>
                </m:fPr>
                <m:num>
                  <m:r>
                    <m:t>2</m:t>
                  </m:r>
                </m:num>
                <m:den>
                  <m:r>
                    <m:t>3</m:t>
                  </m:r>
                </m:den>
              </m:f>
            </m:oMath>
          </w:p>
        </w:tc>
      </w:tr>
    </w:tbl>
    <w:bookmarkEnd w:id="180"/>
    <w:p>
      <w:pPr>
        <w:pStyle w:val="BodyText"/>
      </w:pPr>
      <w:r>
        <w:rPr>
          <w:i/>
          <w:iCs/>
        </w:rPr>
        <w:t xml:space="preserve">Fuente: elaboración propia.</w:t>
      </w:r>
    </w:p>
    <w:bookmarkEnd w:id="181"/>
    <w:bookmarkStart w:id="182" w:name="anexo_subastas"/>
    <w:p>
      <w:pPr>
        <w:pStyle w:val="Heading1"/>
      </w:pPr>
      <w:r>
        <w:t xml:space="preserve">D. Anexo: subastas, derivaciones</w:t>
      </w:r>
    </w:p>
    <w:p>
      <w:pPr>
        <w:numPr>
          <w:ilvl w:val="0"/>
          <w:numId w:val="1125"/>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125"/>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125"/>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125"/>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82"/>
    <w:bookmarkStart w:id="201" w:name="anexo_clasicos"/>
    <w:p>
      <w:pPr>
        <w:pStyle w:val="Heading1"/>
      </w:pPr>
      <w:r>
        <w:t xml:space="preserve">E. Anexo: ejemplos clásicos y su aplicación en otros temas</w:t>
      </w:r>
    </w:p>
    <w:p>
      <w:pPr>
        <w:numPr>
          <w:ilvl w:val="0"/>
          <w:numId w:val="1126"/>
        </w:numPr>
      </w:pPr>
      <w:r>
        <w:t xml:space="preserve">Cada concepto del cuerpo se ilustra primero con la historia de</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84" w:name="el_dilema_del_prisionero_dominanci_85352"/>
    <w:p>
      <w:pPr>
        <w:pStyle w:val="Heading2"/>
      </w:pPr>
      <w:r>
        <w:t xml:space="preserve">El dilema del prisionero: dominancia y equilibrio ineficiente</w:t>
      </w:r>
    </w:p>
    <w:p>
      <w:pPr>
        <w:numPr>
          <w:ilvl w:val="0"/>
          <w:numId w:val="1127"/>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8</w:t>
        </w:r>
      </w:hyperlink>
      <w:r>
        <w:t xml:space="preserve">). Si los 2 callan, solo se les puede condenar por un delito menor (1 año); si uno confiesa y el otro calla, el que confiesa queda libre y el otro cumple 10 años; si los 2 confiesan, 5 años cada uno.</w:t>
      </w:r>
    </w:p>
    <w:p>
      <w:pPr>
        <w:numPr>
          <w:ilvl w:val="0"/>
          <w:numId w:val="1127"/>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127"/>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127"/>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83" w:name="tab_prisionero_clasico"/>
    <w:p>
      <w:pPr>
        <w:pStyle w:val="TableCaption"/>
      </w:pPr>
      <w:r>
        <w:t xml:space="preserve">Tabla 8.–</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8.– El dilema del prisionero (jugador 1, filas; pagos: años de cárcel con signo negativ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rPr>
          <w:cantSplit/>
        </w:trP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rPr>
          <w:cantSplit/>
        </w:trP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83"/>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84"/>
    <w:bookmarkStart w:id="187" w:name="la_batalla_de_los_sexos_coordinaci_61663"/>
    <w:p>
      <w:pPr>
        <w:pStyle w:val="Heading2"/>
      </w:pPr>
      <w:r>
        <w:t xml:space="preserve">La batalla de los sexos: coordinación y varios equilibrios</w:t>
      </w:r>
    </w:p>
    <w:p>
      <w:pPr>
        <w:numPr>
          <w:ilvl w:val="0"/>
          <w:numId w:val="1128"/>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9</w:t>
        </w:r>
      </w:hyperlink>
      <w:r>
        <w:t xml:space="preserve">).</w:t>
      </w:r>
    </w:p>
    <w:p>
      <w:pPr>
        <w:numPr>
          <w:ilvl w:val="0"/>
          <w:numId w:val="1128"/>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128"/>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128"/>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85">
        <w:r>
          <w:rPr>
            <w:rStyle w:val="Referenciaatema"/>
          </w:rPr>
          <w:t xml:space="preserve">[ver tema 3.B.45]</w:t>
        </w:r>
      </w:hyperlink>
      <w:r>
        <w:t xml:space="preserve">.</w:t>
      </w:r>
    </w:p>
    <w:bookmarkStart w:id="186" w:name="tab_batalla_sexos"/>
    <w:p>
      <w:pPr>
        <w:pStyle w:val="TableCaption"/>
      </w:pPr>
      <w:r>
        <w:t xml:space="preserve">Tabla 9.–</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9.– La batalla de los sexos (jugador 1, filas, prefiere el fútbol; jugador 2, columnas, el teatr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rPr>
          <w:cantSplit/>
        </w:trPr>
        <w:tc>
          <w:tcPr>
            <w:vAlign w:val="center"/>
          </w:tcPr>
          <w:p>
            <w:pPr>
              <w:pStyle w:val="Compact"/>
              <w:jc w:val="center"/>
            </w:pPr>
            <w:r>
              <w:rPr>
                <w:b/>
                <w:bCs/>
              </w:rPr>
              <w:t xml:space="preserve">Fútbol</w:t>
            </w:r>
          </w:p>
        </w:tc>
        <w:tc>
          <w:tcPr>
            <w:shd w:val="clear" w:color="auto" w:fill="E2EFD9"/>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rPr>
          <w:cantSplit/>
        </w:trP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86"/>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87"/>
    <w:bookmarkStart w:id="190" w:name="el_juego_de_la_gallina_qui__n_cede_22310"/>
    <w:p>
      <w:pPr>
        <w:pStyle w:val="Heading2"/>
      </w:pPr>
      <w:r>
        <w:t xml:space="preserve">El juego de la gallina: quién cede primero</w:t>
      </w:r>
    </w:p>
    <w:p>
      <w:pPr>
        <w:numPr>
          <w:ilvl w:val="0"/>
          <w:numId w:val="1129"/>
        </w:numPr>
      </w:pPr>
      <w:r>
        <w:rPr>
          <w:i/>
          <w:iCs/>
        </w:rPr>
        <w:t xml:space="preserve">Juego</w:t>
      </w:r>
      <w:r>
        <w:t xml:space="preserve">: 2 conductores van de frente; el que se aparta es «la gallina». Si se aparta uno, gana el otro; si se apartan los 2, empatan; si no se aparta ninguno, chocan, el peor resultado para los 2.</w:t>
      </w:r>
    </w:p>
    <w:p>
      <w:pPr>
        <w:numPr>
          <w:ilvl w:val="0"/>
          <w:numId w:val="1129"/>
        </w:numPr>
      </w:pPr>
      <w:r>
        <w:rPr>
          <w:i/>
          <w:iCs/>
        </w:rPr>
        <w:t xml:space="preserve">Una lectura de 2012: España y el BCE</w:t>
      </w:r>
      <w:r>
        <w:t xml:space="preserve"> </w:t>
      </w:r>
      <w:r>
        <w:t xml:space="preserve">(tabla </w:t>
      </w:r>
      <w:hyperlink w:anchor="tab_gallina">
        <w:r>
          <w:rPr>
            <w:rStyle w:val="Hyperlink"/>
          </w:rPr>
          <w:t xml:space="preserve">10</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129"/>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129"/>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129"/>
        </w:numPr>
      </w:pPr>
      <w:r>
        <w:rPr>
          <w:i/>
          <w:iCs/>
        </w:rPr>
        <w:t xml:space="preserve">En el temario</w:t>
      </w:r>
      <w:r>
        <w:t xml:space="preserve">: la crisis del sistema financiero español y su rescate</w:t>
      </w:r>
      <w:r>
        <w:t xml:space="preserve"> </w:t>
      </w:r>
      <w:hyperlink r:id="rId188">
        <w:r>
          <w:rPr>
            <w:rStyle w:val="Referenciaatema"/>
          </w:rPr>
          <w:t xml:space="preserve">[ver tema 4.A.18]</w:t>
        </w:r>
      </w:hyperlink>
      <w:r>
        <w:t xml:space="preserve">, los ataques especulativos con varios equilibrios</w:t>
      </w:r>
      <w:r>
        <w:t xml:space="preserve"> </w:t>
      </w:r>
      <w:hyperlink r:id="rId126">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189" w:name="tab_gallina"/>
    <w:p>
      <w:pPr>
        <w:pStyle w:val="TableCaption"/>
      </w:pPr>
      <w:r>
        <w:t xml:space="preserve">Tabla 10.–</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0.– El juego de la gallina entre el BCE (filas) y España (columnas) en 2012, en forma estilizada"/>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rPr>
          <w:cantSplit/>
        </w:trP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rPr>
          <w:cantSplit/>
        </w:trPr>
        <w:tc>
          <w:tcPr>
            <w:vAlign w:val="center"/>
          </w:tcPr>
          <w:p>
            <w:pPr>
              <w:pStyle w:val="Compact"/>
              <w:jc w:val="center"/>
            </w:pPr>
            <w:r>
              <w:rPr>
                <w:b/>
                <w:bCs/>
              </w:rPr>
              <w:t xml:space="preserve">Dejar de financiar</w:t>
            </w:r>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189"/>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190"/>
    <w:bookmarkStart w:id="191" w:name="pares_o_nones_y_la_inspecci__n_est_30174"/>
    <w:p>
      <w:pPr>
        <w:pStyle w:val="Heading2"/>
      </w:pPr>
      <w:r>
        <w:t xml:space="preserve">Pares o nones y la inspección: estrategias mixtas</w:t>
      </w:r>
    </w:p>
    <w:p>
      <w:pPr>
        <w:numPr>
          <w:ilvl w:val="0"/>
          <w:numId w:val="1130"/>
        </w:numPr>
      </w:pPr>
      <w:r>
        <w:rPr>
          <w:i/>
          <w:iCs/>
        </w:rPr>
        <w:t xml:space="preserve">Juego</w:t>
      </w:r>
      <w:r>
        <w:t xml:space="preserve">: cada jugador saca a la vez 1 o 2 dedos; si la suma es par gana el 1 y, si es impar, el 2, que paga 1 al otro. Es de suma cero.</w:t>
      </w:r>
    </w:p>
    <w:p>
      <w:pPr>
        <w:numPr>
          <w:ilvl w:val="0"/>
          <w:numId w:val="1130"/>
        </w:numPr>
      </w:pPr>
      <w:r>
        <w:rPr>
          <w:i/>
          <w:iCs/>
        </w:rPr>
        <w:t xml:space="preserve">Equilibrio</w:t>
      </w:r>
      <w:r>
        <w:t xml:space="preserve">: no hay EN en puras (el que pierde siempre quiere cambiar);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w:t>
      </w:r>
    </w:p>
    <w:p>
      <w:pPr>
        <w:numPr>
          <w:ilvl w:val="0"/>
          <w:numId w:val="1130"/>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6</w:t>
        </w:r>
      </w:hyperlink>
      <w:r>
        <w:t xml:space="preserve">), encarecer la vigilancia no cambia cuánto vigila la empresa, sino cuánto se escaquea el trabajador.</w:t>
      </w:r>
    </w:p>
    <w:p>
      <w:pPr>
        <w:numPr>
          <w:ilvl w:val="0"/>
          <w:numId w:val="1130"/>
        </w:numPr>
      </w:pPr>
      <w:r>
        <w:rPr>
          <w:i/>
          <w:iCs/>
        </w:rPr>
        <w:t xml:space="preserve">En el temario</w:t>
      </w:r>
      <w:r>
        <w:t xml:space="preserve">: 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 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la inspección tributaria y la evasión.</w:t>
      </w:r>
    </w:p>
    <w:bookmarkEnd w:id="191"/>
    <w:bookmarkStart w:id="192" w:name="hern__n_cort__s_quema_las_naves_co_29073"/>
    <w:p>
      <w:pPr>
        <w:pStyle w:val="Heading2"/>
      </w:pPr>
      <w:r>
        <w:t xml:space="preserve">Hernán Cortés quema las naves: compromiso</w:t>
      </w:r>
    </w:p>
    <w:p>
      <w:pPr>
        <w:numPr>
          <w:ilvl w:val="0"/>
          <w:numId w:val="1131"/>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131"/>
        </w:numPr>
      </w:pPr>
      <w:r>
        <w:rPr>
          <w:i/>
          <w:iCs/>
        </w:rPr>
        <w:t xml:space="preserve">Equilibrio</w:t>
      </w:r>
      <w:r>
        <w:t xml:space="preserve">: el ENPS empieza por destruir los barcos: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131"/>
        </w:numPr>
      </w:pPr>
      <w:r>
        <w:rPr>
          <w:i/>
          <w:iCs/>
        </w:rPr>
        <w:t xml:space="preserve">Moraleja</w:t>
      </w:r>
      <w:r>
        <w:t xml:space="preserve">: «Quemar las naves»: un compromiso es creíble cuando es irreversible y cambia lo que a uno le conviene hacer después.</w:t>
      </w:r>
    </w:p>
    <w:p>
      <w:pPr>
        <w:numPr>
          <w:ilvl w:val="0"/>
          <w:numId w:val="1131"/>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25">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End w:id="192"/>
    <w:bookmarkStart w:id="193" w:name="la_paradoja_de_la_cadena_de_tienda_30762"/>
    <w:p>
      <w:pPr>
        <w:pStyle w:val="Heading2"/>
      </w:pPr>
      <w:r>
        <w:t xml:space="preserve">La paradoja de la cadena de tiendas: repetición finita y reputación</w:t>
      </w:r>
    </w:p>
    <w:p>
      <w:pPr>
        <w:numPr>
          <w:ilvl w:val="0"/>
          <w:numId w:val="1132"/>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w:t>
      </w:r>
    </w:p>
    <w:p>
      <w:pPr>
        <w:numPr>
          <w:ilvl w:val="0"/>
          <w:numId w:val="1132"/>
        </w:numPr>
      </w:pPr>
      <w:r>
        <w:rPr>
          <w:i/>
          <w:iCs/>
        </w:rPr>
        <w:t xml:space="preserve">Equilibrio</w:t>
      </w:r>
      <w:r>
        <w:t xml:space="preserve">: en la ciudad 20 la cadena acomoda, porque ya no hay futuro que proteger; sabiéndolo, en la 19 tampoco le sirve luchar, y así hasta la primera. En el único ENPS, todos entran y la cadena acomoda siempre.</w:t>
      </w:r>
    </w:p>
    <w:p>
      <w:pPr>
        <w:numPr>
          <w:ilvl w:val="0"/>
          <w:numId w:val="1132"/>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132"/>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End w:id="193"/>
    <w:bookmarkStart w:id="194" w:name="el_juego_del_ultim__tum_negociaci__07282"/>
    <w:p>
      <w:pPr>
        <w:pStyle w:val="Heading2"/>
      </w:pPr>
      <w:r>
        <w:t xml:space="preserve">El juego del ultimátum: negociación y equidad</w:t>
      </w:r>
    </w:p>
    <w:p>
      <w:pPr>
        <w:numPr>
          <w:ilvl w:val="0"/>
          <w:numId w:val="1133"/>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el 2 acepta, y se reparte así, o rechaza, y ninguno cobra nada.</w:t>
      </w:r>
    </w:p>
    <w:p>
      <w:pPr>
        <w:numPr>
          <w:ilvl w:val="0"/>
          <w:numId w:val="1133"/>
        </w:numPr>
      </w:pPr>
      <w:r>
        <w:rPr>
          <w:i/>
          <w:iCs/>
        </w:rPr>
        <w:t xml:space="preserve">Equilibrio</w:t>
      </w:r>
      <w:r>
        <w:t xml:space="preserve">: con jugadores que solo se preocupan por su dinero, el 2 acepta cualquier cantidad positiva y el ENPS es ofrecerle lo mínimo. En el laboratorio, muchas propuestas se acercan a la mitad y las ofertas muy bajas se rechazan con frecuencia, aunque rechazar cueste dinero.</w:t>
      </w:r>
    </w:p>
    <w:p>
      <w:pPr>
        <w:numPr>
          <w:ilvl w:val="0"/>
          <w:numId w:val="1133"/>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133"/>
        </w:numPr>
      </w:pPr>
      <w:r>
        <w:rPr>
          <w:i/>
          <w:iCs/>
        </w:rPr>
        <w:t xml:space="preserve">En el temario</w:t>
      </w:r>
      <w:r>
        <w:t xml:space="preserve">: la economía conductual</w:t>
      </w:r>
      <w:r>
        <w:t xml:space="preserve"> </w:t>
      </w:r>
      <w:hyperlink r:id="rId109">
        <w:r>
          <w:rPr>
            <w:rStyle w:val="Referenciaatema"/>
          </w:rPr>
          <w:t xml:space="preserve">[ver tema 3.A.1]</w:t>
        </w:r>
      </w:hyperlink>
      <w:r>
        <w:t xml:space="preserve"> </w:t>
      </w:r>
      <w:r>
        <w:t xml:space="preserve">y la negociación salarial</w:t>
      </w:r>
      <w:r>
        <w:t xml:space="preserve"> </w:t>
      </w:r>
      <w:hyperlink r:id="rId22">
        <w:r>
          <w:rPr>
            <w:rStyle w:val="Referenciaatema"/>
          </w:rPr>
          <w:t xml:space="preserve">[ver tema 3.A.27]</w:t>
        </w:r>
      </w:hyperlink>
      <w:r>
        <w:t xml:space="preserve">.</w:t>
      </w:r>
    </w:p>
    <w:bookmarkEnd w:id="194"/>
    <w:bookmarkStart w:id="195" w:name="cerveza_o_quiche_se__alizaci__n_y__76658"/>
    <w:p>
      <w:pPr>
        <w:pStyle w:val="Heading2"/>
      </w:pPr>
      <w:r>
        <w:t xml:space="preserve">Cerveza o quiche: señalización y criterio intuitivo</w:t>
      </w:r>
    </w:p>
    <w:p>
      <w:pPr>
        <w:numPr>
          <w:ilvl w:val="0"/>
          <w:numId w:val="1134"/>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w:t>
      </w:r>
    </w:p>
    <w:p>
      <w:pPr>
        <w:numPr>
          <w:ilvl w:val="0"/>
          <w:numId w:val="1134"/>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134"/>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134"/>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134"/>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End w:id="195"/>
    <w:bookmarkStart w:id="196"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135"/>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135"/>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w:t>
      </w:r>
    </w:p>
    <w:p>
      <w:pPr>
        <w:numPr>
          <w:ilvl w:val="0"/>
          <w:numId w:val="1135"/>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135"/>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0">
        <w:r>
          <w:rPr>
            <w:rStyle w:val="Referenciaatema"/>
          </w:rPr>
          <w:t xml:space="preserve">[ver tema 3.A.24]</w:t>
        </w:r>
      </w:hyperlink>
      <w:r>
        <w:t xml:space="preserve">.</w:t>
      </w:r>
    </w:p>
    <w:bookmarkEnd w:id="196"/>
    <w:bookmarkStart w:id="197" w:name="las_licitaciones_de_petr__leo_del__01077"/>
    <w:p>
      <w:pPr>
        <w:pStyle w:val="Heading2"/>
      </w:pPr>
      <w:r>
        <w:t xml:space="preserve">Las licitaciones de petróleo del golfo de México: la maldición del ganador</w:t>
      </w:r>
    </w:p>
    <w:p>
      <w:pPr>
        <w:numPr>
          <w:ilvl w:val="0"/>
          <w:numId w:val="1136"/>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136"/>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136"/>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36"/>
        </w:numPr>
      </w:pPr>
      <w:r>
        <w:rPr>
          <w:i/>
          <w:iCs/>
        </w:rPr>
        <w:t xml:space="preserve">En el temario</w:t>
      </w:r>
      <w:r>
        <w:t xml:space="preserve">: la selección adversa, en la que también ser elegido es una mala noticia</w:t>
      </w:r>
      <w:r>
        <w:t xml:space="preserve"> </w:t>
      </w:r>
      <w:hyperlink r:id="rId31">
        <w:r>
          <w:rPr>
            <w:rStyle w:val="Referenciaatema"/>
          </w:rPr>
          <w:t xml:space="preserve">[ver tema 3.A.13]</w:t>
        </w:r>
      </w:hyperlink>
      <w:r>
        <w:t xml:space="preserve">; la aversión al riesgo de los pujadores</w:t>
      </w:r>
      <w:r>
        <w:t xml:space="preserve"> </w:t>
      </w:r>
      <w:hyperlink r:id="rId26">
        <w:r>
          <w:rPr>
            <w:rStyle w:val="Referenciaatema"/>
          </w:rPr>
          <w:t xml:space="preserve">[ver tema 3.A.10]</w:t>
        </w:r>
      </w:hyperlink>
      <w:r>
        <w:t xml:space="preserve">, y las subastas de espectro</w:t>
      </w:r>
      <w:r>
        <w:t xml:space="preserve"> </w:t>
      </w:r>
      <w:hyperlink r:id="rId156">
        <w:r>
          <w:rPr>
            <w:rStyle w:val="Referenciaatema"/>
          </w:rPr>
          <w:t xml:space="preserve">[ver tema 4.A.12]</w:t>
        </w:r>
      </w:hyperlink>
      <w:r>
        <w:t xml:space="preserve">.</w:t>
      </w:r>
    </w:p>
    <w:bookmarkEnd w:id="197"/>
    <w:bookmarkStart w:id="198" w:name="la_jarra_de_monedas_la_maldici__n__34283"/>
    <w:p>
      <w:pPr>
        <w:pStyle w:val="Heading2"/>
      </w:pPr>
      <w:r>
        <w:t xml:space="preserve">La jarra de monedas: la maldición del ganador en el aula</w:t>
      </w:r>
    </w:p>
    <w:p>
      <w:pPr>
        <w:numPr>
          <w:ilvl w:val="0"/>
          <w:numId w:val="1137"/>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137"/>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Ganaba quien más había sobrestimado, y no lo descontaba al pujar.</w:t>
      </w:r>
    </w:p>
    <w:p>
      <w:pPr>
        <w:numPr>
          <w:ilvl w:val="0"/>
          <w:numId w:val="1137"/>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37"/>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End w:id="198"/>
    <w:bookmarkStart w:id="199" w:name="las_subastas_del_3g_de_2000_atraer_81492"/>
    <w:p>
      <w:pPr>
        <w:pStyle w:val="Heading2"/>
      </w:pPr>
      <w:r>
        <w:t xml:space="preserve">Las subastas del 3G de 2000: atraer pujadores</w:t>
      </w:r>
    </w:p>
    <w:p>
      <w:pPr>
        <w:numPr>
          <w:ilvl w:val="0"/>
          <w:numId w:val="1138"/>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38"/>
        </w:numPr>
      </w:pPr>
      <w:r>
        <w:rPr>
          <w:i/>
          <w:iCs/>
        </w:rPr>
        <w:t xml:space="preserve">Qué pasó</w:t>
      </w:r>
      <w:r>
        <w:t xml:space="preserve">: 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 En los Países Bajos había tantas licencias como operadores instalados, y los entrantes apenas tenían opciones; 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38"/>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138"/>
        </w:numPr>
      </w:pPr>
      <w:r>
        <w:rPr>
          <w:i/>
          <w:iCs/>
        </w:rPr>
        <w:t xml:space="preserve">En el temario</w:t>
      </w:r>
      <w:r>
        <w:t xml:space="preserve">: las telecomunicaciones</w:t>
      </w:r>
      <w:r>
        <w:t xml:space="preserve"> </w:t>
      </w:r>
      <w:hyperlink r:id="rId156">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End w:id="199"/>
    <w:bookmarkStart w:id="200" w:name="la_subasta_alemana_de_espectro_de__02641"/>
    <w:p>
      <w:pPr>
        <w:pStyle w:val="Heading2"/>
      </w:pPr>
      <w:r>
        <w:t xml:space="preserve">La subasta alemana de espectro de 1999: pujas que hablan</w:t>
      </w:r>
    </w:p>
    <w:p>
      <w:pPr>
        <w:numPr>
          <w:ilvl w:val="0"/>
          <w:numId w:val="1139"/>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139"/>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39"/>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139"/>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56">
        <w:r>
          <w:rPr>
            <w:rStyle w:val="Referenciaatema"/>
          </w:rPr>
          <w:t xml:space="preserve">[ver tema 4.A.12]</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00"/>
    <w:bookmarkEnd w:id="201"/>
    <w:bookmarkStart w:id="410" w:name="bibliografia"/>
    <w:p>
      <w:pPr>
        <w:pStyle w:val="Heading1"/>
      </w:pPr>
      <w:r>
        <w:t xml:space="preserve">Bibliografía</w:t>
      </w:r>
    </w:p>
    <w:bookmarkStart w:id="409" w:name="refs"/>
    <w:bookmarkStart w:id="203"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02">
        <w:r>
          <w:rPr>
            <w:rStyle w:val="Hyperlink"/>
          </w:rPr>
          <w:t xml:space="preserve">https://doi.org/10.1257/aer.100.3.724</w:t>
        </w:r>
      </w:hyperlink>
      <w:r>
        <w:t xml:space="preserve">.</w:t>
      </w:r>
    </w:p>
    <w:bookmarkEnd w:id="203"/>
    <w:bookmarkStart w:id="204"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04"/>
    <w:bookmarkStart w:id="206"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05">
        <w:r>
          <w:rPr>
            <w:rStyle w:val="Hyperlink"/>
          </w:rPr>
          <w:t xml:space="preserve">https://doi.org/10.1214/aos/1176343654</w:t>
        </w:r>
      </w:hyperlink>
      <w:r>
        <w:t xml:space="preserve">.</w:t>
      </w:r>
    </w:p>
    <w:bookmarkEnd w:id="206"/>
    <w:bookmarkStart w:id="207"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07"/>
    <w:bookmarkStart w:id="209"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08">
        <w:r>
          <w:rPr>
            <w:rStyle w:val="Hyperlink"/>
          </w:rPr>
          <w:t xml:space="preserve">https://doi.org/10.1093/restud/rdu023</w:t>
        </w:r>
      </w:hyperlink>
      <w:r>
        <w:t xml:space="preserve">.</w:t>
      </w:r>
    </w:p>
    <w:bookmarkEnd w:id="209"/>
    <w:bookmarkStart w:id="210"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10"/>
    <w:bookmarkStart w:id="212"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11">
        <w:r>
          <w:rPr>
            <w:rStyle w:val="Hyperlink"/>
          </w:rPr>
          <w:t xml:space="preserve">https://www.ecb.europa.eu/press/pr/date/2012/html/pr120906_1.en.html</w:t>
        </w:r>
      </w:hyperlink>
      <w:r>
        <w:t xml:space="preserve">.</w:t>
      </w:r>
    </w:p>
    <w:bookmarkEnd w:id="212"/>
    <w:bookmarkStart w:id="214"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13">
        <w:r>
          <w:rPr>
            <w:rStyle w:val="Hyperlink"/>
          </w:rPr>
          <w:t xml:space="preserve">https://doi.org/10.1016/0304-3932(83)90051-X</w:t>
        </w:r>
      </w:hyperlink>
      <w:r>
        <w:t xml:space="preserve">.</w:t>
      </w:r>
    </w:p>
    <w:bookmarkEnd w:id="214"/>
    <w:bookmarkStart w:id="216"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15">
        <w:r>
          <w:rPr>
            <w:rStyle w:val="Hyperlink"/>
          </w:rPr>
          <w:t xml:space="preserve">https://doi.org/10.1177/0022002783027004003</w:t>
        </w:r>
      </w:hyperlink>
      <w:r>
        <w:t xml:space="preserve">.</w:t>
      </w:r>
    </w:p>
    <w:bookmarkEnd w:id="216"/>
    <w:bookmarkStart w:id="218"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17">
        <w:r>
          <w:rPr>
            <w:rStyle w:val="Hyperlink"/>
          </w:rPr>
          <w:t xml:space="preserve">https://doi.org/10.1111/1468-0297.00020</w:t>
        </w:r>
      </w:hyperlink>
      <w:r>
        <w:t xml:space="preserve">.</w:t>
      </w:r>
    </w:p>
    <w:bookmarkEnd w:id="218"/>
    <w:bookmarkStart w:id="220"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19">
        <w:r>
          <w:rPr>
            <w:rStyle w:val="Hyperlink"/>
          </w:rPr>
          <w:t xml:space="preserve">https://doi.org/10.2307/2555382</w:t>
        </w:r>
      </w:hyperlink>
      <w:r>
        <w:t xml:space="preserve">.</w:t>
      </w:r>
    </w:p>
    <w:bookmarkEnd w:id="220"/>
    <w:bookmarkStart w:id="221"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21"/>
    <w:bookmarkStart w:id="222"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22"/>
    <w:bookmarkStart w:id="224"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23">
        <w:r>
          <w:rPr>
            <w:rStyle w:val="Hyperlink"/>
          </w:rPr>
          <w:t xml:space="preserve">https://doi.org/10.1016/0022-1996(85)90006-6</w:t>
        </w:r>
      </w:hyperlink>
      <w:r>
        <w:t xml:space="preserve">.</w:t>
      </w:r>
    </w:p>
    <w:bookmarkEnd w:id="224"/>
    <w:bookmarkStart w:id="225"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25"/>
    <w:bookmarkStart w:id="227"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26">
        <w:r>
          <w:rPr>
            <w:rStyle w:val="Hyperlink"/>
          </w:rPr>
          <w:t xml:space="preserve">https://doi.org/10.2118/2993-PA</w:t>
        </w:r>
      </w:hyperlink>
      <w:r>
        <w:t xml:space="preserve">.</w:t>
      </w:r>
    </w:p>
    <w:bookmarkEnd w:id="227"/>
    <w:bookmarkStart w:id="228"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28"/>
    <w:bookmarkStart w:id="230"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29">
        <w:r>
          <w:rPr>
            <w:rStyle w:val="Hyperlink"/>
          </w:rPr>
          <w:t xml:space="preserve">https://doi.org/10.1007/BF01726210</w:t>
        </w:r>
      </w:hyperlink>
      <w:r>
        <w:t xml:space="preserve">.</w:t>
      </w:r>
    </w:p>
    <w:bookmarkEnd w:id="230"/>
    <w:bookmarkStart w:id="232"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31">
        <w:r>
          <w:rPr>
            <w:rStyle w:val="Hyperlink"/>
          </w:rPr>
          <w:t xml:space="preserve">https://doi.org/10.1086/466731</w:t>
        </w:r>
      </w:hyperlink>
      <w:r>
        <w:t xml:space="preserve">.</w:t>
      </w:r>
    </w:p>
    <w:bookmarkEnd w:id="232"/>
    <w:bookmarkStart w:id="234"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33">
        <w:r>
          <w:rPr>
            <w:rStyle w:val="Hyperlink"/>
          </w:rPr>
          <w:t xml:space="preserve">https://www.boe.es/doue/2023/2830/L00001-00056.pdf</w:t>
        </w:r>
      </w:hyperlink>
      <w:r>
        <w:t xml:space="preserve">.</w:t>
      </w:r>
    </w:p>
    <w:bookmarkEnd w:id="234"/>
    <w:bookmarkStart w:id="236"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35">
        <w:r>
          <w:rPr>
            <w:rStyle w:val="Hyperlink"/>
          </w:rPr>
          <w:t xml:space="preserve">https://www.cnmc.es/prensa/sancionador-obra-civil-20220707</w:t>
        </w:r>
      </w:hyperlink>
      <w:r>
        <w:t xml:space="preserve">.</w:t>
      </w:r>
    </w:p>
    <w:bookmarkEnd w:id="236"/>
    <w:bookmarkStart w:id="238"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37">
        <w:r>
          <w:rPr>
            <w:rStyle w:val="Hyperlink"/>
          </w:rPr>
          <w:t xml:space="preserve">https://www.nobelprize.org/uploads/2020/09/advanced-economicsciencesprize2020.pdf</w:t>
        </w:r>
      </w:hyperlink>
      <w:r>
        <w:t xml:space="preserve">.</w:t>
      </w:r>
    </w:p>
    <w:bookmarkEnd w:id="238"/>
    <w:bookmarkStart w:id="23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39"/>
    <w:bookmarkStart w:id="241"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40">
        <w:r>
          <w:rPr>
            <w:rStyle w:val="Hyperlink"/>
          </w:rPr>
          <w:t xml:space="preserve">https://doi.org/10.1257/000282805775014434</w:t>
        </w:r>
      </w:hyperlink>
      <w:r>
        <w:t xml:space="preserve">.</w:t>
      </w:r>
    </w:p>
    <w:bookmarkEnd w:id="241"/>
    <w:bookmarkStart w:id="24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42"/>
    <w:bookmarkStart w:id="244"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43">
        <w:r>
          <w:rPr>
            <w:rStyle w:val="Hyperlink"/>
          </w:rPr>
          <w:t xml:space="preserve">https://doi.org/10.2307/2525306</w:t>
        </w:r>
      </w:hyperlink>
      <w:r>
        <w:t xml:space="preserve">.</w:t>
      </w:r>
    </w:p>
    <w:bookmarkEnd w:id="244"/>
    <w:bookmarkStart w:id="246"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45">
        <w:r>
          <w:rPr>
            <w:rStyle w:val="Hyperlink"/>
          </w:rPr>
          <w:t xml:space="preserve">https://doi.org/10.2307/2231658</w:t>
        </w:r>
      </w:hyperlink>
      <w:r>
        <w:t xml:space="preserve">.</w:t>
      </w:r>
    </w:p>
    <w:bookmarkEnd w:id="246"/>
    <w:bookmarkStart w:id="248"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47">
        <w:r>
          <w:rPr>
            <w:rStyle w:val="Hyperlink"/>
          </w:rPr>
          <w:t xml:space="preserve">https://doi.org/10.2307/2296617</w:t>
        </w:r>
      </w:hyperlink>
      <w:r>
        <w:t xml:space="preserve">.</w:t>
      </w:r>
    </w:p>
    <w:bookmarkEnd w:id="248"/>
    <w:bookmarkStart w:id="250"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49">
        <w:r>
          <w:rPr>
            <w:rStyle w:val="Hyperlink"/>
          </w:rPr>
          <w:t xml:space="preserve">https://doi.org/10.2307/1911307</w:t>
        </w:r>
      </w:hyperlink>
      <w:r>
        <w:t xml:space="preserve">.</w:t>
      </w:r>
    </w:p>
    <w:bookmarkEnd w:id="250"/>
    <w:bookmarkStart w:id="251"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51"/>
    <w:bookmarkStart w:id="253"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52">
        <w:r>
          <w:rPr>
            <w:rStyle w:val="Hyperlink"/>
          </w:rPr>
          <w:t xml:space="preserve">https://doi.org/10.1080/00029890.1962.11989827</w:t>
        </w:r>
      </w:hyperlink>
      <w:r>
        <w:t xml:space="preserve">.</w:t>
      </w:r>
    </w:p>
    <w:bookmarkEnd w:id="253"/>
    <w:bookmarkStart w:id="255"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54">
        <w:r>
          <w:rPr>
            <w:rStyle w:val="Hyperlink"/>
          </w:rPr>
          <w:t xml:space="preserve">https://doi.org/10.2307/1914083</w:t>
        </w:r>
      </w:hyperlink>
      <w:r>
        <w:t xml:space="preserve">.</w:t>
      </w:r>
    </w:p>
    <w:bookmarkEnd w:id="255"/>
    <w:bookmarkStart w:id="257"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256">
        <w:r>
          <w:rPr>
            <w:rStyle w:val="Hyperlink"/>
          </w:rPr>
          <w:t xml:space="preserve">https://doi.org/10.1515/9781400835881</w:t>
        </w:r>
      </w:hyperlink>
      <w:r>
        <w:t xml:space="preserve">.</w:t>
      </w:r>
    </w:p>
    <w:bookmarkEnd w:id="257"/>
    <w:bookmarkStart w:id="258"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58"/>
    <w:bookmarkStart w:id="260"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9">
        <w:r>
          <w:rPr>
            <w:rStyle w:val="Hyperlink"/>
          </w:rPr>
          <w:t xml:space="preserve">https://doi.org/10.2307/1914085</w:t>
        </w:r>
      </w:hyperlink>
      <w:r>
        <w:t xml:space="preserve">.</w:t>
      </w:r>
    </w:p>
    <w:bookmarkEnd w:id="260"/>
    <w:bookmarkStart w:id="262"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61">
        <w:r>
          <w:rPr>
            <w:rStyle w:val="Hyperlink"/>
          </w:rPr>
          <w:t xml:space="preserve">https://doi.org/10.1016/0167-2681(82)90011-7</w:t>
        </w:r>
      </w:hyperlink>
      <w:r>
        <w:t xml:space="preserve">.</w:t>
      </w:r>
    </w:p>
    <w:bookmarkEnd w:id="262"/>
    <w:bookmarkStart w:id="263"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63"/>
    <w:bookmarkStart w:id="265"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264">
        <w:r>
          <w:rPr>
            <w:rStyle w:val="Hyperlink"/>
          </w:rPr>
          <w:t xml:space="preserve">https://doi.org/10.1007/BF01737554</w:t>
        </w:r>
      </w:hyperlink>
      <w:r>
        <w:t xml:space="preserve">.</w:t>
      </w:r>
    </w:p>
    <w:bookmarkEnd w:id="265"/>
    <w:bookmarkStart w:id="267"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266">
        <w:r>
          <w:rPr>
            <w:rStyle w:val="Hyperlink"/>
          </w:rPr>
          <w:t xml:space="preserve">https://doi.org/10.1086/260878</w:t>
        </w:r>
      </w:hyperlink>
      <w:r>
        <w:t xml:space="preserve">.</w:t>
      </w:r>
    </w:p>
    <w:bookmarkEnd w:id="267"/>
    <w:bookmarkStart w:id="268"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268"/>
    <w:bookmarkStart w:id="269"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9"/>
    <w:bookmarkStart w:id="271"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270">
        <w:r>
          <w:rPr>
            <w:rStyle w:val="Hyperlink"/>
          </w:rPr>
          <w:t xml:space="preserve">https://doi.org/10.2307/2296006</w:t>
        </w:r>
      </w:hyperlink>
      <w:r>
        <w:t xml:space="preserve">.</w:t>
      </w:r>
    </w:p>
    <w:bookmarkEnd w:id="271"/>
    <w:bookmarkStart w:id="272"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272"/>
    <w:bookmarkStart w:id="274"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273">
        <w:r>
          <w:rPr>
            <w:rStyle w:val="Hyperlink"/>
          </w:rPr>
          <w:t xml:space="preserve">https://doi.org/10.2307/2234706</w:t>
        </w:r>
      </w:hyperlink>
      <w:r>
        <w:t xml:space="preserve">.</w:t>
      </w:r>
    </w:p>
    <w:bookmarkEnd w:id="274"/>
    <w:bookmarkStart w:id="276"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75">
        <w:r>
          <w:rPr>
            <w:rStyle w:val="Hyperlink"/>
          </w:rPr>
          <w:t xml:space="preserve">https://doi.org/10.1215/S0012-7094-41-00838-4</w:t>
        </w:r>
      </w:hyperlink>
      <w:r>
        <w:t xml:space="preserve">.</w:t>
      </w:r>
    </w:p>
    <w:bookmarkEnd w:id="276"/>
    <w:bookmarkStart w:id="278"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277">
        <w:r>
          <w:rPr>
            <w:rStyle w:val="Hyperlink"/>
          </w:rPr>
          <w:t xml:space="preserve">https://doi.org/10.1007/BF01242860</w:t>
        </w:r>
      </w:hyperlink>
      <w:r>
        <w:t xml:space="preserve">.</w:t>
      </w:r>
    </w:p>
    <w:bookmarkEnd w:id="278"/>
    <w:bookmarkStart w:id="280"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279">
        <w:r>
          <w:rPr>
            <w:rStyle w:val="Hyperlink"/>
          </w:rPr>
          <w:t xml:space="preserve">https://doi.org/10.1257/0895330027166</w:t>
        </w:r>
      </w:hyperlink>
      <w:r>
        <w:t xml:space="preserve">.</w:t>
      </w:r>
    </w:p>
    <w:bookmarkEnd w:id="280"/>
    <w:bookmarkStart w:id="282"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281">
        <w:r>
          <w:rPr>
            <w:rStyle w:val="Hyperlink"/>
          </w:rPr>
          <w:t xml:space="preserve">https://doi.org/10.1515/9780691186290</w:t>
        </w:r>
      </w:hyperlink>
      <w:r>
        <w:t xml:space="preserve">.</w:t>
      </w:r>
    </w:p>
    <w:bookmarkEnd w:id="282"/>
    <w:bookmarkStart w:id="284"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283">
        <w:r>
          <w:rPr>
            <w:rStyle w:val="Hyperlink"/>
          </w:rPr>
          <w:t xml:space="preserve">https://doi.org/10.1016/0022-0531(82)90029-1</w:t>
        </w:r>
      </w:hyperlink>
      <w:r>
        <w:t xml:space="preserve">.</w:t>
      </w:r>
    </w:p>
    <w:bookmarkEnd w:id="284"/>
    <w:bookmarkStart w:id="286"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285">
        <w:r>
          <w:rPr>
            <w:rStyle w:val="Hyperlink"/>
          </w:rPr>
          <w:t xml:space="preserve">https://doi.org/10.1016/0022-0531(82)90030-8</w:t>
        </w:r>
      </w:hyperlink>
      <w:r>
        <w:t xml:space="preserve">.</w:t>
      </w:r>
    </w:p>
    <w:bookmarkEnd w:id="286"/>
    <w:bookmarkStart w:id="288"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287">
        <w:r>
          <w:rPr>
            <w:rStyle w:val="Hyperlink"/>
          </w:rPr>
          <w:t xml:space="preserve">https://doi.org/10.2307/1912767</w:t>
        </w:r>
      </w:hyperlink>
      <w:r>
        <w:t xml:space="preserve">.</w:t>
      </w:r>
    </w:p>
    <w:bookmarkEnd w:id="288"/>
    <w:bookmarkStart w:id="289"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289"/>
    <w:bookmarkStart w:id="290"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290"/>
    <w:bookmarkStart w:id="292"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91">
        <w:r>
          <w:rPr>
            <w:rStyle w:val="Hyperlink"/>
          </w:rPr>
          <w:t xml:space="preserve">https://doi.org/10.1086/260580</w:t>
        </w:r>
      </w:hyperlink>
      <w:r>
        <w:t xml:space="preserve">.</w:t>
      </w:r>
    </w:p>
    <w:bookmarkEnd w:id="292"/>
    <w:bookmarkStart w:id="293"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293"/>
    <w:bookmarkStart w:id="29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94"/>
    <w:bookmarkStart w:id="296"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295">
        <w:r>
          <w:rPr>
            <w:rStyle w:val="Hyperlink"/>
          </w:rPr>
          <w:t xml:space="preserve">https://doi.org/10.1111/1467-937X.00076</w:t>
        </w:r>
      </w:hyperlink>
      <w:r>
        <w:t xml:space="preserve">.</w:t>
      </w:r>
    </w:p>
    <w:bookmarkEnd w:id="296"/>
    <w:bookmarkStart w:id="297"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297"/>
    <w:bookmarkStart w:id="299"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298">
        <w:r>
          <w:rPr>
            <w:rStyle w:val="Hyperlink"/>
          </w:rPr>
          <w:t xml:space="preserve">https://doi.org/10.1111/1467-937X.00137</w:t>
        </w:r>
      </w:hyperlink>
      <w:r>
        <w:t xml:space="preserve">.</w:t>
      </w:r>
    </w:p>
    <w:bookmarkEnd w:id="299"/>
    <w:bookmarkStart w:id="301"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00">
        <w:r>
          <w:rPr>
            <w:rStyle w:val="Hyperlink"/>
          </w:rPr>
          <w:t xml:space="preserve">https://doi.org/10.1038/246015a0</w:t>
        </w:r>
      </w:hyperlink>
      <w:r>
        <w:t xml:space="preserve">.</w:t>
      </w:r>
    </w:p>
    <w:bookmarkEnd w:id="301"/>
    <w:bookmarkStart w:id="303"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02">
        <w:r>
          <w:rPr>
            <w:rStyle w:val="Hyperlink"/>
          </w:rPr>
          <w:t xml:space="preserve">https://doi.org/10.2307/2951567</w:t>
        </w:r>
      </w:hyperlink>
      <w:r>
        <w:t xml:space="preserve">.</w:t>
      </w:r>
    </w:p>
    <w:bookmarkEnd w:id="303"/>
    <w:bookmarkStart w:id="305" w:name="ref_MEDE2026Espana"/>
    <w:p>
      <w:pPr>
        <w:pStyle w:val="Bibliography"/>
      </w:pPr>
      <w:r>
        <w:t xml:space="preserve">Mecanismo Europeo de Estabilidad (2026).</w:t>
      </w:r>
      <w:r>
        <w:t xml:space="preserve"> </w:t>
      </w:r>
      <w:r>
        <w:t xml:space="preserve">«Spain»</w:t>
      </w:r>
      <w:r>
        <w:t xml:space="preserve">. 2026.</w:t>
      </w:r>
      <w:r>
        <w:t xml:space="preserve"> </w:t>
      </w:r>
      <w:hyperlink r:id="rId304">
        <w:r>
          <w:rPr>
            <w:rStyle w:val="Hyperlink"/>
          </w:rPr>
          <w:t xml:space="preserve">https://www.esm.europa.eu/assistance/spain</w:t>
        </w:r>
      </w:hyperlink>
      <w:r>
        <w:t xml:space="preserve">.</w:t>
      </w:r>
    </w:p>
    <w:bookmarkEnd w:id="305"/>
    <w:bookmarkStart w:id="307"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06">
        <w:r>
          <w:rPr>
            <w:rStyle w:val="Hyperlink"/>
          </w:rPr>
          <w:t xml:space="preserve">https://doi.org/10.1017/CBO9780511813825</w:t>
        </w:r>
      </w:hyperlink>
      <w:r>
        <w:t xml:space="preserve">.</w:t>
      </w:r>
    </w:p>
    <w:bookmarkEnd w:id="307"/>
    <w:bookmarkStart w:id="309"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08">
        <w:r>
          <w:rPr>
            <w:rStyle w:val="Hyperlink"/>
          </w:rPr>
          <w:t xml:space="preserve">https://doi.org/10.2307/1912637</w:t>
        </w:r>
      </w:hyperlink>
      <w:r>
        <w:t xml:space="preserve">.</w:t>
      </w:r>
    </w:p>
    <w:bookmarkEnd w:id="309"/>
    <w:bookmarkStart w:id="311"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10">
        <w:r>
          <w:rPr>
            <w:rStyle w:val="Hyperlink"/>
          </w:rPr>
          <w:t xml:space="preserve">https://doi.org/10.1016/0022-0531(82)90031-X</w:t>
        </w:r>
      </w:hyperlink>
      <w:r>
        <w:t xml:space="preserve">.</w:t>
      </w:r>
    </w:p>
    <w:bookmarkEnd w:id="311"/>
    <w:bookmarkStart w:id="313"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12">
        <w:r>
          <w:rPr>
            <w:rStyle w:val="Hyperlink"/>
          </w:rPr>
          <w:t xml:space="preserve">https://doi.org/10.1086/704074</w:t>
        </w:r>
      </w:hyperlink>
      <w:r>
        <w:t xml:space="preserve">.</w:t>
      </w:r>
    </w:p>
    <w:bookmarkEnd w:id="313"/>
    <w:bookmarkStart w:id="315"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14">
        <w:r>
          <w:rPr>
            <w:rStyle w:val="Hyperlink"/>
          </w:rPr>
          <w:t xml:space="preserve">https://doi.org/10.2307/1911865</w:t>
        </w:r>
      </w:hyperlink>
      <w:r>
        <w:t xml:space="preserve">.</w:t>
      </w:r>
    </w:p>
    <w:bookmarkEnd w:id="315"/>
    <w:bookmarkStart w:id="317"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16">
        <w:r>
          <w:rPr>
            <w:rStyle w:val="Hyperlink"/>
          </w:rPr>
          <w:t xml:space="preserve">https://digital.gob.es/comunicacion/notas-prensa/secretaria-estado-telecomunicaciones-e-infraestructuras-digitales/2021/07/210721_np_-subasta_</w:t>
        </w:r>
      </w:hyperlink>
      <w:r>
        <w:t xml:space="preserve">.</w:t>
      </w:r>
    </w:p>
    <w:bookmarkEnd w:id="317"/>
    <w:bookmarkStart w:id="319"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18">
        <w:r>
          <w:rPr>
            <w:rStyle w:val="Hyperlink"/>
          </w:rPr>
          <w:t xml:space="preserve">https://digital.gob.es/comunicacion/notas-prensa/secretaria-estado-telecomunicaciones-e-infraestructuras-digitales/2021/07/210720_np_subasta</w:t>
        </w:r>
      </w:hyperlink>
      <w:r>
        <w:t xml:space="preserve">.</w:t>
      </w:r>
    </w:p>
    <w:bookmarkEnd w:id="319"/>
    <w:bookmarkStart w:id="321"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20">
        <w:r>
          <w:rPr>
            <w:rStyle w:val="Hyperlink"/>
          </w:rPr>
          <w:t xml:space="preserve">https://digital.gob.es/comunicacion/notas-prensa/secretaria-estado-telecomunicaciones-e-infraestructuras-digitales/2022/12/subasta-de-26-ghz</w:t>
        </w:r>
      </w:hyperlink>
      <w:r>
        <w:t xml:space="preserve">.</w:t>
      </w:r>
    </w:p>
    <w:bookmarkEnd w:id="321"/>
    <w:bookmarkStart w:id="323"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22">
        <w:r>
          <w:rPr>
            <w:rStyle w:val="Hyperlink"/>
          </w:rPr>
          <w:t xml:space="preserve">https://www.boe.es/diario_boe/txt.php?id=BOE-A-2026-678</w:t>
        </w:r>
      </w:hyperlink>
      <w:r>
        <w:t xml:space="preserve">.</w:t>
      </w:r>
    </w:p>
    <w:bookmarkEnd w:id="323"/>
    <w:bookmarkStart w:id="325"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24">
        <w:r>
          <w:rPr>
            <w:rStyle w:val="Hyperlink"/>
          </w:rPr>
          <w:t xml:space="preserve">https://digital.gob.es/comunicacion/notas-prensa/secretaria-estado-telecomunicaciones-e-infraestructuras-digitales/2018/07/180717_np_subasta5g</w:t>
        </w:r>
      </w:hyperlink>
      <w:r>
        <w:t xml:space="preserve">.</w:t>
      </w:r>
    </w:p>
    <w:bookmarkEnd w:id="325"/>
    <w:bookmarkStart w:id="327"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26">
        <w:r>
          <w:rPr>
            <w:rStyle w:val="Hyperlink"/>
          </w:rPr>
          <w:t xml:space="preserve">https://www.boe.es/buscar/act.php?id=BOE-A-2020-15689</w:t>
        </w:r>
      </w:hyperlink>
      <w:r>
        <w:t xml:space="preserve">.</w:t>
      </w:r>
    </w:p>
    <w:bookmarkEnd w:id="327"/>
    <w:bookmarkStart w:id="329"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28">
        <w:r>
          <w:rPr>
            <w:rStyle w:val="Hyperlink"/>
          </w:rPr>
          <w:t xml:space="preserve">https://www.boe.es/buscar/act.php?id=BOE-A-2020-13591</w:t>
        </w:r>
      </w:hyperlink>
      <w:r>
        <w:t xml:space="preserve">.</w:t>
      </w:r>
    </w:p>
    <w:bookmarkEnd w:id="329"/>
    <w:bookmarkStart w:id="331"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30">
        <w:r>
          <w:rPr>
            <w:rStyle w:val="Hyperlink"/>
          </w:rPr>
          <w:t xml:space="preserve">https://www.miteco.gob.es/es/prensa/210126resultadosprimerasubastaderenovablesd_tcm30-522089.pdf</w:t>
        </w:r>
      </w:hyperlink>
      <w:r>
        <w:t xml:space="preserve">.</w:t>
      </w:r>
    </w:p>
    <w:bookmarkEnd w:id="331"/>
    <w:bookmarkStart w:id="333"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32">
        <w:r>
          <w:rPr>
            <w:rStyle w:val="Hyperlink"/>
          </w:rPr>
          <w:t xml:space="preserve">https://www.miteco.gob.es/es/prensa/221123_ndpelmitecocelebralacuartasubastadeasignacionderegimeneconomicodeenergiasrenovables_tcm30-548346.pdf</w:t>
        </w:r>
      </w:hyperlink>
      <w:r>
        <w:t xml:space="preserve">.</w:t>
      </w:r>
    </w:p>
    <w:bookmarkEnd w:id="333"/>
    <w:bookmarkStart w:id="334"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34"/>
    <w:bookmarkStart w:id="336"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35">
        <w:r>
          <w:rPr>
            <w:rStyle w:val="Hyperlink"/>
          </w:rPr>
          <w:t xml:space="preserve">https://doi.org/10.1287/moor.6.1.58</w:t>
        </w:r>
      </w:hyperlink>
      <w:r>
        <w:t xml:space="preserve">.</w:t>
      </w:r>
    </w:p>
    <w:bookmarkEnd w:id="336"/>
    <w:bookmarkStart w:id="338"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37">
        <w:r>
          <w:rPr>
            <w:rStyle w:val="Hyperlink"/>
          </w:rPr>
          <w:t xml:space="preserve">https://doi.org/10.1016/0022-0531(83)90048-0</w:t>
        </w:r>
      </w:hyperlink>
      <w:r>
        <w:t xml:space="preserve">.</w:t>
      </w:r>
    </w:p>
    <w:bookmarkEnd w:id="338"/>
    <w:bookmarkStart w:id="340"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39">
        <w:r>
          <w:rPr>
            <w:rStyle w:val="Hyperlink"/>
          </w:rPr>
          <w:t xml:space="preserve">https://doi.org/10.1073/pnas.36.1.48</w:t>
        </w:r>
      </w:hyperlink>
      <w:r>
        <w:t xml:space="preserve">.</w:t>
      </w:r>
    </w:p>
    <w:bookmarkEnd w:id="340"/>
    <w:bookmarkStart w:id="342"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41">
        <w:r>
          <w:rPr>
            <w:rStyle w:val="Hyperlink"/>
          </w:rPr>
          <w:t xml:space="preserve">https://doi.org/10.2307/1907266</w:t>
        </w:r>
      </w:hyperlink>
      <w:r>
        <w:t xml:space="preserve">.</w:t>
      </w:r>
    </w:p>
    <w:bookmarkEnd w:id="342"/>
    <w:bookmarkStart w:id="344"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43">
        <w:r>
          <w:rPr>
            <w:rStyle w:val="Hyperlink"/>
          </w:rPr>
          <w:t xml:space="preserve">https://doi.org/10.2307/1969529</w:t>
        </w:r>
      </w:hyperlink>
      <w:r>
        <w:t xml:space="preserve">.</w:t>
      </w:r>
    </w:p>
    <w:bookmarkEnd w:id="344"/>
    <w:bookmarkStart w:id="346"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45">
        <w:r>
          <w:rPr>
            <w:rStyle w:val="Hyperlink"/>
          </w:rPr>
          <w:t xml:space="preserve">https://doi.org/10.1007/BF01448847</w:t>
        </w:r>
      </w:hyperlink>
      <w:r>
        <w:t xml:space="preserve">.</w:t>
      </w:r>
    </w:p>
    <w:bookmarkEnd w:id="346"/>
    <w:bookmarkStart w:id="347"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47"/>
    <w:bookmarkStart w:id="349"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48">
        <w:r>
          <w:rPr>
            <w:rStyle w:val="Hyperlink"/>
          </w:rPr>
          <w:t xml:space="preserve">https://doi.org/10.1038/364056a0</w:t>
        </w:r>
      </w:hyperlink>
      <w:r>
        <w:t xml:space="preserve">.</w:t>
      </w:r>
    </w:p>
    <w:bookmarkEnd w:id="349"/>
    <w:bookmarkStart w:id="351"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350">
        <w:r>
          <w:rPr>
            <w:rStyle w:val="Hyperlink"/>
          </w:rPr>
          <w:t xml:space="preserve">https://doi.org/10.1111/1467-937X.00249</w:t>
        </w:r>
      </w:hyperlink>
      <w:r>
        <w:t xml:space="preserve">.</w:t>
      </w:r>
    </w:p>
    <w:bookmarkEnd w:id="351"/>
    <w:bookmarkStart w:id="353"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352">
        <w:r>
          <w:rPr>
            <w:rStyle w:val="Hyperlink"/>
          </w:rPr>
          <w:t xml:space="preserve">https://www.nobelprize.org/prizes/economic-sciences/2020/press-release/</w:t>
        </w:r>
      </w:hyperlink>
      <w:r>
        <w:t xml:space="preserve">.</w:t>
      </w:r>
    </w:p>
    <w:bookmarkEnd w:id="353"/>
    <w:bookmarkStart w:id="355"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354">
        <w:r>
          <w:rPr>
            <w:rStyle w:val="Hyperlink"/>
          </w:rPr>
          <w:t xml:space="preserve">https://www.nobelprize.org/prizes/economic-sciences/2020/popular-information/</w:t>
        </w:r>
      </w:hyperlink>
      <w:r>
        <w:t xml:space="preserve">.</w:t>
      </w:r>
    </w:p>
    <w:bookmarkEnd w:id="355"/>
    <w:bookmarkStart w:id="356"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356"/>
    <w:bookmarkStart w:id="358"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357">
        <w:r>
          <w:rPr>
            <w:rStyle w:val="Hyperlink"/>
          </w:rPr>
          <w:t xml:space="preserve">https://doi.org/10.1016/0022-0531(81)90018-1</w:t>
        </w:r>
      </w:hyperlink>
      <w:r>
        <w:t xml:space="preserve">.</w:t>
      </w:r>
    </w:p>
    <w:bookmarkEnd w:id="358"/>
    <w:bookmarkStart w:id="360"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59">
        <w:r>
          <w:rPr>
            <w:rStyle w:val="Hyperlink"/>
          </w:rPr>
          <w:t xml:space="preserve">https://doi.org/10.2307/1912531</w:t>
        </w:r>
      </w:hyperlink>
      <w:r>
        <w:t xml:space="preserve">.</w:t>
      </w:r>
    </w:p>
    <w:bookmarkEnd w:id="360"/>
    <w:bookmarkStart w:id="362"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61">
        <w:r>
          <w:rPr>
            <w:rStyle w:val="Hyperlink"/>
          </w:rPr>
          <w:t xml:space="preserve">https://doi.org/10.1016/0022-0531(75)90050-2</w:t>
        </w:r>
      </w:hyperlink>
      <w:r>
        <w:t xml:space="preserve">.</w:t>
      </w:r>
    </w:p>
    <w:bookmarkEnd w:id="362"/>
    <w:bookmarkStart w:id="363"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363"/>
    <w:bookmarkStart w:id="364"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364"/>
    <w:bookmarkStart w:id="366"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365">
        <w:r>
          <w:rPr>
            <w:rStyle w:val="Hyperlink"/>
          </w:rPr>
          <w:t xml:space="preserve">https://doi.org/10.1007/BF01766400</w:t>
        </w:r>
      </w:hyperlink>
      <w:r>
        <w:t xml:space="preserve">.</w:t>
      </w:r>
    </w:p>
    <w:bookmarkEnd w:id="366"/>
    <w:bookmarkStart w:id="368"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367">
        <w:r>
          <w:rPr>
            <w:rStyle w:val="Hyperlink"/>
          </w:rPr>
          <w:t xml:space="preserve">https://doi.org/10.1007/BF00131770</w:t>
        </w:r>
      </w:hyperlink>
      <w:r>
        <w:t xml:space="preserve">.</w:t>
      </w:r>
    </w:p>
    <w:bookmarkEnd w:id="368"/>
    <w:bookmarkStart w:id="370"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369">
        <w:r>
          <w:rPr>
            <w:rStyle w:val="Hyperlink"/>
          </w:rPr>
          <w:t xml:space="preserve">https://doi.org/10.1515/9781400881970-018</w:t>
        </w:r>
      </w:hyperlink>
      <w:r>
        <w:t xml:space="preserve">.</w:t>
      </w:r>
    </w:p>
    <w:bookmarkEnd w:id="370"/>
    <w:bookmarkStart w:id="372"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371">
        <w:r>
          <w:rPr>
            <w:rStyle w:val="Hyperlink"/>
          </w:rPr>
          <w:t xml:space="preserve">https://doi.org/10.1002/nav.3800140404</w:t>
        </w:r>
      </w:hyperlink>
      <w:r>
        <w:t xml:space="preserve">.</w:t>
      </w:r>
    </w:p>
    <w:bookmarkEnd w:id="372"/>
    <w:bookmarkStart w:id="374"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373">
        <w:r>
          <w:rPr>
            <w:rStyle w:val="Hyperlink"/>
          </w:rPr>
          <w:t xml:space="preserve">https://doi.org/10.1007/BF01753431</w:t>
        </w:r>
      </w:hyperlink>
      <w:r>
        <w:t xml:space="preserve">.</w:t>
      </w:r>
    </w:p>
    <w:bookmarkEnd w:id="374"/>
    <w:bookmarkStart w:id="376"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375">
        <w:r>
          <w:rPr>
            <w:rStyle w:val="Hyperlink"/>
          </w:rPr>
          <w:t xml:space="preserve">https://doi.org/10.2307/1951053</w:t>
        </w:r>
      </w:hyperlink>
      <w:r>
        <w:t xml:space="preserve">.</w:t>
      </w:r>
    </w:p>
    <w:bookmarkEnd w:id="376"/>
    <w:bookmarkStart w:id="378"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377">
        <w:r>
          <w:rPr>
            <w:rStyle w:val="Hyperlink"/>
          </w:rPr>
          <w:t xml:space="preserve">https://doi.org/10.2307/3003302</w:t>
        </w:r>
      </w:hyperlink>
      <w:r>
        <w:t xml:space="preserve">.</w:t>
      </w:r>
    </w:p>
    <w:bookmarkEnd w:id="378"/>
    <w:bookmarkStart w:id="380"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79">
        <w:r>
          <w:rPr>
            <w:rStyle w:val="Hyperlink"/>
          </w:rPr>
          <w:t xml:space="preserve">https://doi.org/10.2307/1882010</w:t>
        </w:r>
      </w:hyperlink>
      <w:r>
        <w:t xml:space="preserve">.</w:t>
      </w:r>
    </w:p>
    <w:bookmarkEnd w:id="380"/>
    <w:bookmarkStart w:id="382"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381">
        <w:r>
          <w:rPr>
            <w:rStyle w:val="Hyperlink"/>
          </w:rPr>
          <w:t xml:space="preserve">https://www.tesoro.es/documents/d/tesoro/estrategia_tesoro_publico_2026_espanol</w:t>
        </w:r>
      </w:hyperlink>
      <w:r>
        <w:t xml:space="preserve">.</w:t>
      </w:r>
    </w:p>
    <w:bookmarkEnd w:id="382"/>
    <w:bookmarkStart w:id="384" w:name="ref_Tesoro2026Subasta"/>
    <w:p>
      <w:pPr>
        <w:pStyle w:val="Bibliography"/>
      </w:pPr>
      <w:r>
        <w:t xml:space="preserve">Tesoro Público (2026b).</w:t>
      </w:r>
      <w:r>
        <w:t xml:space="preserve"> </w:t>
      </w:r>
      <w:r>
        <w:t xml:space="preserve">«La subasta»</w:t>
      </w:r>
      <w:r>
        <w:t xml:space="preserve">. 2026.</w:t>
      </w:r>
      <w:r>
        <w:t xml:space="preserve"> </w:t>
      </w:r>
      <w:hyperlink r:id="rId383">
        <w:r>
          <w:rPr>
            <w:rStyle w:val="Hyperlink"/>
          </w:rPr>
          <w:t xml:space="preserve">https://www.tesoro.es/deuda-publica/mercado/mercado-primario/procedimiento-de-emision-y-subasta-de-los-valores-del-tesoro/la-subasta</w:t>
        </w:r>
      </w:hyperlink>
      <w:r>
        <w:t xml:space="preserve">.</w:t>
      </w:r>
    </w:p>
    <w:bookmarkEnd w:id="384"/>
    <w:bookmarkStart w:id="386"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385">
        <w:r>
          <w:rPr>
            <w:rStyle w:val="Hyperlink"/>
          </w:rPr>
          <w:t xml:space="preserve">https://doi.org/10.1257/jep.2.1.191</w:t>
        </w:r>
      </w:hyperlink>
      <w:r>
        <w:t xml:space="preserve">.</w:t>
      </w:r>
    </w:p>
    <w:bookmarkEnd w:id="386"/>
    <w:bookmarkStart w:id="388"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387">
        <w:r>
          <w:rPr>
            <w:rStyle w:val="Hyperlink"/>
          </w:rPr>
          <w:t xml:space="preserve">https://www.nobelprize.org/prizes/economic-sciences/1994/summary/</w:t>
        </w:r>
      </w:hyperlink>
      <w:r>
        <w:t xml:space="preserve">.</w:t>
      </w:r>
    </w:p>
    <w:bookmarkEnd w:id="388"/>
    <w:bookmarkStart w:id="390"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89">
        <w:r>
          <w:rPr>
            <w:rStyle w:val="Hyperlink"/>
          </w:rPr>
          <w:t xml:space="preserve">https://www.nobelprize.org/prizes/economic-sciences/1996/summary/</w:t>
        </w:r>
      </w:hyperlink>
      <w:r>
        <w:t xml:space="preserve">.</w:t>
      </w:r>
    </w:p>
    <w:bookmarkEnd w:id="390"/>
    <w:bookmarkStart w:id="392"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391">
        <w:r>
          <w:rPr>
            <w:rStyle w:val="Hyperlink"/>
          </w:rPr>
          <w:t xml:space="preserve">https://www.nobelprize.org/prizes/economic-sciences/2005/summary/</w:t>
        </w:r>
      </w:hyperlink>
      <w:r>
        <w:t xml:space="preserve">.</w:t>
      </w:r>
    </w:p>
    <w:bookmarkEnd w:id="392"/>
    <w:bookmarkStart w:id="394"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93">
        <w:r>
          <w:rPr>
            <w:rStyle w:val="Hyperlink"/>
          </w:rPr>
          <w:t xml:space="preserve">https://www.nobelprize.org/prizes/economic-sciences/2007/summary/</w:t>
        </w:r>
      </w:hyperlink>
      <w:r>
        <w:t xml:space="preserve">.</w:t>
      </w:r>
    </w:p>
    <w:bookmarkEnd w:id="394"/>
    <w:bookmarkStart w:id="396"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395">
        <w:r>
          <w:rPr>
            <w:rStyle w:val="Hyperlink"/>
          </w:rPr>
          <w:t xml:space="preserve">https://www.nobelprize.org/prizes/economic-sciences/2012/summary/</w:t>
        </w:r>
      </w:hyperlink>
      <w:r>
        <w:t xml:space="preserve">.</w:t>
      </w:r>
    </w:p>
    <w:bookmarkEnd w:id="396"/>
    <w:bookmarkStart w:id="398"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97">
        <w:r>
          <w:rPr>
            <w:rStyle w:val="Hyperlink"/>
          </w:rPr>
          <w:t xml:space="preserve">https://www.nobelprize.org/prizes/economic-sciences/2020/summary/</w:t>
        </w:r>
      </w:hyperlink>
      <w:r>
        <w:t xml:space="preserve">.</w:t>
      </w:r>
    </w:p>
    <w:bookmarkEnd w:id="398"/>
    <w:bookmarkStart w:id="399"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99"/>
    <w:bookmarkStart w:id="400" w:name="ref_Tucker1950TwoPerson"/>
    <w:p>
      <w:pPr>
        <w:pStyle w:val="Bibliography"/>
      </w:pPr>
      <w:r>
        <w:t xml:space="preserve">Tucker, Albert W. (1950).</w:t>
      </w:r>
      <w:r>
        <w:t xml:space="preserve"> </w:t>
      </w:r>
      <w:r>
        <w:t xml:space="preserve">«A Two-Person Dilemma»</w:t>
      </w:r>
      <w:r>
        <w:t xml:space="preserve">.</w:t>
      </w:r>
    </w:p>
    <w:bookmarkEnd w:id="400"/>
    <w:bookmarkStart w:id="402"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01">
        <w:r>
          <w:rPr>
            <w:rStyle w:val="Hyperlink"/>
          </w:rPr>
          <w:t xml:space="preserve">https://doi.org/10.1111/j.1540-6261.1961.tb02789.x</w:t>
        </w:r>
      </w:hyperlink>
      <w:r>
        <w:t xml:space="preserve">.</w:t>
      </w:r>
    </w:p>
    <w:bookmarkEnd w:id="402"/>
    <w:bookmarkStart w:id="404"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03">
        <w:r>
          <w:rPr>
            <w:rStyle w:val="Hyperlink"/>
          </w:rPr>
          <w:t xml:space="preserve">https://doi.org/10.1287/mnsc.15.7.446</w:t>
        </w:r>
      </w:hyperlink>
      <w:r>
        <w:t xml:space="preserve">.</w:t>
      </w:r>
    </w:p>
    <w:bookmarkEnd w:id="404"/>
    <w:bookmarkStart w:id="406"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05">
        <w:r>
          <w:rPr>
            <w:rStyle w:val="Hyperlink"/>
          </w:rPr>
          <w:t xml:space="preserve">https://doi.org/10.2307/2296904</w:t>
        </w:r>
      </w:hyperlink>
      <w:r>
        <w:t xml:space="preserve">.</w:t>
      </w:r>
    </w:p>
    <w:bookmarkEnd w:id="406"/>
    <w:bookmarkStart w:id="407"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07"/>
    <w:bookmarkStart w:id="408"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08"/>
    <w:bookmarkEnd w:id="409"/>
    <w:bookmarkEnd w:id="41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118">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47">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la empresa instalada, I, de la historia que acompaña a la exposición.</w:t>
      </w:r>
    </w:p>
  </w:footnote>
  <w:footnote w:id="154">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170" Target="media/rId170.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159" Target="media/rId159.png" /><Relationship Type="http://schemas.openxmlformats.org/officeDocument/2006/relationships/image" Id="rId113" Target="media/rId113.png" /><Relationship Type="http://schemas.openxmlformats.org/officeDocument/2006/relationships/image" Id="rId141" Target="media/rId141.png" /><Relationship Type="http://schemas.openxmlformats.org/officeDocument/2006/relationships/hyperlink" Id="rId324" Target="https://digital.gob.es/comunicacion/notas-prensa/secretaria-estado-telecomunicaciones-e-infraestructuras-digitales/2018/07/180717_np_subasta5g" TargetMode="External" /><Relationship Type="http://schemas.openxmlformats.org/officeDocument/2006/relationships/hyperlink" Id="rId318" Target="https://digital.gob.es/comunicacion/notas-prensa/secretaria-estado-telecomunicaciones-e-infraestructuras-digitales/2021/07/210720_np_subasta" TargetMode="External" /><Relationship Type="http://schemas.openxmlformats.org/officeDocument/2006/relationships/hyperlink" Id="rId316" Target="https://digital.gob.es/comunicacion/notas-prensa/secretaria-estado-telecomunicaciones-e-infraestructuras-digitales/2021/07/210721_np_-subasta_" TargetMode="External" /><Relationship Type="http://schemas.openxmlformats.org/officeDocument/2006/relationships/hyperlink" Id="rId320" Target="https://digital.gob.es/comunicacion/notas-prensa/secretaria-estado-telecomunicaciones-e-infraestructuras-digitales/2022/12/subasta-de-26-ghz" TargetMode="External" /><Relationship Type="http://schemas.openxmlformats.org/officeDocument/2006/relationships/hyperlink" Id="rId371" Target="https://doi.org/10.1002/nav.3800140404" TargetMode="External" /><Relationship Type="http://schemas.openxmlformats.org/officeDocument/2006/relationships/hyperlink" Id="rId367" Target="https://doi.org/10.1007/BF00131770" TargetMode="External" /><Relationship Type="http://schemas.openxmlformats.org/officeDocument/2006/relationships/hyperlink" Id="rId277" Target="https://doi.org/10.1007/BF01242860" TargetMode="External" /><Relationship Type="http://schemas.openxmlformats.org/officeDocument/2006/relationships/hyperlink" Id="rId345" Target="https://doi.org/10.1007/BF01448847" TargetMode="External" /><Relationship Type="http://schemas.openxmlformats.org/officeDocument/2006/relationships/hyperlink" Id="rId229" Target="https://doi.org/10.1007/BF01726210" TargetMode="External" /><Relationship Type="http://schemas.openxmlformats.org/officeDocument/2006/relationships/hyperlink" Id="rId264" Target="https://doi.org/10.1007/BF01737554" TargetMode="External" /><Relationship Type="http://schemas.openxmlformats.org/officeDocument/2006/relationships/hyperlink" Id="rId373" Target="https://doi.org/10.1007/BF01753431" TargetMode="External" /><Relationship Type="http://schemas.openxmlformats.org/officeDocument/2006/relationships/hyperlink" Id="rId365" Target="https://doi.org/10.1007/BF01766400" TargetMode="External" /><Relationship Type="http://schemas.openxmlformats.org/officeDocument/2006/relationships/hyperlink" Id="rId361" Target="https://doi.org/10.1016/0022-0531(75)90050-2" TargetMode="External" /><Relationship Type="http://schemas.openxmlformats.org/officeDocument/2006/relationships/hyperlink" Id="rId357" Target="https://doi.org/10.1016/0022-0531(81)90018-1" TargetMode="External" /><Relationship Type="http://schemas.openxmlformats.org/officeDocument/2006/relationships/hyperlink" Id="rId283" Target="https://doi.org/10.1016/0022-0531(82)90029-1" TargetMode="External" /><Relationship Type="http://schemas.openxmlformats.org/officeDocument/2006/relationships/hyperlink" Id="rId285" Target="https://doi.org/10.1016/0022-0531(82)90030-8" TargetMode="External" /><Relationship Type="http://schemas.openxmlformats.org/officeDocument/2006/relationships/hyperlink" Id="rId310" Target="https://doi.org/10.1016/0022-0531(82)90031-X" TargetMode="External" /><Relationship Type="http://schemas.openxmlformats.org/officeDocument/2006/relationships/hyperlink" Id="rId337" Target="https://doi.org/10.1016/0022-0531(83)90048-0" TargetMode="External" /><Relationship Type="http://schemas.openxmlformats.org/officeDocument/2006/relationships/hyperlink" Id="rId223" Target="https://doi.org/10.1016/0022-1996(85)90006-6" TargetMode="External" /><Relationship Type="http://schemas.openxmlformats.org/officeDocument/2006/relationships/hyperlink" Id="rId261" Target="https://doi.org/10.1016/0167-2681(82)90011-7" TargetMode="External" /><Relationship Type="http://schemas.openxmlformats.org/officeDocument/2006/relationships/hyperlink" Id="rId213" Target="https://doi.org/10.1016/0304-3932(83)90051-X" TargetMode="External" /><Relationship Type="http://schemas.openxmlformats.org/officeDocument/2006/relationships/hyperlink" Id="rId306" Target="https://doi.org/10.1017/CBO9780511813825" TargetMode="External" /><Relationship Type="http://schemas.openxmlformats.org/officeDocument/2006/relationships/hyperlink" Id="rId300" Target="https://doi.org/10.1038/246015a0" TargetMode="External" /><Relationship Type="http://schemas.openxmlformats.org/officeDocument/2006/relationships/hyperlink" Id="rId348" Target="https://doi.org/10.1038/364056a0" TargetMode="External" /><Relationship Type="http://schemas.openxmlformats.org/officeDocument/2006/relationships/hyperlink" Id="rId339" Target="https://doi.org/10.1073/pnas.36.1.48" TargetMode="External" /><Relationship Type="http://schemas.openxmlformats.org/officeDocument/2006/relationships/hyperlink" Id="rId252" Target="https://doi.org/10.1080/00029890.1962.11989827" TargetMode="External" /><Relationship Type="http://schemas.openxmlformats.org/officeDocument/2006/relationships/hyperlink" Id="rId291" Target="https://doi.org/10.1086/260580" TargetMode="External" /><Relationship Type="http://schemas.openxmlformats.org/officeDocument/2006/relationships/hyperlink" Id="rId266" Target="https://doi.org/10.1086/260878" TargetMode="External" /><Relationship Type="http://schemas.openxmlformats.org/officeDocument/2006/relationships/hyperlink" Id="rId231" Target="https://doi.org/10.1086/466731" TargetMode="External" /><Relationship Type="http://schemas.openxmlformats.org/officeDocument/2006/relationships/hyperlink" Id="rId312" Target="https://doi.org/10.1086/704074" TargetMode="External" /><Relationship Type="http://schemas.openxmlformats.org/officeDocument/2006/relationships/hyperlink" Id="rId208" Target="https://doi.org/10.1093/restud/rdu023" TargetMode="External" /><Relationship Type="http://schemas.openxmlformats.org/officeDocument/2006/relationships/hyperlink" Id="rId295" Target="https://doi.org/10.1111/1467-937X.00076" TargetMode="External" /><Relationship Type="http://schemas.openxmlformats.org/officeDocument/2006/relationships/hyperlink" Id="rId298" Target="https://doi.org/10.1111/1467-937X.00137" TargetMode="External" /><Relationship Type="http://schemas.openxmlformats.org/officeDocument/2006/relationships/hyperlink" Id="rId350" Target="https://doi.org/10.1111/1467-937X.00249" TargetMode="External" /><Relationship Type="http://schemas.openxmlformats.org/officeDocument/2006/relationships/hyperlink" Id="rId217" Target="https://doi.org/10.1111/1468-0297.00020" TargetMode="External" /><Relationship Type="http://schemas.openxmlformats.org/officeDocument/2006/relationships/hyperlink" Id="rId401" Target="https://doi.org/10.1111/j.1540-6261.1961.tb02789.x" TargetMode="External" /><Relationship Type="http://schemas.openxmlformats.org/officeDocument/2006/relationships/hyperlink" Id="rId215" Target="https://doi.org/10.1177/0022002783027004003" TargetMode="External" /><Relationship Type="http://schemas.openxmlformats.org/officeDocument/2006/relationships/hyperlink" Id="rId205" Target="https://doi.org/10.1214/aos/1176343654" TargetMode="External" /><Relationship Type="http://schemas.openxmlformats.org/officeDocument/2006/relationships/hyperlink" Id="rId275" Target="https://doi.org/10.1215/S0012-7094-41-00838-4" TargetMode="External" /><Relationship Type="http://schemas.openxmlformats.org/officeDocument/2006/relationships/hyperlink" Id="rId240" Target="https://doi.org/10.1257/000282805775014434" TargetMode="External" /><Relationship Type="http://schemas.openxmlformats.org/officeDocument/2006/relationships/hyperlink" Id="rId279" Target="https://doi.org/10.1257/0895330027166" TargetMode="External" /><Relationship Type="http://schemas.openxmlformats.org/officeDocument/2006/relationships/hyperlink" Id="rId202" Target="https://doi.org/10.1257/aer.100.3.724" TargetMode="External" /><Relationship Type="http://schemas.openxmlformats.org/officeDocument/2006/relationships/hyperlink" Id="rId385" Target="https://doi.org/10.1257/jep.2.1.191" TargetMode="External" /><Relationship Type="http://schemas.openxmlformats.org/officeDocument/2006/relationships/hyperlink" Id="rId403" Target="https://doi.org/10.1287/mnsc.15.7.446" TargetMode="External" /><Relationship Type="http://schemas.openxmlformats.org/officeDocument/2006/relationships/hyperlink" Id="rId335" Target="https://doi.org/10.1287/moor.6.1.58" TargetMode="External" /><Relationship Type="http://schemas.openxmlformats.org/officeDocument/2006/relationships/hyperlink" Id="rId281" Target="https://doi.org/10.1515/9780691186290" TargetMode="External" /><Relationship Type="http://schemas.openxmlformats.org/officeDocument/2006/relationships/hyperlink" Id="rId256" Target="https://doi.org/10.1515/9781400835881" TargetMode="External" /><Relationship Type="http://schemas.openxmlformats.org/officeDocument/2006/relationships/hyperlink" Id="rId369" Target="https://doi.org/10.1515/9781400881970-018" TargetMode="External" /><Relationship Type="http://schemas.openxmlformats.org/officeDocument/2006/relationships/hyperlink" Id="rId226" Target="https://doi.org/10.2118/2993-PA" TargetMode="External" /><Relationship Type="http://schemas.openxmlformats.org/officeDocument/2006/relationships/hyperlink" Id="rId379" Target="https://doi.org/10.2307/1882010" TargetMode="External" /><Relationship Type="http://schemas.openxmlformats.org/officeDocument/2006/relationships/hyperlink" Id="rId341" Target="https://doi.org/10.2307/1907266" TargetMode="External" /><Relationship Type="http://schemas.openxmlformats.org/officeDocument/2006/relationships/hyperlink" Id="rId249" Target="https://doi.org/10.2307/1911307" TargetMode="External" /><Relationship Type="http://schemas.openxmlformats.org/officeDocument/2006/relationships/hyperlink" Id="rId314" Target="https://doi.org/10.2307/1911865" TargetMode="External" /><Relationship Type="http://schemas.openxmlformats.org/officeDocument/2006/relationships/hyperlink" Id="rId359" Target="https://doi.org/10.2307/1912531" TargetMode="External" /><Relationship Type="http://schemas.openxmlformats.org/officeDocument/2006/relationships/hyperlink" Id="rId308" Target="https://doi.org/10.2307/1912637" TargetMode="External" /><Relationship Type="http://schemas.openxmlformats.org/officeDocument/2006/relationships/hyperlink" Id="rId287" Target="https://doi.org/10.2307/1912767" TargetMode="External" /><Relationship Type="http://schemas.openxmlformats.org/officeDocument/2006/relationships/hyperlink" Id="rId254" Target="https://doi.org/10.2307/1914083" TargetMode="External" /><Relationship Type="http://schemas.openxmlformats.org/officeDocument/2006/relationships/hyperlink" Id="rId259" Target="https://doi.org/10.2307/1914085" TargetMode="External" /><Relationship Type="http://schemas.openxmlformats.org/officeDocument/2006/relationships/hyperlink" Id="rId375" Target="https://doi.org/10.2307/1951053" TargetMode="External" /><Relationship Type="http://schemas.openxmlformats.org/officeDocument/2006/relationships/hyperlink" Id="rId343" Target="https://doi.org/10.2307/1969529" TargetMode="External" /><Relationship Type="http://schemas.openxmlformats.org/officeDocument/2006/relationships/hyperlink" Id="rId245" Target="https://doi.org/10.2307/2231658" TargetMode="External" /><Relationship Type="http://schemas.openxmlformats.org/officeDocument/2006/relationships/hyperlink" Id="rId273" Target="https://doi.org/10.2307/2234706" TargetMode="External" /><Relationship Type="http://schemas.openxmlformats.org/officeDocument/2006/relationships/hyperlink" Id="rId270" Target="https://doi.org/10.2307/2296006" TargetMode="External" /><Relationship Type="http://schemas.openxmlformats.org/officeDocument/2006/relationships/hyperlink" Id="rId247" Target="https://doi.org/10.2307/2296617" TargetMode="External" /><Relationship Type="http://schemas.openxmlformats.org/officeDocument/2006/relationships/hyperlink" Id="rId405" Target="https://doi.org/10.2307/2296904" TargetMode="External" /><Relationship Type="http://schemas.openxmlformats.org/officeDocument/2006/relationships/hyperlink" Id="rId243" Target="https://doi.org/10.2307/2525306" TargetMode="External" /><Relationship Type="http://schemas.openxmlformats.org/officeDocument/2006/relationships/hyperlink" Id="rId219" Target="https://doi.org/10.2307/2555382" TargetMode="External" /><Relationship Type="http://schemas.openxmlformats.org/officeDocument/2006/relationships/hyperlink" Id="rId302" Target="https://doi.org/10.2307/2951567" TargetMode="External" /><Relationship Type="http://schemas.openxmlformats.org/officeDocument/2006/relationships/hyperlink" Id="rId377" Target="https://doi.org/10.2307/3003302" TargetMode="External" /><Relationship Type="http://schemas.openxmlformats.org/officeDocument/2006/relationships/hyperlink" Id="rId328" Target="https://www.boe.es/buscar/act.php?id=BOE-A-2020-13591" TargetMode="External" /><Relationship Type="http://schemas.openxmlformats.org/officeDocument/2006/relationships/hyperlink" Id="rId326" Target="https://www.boe.es/buscar/act.php?id=BOE-A-2020-15689" TargetMode="External" /><Relationship Type="http://schemas.openxmlformats.org/officeDocument/2006/relationships/hyperlink" Id="rId322" Target="https://www.boe.es/diario_boe/txt.php?id=BOE-A-2026-678" TargetMode="External" /><Relationship Type="http://schemas.openxmlformats.org/officeDocument/2006/relationships/hyperlink" Id="rId233" Target="https://www.boe.es/doue/2023/2830/L00001-00056.pdf" TargetMode="External" /><Relationship Type="http://schemas.openxmlformats.org/officeDocument/2006/relationships/hyperlink" Id="rId235" Target="https://www.cnmc.es/prensa/sancionador-obra-civil-20220707" TargetMode="External" /><Relationship Type="http://schemas.openxmlformats.org/officeDocument/2006/relationships/hyperlink" Id="rId211" Target="https://www.ecb.europa.eu/press/pr/date/2012/html/pr120906_1.en.html" TargetMode="External" /><Relationship Type="http://schemas.openxmlformats.org/officeDocument/2006/relationships/hyperlink" Id="rId304" Target="https://www.esm.europa.eu/assistance/spain" TargetMode="External" /><Relationship Type="http://schemas.openxmlformats.org/officeDocument/2006/relationships/hyperlink" Id="rId330" Target="https://www.miteco.gob.es/es/prensa/210126resultadosprimerasubastaderenovablesd_tcm30-522089.pdf" TargetMode="External" /><Relationship Type="http://schemas.openxmlformats.org/officeDocument/2006/relationships/hyperlink" Id="rId332" Target="https://www.miteco.gob.es/es/prensa/221123_ndpelmitecocelebralacuartasubastadeasignacionderegimeneconomicodeenergiasrenovables_tcm30-548346.pdf" TargetMode="External" /><Relationship Type="http://schemas.openxmlformats.org/officeDocument/2006/relationships/hyperlink" Id="rId387" Target="https://www.nobelprize.org/prizes/economic-sciences/1994/summary/" TargetMode="External" /><Relationship Type="http://schemas.openxmlformats.org/officeDocument/2006/relationships/hyperlink" Id="rId389" Target="https://www.nobelprize.org/prizes/economic-sciences/1996/summary/" TargetMode="External" /><Relationship Type="http://schemas.openxmlformats.org/officeDocument/2006/relationships/hyperlink" Id="rId391" Target="https://www.nobelprize.org/prizes/economic-sciences/2005/summary/" TargetMode="External" /><Relationship Type="http://schemas.openxmlformats.org/officeDocument/2006/relationships/hyperlink" Id="rId393" Target="https://www.nobelprize.org/prizes/economic-sciences/2007/summary/" TargetMode="External" /><Relationship Type="http://schemas.openxmlformats.org/officeDocument/2006/relationships/hyperlink" Id="rId395" Target="https://www.nobelprize.org/prizes/economic-sciences/2012/summary/" TargetMode="External" /><Relationship Type="http://schemas.openxmlformats.org/officeDocument/2006/relationships/hyperlink" Id="rId354" Target="https://www.nobelprize.org/prizes/economic-sciences/2020/popular-information/" TargetMode="External" /><Relationship Type="http://schemas.openxmlformats.org/officeDocument/2006/relationships/hyperlink" Id="rId352" Target="https://www.nobelprize.org/prizes/economic-sciences/2020/press-release/" TargetMode="External" /><Relationship Type="http://schemas.openxmlformats.org/officeDocument/2006/relationships/hyperlink" Id="rId397" Target="https://www.nobelprize.org/prizes/economic-sciences/2020/summary/" TargetMode="External" /><Relationship Type="http://schemas.openxmlformats.org/officeDocument/2006/relationships/hyperlink" Id="rId237" Target="https://www.nobelprize.org/uploads/2020/09/advanced-economicsciencesprize2020.pdf" TargetMode="External" /><Relationship Type="http://schemas.openxmlformats.org/officeDocument/2006/relationships/hyperlink" Id="rId383" Target="https://www.tesoro.es/deuda-publica/mercado/mercado-primario/procedimiento-de-emision-y-subasta-de-los-valores-del-tesoro/la-subasta" TargetMode="External" /><Relationship Type="http://schemas.openxmlformats.org/officeDocument/2006/relationships/hyperlink" Id="rId381" Target="https://www.tesoro.es/documents/d/tesoro/estrategia_tesoro_publico_2026_espanol" TargetMode="External" /><Relationship Type="http://schemas.openxmlformats.org/officeDocument/2006/relationships/hyperlink" Id="rId156"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88" Target="https://www.victorgutierrezmarcos.es/oposicion/temario/cuarto-ejercicio/4A18.pdf" TargetMode="External" /><Relationship Type="http://schemas.openxmlformats.org/officeDocument/2006/relationships/hyperlink" Id="rId124" Target="https://www.victorgutierrezmarcos.es/oposicion/temario/cuarto-ejercicio/4B11.pdf" TargetMode="External" /><Relationship Type="http://schemas.openxmlformats.org/officeDocument/2006/relationships/hyperlink" Id="rId155" Target="https://www.victorgutierrezmarcos.es/oposicion/temario/cuarto-ejercicio/4B26.pdf" TargetMode="External" /><Relationship Type="http://schemas.openxmlformats.org/officeDocument/2006/relationships/hyperlink" Id="rId176" Target="https://www.victorgutierrezmarcos.es/oposicion/temario/primer-ejercicio/test/simulador.html" TargetMode="External" /><Relationship Type="http://schemas.openxmlformats.org/officeDocument/2006/relationships/hyperlink" Id="rId185" Target="https://www.victorgutierrezmarcos.es/oposicion/temario/tema-no-disponible.html?tema=3.B.45" TargetMode="External" /><Relationship Type="http://schemas.openxmlformats.org/officeDocument/2006/relationships/hyperlink" Id="rId157" Target="https://www.victorgutierrezmarcos.es/oposicion/temario/tema-no-disponible.html?tema=4.A.5" TargetMode="External" /><Relationship Type="http://schemas.openxmlformats.org/officeDocument/2006/relationships/hyperlink" Id="rId158" Target="https://www.victorgutierrezmarcos.es/oposicion/temario/tema-no-disponible.html?tema=4.A.6" TargetMode="External" /><Relationship Type="http://schemas.openxmlformats.org/officeDocument/2006/relationships/hyperlink" Id="rId109"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0"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5" Target="https://www.victorgutierrezmarcos.es/oposicion/temario/tercer-ejercicio/3B08.pdf" TargetMode="External" /><Relationship Type="http://schemas.openxmlformats.org/officeDocument/2006/relationships/hyperlink" Id="rId126"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4" Target="https://digital.gob.es/comunicacion/notas-prensa/secretaria-estado-telecomunicaciones-e-infraestructuras-digitales/2018/07/180717_np_subasta5g" TargetMode="External" /><Relationship Type="http://schemas.openxmlformats.org/officeDocument/2006/relationships/hyperlink" Id="rId318" Target="https://digital.gob.es/comunicacion/notas-prensa/secretaria-estado-telecomunicaciones-e-infraestructuras-digitales/2021/07/210720_np_subasta" TargetMode="External" /><Relationship Type="http://schemas.openxmlformats.org/officeDocument/2006/relationships/hyperlink" Id="rId316" Target="https://digital.gob.es/comunicacion/notas-prensa/secretaria-estado-telecomunicaciones-e-infraestructuras-digitales/2021/07/210721_np_-subasta_" TargetMode="External" /><Relationship Type="http://schemas.openxmlformats.org/officeDocument/2006/relationships/hyperlink" Id="rId320" Target="https://digital.gob.es/comunicacion/notas-prensa/secretaria-estado-telecomunicaciones-e-infraestructuras-digitales/2022/12/subasta-de-26-ghz" TargetMode="External" /><Relationship Type="http://schemas.openxmlformats.org/officeDocument/2006/relationships/hyperlink" Id="rId371" Target="https://doi.org/10.1002/nav.3800140404" TargetMode="External" /><Relationship Type="http://schemas.openxmlformats.org/officeDocument/2006/relationships/hyperlink" Id="rId367" Target="https://doi.org/10.1007/BF00131770" TargetMode="External" /><Relationship Type="http://schemas.openxmlformats.org/officeDocument/2006/relationships/hyperlink" Id="rId277" Target="https://doi.org/10.1007/BF01242860" TargetMode="External" /><Relationship Type="http://schemas.openxmlformats.org/officeDocument/2006/relationships/hyperlink" Id="rId345" Target="https://doi.org/10.1007/BF01448847" TargetMode="External" /><Relationship Type="http://schemas.openxmlformats.org/officeDocument/2006/relationships/hyperlink" Id="rId229" Target="https://doi.org/10.1007/BF01726210" TargetMode="External" /><Relationship Type="http://schemas.openxmlformats.org/officeDocument/2006/relationships/hyperlink" Id="rId264" Target="https://doi.org/10.1007/BF01737554" TargetMode="External" /><Relationship Type="http://schemas.openxmlformats.org/officeDocument/2006/relationships/hyperlink" Id="rId373" Target="https://doi.org/10.1007/BF01753431" TargetMode="External" /><Relationship Type="http://schemas.openxmlformats.org/officeDocument/2006/relationships/hyperlink" Id="rId365" Target="https://doi.org/10.1007/BF01766400" TargetMode="External" /><Relationship Type="http://schemas.openxmlformats.org/officeDocument/2006/relationships/hyperlink" Id="rId361" Target="https://doi.org/10.1016/0022-0531(75)90050-2" TargetMode="External" /><Relationship Type="http://schemas.openxmlformats.org/officeDocument/2006/relationships/hyperlink" Id="rId357" Target="https://doi.org/10.1016/0022-0531(81)90018-1" TargetMode="External" /><Relationship Type="http://schemas.openxmlformats.org/officeDocument/2006/relationships/hyperlink" Id="rId283" Target="https://doi.org/10.1016/0022-0531(82)90029-1" TargetMode="External" /><Relationship Type="http://schemas.openxmlformats.org/officeDocument/2006/relationships/hyperlink" Id="rId285" Target="https://doi.org/10.1016/0022-0531(82)90030-8" TargetMode="External" /><Relationship Type="http://schemas.openxmlformats.org/officeDocument/2006/relationships/hyperlink" Id="rId310" Target="https://doi.org/10.1016/0022-0531(82)90031-X" TargetMode="External" /><Relationship Type="http://schemas.openxmlformats.org/officeDocument/2006/relationships/hyperlink" Id="rId337" Target="https://doi.org/10.1016/0022-0531(83)90048-0" TargetMode="External" /><Relationship Type="http://schemas.openxmlformats.org/officeDocument/2006/relationships/hyperlink" Id="rId223" Target="https://doi.org/10.1016/0022-1996(85)90006-6" TargetMode="External" /><Relationship Type="http://schemas.openxmlformats.org/officeDocument/2006/relationships/hyperlink" Id="rId261" Target="https://doi.org/10.1016/0167-2681(82)90011-7" TargetMode="External" /><Relationship Type="http://schemas.openxmlformats.org/officeDocument/2006/relationships/hyperlink" Id="rId213" Target="https://doi.org/10.1016/0304-3932(83)90051-X" TargetMode="External" /><Relationship Type="http://schemas.openxmlformats.org/officeDocument/2006/relationships/hyperlink" Id="rId306" Target="https://doi.org/10.1017/CBO9780511813825" TargetMode="External" /><Relationship Type="http://schemas.openxmlformats.org/officeDocument/2006/relationships/hyperlink" Id="rId300" Target="https://doi.org/10.1038/246015a0" TargetMode="External" /><Relationship Type="http://schemas.openxmlformats.org/officeDocument/2006/relationships/hyperlink" Id="rId348" Target="https://doi.org/10.1038/364056a0" TargetMode="External" /><Relationship Type="http://schemas.openxmlformats.org/officeDocument/2006/relationships/hyperlink" Id="rId339" Target="https://doi.org/10.1073/pnas.36.1.48" TargetMode="External" /><Relationship Type="http://schemas.openxmlformats.org/officeDocument/2006/relationships/hyperlink" Id="rId252" Target="https://doi.org/10.1080/00029890.1962.11989827" TargetMode="External" /><Relationship Type="http://schemas.openxmlformats.org/officeDocument/2006/relationships/hyperlink" Id="rId291" Target="https://doi.org/10.1086/260580" TargetMode="External" /><Relationship Type="http://schemas.openxmlformats.org/officeDocument/2006/relationships/hyperlink" Id="rId266" Target="https://doi.org/10.1086/260878" TargetMode="External" /><Relationship Type="http://schemas.openxmlformats.org/officeDocument/2006/relationships/hyperlink" Id="rId231" Target="https://doi.org/10.1086/466731" TargetMode="External" /><Relationship Type="http://schemas.openxmlformats.org/officeDocument/2006/relationships/hyperlink" Id="rId312" Target="https://doi.org/10.1086/704074" TargetMode="External" /><Relationship Type="http://schemas.openxmlformats.org/officeDocument/2006/relationships/hyperlink" Id="rId208" Target="https://doi.org/10.1093/restud/rdu023" TargetMode="External" /><Relationship Type="http://schemas.openxmlformats.org/officeDocument/2006/relationships/hyperlink" Id="rId295" Target="https://doi.org/10.1111/1467-937X.00076" TargetMode="External" /><Relationship Type="http://schemas.openxmlformats.org/officeDocument/2006/relationships/hyperlink" Id="rId298" Target="https://doi.org/10.1111/1467-937X.00137" TargetMode="External" /><Relationship Type="http://schemas.openxmlformats.org/officeDocument/2006/relationships/hyperlink" Id="rId350" Target="https://doi.org/10.1111/1467-937X.00249" TargetMode="External" /><Relationship Type="http://schemas.openxmlformats.org/officeDocument/2006/relationships/hyperlink" Id="rId217" Target="https://doi.org/10.1111/1468-0297.00020" TargetMode="External" /><Relationship Type="http://schemas.openxmlformats.org/officeDocument/2006/relationships/hyperlink" Id="rId401" Target="https://doi.org/10.1111/j.1540-6261.1961.tb02789.x" TargetMode="External" /><Relationship Type="http://schemas.openxmlformats.org/officeDocument/2006/relationships/hyperlink" Id="rId215" Target="https://doi.org/10.1177/0022002783027004003" TargetMode="External" /><Relationship Type="http://schemas.openxmlformats.org/officeDocument/2006/relationships/hyperlink" Id="rId205" Target="https://doi.org/10.1214/aos/1176343654" TargetMode="External" /><Relationship Type="http://schemas.openxmlformats.org/officeDocument/2006/relationships/hyperlink" Id="rId275" Target="https://doi.org/10.1215/S0012-7094-41-00838-4" TargetMode="External" /><Relationship Type="http://schemas.openxmlformats.org/officeDocument/2006/relationships/hyperlink" Id="rId240" Target="https://doi.org/10.1257/000282805775014434" TargetMode="External" /><Relationship Type="http://schemas.openxmlformats.org/officeDocument/2006/relationships/hyperlink" Id="rId279" Target="https://doi.org/10.1257/0895330027166" TargetMode="External" /><Relationship Type="http://schemas.openxmlformats.org/officeDocument/2006/relationships/hyperlink" Id="rId202" Target="https://doi.org/10.1257/aer.100.3.724" TargetMode="External" /><Relationship Type="http://schemas.openxmlformats.org/officeDocument/2006/relationships/hyperlink" Id="rId385" Target="https://doi.org/10.1257/jep.2.1.191" TargetMode="External" /><Relationship Type="http://schemas.openxmlformats.org/officeDocument/2006/relationships/hyperlink" Id="rId403" Target="https://doi.org/10.1287/mnsc.15.7.446" TargetMode="External" /><Relationship Type="http://schemas.openxmlformats.org/officeDocument/2006/relationships/hyperlink" Id="rId335" Target="https://doi.org/10.1287/moor.6.1.58" TargetMode="External" /><Relationship Type="http://schemas.openxmlformats.org/officeDocument/2006/relationships/hyperlink" Id="rId281" Target="https://doi.org/10.1515/9780691186290" TargetMode="External" /><Relationship Type="http://schemas.openxmlformats.org/officeDocument/2006/relationships/hyperlink" Id="rId256" Target="https://doi.org/10.1515/9781400835881" TargetMode="External" /><Relationship Type="http://schemas.openxmlformats.org/officeDocument/2006/relationships/hyperlink" Id="rId369" Target="https://doi.org/10.1515/9781400881970-018" TargetMode="External" /><Relationship Type="http://schemas.openxmlformats.org/officeDocument/2006/relationships/hyperlink" Id="rId226" Target="https://doi.org/10.2118/2993-PA" TargetMode="External" /><Relationship Type="http://schemas.openxmlformats.org/officeDocument/2006/relationships/hyperlink" Id="rId379" Target="https://doi.org/10.2307/1882010" TargetMode="External" /><Relationship Type="http://schemas.openxmlformats.org/officeDocument/2006/relationships/hyperlink" Id="rId341" Target="https://doi.org/10.2307/1907266" TargetMode="External" /><Relationship Type="http://schemas.openxmlformats.org/officeDocument/2006/relationships/hyperlink" Id="rId249" Target="https://doi.org/10.2307/1911307" TargetMode="External" /><Relationship Type="http://schemas.openxmlformats.org/officeDocument/2006/relationships/hyperlink" Id="rId314" Target="https://doi.org/10.2307/1911865" TargetMode="External" /><Relationship Type="http://schemas.openxmlformats.org/officeDocument/2006/relationships/hyperlink" Id="rId359" Target="https://doi.org/10.2307/1912531" TargetMode="External" /><Relationship Type="http://schemas.openxmlformats.org/officeDocument/2006/relationships/hyperlink" Id="rId308" Target="https://doi.org/10.2307/1912637" TargetMode="External" /><Relationship Type="http://schemas.openxmlformats.org/officeDocument/2006/relationships/hyperlink" Id="rId287" Target="https://doi.org/10.2307/1912767" TargetMode="External" /><Relationship Type="http://schemas.openxmlformats.org/officeDocument/2006/relationships/hyperlink" Id="rId254" Target="https://doi.org/10.2307/1914083" TargetMode="External" /><Relationship Type="http://schemas.openxmlformats.org/officeDocument/2006/relationships/hyperlink" Id="rId259" Target="https://doi.org/10.2307/1914085" TargetMode="External" /><Relationship Type="http://schemas.openxmlformats.org/officeDocument/2006/relationships/hyperlink" Id="rId375" Target="https://doi.org/10.2307/1951053" TargetMode="External" /><Relationship Type="http://schemas.openxmlformats.org/officeDocument/2006/relationships/hyperlink" Id="rId343" Target="https://doi.org/10.2307/1969529" TargetMode="External" /><Relationship Type="http://schemas.openxmlformats.org/officeDocument/2006/relationships/hyperlink" Id="rId245" Target="https://doi.org/10.2307/2231658" TargetMode="External" /><Relationship Type="http://schemas.openxmlformats.org/officeDocument/2006/relationships/hyperlink" Id="rId273" Target="https://doi.org/10.2307/2234706" TargetMode="External" /><Relationship Type="http://schemas.openxmlformats.org/officeDocument/2006/relationships/hyperlink" Id="rId270" Target="https://doi.org/10.2307/2296006" TargetMode="External" /><Relationship Type="http://schemas.openxmlformats.org/officeDocument/2006/relationships/hyperlink" Id="rId247" Target="https://doi.org/10.2307/2296617" TargetMode="External" /><Relationship Type="http://schemas.openxmlformats.org/officeDocument/2006/relationships/hyperlink" Id="rId405" Target="https://doi.org/10.2307/2296904" TargetMode="External" /><Relationship Type="http://schemas.openxmlformats.org/officeDocument/2006/relationships/hyperlink" Id="rId243" Target="https://doi.org/10.2307/2525306" TargetMode="External" /><Relationship Type="http://schemas.openxmlformats.org/officeDocument/2006/relationships/hyperlink" Id="rId219" Target="https://doi.org/10.2307/2555382" TargetMode="External" /><Relationship Type="http://schemas.openxmlformats.org/officeDocument/2006/relationships/hyperlink" Id="rId302" Target="https://doi.org/10.2307/2951567" TargetMode="External" /><Relationship Type="http://schemas.openxmlformats.org/officeDocument/2006/relationships/hyperlink" Id="rId377" Target="https://doi.org/10.2307/3003302" TargetMode="External" /><Relationship Type="http://schemas.openxmlformats.org/officeDocument/2006/relationships/hyperlink" Id="rId328" Target="https://www.boe.es/buscar/act.php?id=BOE-A-2020-13591" TargetMode="External" /><Relationship Type="http://schemas.openxmlformats.org/officeDocument/2006/relationships/hyperlink" Id="rId326" Target="https://www.boe.es/buscar/act.php?id=BOE-A-2020-15689" TargetMode="External" /><Relationship Type="http://schemas.openxmlformats.org/officeDocument/2006/relationships/hyperlink" Id="rId322" Target="https://www.boe.es/diario_boe/txt.php?id=BOE-A-2026-678" TargetMode="External" /><Relationship Type="http://schemas.openxmlformats.org/officeDocument/2006/relationships/hyperlink" Id="rId233" Target="https://www.boe.es/doue/2023/2830/L00001-00056.pdf" TargetMode="External" /><Relationship Type="http://schemas.openxmlformats.org/officeDocument/2006/relationships/hyperlink" Id="rId235" Target="https://www.cnmc.es/prensa/sancionador-obra-civil-20220707" TargetMode="External" /><Relationship Type="http://schemas.openxmlformats.org/officeDocument/2006/relationships/hyperlink" Id="rId211" Target="https://www.ecb.europa.eu/press/pr/date/2012/html/pr120906_1.en.html" TargetMode="External" /><Relationship Type="http://schemas.openxmlformats.org/officeDocument/2006/relationships/hyperlink" Id="rId304" Target="https://www.esm.europa.eu/assistance/spain" TargetMode="External" /><Relationship Type="http://schemas.openxmlformats.org/officeDocument/2006/relationships/hyperlink" Id="rId330" Target="https://www.miteco.gob.es/es/prensa/210126resultadosprimerasubastaderenovablesd_tcm30-522089.pdf" TargetMode="External" /><Relationship Type="http://schemas.openxmlformats.org/officeDocument/2006/relationships/hyperlink" Id="rId332" Target="https://www.miteco.gob.es/es/prensa/221123_ndpelmitecocelebralacuartasubastadeasignacionderegimeneconomicodeenergiasrenovables_tcm30-548346.pdf" TargetMode="External" /><Relationship Type="http://schemas.openxmlformats.org/officeDocument/2006/relationships/hyperlink" Id="rId387" Target="https://www.nobelprize.org/prizes/economic-sciences/1994/summary/" TargetMode="External" /><Relationship Type="http://schemas.openxmlformats.org/officeDocument/2006/relationships/hyperlink" Id="rId389" Target="https://www.nobelprize.org/prizes/economic-sciences/1996/summary/" TargetMode="External" /><Relationship Type="http://schemas.openxmlformats.org/officeDocument/2006/relationships/hyperlink" Id="rId391" Target="https://www.nobelprize.org/prizes/economic-sciences/2005/summary/" TargetMode="External" /><Relationship Type="http://schemas.openxmlformats.org/officeDocument/2006/relationships/hyperlink" Id="rId393" Target="https://www.nobelprize.org/prizes/economic-sciences/2007/summary/" TargetMode="External" /><Relationship Type="http://schemas.openxmlformats.org/officeDocument/2006/relationships/hyperlink" Id="rId395" Target="https://www.nobelprize.org/prizes/economic-sciences/2012/summary/" TargetMode="External" /><Relationship Type="http://schemas.openxmlformats.org/officeDocument/2006/relationships/hyperlink" Id="rId354" Target="https://www.nobelprize.org/prizes/economic-sciences/2020/popular-information/" TargetMode="External" /><Relationship Type="http://schemas.openxmlformats.org/officeDocument/2006/relationships/hyperlink" Id="rId352" Target="https://www.nobelprize.org/prizes/economic-sciences/2020/press-release/" TargetMode="External" /><Relationship Type="http://schemas.openxmlformats.org/officeDocument/2006/relationships/hyperlink" Id="rId397" Target="https://www.nobelprize.org/prizes/economic-sciences/2020/summary/" TargetMode="External" /><Relationship Type="http://schemas.openxmlformats.org/officeDocument/2006/relationships/hyperlink" Id="rId237" Target="https://www.nobelprize.org/uploads/2020/09/advanced-economicsciencesprize2020.pdf" TargetMode="External" /><Relationship Type="http://schemas.openxmlformats.org/officeDocument/2006/relationships/hyperlink" Id="rId383" Target="https://www.tesoro.es/deuda-publica/mercado/mercado-primario/procedimiento-de-emision-y-subasta-de-los-valores-del-tesoro/la-subasta" TargetMode="External" /><Relationship Type="http://schemas.openxmlformats.org/officeDocument/2006/relationships/hyperlink" Id="rId381" Target="https://www.tesoro.es/documents/d/tesoro/estrategia_tesoro_publico_2026_espanol" TargetMode="External" /><Relationship Type="http://schemas.openxmlformats.org/officeDocument/2006/relationships/hyperlink" Id="rId156"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88" Target="https://www.victorgutierrezmarcos.es/oposicion/temario/cuarto-ejercicio/4A18.pdf" TargetMode="External" /><Relationship Type="http://schemas.openxmlformats.org/officeDocument/2006/relationships/hyperlink" Id="rId124" Target="https://www.victorgutierrezmarcos.es/oposicion/temario/cuarto-ejercicio/4B11.pdf" TargetMode="External" /><Relationship Type="http://schemas.openxmlformats.org/officeDocument/2006/relationships/hyperlink" Id="rId155" Target="https://www.victorgutierrezmarcos.es/oposicion/temario/cuarto-ejercicio/4B26.pdf" TargetMode="External" /><Relationship Type="http://schemas.openxmlformats.org/officeDocument/2006/relationships/hyperlink" Id="rId176" Target="https://www.victorgutierrezmarcos.es/oposicion/temario/primer-ejercicio/test/simulador.html" TargetMode="External" /><Relationship Type="http://schemas.openxmlformats.org/officeDocument/2006/relationships/hyperlink" Id="rId185" Target="https://www.victorgutierrezmarcos.es/oposicion/temario/tema-no-disponible.html?tema=3.B.45" TargetMode="External" /><Relationship Type="http://schemas.openxmlformats.org/officeDocument/2006/relationships/hyperlink" Id="rId157" Target="https://www.victorgutierrezmarcos.es/oposicion/temario/tema-no-disponible.html?tema=4.A.5" TargetMode="External" /><Relationship Type="http://schemas.openxmlformats.org/officeDocument/2006/relationships/hyperlink" Id="rId158" Target="https://www.victorgutierrezmarcos.es/oposicion/temario/tema-no-disponible.html?tema=4.A.6" TargetMode="External" /><Relationship Type="http://schemas.openxmlformats.org/officeDocument/2006/relationships/hyperlink" Id="rId109"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0"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5" Target="https://www.victorgutierrezmarcos.es/oposicion/temario/tercer-ejercicio/3B08.pdf" TargetMode="External" /><Relationship Type="http://schemas.openxmlformats.org/officeDocument/2006/relationships/hyperlink" Id="rId126" Target="https://www.victorgutierrezmarcos.es/oposicion/temario/tercer-ejercicio/3B1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2026-10-20T21:11:50Z</dcterms:created>
  <dcterms:modified xsi:type="dcterms:W3CDTF">2026-10-20T21:11:50Z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10 · Bibliografía: 7</vt:lpwstr>
  </property>
  <property fmtid="{D5CDD505-2E9C-101B-9397-08002B2CF9AE}" pid="19"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0" name="reference-section-title">
    <vt:lpwstr>Bibliografía</vt:lpwstr>
  </property>
  <property fmtid="{D5CDD505-2E9C-101B-9397-08002B2CF9AE}" pid="21" name="resumen">
    <vt:lpwstr>Equilibrio de Nash, juegos repetidos y tit for tat, juegos bayesianos, núcleo y Shapley, diseño de mecanismos y subastas: equivalencia, maldición del ganador.</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