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7.png" ContentType="image/png"/>
  <Override PartName="/word/media/rId156.png" ContentType="image/png"/>
  <Override PartName="/word/media/rId160.png" ContentType="image/png"/>
  <Override PartName="/word/media/rId134.png" ContentType="image/png"/>
  <Override PartName="/word/media/rId61.png" ContentType="image/png"/>
  <Override PartName="/word/media/rId96.png" ContentType="image/png"/>
  <Override PartName="/word/media/rId39.png" ContentType="image/png"/>
  <Override PartName="/word/media/rId141.png" ContentType="image/png"/>
  <Override PartName="/word/media/rId114.png" ContentType="image/png"/>
  <Override PartName="/word/media/rId107.png" ContentType="image/png"/>
  <Override PartName="/word/media/rId76.png" ContentType="image/png"/>
  <Override PartName="/word/media/rId50.png" ContentType="image/png"/>
  <Override PartName="/word/footerTceeA.xml" ContentType="application/vnd.openxmlformats-officedocument.wordprocessingml.footer+xml"/>
  <Override PartName="/word/footerTceeB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3.A.19: Análisis de mercados (IV). Teoría del oligopolio:</w:t>
      </w:r>
      <w:r>
        <w:br/>
      </w:r>
      <w:r>
        <w:t xml:space="preserve">soluciones no cooperativas y soluciones cooperativas.</w:t>
      </w:r>
    </w:p>
    <w:p>
      <w:pPr>
        <w:pStyle w:val="Author"/>
      </w:pPr>
      <w:r>
        <w:t xml:space="preserve">Víctor Gutiérrez Marcos</w:t>
      </w:r>
    </w:p>
    <w:p>
      <w:pPr>
        <w:pStyle w:val="Date"/>
      </w:pPr>
      <w:r>
        <w:t xml:space="preserve">Última actualización: 20/10/2026</w:t>
      </w:r>
    </w:p>
    <w:p>
      <w:pPr>
        <w:pStyle w:val="Paginasdeltema"/>
      </w:pPr>
      <w:r>
        <w:t xml:space="preserve">Tema: 35 págs. · Anexos: 4 · Bibliografía: 5 (PDF)</w:t>
      </w:r>
    </w:p>
    <w:bookmarkStart w:id="38" w:name="introducci__n"/>
    <w:p>
      <w:pPr>
        <w:pStyle w:val="Heading1"/>
      </w:pPr>
      <w:r>
        <w:t xml:space="preserve">Introducción</w:t>
      </w:r>
      <w:r>
        <w:t xml:space="preserve"> </w:t>
      </w:r>
      <w:r>
        <w:rPr>
          <w:rStyle w:val="Minutos"/>
        </w:rPr>
        <w:t xml:space="preserve">2′30″</w:t>
      </w:r>
    </w:p>
    <w:p>
      <w:pPr>
        <w:keepNext/>
        <w:numPr>
          <w:ilvl w:val="0"/>
          <w:numId w:val="1001"/>
        </w:numPr>
      </w:pPr>
      <w:r>
        <w:rPr>
          <w:b/>
          <w:bCs/>
          <w:i/>
          <w:iCs/>
        </w:rPr>
        <w:t xml:space="preserve">Enganche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«Entre bomberos no se pisan la manguera», dice el refrán: entre los que se dedican a lo mismo, nadie le hace la competencia a nadie.</w:t>
      </w:r>
    </w:p>
    <w:p>
      <w:pPr>
        <w:numPr>
          <w:ilvl w:val="1"/>
          <w:numId w:val="1002"/>
        </w:numPr>
      </w:pPr>
      <w:r>
        <w:t xml:space="preserve">Ya en 1776, Adam</w:t>
      </w:r>
      <w:r>
        <w:t xml:space="preserve"> </w:t>
      </w:r>
      <w:r>
        <w:rPr>
          <w:smallCaps/>
        </w:rPr>
        <w:t xml:space="preserve">Smith</w:t>
      </w:r>
      <w:r>
        <w:t xml:space="preserve"> </w:t>
      </w:r>
      <w:r>
        <w:t xml:space="preserve">advertía de que la gente del mismo oficio rara vez se reúne, ni siquiera para divertirse, sin que la conversación acabe en una conspiración contra el público o en alguna maquinación para subir los precios</w:t>
      </w:r>
      <w:r>
        <w:t xml:space="preserve"> </w:t>
      </w:r>
      <w:r>
        <w:t xml:space="preserve">(</w:t>
      </w:r>
      <w:hyperlink w:anchor="ref_Smith1776Wealth">
        <w:r>
          <w:rPr>
            <w:rStyle w:val="Hyperlink"/>
            <w:smallCaps/>
          </w:rPr>
          <w:t xml:space="preserve">Smith</w:t>
        </w:r>
        <w:r>
          <w:rPr>
            <w:rStyle w:val="Hyperlink"/>
          </w:rPr>
          <w:t xml:space="preserve">, 1776, lib. I</w:t>
        </w:r>
      </w:hyperlink>
      <w:r>
        <w:t xml:space="preserve">, cap. 10, parte II)</w:t>
      </w:r>
      <w:r>
        <w:t xml:space="preserve">.</w:t>
      </w:r>
      <w:r>
        <w:rPr>
          <w:rStyle w:val="FootnoteReference"/>
        </w:rPr>
        <w:footnoteReference w:id="20"/>
      </w:r>
    </w:p>
    <w:p>
      <w:pPr>
        <w:numPr>
          <w:ilvl w:val="1"/>
          <w:numId w:val="1002"/>
        </w:numPr>
      </w:pPr>
      <w:r>
        <w:t xml:space="preserve">Casi dos siglos y medio después, en julio de 2016, la Comisión Europea multó con 2.926 millones de euros a 4 fabricantes de camiones (Daimler, DAF, Iveco y Volvo/Renault) que durante 14 años, de 1997 a 2011, se habían puesto de acuerdo en sus precios de catálogo. Un quinto miembro del cártel, MAN, no pagó nada: fue quien lo denunció</w:t>
      </w:r>
      <w:r>
        <w:t xml:space="preserve"> </w:t>
      </w:r>
      <w:r>
        <w:t xml:space="preserve">(</w:t>
      </w:r>
      <w:hyperlink w:anchor="ref_CE2016Camiones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2016</w:t>
        </w:r>
      </w:hyperlink>
      <w:r>
        <w:t xml:space="preserve">)</w:t>
      </w:r>
      <w:r>
        <w:t xml:space="preserve">. Con la multa de 2017 a Scania, es la mayor sanción a un cártel en la historia de la Unión Europea, 3.807 millones de euros</w:t>
      </w:r>
      <w:r>
        <w:t xml:space="preserve"> </w:t>
      </w:r>
      <w:r>
        <w:t xml:space="preserve">(</w:t>
      </w:r>
      <w:hyperlink w:anchor="ref_CE2026CartelStatistics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2026</w:t>
        </w:r>
      </w:hyperlink>
      <w:r>
        <w:t xml:space="preserve">)</w:t>
      </w:r>
      <w:r>
        <w:t xml:space="preserve">.</w:t>
      </w:r>
    </w:p>
    <w:p>
      <w:pPr>
        <w:numPr>
          <w:ilvl w:val="1"/>
          <w:numId w:val="1002"/>
        </w:numPr>
      </w:pPr>
      <w:r>
        <w:t xml:space="preserve">Detrás está la pregunta de esta exposición: si a las empresas de un mercado les conviene ponerse de acuerdo, ¿por qué compiten? ¿Por qué unas veces los bomberos no se pisan la manguera durante 14 años y otras uno de ellos la pisa y denuncia a los demás?</w:t>
      </w:r>
    </w:p>
    <w:p>
      <w:pPr>
        <w:keepNext/>
        <w:numPr>
          <w:ilvl w:val="0"/>
          <w:numId w:val="1001"/>
        </w:numPr>
      </w:pPr>
      <w:r>
        <w:rPr>
          <w:b/>
          <w:bCs/>
          <w:i/>
          <w:iCs/>
        </w:rPr>
        <w:t xml:space="preserve">Relevancia</w:t>
      </w:r>
      <w:r>
        <w:t xml:space="preserve">:</w:t>
      </w:r>
    </w:p>
    <w:p>
      <w:pPr>
        <w:numPr>
          <w:ilvl w:val="1"/>
          <w:numId w:val="1003"/>
        </w:numPr>
      </w:pPr>
      <w:r>
        <w:rPr>
          <w:i/>
          <w:iCs/>
        </w:rPr>
        <w:t xml:space="preserve">Empírica</w:t>
      </w:r>
      <w:r>
        <w:t xml:space="preserve">: muchos de los mercados que más pesan en el gasto de los hogares y de las empresas (telecomunicaciones, energía, banca, transporte aéreo, automóviles, plataformas digitales) tienen pocos vendedores. El margen medio de las empresas cotizadas de Estados Unidos sobre su coste marginal pasó del 21 % en 1980 al 61 % en 2016</w:t>
      </w:r>
      <w:r>
        <w:t xml:space="preserve"> </w:t>
      </w:r>
      <w:r>
        <w:t xml:space="preserve">(</w:t>
      </w:r>
      <w:hyperlink w:anchor="ref_DeLoeckerEeckhoutUnger2020Rise">
        <w:r>
          <w:rPr>
            <w:rStyle w:val="Hyperlink"/>
            <w:smallCaps/>
          </w:rPr>
          <w:t xml:space="preserve">De Loecker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Eeckhout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Unger</w:t>
        </w:r>
        <w:r>
          <w:rPr>
            <w:rStyle w:val="Hyperlink"/>
          </w:rPr>
          <w:t xml:space="preserve">, 2020</w:t>
        </w:r>
      </w:hyperlink>
      <w:r>
        <w:t xml:space="preserve">)</w:t>
      </w:r>
      <w:r>
        <w:t xml:space="preserve">, y la Comisión Europea ha adoptado 162 decisiones contra cárteles desde 1990, con multas de más de 33.000 millones de euros antes de las rebajas de los tribunales</w:t>
      </w:r>
      <w:r>
        <w:t xml:space="preserve"> </w:t>
      </w:r>
      <w:r>
        <w:t xml:space="preserve">(</w:t>
      </w:r>
      <w:hyperlink w:anchor="ref_CE2026CartelStatistics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2026</w:t>
        </w:r>
      </w:hyperlink>
      <w:r>
        <w:t xml:space="preserve">)</w:t>
      </w:r>
      <w:r>
        <w:t xml:space="preserve">.</w:t>
      </w:r>
    </w:p>
    <w:p>
      <w:pPr>
        <w:numPr>
          <w:ilvl w:val="1"/>
          <w:numId w:val="1003"/>
        </w:numPr>
      </w:pPr>
      <w:r>
        <w:rPr>
          <w:i/>
          <w:iCs/>
        </w:rPr>
        <w:t xml:space="preserve">Teórica</w:t>
      </w:r>
      <w:r>
        <w:t xml:space="preserve">: el oligopolio es el laboratorio en el que la teoría de juegos se hizo herramienta de la economía: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(1838) anticipó en más de un siglo el equilibrio de</w:t>
      </w:r>
      <w:r>
        <w:t xml:space="preserve"> </w:t>
      </w:r>
      <w:r>
        <w:rPr>
          <w:smallCaps/>
        </w:rPr>
        <w:t xml:space="preserve">Nash</w:t>
      </w:r>
      <w:r>
        <w:t xml:space="preserve">. Sus modelos son la base de la política comercial estratégica</w:t>
      </w:r>
      <w:r>
        <w:t xml:space="preserve"> </w:t>
      </w:r>
      <w:hyperlink r:id="rId21">
        <w:r>
          <w:rPr>
            <w:rStyle w:val="Referenciaatema"/>
          </w:rPr>
          <w:t xml:space="preserve">[ver tema 3.B.8]</w:t>
        </w:r>
      </w:hyperlink>
      <w:r>
        <w:t xml:space="preserve">, del dumping recíproco</w:t>
      </w:r>
      <w:r>
        <w:t xml:space="preserve"> </w:t>
      </w:r>
      <w:hyperlink r:id="rId22">
        <w:r>
          <w:rPr>
            <w:rStyle w:val="Referenciaatema"/>
          </w:rPr>
          <w:t xml:space="preserve">[ver tema 3.B.6]</w:t>
        </w:r>
      </w:hyperlink>
      <w:r>
        <w:t xml:space="preserve"> </w:t>
      </w:r>
      <w:r>
        <w:t xml:space="preserve">y de la competencia bancaria</w:t>
      </w:r>
      <w:r>
        <w:t xml:space="preserve"> </w:t>
      </w:r>
      <w:hyperlink r:id="rId23">
        <w:r>
          <w:rPr>
            <w:rStyle w:val="Referenciaatema"/>
          </w:rPr>
          <w:t xml:space="preserve">[ver tema 3.B.27]</w:t>
        </w:r>
      </w:hyperlink>
      <w:r>
        <w:t xml:space="preserve">.</w:t>
      </w:r>
    </w:p>
    <w:p>
      <w:pPr>
        <w:numPr>
          <w:ilvl w:val="1"/>
          <w:numId w:val="1003"/>
        </w:numPr>
      </w:pPr>
      <w:r>
        <w:rPr>
          <w:i/>
          <w:iCs/>
        </w:rPr>
        <w:t xml:space="preserve">Normativa y de política económica</w:t>
      </w:r>
      <w:r>
        <w:t xml:space="preserve">: con pocas empresas el precio queda por encima del coste marginal y no se cumple el primer teorema fundamental de la economía del bienestar (1TFEB)</w:t>
      </w:r>
      <w:r>
        <w:t xml:space="preserve"> </w:t>
      </w:r>
      <w:hyperlink r:id="rId24">
        <w:r>
          <w:rPr>
            <w:rStyle w:val="Referenciaatema"/>
          </w:rPr>
          <w:t xml:space="preserve">[ver tema 3.A.22]</w:t>
        </w:r>
      </w:hyperlink>
      <w:r>
        <w:t xml:space="preserve">; si las empresas se ponen de acuerdo, la pérdida se acerca a la del monopolio. De ahí la política de defensa de la competencia</w:t>
      </w:r>
      <w:r>
        <w:t xml:space="preserve"> </w:t>
      </w:r>
      <w:hyperlink r:id="rId25">
        <w:r>
          <w:rPr>
            <w:rStyle w:val="Referenciaatema"/>
          </w:rPr>
          <w:t xml:space="preserve">[ver tema 3.A.20]</w:t>
        </w:r>
      </w:hyperlink>
      <w:r>
        <w:t xml:space="preserve"> </w:t>
      </w:r>
      <w:hyperlink r:id="rId26">
        <w:r>
          <w:rPr>
            <w:rStyle w:val="Referenciaatema"/>
          </w:rPr>
          <w:t xml:space="preserve">[ver tema 3.B.39]</w:t>
        </w:r>
      </w:hyperlink>
      <w:r>
        <w:t xml:space="preserve">.</w:t>
      </w:r>
    </w:p>
    <w:p>
      <w:pPr>
        <w:keepNext/>
        <w:numPr>
          <w:ilvl w:val="0"/>
          <w:numId w:val="1001"/>
        </w:numPr>
      </w:pPr>
      <w:r>
        <w:rPr>
          <w:b/>
          <w:bCs/>
          <w:i/>
          <w:iCs/>
        </w:rPr>
        <w:t xml:space="preserve">Contextualización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La microeconomía explica los fenómenos agregados a partir de las decisiones de individuos que optimizan, el</w:t>
      </w:r>
      <w:r>
        <w:t xml:space="preserve"> </w:t>
      </w:r>
      <w:r>
        <w:rPr>
          <w:b/>
          <w:bCs/>
        </w:rPr>
        <w:t xml:space="preserve">individualismo metodológico</w:t>
      </w:r>
      <w:r>
        <w:t xml:space="preserve">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El resultado de la interacción de consumidores y productores, el</w:t>
      </w:r>
      <w:r>
        <w:t xml:space="preserve"> </w:t>
      </w:r>
      <w:r>
        <w:rPr>
          <w:b/>
          <w:bCs/>
        </w:rPr>
        <w:t xml:space="preserve">equilibrio de mercado</w:t>
      </w:r>
      <w:r>
        <w:t xml:space="preserve">, depende de la</w:t>
      </w:r>
      <w:r>
        <w:t xml:space="preserve"> </w:t>
      </w:r>
      <w:r>
        <w:rPr>
          <w:b/>
          <w:bCs/>
        </w:rPr>
        <w:t xml:space="preserve">estructura de mercado</w:t>
      </w:r>
      <w:r>
        <w:t xml:space="preserve">: hay 2 estructuras polares, la competencia perfecta</w:t>
      </w:r>
      <w:r>
        <w:t xml:space="preserve"> </w:t>
      </w:r>
      <w:hyperlink r:id="rId28">
        <w:r>
          <w:rPr>
            <w:rStyle w:val="Referenciaatema"/>
          </w:rPr>
          <w:t xml:space="preserve">[ver tema 3.A.16]</w:t>
        </w:r>
      </w:hyperlink>
      <w:r>
        <w:t xml:space="preserve"> </w:t>
      </w:r>
      <w:r>
        <w:t xml:space="preserve">y el monopolio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, y 2 intermedias, la competencia monopolística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 </w:t>
      </w:r>
      <w:r>
        <w:t xml:space="preserve">y el oligopolio.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Las 4 parten de la misma lista de supuestos (tabla </w:t>
      </w:r>
      <w:hyperlink w:anchor="tab_supuestos">
        <w:r>
          <w:rPr>
            <w:rStyle w:val="Hyperlink"/>
          </w:rPr>
          <w:t xml:space="preserve">1</w:t>
        </w:r>
      </w:hyperlink>
      <w:r>
        <w:t xml:space="preserve">), y esta exposición levanta el de</w:t>
      </w:r>
      <w:r>
        <w:t xml:space="preserve"> </w:t>
      </w:r>
      <w:r>
        <w:rPr>
          <w:i/>
          <w:iCs/>
        </w:rPr>
        <w:t xml:space="preserve">mercado atomizado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oligopolio</w:t>
      </w:r>
      <w:r>
        <w:t xml:space="preserve"> </w:t>
      </w:r>
      <w:r>
        <w:t xml:space="preserve">(del griego</w:t>
      </w:r>
      <w:r>
        <w:t xml:space="preserve"> </w:t>
      </w:r>
      <w:r>
        <w:rPr>
          <w:i/>
          <w:iCs/>
        </w:rPr>
        <w:t xml:space="preserve">olígos</w:t>
      </w:r>
      <w:r>
        <w:t xml:space="preserve">, «pocos», y</w:t>
      </w:r>
      <w:r>
        <w:t xml:space="preserve"> </w:t>
      </w:r>
      <w:r>
        <w:rPr>
          <w:i/>
          <w:iCs/>
        </w:rPr>
        <w:t xml:space="preserve">pōleîn</w:t>
      </w:r>
      <w:r>
        <w:t xml:space="preserve">, «vender») es la estructura de mercado con</w:t>
      </w:r>
      <w:r>
        <w:t xml:space="preserve"> </w:t>
      </w:r>
      <w:r>
        <w:rPr>
          <w:i/>
          <w:iCs/>
        </w:rPr>
        <w:t xml:space="preserve">pocos vendedores</w:t>
      </w:r>
      <w:r>
        <w:t xml:space="preserve">, cada uno lo bastante grande para mover el precio. Lo que lo distingue es la</w:t>
      </w:r>
      <w:r>
        <w:t xml:space="preserve"> </w:t>
      </w:r>
      <w:r>
        <w:rPr>
          <w:b/>
          <w:bCs/>
        </w:rPr>
        <w:t xml:space="preserve">interdependencia estratégica</w:t>
      </w:r>
      <w:r>
        <w:t xml:space="preserve">: el beneficio de cada empresa depende de sus decisiones y de las de las demás, y cada una lo sabe y lo tiene en cuenta al decidir, sabiendo que las demás también lo hacen.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Por eso la teoría del oligopolio es teoría de juegos aplicada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  <w:r>
        <w:rPr>
          <w:rStyle w:val="FootnoteReference"/>
        </w:rPr>
        <w:footnoteReference w:id="34"/>
      </w:r>
    </w:p>
    <w:p>
      <w:pPr>
        <w:keepNext/>
        <w:numPr>
          <w:ilvl w:val="1"/>
          <w:numId w:val="1004"/>
        </w:numPr>
      </w:pPr>
      <w:r>
        <w:t xml:space="preserve">Desde un punto de vista histórico:</w:t>
      </w:r>
    </w:p>
    <w:p>
      <w:pPr>
        <w:numPr>
          <w:ilvl w:val="2"/>
          <w:numId w:val="1005"/>
        </w:numPr>
      </w:pPr>
      <w:r>
        <w:t xml:space="preserve">Los primeros modelos de oligopolio son anteriores a la teoría de juegos: el duopolio en cantidades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ref_Cournot1838Recherches">
        <w:r>
          <w:rPr>
            <w:rStyle w:val="Hyperlink"/>
          </w:rPr>
          <w:t xml:space="preserve">1838</w:t>
        </w:r>
      </w:hyperlink>
      <w:r>
        <w:t xml:space="preserve">)</w:t>
      </w:r>
      <w:r>
        <w:t xml:space="preserve">, la crítica en precios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(</w:t>
      </w:r>
      <w:hyperlink w:anchor="ref_Bertrand1883Theorie">
        <w:r>
          <w:rPr>
            <w:rStyle w:val="Hyperlink"/>
          </w:rPr>
          <w:t xml:space="preserve">1883</w:t>
        </w:r>
      </w:hyperlink>
      <w:r>
        <w:t xml:space="preserve">)</w:t>
      </w:r>
      <w:r>
        <w:t xml:space="preserve">, las restricciones de capacidad de</w:t>
      </w:r>
      <w:r>
        <w:t xml:space="preserve"> </w:t>
      </w:r>
      <w:r>
        <w:rPr>
          <w:smallCaps/>
        </w:rPr>
        <w:t xml:space="preserve">Edgeworth</w:t>
      </w:r>
      <w:r>
        <w:t xml:space="preserve"> </w:t>
      </w:r>
      <w:r>
        <w:t xml:space="preserve">(</w:t>
      </w:r>
      <w:hyperlink w:anchor="ref_Edgeworth1897Teoria">
        <w:r>
          <w:rPr>
            <w:rStyle w:val="Hyperlink"/>
          </w:rPr>
          <w:t xml:space="preserve">1897</w:t>
        </w:r>
      </w:hyperlink>
      <w:r>
        <w:t xml:space="preserve">)</w:t>
      </w:r>
      <w:r>
        <w:t xml:space="preserve"> </w:t>
      </w:r>
      <w:r>
        <w:t xml:space="preserve">y el liderazgo de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</w:t>
      </w:r>
      <w:hyperlink w:anchor="ref_Stackelberg1934Marktform">
        <w:r>
          <w:rPr>
            <w:rStyle w:val="Hyperlink"/>
          </w:rPr>
          <w:t xml:space="preserve">1934</w:t>
        </w:r>
      </w:hyperlink>
      <w:r>
        <w:t xml:space="preserve">)</w:t>
      </w:r>
      <w:r>
        <w:t xml:space="preserve">.</w:t>
      </w:r>
    </w:p>
    <w:p>
      <w:pPr>
        <w:numPr>
          <w:ilvl w:val="2"/>
          <w:numId w:val="1005"/>
        </w:numPr>
      </w:pPr>
      <w:r>
        <w:t xml:space="preserve">La teoría de juegos nace con</w:t>
      </w:r>
      <w:r>
        <w:t xml:space="preserve"> </w:t>
      </w:r>
      <w:r>
        <w:rPr>
          <w:i/>
          <w:iCs/>
        </w:rPr>
        <w:t xml:space="preserve">Theory of Games and Economic Behavior</w:t>
      </w:r>
      <w:r>
        <w:t xml:space="preserve"> </w:t>
      </w:r>
      <w:r>
        <w:t xml:space="preserve">de John</w:t>
      </w:r>
      <w:r>
        <w:t xml:space="preserve"> </w:t>
      </w:r>
      <w:r>
        <w:rPr>
          <w:smallCaps/>
        </w:rPr>
        <w:t xml:space="preserve">von Neumann</w:t>
      </w:r>
      <w:r>
        <w:t xml:space="preserve"> </w:t>
      </w:r>
      <w:r>
        <w:t xml:space="preserve">y Oskar</w:t>
      </w:r>
      <w:r>
        <w:t xml:space="preserve"> </w:t>
      </w:r>
      <w:r>
        <w:rPr>
          <w:smallCaps/>
        </w:rPr>
        <w:t xml:space="preserve">Morgenstern</w:t>
      </w:r>
      <w:r>
        <w:t xml:space="preserve"> </w:t>
      </w:r>
      <w:r>
        <w:t xml:space="preserve">(</w:t>
      </w:r>
      <w:hyperlink w:anchor="ref_VonNeumannMorgenstern1944Theory">
        <w:r>
          <w:rPr>
            <w:rStyle w:val="Hyperlink"/>
            <w:smallCaps/>
          </w:rPr>
          <w:t xml:space="preserve">von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Neumann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Morgenstern</w:t>
        </w:r>
        <w:r>
          <w:rPr>
            <w:rStyle w:val="Hyperlink"/>
          </w:rPr>
          <w:t xml:space="preserve">, 1944</w:t>
        </w:r>
      </w:hyperlink>
      <w:r>
        <w:t xml:space="preserve">)</w:t>
      </w:r>
      <w:r>
        <w:t xml:space="preserve">, centrada en los juegos de suma cero y cooperativos.</w:t>
      </w:r>
      <w:r>
        <w:t xml:space="preserve"> </w:t>
      </w:r>
      <w:r>
        <w:rPr>
          <w:smallCaps/>
        </w:rPr>
        <w:t xml:space="preserve">Nash</w:t>
      </w:r>
      <w:r>
        <w:t xml:space="preserve"> </w:t>
      </w:r>
      <w:r>
        <w:t xml:space="preserve">(</w:t>
      </w:r>
      <w:hyperlink w:anchor="ref_Nash1950Equilibrium">
        <w:r>
          <w:rPr>
            <w:rStyle w:val="Hyperlink"/>
          </w:rPr>
          <w:t xml:space="preserve">1950a</w:t>
        </w:r>
      </w:hyperlink>
      <w:r>
        <w:t xml:space="preserve">)</w:t>
      </w:r>
      <w:r>
        <w:t xml:space="preserve"> </w:t>
      </w:r>
      <w:r>
        <w:t xml:space="preserve">define el equilibrio de los juegos no cooperativos; después llegan la forma extensiva</w:t>
      </w:r>
      <w:r>
        <w:t xml:space="preserve"> </w:t>
      </w:r>
      <w:r>
        <w:t xml:space="preserve">(</w:t>
      </w:r>
      <w:hyperlink w:anchor="ref_Kuhn1953Extensive">
        <w:r>
          <w:rPr>
            <w:rStyle w:val="Hyperlink"/>
            <w:smallCaps/>
          </w:rPr>
          <w:t xml:space="preserve">Kuhn</w:t>
        </w:r>
        <w:r>
          <w:rPr>
            <w:rStyle w:val="Hyperlink"/>
          </w:rPr>
          <w:t xml:space="preserve">, 1953</w:t>
        </w:r>
      </w:hyperlink>
      <w:r>
        <w:t xml:space="preserve">)</w:t>
      </w:r>
      <w:r>
        <w:t xml:space="preserve">, los juegos repetidos</w:t>
      </w:r>
      <w:r>
        <w:t xml:space="preserve"> </w:t>
      </w:r>
      <w:r>
        <w:t xml:space="preserve">(</w:t>
      </w:r>
      <w:hyperlink w:anchor="ref_Aumann1959Acceptable">
        <w:r>
          <w:rPr>
            <w:rStyle w:val="Hyperlink"/>
            <w:smallCaps/>
          </w:rPr>
          <w:t xml:space="preserve">Aumann</w:t>
        </w:r>
        <w:r>
          <w:rPr>
            <w:rStyle w:val="Hyperlink"/>
          </w:rPr>
          <w:t xml:space="preserve">, 1959</w:t>
        </w:r>
      </w:hyperlink>
      <w:r>
        <w:t xml:space="preserve">)</w:t>
      </w:r>
      <w:r>
        <w:t xml:space="preserve">, la perfección en subjuegos, que</w:t>
      </w:r>
      <w:r>
        <w:t xml:space="preserve"> </w:t>
      </w:r>
      <w:r>
        <w:rPr>
          <w:smallCaps/>
        </w:rPr>
        <w:t xml:space="preserve">Selten</w:t>
      </w:r>
      <w:r>
        <w:t xml:space="preserve"> </w:t>
      </w:r>
      <w:r>
        <w:t xml:space="preserve">(</w:t>
      </w:r>
      <w:hyperlink w:anchor="ref_Selten1965Spieltheoretische">
        <w:r>
          <w:rPr>
            <w:rStyle w:val="Hyperlink"/>
          </w:rPr>
          <w:t xml:space="preserve">1965</w:t>
        </w:r>
      </w:hyperlink>
      <w:r>
        <w:t xml:space="preserve">)</w:t>
      </w:r>
      <w:r>
        <w:t xml:space="preserve"> </w:t>
      </w:r>
      <w:r>
        <w:t xml:space="preserve">propone precisamente con un modelo de oligopolio, y la información incompleta</w:t>
      </w:r>
      <w:r>
        <w:t xml:space="preserve"> </w:t>
      </w:r>
      <w:r>
        <w:t xml:space="preserve">(</w:t>
      </w:r>
      <w:hyperlink w:anchor="ref_Harsanyi1967Games">
        <w:r>
          <w:rPr>
            <w:rStyle w:val="Hyperlink"/>
            <w:smallCaps/>
          </w:rPr>
          <w:t xml:space="preserve">Harsanyi</w:t>
        </w:r>
        <w:r>
          <w:rPr>
            <w:rStyle w:val="Hyperlink"/>
          </w:rPr>
          <w:t xml:space="preserve">, 1967–1968</w:t>
        </w:r>
      </w:hyperlink>
      <w:r>
        <w:t xml:space="preserve">)</w:t>
      </w:r>
      <w:r>
        <w:t xml:space="preserve">.</w:t>
      </w:r>
      <w:r>
        <w:rPr>
          <w:rStyle w:val="FootnoteReference"/>
        </w:rPr>
        <w:footnoteReference w:id="36"/>
      </w:r>
    </w:p>
    <w:p>
      <w:pPr>
        <w:numPr>
          <w:ilvl w:val="2"/>
          <w:numId w:val="1005"/>
        </w:numPr>
      </w:pPr>
      <w:r>
        <w:rPr>
          <w:smallCaps/>
        </w:rPr>
        <w:t xml:space="preserve">Stigler</w:t>
      </w:r>
      <w:r>
        <w:t xml:space="preserve"> </w:t>
      </w:r>
      <w:r>
        <w:t xml:space="preserve">(</w:t>
      </w:r>
      <w:hyperlink w:anchor="ref_Stigler1964Theory">
        <w:r>
          <w:rPr>
            <w:rStyle w:val="Hyperlink"/>
          </w:rPr>
          <w:t xml:space="preserve">1964</w:t>
        </w:r>
      </w:hyperlink>
      <w:r>
        <w:t xml:space="preserve">)</w:t>
      </w:r>
      <w:r>
        <w:t xml:space="preserve"> </w:t>
      </w:r>
      <w:r>
        <w:t xml:space="preserve">plantea el problema central de los cárteles: el mismo afán de beneficio que lleva a formarlos empuja a cada miembro a rebajar el precio en secreto.</w:t>
      </w:r>
      <w:r>
        <w:t xml:space="preserve"> </w:t>
      </w:r>
      <w:r>
        <w:rPr>
          <w:smallCaps/>
        </w:rPr>
        <w:t xml:space="preserve">Friedman</w:t>
      </w:r>
      <w:r>
        <w:t xml:space="preserve"> </w:t>
      </w:r>
      <w:r>
        <w:t xml:space="preserve">(</w:t>
      </w:r>
      <w:hyperlink w:anchor="ref_Friedman1971Supergames">
        <w:r>
          <w:rPr>
            <w:rStyle w:val="Hyperlink"/>
          </w:rPr>
          <w:t xml:space="preserve">1971</w:t>
        </w:r>
      </w:hyperlink>
      <w:r>
        <w:t xml:space="preserve">)</w:t>
      </w:r>
      <w:r>
        <w:t xml:space="preserve"> </w:t>
      </w:r>
      <w:r>
        <w:t xml:space="preserve">muestra que la repetición puede sostener la colusión sin acuerdos, y la nueva teoría de la organización industrial ordena todo esto con la teoría de juegos</w:t>
      </w:r>
      <w:r>
        <w:t xml:space="preserve"> </w:t>
      </w:r>
      <w:r>
        <w:t xml:space="preserve">(</w:t>
      </w:r>
      <w:hyperlink w:anchor="ref_Tirole1988Theory">
        <w:r>
          <w:rPr>
            <w:rStyle w:val="Hyperlink"/>
            <w:smallCaps/>
          </w:rPr>
          <w:t xml:space="preserve">Tirole</w:t>
        </w:r>
        <w:r>
          <w:rPr>
            <w:rStyle w:val="Hyperlink"/>
          </w:rPr>
          <w:t xml:space="preserve">, 1988</w:t>
        </w:r>
      </w:hyperlink>
      <w:r>
        <w:t xml:space="preserve">)</w:t>
      </w:r>
      <w:r>
        <w:t xml:space="preserve">.</w:t>
      </w:r>
    </w:p>
    <w:p>
      <w:pPr>
        <w:keepNext/>
        <w:numPr>
          <w:ilvl w:val="1"/>
          <w:numId w:val="1004"/>
        </w:numPr>
      </w:pPr>
      <w:r>
        <w:rPr>
          <w:b/>
          <w:bCs/>
        </w:rPr>
        <w:t xml:space="preserve">Soluciones no cooperativas y cooperativas</w:t>
      </w:r>
      <w:r>
        <w:t xml:space="preserve">. El título usa una palabra con 2 sentidos que conviene separar:</w:t>
      </w:r>
    </w:p>
    <w:p>
      <w:pPr>
        <w:numPr>
          <w:ilvl w:val="2"/>
          <w:numId w:val="1006"/>
        </w:numPr>
      </w:pPr>
      <w:r>
        <w:rPr>
          <w:i/>
          <w:iCs/>
        </w:rPr>
        <w:t xml:space="preserve">por el resultado</w:t>
      </w:r>
      <w:r>
        <w:t xml:space="preserve">: en organización industrial, una solución es</w:t>
      </w:r>
      <w:r>
        <w:t xml:space="preserve"> </w:t>
      </w:r>
      <w:r>
        <w:rPr>
          <w:i/>
          <w:iCs/>
        </w:rPr>
        <w:t xml:space="preserve">cooperativa</w:t>
      </w:r>
      <w:r>
        <w:t xml:space="preserve"> </w:t>
      </w:r>
      <w:r>
        <w:t xml:space="preserve">(</w:t>
      </w:r>
      <w:r>
        <w:rPr>
          <w:b/>
          <w:bCs/>
        </w:rPr>
        <w:t xml:space="preserve">colusoria</w:t>
      </w:r>
      <w:r>
        <w:t xml:space="preserve">) si las empresas consiguen restringir la producción y acercarse al beneficio conjunto de monopolio, y</w:t>
      </w:r>
      <w:r>
        <w:t xml:space="preserve"> </w:t>
      </w:r>
      <w:r>
        <w:rPr>
          <w:i/>
          <w:iCs/>
        </w:rPr>
        <w:t xml:space="preserve">no cooperativa</w:t>
      </w:r>
      <w:r>
        <w:t xml:space="preserve"> </w:t>
      </w:r>
      <w:r>
        <w:t xml:space="preserve">(competitiva) si cada una maximiza el suyo;</w:t>
      </w:r>
    </w:p>
    <w:p>
      <w:pPr>
        <w:numPr>
          <w:ilvl w:val="2"/>
          <w:numId w:val="1006"/>
        </w:numPr>
      </w:pPr>
      <w:r>
        <w:rPr>
          <w:i/>
          <w:iCs/>
        </w:rPr>
        <w:t xml:space="preserve">por el instrumento</w:t>
      </w:r>
      <w:r>
        <w:t xml:space="preserve">: en teoría de juegos, un juego es</w:t>
      </w:r>
      <w:r>
        <w:t xml:space="preserve"> </w:t>
      </w:r>
      <w:r>
        <w:rPr>
          <w:i/>
          <w:iCs/>
        </w:rPr>
        <w:t xml:space="preserve">cooperativo</w:t>
      </w:r>
      <w:r>
        <w:t xml:space="preserve"> </w:t>
      </w:r>
      <w:r>
        <w:t xml:space="preserve">si los jugadores pueden firmar</w:t>
      </w:r>
      <w:r>
        <w:t xml:space="preserve"> </w:t>
      </w:r>
      <w:r>
        <w:rPr>
          <w:i/>
          <w:iCs/>
        </w:rPr>
        <w:t xml:space="preserve">acuerdos vinculantes</w:t>
      </w:r>
      <w:r>
        <w:t xml:space="preserve"> </w:t>
      </w:r>
      <w:r>
        <w:t xml:space="preserve">y formar coaliciones, y</w:t>
      </w:r>
      <w:r>
        <w:t xml:space="preserve"> </w:t>
      </w:r>
      <w:r>
        <w:rPr>
          <w:i/>
          <w:iCs/>
        </w:rPr>
        <w:t xml:space="preserve">no cooperativo</w:t>
      </w:r>
      <w:r>
        <w:t xml:space="preserve"> </w:t>
      </w:r>
      <w:r>
        <w:t xml:space="preserve">si cada uno decide por su cuenta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p>
      <w:pPr>
        <w:numPr>
          <w:ilvl w:val="1"/>
          <w:numId w:val="1000"/>
        </w:numPr>
      </w:pPr>
      <w:r>
        <w:t xml:space="preserve">Las 2 cosas no coinciden: la</w:t>
      </w:r>
      <w:r>
        <w:t xml:space="preserve"> </w:t>
      </w:r>
      <w:r>
        <w:rPr>
          <w:b/>
          <w:bCs/>
        </w:rPr>
        <w:t xml:space="preserve">colusión tácita</w:t>
      </w:r>
      <w:r>
        <w:t xml:space="preserve"> </w:t>
      </w:r>
      <w:r>
        <w:t xml:space="preserve">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 es un resultado cooperativo de un juego no cooperativo, sin contrato alguno; el</w:t>
      </w:r>
      <w:r>
        <w:t xml:space="preserve"> </w:t>
      </w:r>
      <w:r>
        <w:rPr>
          <w:b/>
          <w:bCs/>
        </w:rPr>
        <w:t xml:space="preserve">cártel</w:t>
      </w:r>
      <w:r>
        <w:t xml:space="preserve"> </w:t>
      </w:r>
      <w:r>
        <w:t xml:space="preserve">con acuerdos vinculantes 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 es el caso propiamente cooperativo, y el que plantea cómo repartir las ganancias (</w:t>
      </w:r>
      <w:hyperlink w:anchor="sec_reparto">
        <w:r>
          <w:rPr>
            <w:rStyle w:val="Hyperlink"/>
          </w:rPr>
          <w:t xml:space="preserve">III.2</w:t>
        </w:r>
      </w:hyperlink>
      <w:r>
        <w:t xml:space="preserve">). Esta exposición usa las 2 teorías.</w:t>
      </w:r>
      <w:r>
        <w:rPr>
          <w:rStyle w:val="FootnoteReference"/>
        </w:rPr>
        <w:footnoteReference w:id="37"/>
      </w:r>
    </w:p>
    <w:p>
      <w:pPr>
        <w:keepNext/>
        <w:numPr>
          <w:ilvl w:val="0"/>
          <w:numId w:val="1001"/>
        </w:numPr>
      </w:pPr>
      <w:r>
        <w:rPr>
          <w:b/>
          <w:bCs/>
          <w:i/>
          <w:iCs/>
        </w:rPr>
        <w:t xml:space="preserve">Problemática (preguntas clave)</w:t>
      </w:r>
      <w:r>
        <w:t xml:space="preserve">:</w:t>
      </w:r>
    </w:p>
    <w:p>
      <w:pPr>
        <w:numPr>
          <w:ilvl w:val="1"/>
          <w:numId w:val="1007"/>
        </w:numPr>
      </w:pPr>
      <w:r>
        <w:t xml:space="preserve">¿Por qué no basta con que haya varias empresas para llegar al resultado competitivo, y cuánto se alejan de él? ¿Importa que compitan en cantidades o en precios, y que decidan a la vez o por turnos?</w:t>
      </w:r>
    </w:p>
    <w:p>
      <w:pPr>
        <w:numPr>
          <w:ilvl w:val="1"/>
          <w:numId w:val="1007"/>
        </w:numPr>
      </w:pPr>
      <w:r>
        <w:t xml:space="preserve">¿Por qué 2 empresas pueden bastar, en teoría, para el resultado de la competencia perfecta, y por qué casi nunca bastan en la práctica?</w:t>
      </w:r>
    </w:p>
    <w:p>
      <w:pPr>
        <w:numPr>
          <w:ilvl w:val="1"/>
          <w:numId w:val="1007"/>
        </w:numPr>
      </w:pPr>
      <w:r>
        <w:t xml:space="preserve">¿Pueden cooperar empresas que no pueden firmar contratos? ¿Qué hace sostenible un cártel y qué lo rompe?</w:t>
      </w:r>
    </w:p>
    <w:p>
      <w:pPr>
        <w:numPr>
          <w:ilvl w:val="1"/>
          <w:numId w:val="1007"/>
        </w:numPr>
      </w:pPr>
      <w:r>
        <w:t xml:space="preserve">Si cooperan, ¿cómo se reparten lo que ganan, y qué acuerdos son estables? ¿Qué puede hacer la política de competencia ante la colusión?</w:t>
      </w:r>
    </w:p>
    <w:p>
      <w:pPr>
        <w:keepNext/>
        <w:numPr>
          <w:ilvl w:val="0"/>
          <w:numId w:val="1001"/>
        </w:numPr>
      </w:pPr>
      <w:r>
        <w:rPr>
          <w:b/>
          <w:bCs/>
          <w:i/>
          <w:iCs/>
        </w:rPr>
        <w:t xml:space="preserve">Estructura</w:t>
      </w:r>
      <w:r>
        <w:t xml:space="preserve">: la exposición se divide en 3 bloques, que van de la competencia a la cooperación.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I. Las soluciones no cooperativas: competencia en una sola vez</w:t>
      </w:r>
      <w:r>
        <w:t xml:space="preserve">: tras caracterizar el oligopolio (</w:t>
      </w:r>
      <w:hyperlink w:anchor="sec_caracterizacion_oligopolio">
        <w:r>
          <w:rPr>
            <w:rStyle w:val="Hyperlink"/>
          </w:rPr>
          <w:t xml:space="preserve">I.1</w:t>
        </w:r>
      </w:hyperlink>
      <w:r>
        <w:t xml:space="preserve">), los 4 modelos clásicos según se compita en cantidades o en precios y se decida a la vez (juegos estáticos) o por turnos (juegos dinámicos secuenciales):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sec_cournot">
        <w:r>
          <w:rPr>
            <w:rStyle w:val="Hyperlink"/>
          </w:rPr>
          <w:t xml:space="preserve">I.2</w:t>
        </w:r>
      </w:hyperlink>
      <w:r>
        <w:t xml:space="preserve">),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</w:t>
      </w:r>
      <w:hyperlink w:anchor="sec_stackelberg">
        <w:r>
          <w:rPr>
            <w:rStyle w:val="Hyperlink"/>
          </w:rPr>
          <w:t xml:space="preserve">I.3</w:t>
        </w:r>
      </w:hyperlink>
      <w:r>
        <w:t xml:space="preserve">),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y las salidas a su paradoja (</w:t>
      </w:r>
      <w:hyperlink w:anchor="sec_bertrand">
        <w:r>
          <w:rPr>
            <w:rStyle w:val="Hyperlink"/>
          </w:rPr>
          <w:t xml:space="preserve">I.4</w:t>
        </w:r>
      </w:hyperlink>
      <w:r>
        <w:t xml:space="preserve">) y el liderazgo en precios (</w:t>
      </w:r>
      <w:hyperlink w:anchor="sec_liderazgo_precios">
        <w:r>
          <w:rPr>
            <w:rStyle w:val="Hyperlink"/>
          </w:rPr>
          <w:t xml:space="preserve">I.5</w:t>
        </w:r>
      </w:hyperlink>
      <w:r>
        <w:t xml:space="preserve">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II. La competencia repetida</w:t>
      </w:r>
      <w:r>
        <w:t xml:space="preserve">: si la competencia se repite un número finito y conocido de veces, nada cambia (</w:t>
      </w:r>
      <w:hyperlink w:anchor="sec_horizonte_finito">
        <w:r>
          <w:rPr>
            <w:rStyle w:val="Hyperlink"/>
          </w:rPr>
          <w:t xml:space="preserve">II.1</w:t>
        </w:r>
      </w:hyperlink>
      <w:r>
        <w:t xml:space="preserve">); si no tiene un final conocido, las empresas pueden sostener sin contratos un resultado cooperativo, la colusión tácita 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III. Las soluciones cooperativas</w:t>
      </w:r>
      <w:r>
        <w:t xml:space="preserve">: el cártel que maximiza el beneficio conjunto 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), el reparto de sus ganancias (</w:t>
      </w:r>
      <w:hyperlink w:anchor="sec_reparto">
        <w:r>
          <w:rPr>
            <w:rStyle w:val="Hyperlink"/>
          </w:rPr>
          <w:t xml:space="preserve">III.2</w:t>
        </w:r>
      </w:hyperlink>
      <w:r>
        <w:t xml:space="preserve">) y sus límites, la entrada y la defensa de la competencia (</w:t>
      </w:r>
      <w:hyperlink w:anchor="sec_limites_cooperacion">
        <w:r>
          <w:rPr>
            <w:rStyle w:val="Hyperlink"/>
          </w:rPr>
          <w:t xml:space="preserve">III.3</w:t>
        </w:r>
      </w:hyperlink>
      <w:r>
        <w:t xml:space="preserve">).</w:t>
      </w:r>
    </w:p>
    <w:p>
      <w:pPr>
        <w:numPr>
          <w:ilvl w:val="0"/>
          <w:numId w:val="1000"/>
        </w:numPr>
      </w:pPr>
      <w:r>
        <w:t xml:space="preserve">Un mismo hilo recorre los 3 bloques: todas las empresas ganarían si cada una produjera menos, pero a cada una, por separado, le conviene producir más. La exposición estudia cuándo gana la competencia y cuándo la cooperación.</w:t>
      </w:r>
    </w:p>
    <w:p>
      <w:pPr>
        <w:pStyle w:val="Esquema"/>
        <w:keepLines/>
      </w:pPr>
      <w:r>
        <w:rPr>
          <w:b/>
          <w:bCs/>
        </w:rPr>
        <w:t xml:space="preserve">Esquema del tema. </w:t>
      </w:r>
      <w:r>
        <w:rPr>
          <w:b/>
          <w:bCs/>
        </w:rPr>
        <w:t xml:space="preserve">3.A.19. Teoría del oligopolio</w:t>
      </w:r>
      <w:r>
        <w:br/>
      </w:r>
      <w:r>
        <w:t xml:space="preserve">Introducción</w:t>
      </w:r>
      <w:r>
        <w:br/>
      </w:r>
      <w:r>
        <w:t xml:space="preserve">I. Soluciones no cooperativas: competencia en una sola vez</w:t>
      </w:r>
      <w:r>
        <w:br/>
      </w:r>
      <w:r>
        <w:t xml:space="preserve">1. Supuestos: se levanta el 4 (pocos vendedores) y, en general, el 5</w:t>
      </w:r>
      <w:r>
        <w:br/>
      </w:r>
      <w:r>
        <w:t xml:space="preserve">2.</w:t>
      </w:r>
      <w:r>
        <w:t xml:space="preserve"> </w:t>
      </w:r>
      <w:r>
        <w:rPr>
          <w:smallCaps/>
        </w:rPr>
        <w:t xml:space="preserve">Cournot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, EN,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→</m:t>
        </m:r>
        <m:r>
          <m:t>c</m:t>
        </m:r>
      </m:oMath>
      <w:r>
        <w:br/>
      </w:r>
      <w:r>
        <w:t xml:space="preserve">3.</w:t>
      </w:r>
      <w:r>
        <w:t xml:space="preserve"> </w:t>
      </w:r>
      <w:r>
        <w:rPr>
          <w:smallCaps/>
        </w:rPr>
        <w:t xml:space="preserve">Stackelberg</w:t>
      </w:r>
      <w:r>
        <w:t xml:space="preserve">: ENPS, ventaja de compromiso</w:t>
      </w:r>
      <w:r>
        <w:br/>
      </w:r>
      <w:r>
        <w:t xml:space="preserve">4.</w:t>
      </w:r>
      <w:r>
        <w:t xml:space="preserve"> </w:t>
      </w:r>
      <w:r>
        <w:rPr>
          <w:smallCaps/>
        </w:rPr>
        <w:t xml:space="preserve">Bertrand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(paradoja) y sus salidas</w:t>
      </w:r>
      <w:r>
        <w:br/>
      </w:r>
      <w:r>
        <w:t xml:space="preserve">5. Liderazgo en precios: empresa dominante y franja; comparación</w:t>
      </w:r>
      <w:r>
        <w:br/>
      </w:r>
      <w:r>
        <w:t xml:space="preserve">II. Competencia repetida: colusión tácita</w:t>
      </w:r>
      <w:r>
        <w:br/>
      </w:r>
      <w:r>
        <w:t xml:space="preserve">1. Horizonte finito: el EN de la etapa en cada periodo</w:t>
      </w:r>
      <w:r>
        <w:br/>
      </w:r>
      <w:r>
        <w:t xml:space="preserve">2. Horizonte infinito: gatillo,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C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N</m:t>
                </m:r>
              </m:sup>
            </m:sSup>
          </m:e>
        </m:d>
      </m:oMath>
      <w:r>
        <w:t xml:space="preserve">; factores</w:t>
      </w:r>
      <w:r>
        <w:br/>
      </w:r>
      <w:r>
        <w:t xml:space="preserve">III. Soluciones cooperativas</w:t>
      </w:r>
      <w:r>
        <w:br/>
      </w:r>
      <w:r>
        <w:t xml:space="preserve">1. Cártel: monopolista multiplanta; incentivo a desviarse</w:t>
      </w:r>
      <w:r>
        <w:br/>
      </w:r>
      <w:r>
        <w:t xml:space="preserve">2. Reparto:</w:t>
      </w:r>
      <w:r>
        <w:t xml:space="preserve"> </w:t>
      </w:r>
      <w:r>
        <w:rPr>
          <w:smallCaps/>
        </w:rPr>
        <w:t xml:space="preserve">Nash</w:t>
      </w:r>
      <w:r>
        <w:t xml:space="preserve">, núcleo y valor de</w:t>
      </w:r>
      <w:r>
        <w:t xml:space="preserve"> </w:t>
      </w:r>
      <w:r>
        <w:rPr>
          <w:smallCaps/>
        </w:rPr>
        <w:t xml:space="preserve">Shapley</w:t>
      </w:r>
      <w:r>
        <w:br/>
      </w:r>
      <w:r>
        <w:t xml:space="preserve">3. Límites: entrada y defensa de la competencia (clemencia)</w:t>
      </w:r>
      <w:r>
        <w:br/>
      </w:r>
      <w:r>
        <w:t xml:space="preserve">Conclusión</w:t>
      </w:r>
    </w:p>
    <w:p>
      <w:pPr>
        <w:pStyle w:val="Notaalopositor"/>
        <w:keepLines/>
      </w:pPr>
      <w:r>
        <w:rPr>
          <w:b/>
          <w:bCs/>
        </w:rPr>
        <w:t xml:space="preserve">Nota al opositor. </w:t>
      </w:r>
      <w:r>
        <w:t xml:space="preserve">La exposición va de lo que pasa cuando las empresas se encuentran una sola vez y no pueden comprometerse (</w:t>
      </w:r>
      <w:hyperlink w:anchor="sec_analisis_estatico">
        <w:r>
          <w:rPr>
            <w:rStyle w:val="Hyperlink"/>
          </w:rPr>
          <w:t xml:space="preserve">I</w:t>
        </w:r>
      </w:hyperlink>
      <w:r>
        <w:t xml:space="preserve">:</w:t>
      </w:r>
      <w:r>
        <w:t xml:space="preserve"> </w:t>
      </w:r>
      <w:r>
        <w:rPr>
          <w:smallCaps/>
        </w:rPr>
        <w:t xml:space="preserve">Cournot</w:t>
      </w:r>
      <w:r>
        <w:t xml:space="preserve">,</w:t>
      </w:r>
      <w:r>
        <w:t xml:space="preserve"> </w:t>
      </w:r>
      <w:r>
        <w:rPr>
          <w:smallCaps/>
        </w:rPr>
        <w:t xml:space="preserve">Stackelberg</w:t>
      </w:r>
      <w:r>
        <w:t xml:space="preserve">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y el liderazgo en precios, cada uno en una casilla de la tabla </w:t>
      </w:r>
      <w:hyperlink w:anchor="tab_modelos_oligopolio">
        <w:r>
          <w:rPr>
            <w:rStyle w:val="Hyperlink"/>
          </w:rPr>
          <w:t xml:space="preserve">2</w:t>
        </w:r>
      </w:hyperlink>
      <w:r>
        <w:t xml:space="preserve">) a cómo la repetición permite cooperar sin contratos (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) y, por último, a la cooperación explícita: el cártel, el reparto de lo que gana y lo que la limita (</w:t>
      </w:r>
      <w:hyperlink w:anchor="sec_soluciones_cooperativas">
        <w:r>
          <w:rPr>
            <w:rStyle w:val="Hyperlink"/>
          </w:rPr>
          <w:t xml:space="preserve">III</w:t>
        </w:r>
      </w:hyperlink>
      <w:r>
        <w:t xml:space="preserve">). Reparto del cante: introducción, 2′30″; I, 11′ (I.1, 1′; I.2, 3′30″; I.3, 1′30″; I.4, 3′30″; I.5, 1′30″); II, 7′ (II.1, 1′; II.2, 6′); III, 8′30″ (III.1, 3′; III.2, 3′; III.3, 2′30″), y conclusión, 1′. Los gráficos imprescindibles son las funciones de reacción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los isobeneficios, que se completa con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y, en el bloque </w:t>
      </w:r>
      <w:hyperlink w:anchor="sec_soluciones_cooperativas">
        <w:r>
          <w:rPr>
            <w:rStyle w:val="Hyperlink"/>
          </w:rPr>
          <w:t xml:space="preserve">III</w:t>
        </w:r>
      </w:hyperlink>
      <w:r>
        <w:t xml:space="preserve">, con el cártel; la senda de beneficios del gatillo, y la columna de cantidades de la tabla comparativa. Las 2 funciones clave, el índice de</w:t>
      </w:r>
      <w:r>
        <w:t xml:space="preserve"> </w:t>
      </w:r>
      <w:r>
        <w:rPr>
          <w:smallCaps/>
        </w:rPr>
        <w:t xml:space="preserve">Lerner</w:t>
      </w:r>
      <w:r>
        <w:t xml:space="preserve"> </w:t>
      </w:r>
      <w:r>
        <w:t xml:space="preserve">con la cuota (</w:t>
      </w:r>
      <w:hyperlink w:anchor="eq_lerner_cournot">
        <w:r>
          <w:rPr>
            <w:rStyle w:val="Hyperlink"/>
          </w:rPr>
          <w:t xml:space="preserve">2</w:t>
        </w:r>
      </w:hyperlink>
      <w:r>
        <w:t xml:space="preserve">) y la condición de la colusión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), se quedan en una esquina de la pizarra todo el cante. Conviene escribir el esquema al empezar.</w:t>
      </w:r>
    </w:p>
    <w:bookmarkEnd w:id="38"/>
    <w:bookmarkStart w:id="121" w:name="sec_analisis_estatico"/>
    <w:p>
      <w:pPr>
        <w:pStyle w:val="Heading1"/>
      </w:pPr>
      <w:r>
        <w:t xml:space="preserve">I.</w:t>
      </w:r>
      <w:r>
        <w:t xml:space="preserve"> </w:t>
      </w:r>
      <w:r>
        <w:t xml:space="preserve">Soluciones no cooperativas:</w:t>
      </w:r>
      <w:r>
        <w:br/>
      </w:r>
      <w:r>
        <w:t xml:space="preserve">competencia en una sola vez</w:t>
      </w:r>
      <w:r>
        <w:t xml:space="preserve"> </w:t>
      </w:r>
      <w:r>
        <w:rPr>
          <w:rStyle w:val="Minutos"/>
        </w:rPr>
        <w:t xml:space="preserve">11′</w:t>
      </w:r>
    </w:p>
    <w:p>
      <w:pPr>
        <w:pStyle w:val="Notaalopositor"/>
        <w:keepLines/>
      </w:pPr>
      <w:r>
        <w:rPr>
          <w:b/>
          <w:bCs/>
        </w:rPr>
        <w:t xml:space="preserve">Nota al opositor. </w:t>
      </w:r>
      <w:r>
        <w:t xml:space="preserve">En el cante: los supuestos en una frase, con la tabla como apoyo, y la rejilla de los 4 modelos (1′);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su gráfico de funciones de reacción y el índice de</w:t>
      </w:r>
      <w:r>
        <w:t xml:space="preserve"> </w:t>
      </w:r>
      <w:r>
        <w:rPr>
          <w:smallCaps/>
        </w:rPr>
        <w:t xml:space="preserve">Lerner</w:t>
      </w:r>
      <w:r>
        <w:t xml:space="preserve"> </w:t>
      </w:r>
      <w:r>
        <w:t xml:space="preserve">con la cuota, que se queda en la pizarra (3′30″);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con su propio gráfico, que parte del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 la restricción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(1′30″);</w:t>
      </w:r>
      <w:r>
        <w:t xml:space="preserve"> </w:t>
      </w:r>
      <w:r>
        <w:rPr>
          <w:smallCaps/>
        </w:rPr>
        <w:t xml:space="preserve">Bertrand</w:t>
      </w:r>
      <w:r>
        <w:t xml:space="preserve">, la paradoja y sus salidas, cada una con el supuesto que levanta (3′30″); el liderazgo en precios de palabra y la tabla comparativa como cierre (1′30″). Son de profundización la existencia, unicidad y estabilidad del equilibrio de</w:t>
      </w:r>
      <w:r>
        <w:t xml:space="preserve"> </w:t>
      </w:r>
      <w:r>
        <w:rPr>
          <w:smallCaps/>
        </w:rPr>
        <w:t xml:space="preserve">Cournot</w:t>
      </w:r>
      <w:r>
        <w:t xml:space="preserve">, las variaciones conjeturales,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costes privados (anexo </w:t>
      </w:r>
      <w:hyperlink w:anchor="anexo_cournot_bayesiano">
        <w:r>
          <w:rPr>
            <w:rStyle w:val="Hyperlink"/>
          </w:rPr>
          <w:t xml:space="preserve">C</w:t>
        </w:r>
      </w:hyperlink>
      <w:r>
        <w:t xml:space="preserve">), los costes convexos y el detalle de</w:t>
      </w:r>
      <w:r>
        <w:t xml:space="preserve"> </w:t>
      </w:r>
      <w:r>
        <w:rPr>
          <w:smallCaps/>
        </w:rPr>
        <w:t xml:space="preserve">Edgeworth</w:t>
      </w:r>
      <w:r>
        <w:t xml:space="preserve">. Las cuentas con demanda lineal están en los anexos </w:t>
      </w:r>
      <w:hyperlink w:anchor="anexo_cournot_lineal">
        <w:r>
          <w:rPr>
            <w:rStyle w:val="Hyperlink"/>
          </w:rPr>
          <w:t xml:space="preserve">A</w:t>
        </w:r>
      </w:hyperlink>
      <w:r>
        <w:t xml:space="preserve"> </w:t>
      </w:r>
      <w:r>
        <w:t xml:space="preserve">y </w:t>
      </w:r>
      <w:hyperlink w:anchor="anexo_stackelberg_lineal">
        <w:r>
          <w:rPr>
            <w:rStyle w:val="Hyperlink"/>
          </w:rPr>
          <w:t xml:space="preserve">B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Empezamos por la situación más sencilla: las empresas se encuentran</w:t>
      </w:r>
      <w:r>
        <w:t xml:space="preserve"> </w:t>
      </w:r>
      <w:r>
        <w:rPr>
          <w:i/>
          <w:iCs/>
        </w:rPr>
        <w:t xml:space="preserve">una sola vez</w:t>
      </w:r>
      <w:r>
        <w:t xml:space="preserve"> </w:t>
      </w:r>
      <w:r>
        <w:t xml:space="preserve">en el mercado y no pueden firmar acuerdos que las obliguen.</w:t>
      </w:r>
    </w:p>
    <w:p>
      <w:pPr>
        <w:keepNext/>
        <w:numPr>
          <w:ilvl w:val="0"/>
          <w:numId w:val="1009"/>
        </w:numPr>
      </w:pPr>
      <w:r>
        <w:t xml:space="preserve">Seguimos la nomenclatura de los manuales de teoría de juegos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:</w:t>
      </w:r>
    </w:p>
    <w:p>
      <w:pPr>
        <w:numPr>
          <w:ilvl w:val="1"/>
          <w:numId w:val="1010"/>
        </w:numPr>
      </w:pPr>
      <w:r>
        <w:t xml:space="preserve">juegos</w:t>
      </w:r>
      <w:r>
        <w:t xml:space="preserve"> </w:t>
      </w:r>
      <w:r>
        <w:rPr>
          <w:i/>
          <w:iCs/>
        </w:rPr>
        <w:t xml:space="preserve">estáticos</w:t>
      </w:r>
      <w:r>
        <w:t xml:space="preserve">, en los que las empresas deciden a la vez: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Bertrand</w:t>
      </w:r>
      <w:r>
        <w:t xml:space="preserve">;</w:t>
      </w:r>
    </w:p>
    <w:p>
      <w:pPr>
        <w:keepNext/>
        <w:numPr>
          <w:ilvl w:val="1"/>
          <w:numId w:val="1010"/>
        </w:numPr>
      </w:pPr>
      <w:r>
        <w:t xml:space="preserve">juegos</w:t>
      </w:r>
      <w:r>
        <w:t xml:space="preserve"> </w:t>
      </w:r>
      <w:r>
        <w:rPr>
          <w:i/>
          <w:iCs/>
        </w:rPr>
        <w:t xml:space="preserve">dinámicos</w:t>
      </w:r>
      <w:r>
        <w:t xml:space="preserve">, en los que el tiempo importa:</w:t>
      </w:r>
    </w:p>
    <w:p>
      <w:pPr>
        <w:numPr>
          <w:ilvl w:val="2"/>
          <w:numId w:val="1011"/>
        </w:numPr>
      </w:pPr>
      <w:r>
        <w:rPr>
          <w:i/>
          <w:iCs/>
        </w:rPr>
        <w:t xml:space="preserve">secuenciales</w:t>
      </w:r>
      <w:r>
        <w:t xml:space="preserve">: las empresas deciden por turnos y se resuelven por inducción hacia atrás (ENPS):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y el liderazgo en precios;</w:t>
      </w:r>
    </w:p>
    <w:p>
      <w:pPr>
        <w:numPr>
          <w:ilvl w:val="2"/>
          <w:numId w:val="1011"/>
        </w:numPr>
      </w:pPr>
      <w:r>
        <w:rPr>
          <w:i/>
          <w:iCs/>
        </w:rPr>
        <w:t xml:space="preserve">repetidos</w:t>
      </w:r>
      <w:r>
        <w:t xml:space="preserve">: el mismo juego se juega muchas veces; son el objeto del bloque 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.</w:t>
      </w:r>
    </w:p>
    <w:p>
      <w:pPr>
        <w:keepNext/>
        <w:numPr>
          <w:ilvl w:val="0"/>
          <w:numId w:val="1009"/>
        </w:numPr>
      </w:pPr>
      <w:r>
        <w:rPr>
          <w:i/>
          <w:iCs/>
        </w:rPr>
        <w:t xml:space="preserve">Conclusión anticipada</w:t>
      </w:r>
      <w:r>
        <w:t xml:space="preserve"> </w:t>
      </w:r>
      <w:r>
        <w:t xml:space="preserve">(gráfico </w:t>
      </w:r>
      <w:hyperlink w:anchor="fig_escala_precios">
        <w:r>
          <w:rPr>
            <w:rStyle w:val="Hyperlink"/>
          </w:rPr>
          <w:t xml:space="preserve">1</w:t>
        </w:r>
      </w:hyperlink>
      <w:r>
        <w:t xml:space="preserve">):</w:t>
      </w:r>
    </w:p>
    <w:p>
      <w:pPr>
        <w:numPr>
          <w:ilvl w:val="1"/>
          <w:numId w:val="1012"/>
        </w:numPr>
      </w:pPr>
      <w:r>
        <w:t xml:space="preserve">el precio queda entre el de la competencia perfecta y el del monopolio;</w:t>
      </w:r>
    </w:p>
    <w:p>
      <w:pPr>
        <w:keepNext/>
        <w:numPr>
          <w:ilvl w:val="1"/>
          <w:numId w:val="1012"/>
        </w:numPr>
      </w:pPr>
      <w:r>
        <w:t xml:space="preserve">dónde exactamente depende de 2 cosas:</w:t>
      </w:r>
    </w:p>
    <w:p>
      <w:pPr>
        <w:numPr>
          <w:ilvl w:val="2"/>
          <w:numId w:val="1013"/>
        </w:numPr>
      </w:pPr>
      <w:r>
        <w:t xml:space="preserve">la</w:t>
      </w:r>
      <w:r>
        <w:t xml:space="preserve"> </w:t>
      </w:r>
      <w:r>
        <w:rPr>
          <w:i/>
          <w:iCs/>
        </w:rPr>
        <w:t xml:space="preserve">variable</w:t>
      </w:r>
      <w:r>
        <w:t xml:space="preserve"> </w:t>
      </w:r>
      <w:r>
        <w:t xml:space="preserve">con la que compiten: con precios (</w:t>
      </w:r>
      <w:r>
        <w:rPr>
          <w:smallCaps/>
        </w:rPr>
        <w:t xml:space="preserve">Bertrand</w:t>
      </w:r>
      <w:r>
        <w:t xml:space="preserve">) se llega al coste marginal; con cantidades (</w:t>
      </w:r>
      <w:r>
        <w:rPr>
          <w:smallCaps/>
        </w:rPr>
        <w:t xml:space="preserve">Cournot</w:t>
      </w:r>
      <w:r>
        <w:t xml:space="preserve">), no;</w:t>
      </w:r>
    </w:p>
    <w:p>
      <w:pPr>
        <w:numPr>
          <w:ilvl w:val="2"/>
          <w:numId w:val="1013"/>
        </w:numPr>
      </w:pPr>
      <w:r>
        <w:t xml:space="preserve">el</w:t>
      </w:r>
      <w:r>
        <w:t xml:space="preserve"> </w:t>
      </w:r>
      <w:r>
        <w:rPr>
          <w:i/>
          <w:iCs/>
        </w:rPr>
        <w:t xml:space="preserve">orden</w:t>
      </w:r>
      <w:r>
        <w:t xml:space="preserve"> </w:t>
      </w:r>
      <w:r>
        <w:t xml:space="preserve">en que deciden: a la vez o una detrás de otra (</w:t>
      </w:r>
      <w:r>
        <w:rPr>
          <w:smallCaps/>
        </w:rPr>
        <w:t xml:space="preserve">Stackelberg</w:t>
      </w:r>
      <w:r>
        <w:t xml:space="preserve">, más competitivo que</w:t>
      </w:r>
      <w:r>
        <w:t xml:space="preserve"> </w:t>
      </w:r>
      <w:r>
        <w:rPr>
          <w:smallCaps/>
        </w:rPr>
        <w:t xml:space="preserve">Cournot</w:t>
      </w:r>
      <w:r>
        <w:t xml:space="preserve">);</w:t>
      </w:r>
    </w:p>
    <w:p>
      <w:pPr>
        <w:numPr>
          <w:ilvl w:val="1"/>
          <w:numId w:val="1012"/>
        </w:numPr>
      </w:pPr>
      <w:r>
        <w:t xml:space="preserve">en todos los casos las empresas ganarían más si produjeran menos juntas: el cártel lleva el precio al de monopolio, y la repetición puede sostener cualquier precio intermedio.</w:t>
      </w:r>
    </w:p>
    <w:bookmarkStart w:id="42" w:name="fig_escala_precios"/>
    <w:p>
      <w:pPr>
        <w:pStyle w:val="ImageCaption"/>
      </w:pPr>
      <w:r>
        <w:t xml:space="preserve">Gráfico 1.–</w:t>
      </w:r>
      <w:r>
        <w:t xml:space="preserve"> </w:t>
      </w:r>
      <w:r>
        <w:t xml:space="preserve">Dónde queda el precio de cada modelo, entre la competencia perfecta y el monopolio (duopolio con demanda lineal y costes iguales)</w:t>
      </w:r>
    </w:p>
    <w:p>
      <w:pPr>
        <w:pStyle w:val="CaptionedFigure"/>
      </w:pPr>
      <w:r>
        <w:drawing>
          <wp:inline>
            <wp:extent cx="5073650" cy="1438506"/>
            <wp:effectExtent b="0" l="0" r="0" t="0"/>
            <wp:docPr descr="Gráfico 1.– Dónde queda el precio de cada modelo, entre la competencia perfecta y el monopolio (duopolio con demanda lineal y costes iguales)" title="" id="40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escala-precio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143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p>
      <w:pPr>
        <w:pStyle w:val="Piedeimagen"/>
      </w:pPr>
      <w:r>
        <w:t xml:space="preserve">Fuente: elaboración propia.</w:t>
      </w:r>
    </w:p>
    <w:p>
      <w:pPr>
        <w:pStyle w:val="Cajadeanotaciones"/>
        <w:keepNext/>
        <w:keepLines/>
      </w:pPr>
      <w:r>
        <w:rPr>
          <w:b/>
          <w:bCs/>
        </w:rPr>
        <w:t xml:space="preserve">Otra forma de verlo</w:t>
      </w:r>
      <w:r>
        <w:t xml:space="preserve">. En parte de la organización industrial y en muchos temarios de la oposición se llama «análisis estático» a todo lo que ocurre una sola vez, incluidos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y el liderazgo en precios, y «dinámico» solo a la repetición.</w:t>
      </w:r>
    </w:p>
    <w:p>
      <w:pPr>
        <w:pStyle w:val="Cajadeanotaciones"/>
        <w:keepNext/>
        <w:keepLines/>
        <w:numPr>
          <w:ilvl w:val="0"/>
          <w:numId w:val="1014"/>
        </w:numPr>
      </w:pPr>
      <w:r>
        <w:rPr>
          <w:i/>
          <w:iCs/>
        </w:rPr>
        <w:t xml:space="preserve">Justificación</w:t>
      </w:r>
      <w:r>
        <w:t xml:space="preserve">: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equivale a una empresa que maximiza en una sola etapa con una variación conjetural igual a la pendiente de la función de reacción de la seguidora,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(variaciones conjeturales, en</w:t>
      </w:r>
      <w:r>
        <w:t xml:space="preserve"> </w:t>
      </w:r>
      <w:hyperlink w:anchor="sec_cournot">
        <w:r>
          <w:rPr>
            <w:rStyle w:val="Hyperlink"/>
          </w:rPr>
          <w:t xml:space="preserve">I.2</w:t>
        </w:r>
      </w:hyperlink>
      <w:r>
        <w:t xml:space="preserve">).</w:t>
      </w:r>
    </w:p>
    <w:p>
      <w:pPr>
        <w:pStyle w:val="Cajadeanotaciones"/>
        <w:keepNext/>
        <w:keepLines/>
        <w:numPr>
          <w:ilvl w:val="0"/>
          <w:numId w:val="1014"/>
        </w:numPr>
      </w:pPr>
      <w:r>
        <w:rPr>
          <w:i/>
          <w:iCs/>
        </w:rPr>
        <w:t xml:space="preserve">Límite</w:t>
      </w:r>
      <w:r>
        <w:t xml:space="preserve">: en un juego simultáneo de una sola vez nadie puede reaccionar, así que una conjetura distinta de cero no es coherente</w:t>
      </w:r>
      <w:r>
        <w:t xml:space="preserve"> </w:t>
      </w:r>
      <w:r>
        <w:t xml:space="preserve">(</w:t>
      </w:r>
      <w:hyperlink w:anchor="ref_Tirole1988Theory">
        <w:r>
          <w:rPr>
            <w:rStyle w:val="Hyperlink"/>
            <w:smallCaps/>
          </w:rPr>
          <w:t xml:space="preserve">Tirole</w:t>
        </w:r>
        <w:r>
          <w:rPr>
            <w:rStyle w:val="Hyperlink"/>
          </w:rPr>
          <w:t xml:space="preserve">, 1988, cap. 5</w:t>
        </w:r>
      </w:hyperlink>
      <w:r>
        <w:t xml:space="preserve">)</w:t>
      </w:r>
      <w:r>
        <w:t xml:space="preserve">; el ENPS existe precisamente porque importa el orden. Por eso seguimos a los manuales.</w:t>
      </w:r>
    </w:p>
    <w:p>
      <w:pPr>
        <w:pStyle w:val="Cajadeanotaciones"/>
        <w:keepLines/>
        <w:numPr>
          <w:ilvl w:val="0"/>
          <w:numId w:val="1014"/>
        </w:numPr>
      </w:pPr>
      <w:r>
        <w:rPr>
          <w:i/>
          <w:iCs/>
        </w:rPr>
        <w:t xml:space="preserve">Si pregunta el tribunal</w:t>
      </w:r>
      <w:r>
        <w:t xml:space="preserve">: es una cuestión de nombres. Lo importante es distinguir el orden de las jugadas (simultáneo o secuencial) y el número de encuentros (una vez o repetido). El desarrollo está en el tema de teoría de juegos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bookmarkStart w:id="54" w:name="sec_caracterizacion_oligopolio"/>
    <w:p>
      <w:pPr>
        <w:pStyle w:val="Heading2"/>
      </w:pPr>
      <w:r>
        <w:t xml:space="preserve">I.1.</w:t>
      </w:r>
      <w:r>
        <w:t xml:space="preserve"> </w:t>
      </w:r>
      <w:r>
        <w:t xml:space="preserve">Caracterización del oligopolio</w:t>
      </w:r>
    </w:p>
    <w:p>
      <w:pPr>
        <w:numPr>
          <w:ilvl w:val="0"/>
          <w:numId w:val="1015"/>
        </w:numPr>
      </w:pPr>
      <w:r>
        <w:t xml:space="preserve">El oligopolio parte de la misma lista de supuestos que todas las estructuras de mercado (tabla </w:t>
      </w:r>
      <w:hyperlink w:anchor="tab_supuestos">
        <w:r>
          <w:rPr>
            <w:rStyle w:val="Hyperlink"/>
          </w:rPr>
          <w:t xml:space="preserve">1</w:t>
        </w:r>
      </w:hyperlink>
      <w:r>
        <w:t xml:space="preserve">)</w:t>
      </w:r>
      <w:r>
        <w:t xml:space="preserve"> </w:t>
      </w:r>
      <w:hyperlink r:id="rId28">
        <w:r>
          <w:rPr>
            <w:rStyle w:val="Referenciaatema"/>
          </w:rPr>
          <w:t xml:space="preserve">[ver tema 3.A.16]</w:t>
        </w:r>
      </w:hyperlink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levanta el supuesto 4</w:t>
      </w:r>
      <w:r>
        <w:t xml:space="preserve">: hay pocos vendedores, que se saben interdependientes. Casi siempre levanta también el 5: hay barreras que mantienen fijo su número.</w:t>
      </w:r>
    </w:p>
    <w:bookmarkStart w:id="43" w:name="tab_supuestos"/>
    <w:p>
      <w:pPr>
        <w:pStyle w:val="TableCaption"/>
      </w:pPr>
      <w:r>
        <w:t xml:space="preserve">Tabla 1.–</w:t>
      </w:r>
      <w:r>
        <w:t xml:space="preserve"> </w:t>
      </w:r>
      <w:r>
        <w:t xml:space="preserve">Supuestos de las estructuras de mercado: el oligopolio levanta el 4 (y el 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1.– Supuestos de las estructuras de mercado: el oligopolio levanta el 4 (y el 5)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Supuesto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Qué significa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morado"/>
                <w:b/>
                <w:bCs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Agentes racionales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los consumidores maximizan su utilidad y las empresas, su beneficio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morado"/>
                <w:b/>
                <w:bCs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Información perfecta y simétrica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los consumidores conocen las características del producto y el precio, y las empresas, su tecnología y el precio; nadie sabe más que los demás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morado"/>
                <w:b/>
                <w:bCs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 homogéneo (sin sustitutivos cercanos)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los consumidores ven como sustitutivos perfectos las unidades de todas las empresas, de modo que solo les importa el precio</w:t>
            </w:r>
          </w:p>
        </w:tc>
      </w:tr>
      <w:tr>
        <w:trPr>
          <w:cantSplit/>
        </w:trPr>
        <w:tc>
          <w:tcPr>
            <w:shd w:val="clear" w:color="auto" w:fill="FBE4D5"/>
            <w:vAlign w:val="center"/>
          </w:tcPr>
          <w:p>
            <w:pPr>
              <w:pStyle w:val="Celdatceesalmon"/>
              <w:jc w:val="center"/>
            </w:pPr>
            <w:r>
              <w:rPr>
                <w:rStyle w:val="Textomorado"/>
                <w:b/>
                <w:bCs/>
              </w:rPr>
              <w:t xml:space="preserve">4</w:t>
            </w:r>
          </w:p>
        </w:tc>
        <w:tc>
          <w:tcPr>
            <w:shd w:val="clear" w:color="auto" w:fill="FBE4D5"/>
            <w:vAlign w:val="center"/>
          </w:tcPr>
          <w:p>
            <w:pPr>
              <w:pStyle w:val="Celdatceesalmon"/>
              <w:jc w:val="left"/>
            </w:pPr>
            <w:r>
              <w:rPr>
                <w:b/>
                <w:bCs/>
              </w:rPr>
              <w:t xml:space="preserve">Mercado atomizado: muchos compradores y vendedores (precio-aceptantes)</w:t>
            </w:r>
          </w:p>
        </w:tc>
        <w:tc>
          <w:tcPr>
            <w:shd w:val="clear" w:color="auto" w:fill="FBE4D5"/>
            <w:vAlign w:val="center"/>
          </w:tcPr>
          <w:p>
            <w:pPr>
              <w:pStyle w:val="Celdatceesalmon"/>
              <w:jc w:val="left"/>
            </w:pPr>
            <w:r>
              <w:t xml:space="preserve">cada uno es pequeño respecto al mercado y sus decisiones individuales no mueven el precio: todos son</w:t>
            </w:r>
            <w:r>
              <w:t xml:space="preserve"> </w:t>
            </w:r>
            <w:r>
              <w:rPr>
                <w:b/>
                <w:bCs/>
              </w:rPr>
              <w:t xml:space="preserve">precio-aceptantes</w:t>
            </w:r>
            <w:r>
              <w:t xml:space="preserve">, y el precio lo determinan las decisiones de todos juntos, no las de ninguno en particular</w:t>
            </w:r>
            <w:r>
              <w:br/>
            </w:r>
            <w:r>
              <w:rPr>
                <w:rStyle w:val="Textorojo"/>
                <w:b/>
                <w:bCs/>
              </w:rPr>
              <w:t xml:space="preserve">Se levanta</w:t>
            </w:r>
            <w:r>
              <w:t xml:space="preserve">: hay</w:t>
            </w:r>
            <w:r>
              <w:t xml:space="preserve"> </w:t>
            </w:r>
            <w:r>
              <w:rPr>
                <w:b/>
                <w:bCs/>
              </w:rPr>
              <w:t xml:space="preserve">pocos vendedores, que se saben interdependientes</w:t>
            </w:r>
            <w:r>
              <w:t xml:space="preserve">: lo que hace cada uno afecta al beneficio de los demás, y lo tienen en cuenta; los compradores siguen siendo muchos y precio-aceptantes</w:t>
            </w:r>
          </w:p>
        </w:tc>
      </w:tr>
      <w:tr>
        <w:trPr>
          <w:cantSplit/>
        </w:trPr>
        <w:tc>
          <w:tcPr>
            <w:shd w:val="clear" w:color="auto" w:fill="FBE4D5"/>
            <w:vAlign w:val="center"/>
          </w:tcPr>
          <w:p>
            <w:pPr>
              <w:pStyle w:val="Celdatceesalmon"/>
              <w:jc w:val="center"/>
            </w:pPr>
            <w:r>
              <w:rPr>
                <w:rStyle w:val="Textomorado"/>
                <w:b/>
                <w:bCs/>
              </w:rPr>
              <w:t xml:space="preserve">5</w:t>
            </w:r>
          </w:p>
        </w:tc>
        <w:tc>
          <w:tcPr>
            <w:shd w:val="clear" w:color="auto" w:fill="FBE4D5"/>
            <w:vAlign w:val="center"/>
          </w:tcPr>
          <w:p>
            <w:pPr>
              <w:pStyle w:val="Celdatceesalmon"/>
              <w:jc w:val="left"/>
            </w:pPr>
            <w:r>
              <w:rPr>
                <w:b/>
                <w:bCs/>
              </w:rPr>
              <w:t xml:space="preserve">Libre entrada y salida (a largo plazo)</w:t>
            </w:r>
          </w:p>
        </w:tc>
        <w:tc>
          <w:tcPr>
            <w:shd w:val="clear" w:color="auto" w:fill="FBE4D5"/>
            <w:vAlign w:val="center"/>
          </w:tcPr>
          <w:p>
            <w:pPr>
              <w:pStyle w:val="Celdatceesalmon"/>
              <w:jc w:val="left"/>
            </w:pPr>
            <w:r>
              <w:t xml:space="preserve">a largo plazo, si hay beneficios extraordinarios, entran empresas hasta agotarlos, y si hay pérdidas, salen</w:t>
            </w:r>
            <w:r>
              <w:br/>
            </w:r>
            <w:r>
              <w:rPr>
                <w:rStyle w:val="Textorojo"/>
                <w:b/>
                <w:bCs/>
              </w:rPr>
              <w:t xml:space="preserve">Se levanta</w:t>
            </w:r>
            <w:r>
              <w:t xml:space="preserve">: hay</w:t>
            </w:r>
            <w:r>
              <w:t xml:space="preserve"> </w:t>
            </w:r>
            <w:r>
              <w:rPr>
                <w:b/>
                <w:bCs/>
              </w:rPr>
              <w:t xml:space="preserve">barreras de entrada</w:t>
            </w:r>
            <w:r>
              <w:t xml:space="preserve">, que mantienen fijo el número de empresas y protegen sus beneficios también a largo plazo</w:t>
            </w:r>
          </w:p>
        </w:tc>
      </w:tr>
    </w:tbl>
    <w:bookmarkEnd w:id="43"/>
    <w:p>
      <w:pPr>
        <w:pStyle w:val="BodyText"/>
        <w:keepNext/>
      </w:pPr>
      <w:r>
        <w:rPr>
          <w:i/>
          <w:iCs/>
        </w:rPr>
        <w:t xml:space="preserve">Fuente: elaboración propia.</w:t>
      </w:r>
    </w:p>
    <w:p>
      <w:pPr>
        <w:keepNext/>
        <w:numPr>
          <w:ilvl w:val="0"/>
          <w:numId w:val="1016"/>
        </w:numPr>
      </w:pPr>
      <w:r>
        <w:t xml:space="preserve">Supuesto a supuesto, el escenario base del oligopolio queda así:</w:t>
      </w:r>
    </w:p>
    <w:p>
      <w:pPr>
        <w:numPr>
          <w:ilvl w:val="1"/>
          <w:numId w:val="1017"/>
        </w:numPr>
      </w:pPr>
      <w:r>
        <w:rPr>
          <w:i/>
          <w:iCs/>
        </w:rPr>
        <w:t xml:space="preserve">Se mantiene: agentes racionales</w:t>
      </w:r>
      <w:r>
        <w:t xml:space="preserve">. Los consumidores maximizan su utilidad y las empresas, su beneficio. Además, la racionalidad de todos y la estructura del juego son</w:t>
      </w:r>
      <w:r>
        <w:t xml:space="preserve"> </w:t>
      </w:r>
      <w:r>
        <w:rPr>
          <w:i/>
          <w:iCs/>
        </w:rPr>
        <w:t xml:space="preserve">conocimiento común</w:t>
      </w:r>
      <w:r>
        <w:t xml:space="preserve">: cada empresa sabe que las demás son racionales, sabe que ellas lo saben, y así sucesivamente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p>
      <w:pPr>
        <w:numPr>
          <w:ilvl w:val="1"/>
          <w:numId w:val="1017"/>
        </w:numPr>
      </w:pPr>
      <w:r>
        <w:rPr>
          <w:i/>
          <w:iCs/>
        </w:rPr>
        <w:t xml:space="preserve">Se mantiene: información perfecta y simétrica</w:t>
      </w:r>
      <w:r>
        <w:t xml:space="preserve">. Cada empresa conoce la demanda y los costes de todas: son juegos con información completa. La extensión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costes privados lo levanta (</w:t>
      </w:r>
      <w:hyperlink w:anchor="sec_cournot">
        <w:r>
          <w:rPr>
            <w:rStyle w:val="Hyperlink"/>
          </w:rPr>
          <w:t xml:space="preserve">I.2</w:t>
        </w:r>
      </w:hyperlink>
      <w:r>
        <w:t xml:space="preserve">)</w:t>
      </w:r>
      <w:r>
        <w:t xml:space="preserve"> </w:t>
      </w:r>
      <w:hyperlink r:id="rId44">
        <w:r>
          <w:rPr>
            <w:rStyle w:val="Referenciaatema"/>
          </w:rPr>
          <w:t xml:space="preserve">[ver tema 3.A.13]</w:t>
        </w:r>
      </w:hyperlink>
      <w:r>
        <w:t xml:space="preserve">.</w:t>
      </w:r>
    </w:p>
    <w:p>
      <w:pPr>
        <w:numPr>
          <w:ilvl w:val="1"/>
          <w:numId w:val="1017"/>
        </w:numPr>
      </w:pPr>
      <w:r>
        <w:rPr>
          <w:i/>
          <w:iCs/>
        </w:rPr>
        <w:t xml:space="preserve">Se mantiene: producto homogéneo</w:t>
      </w:r>
      <w:r>
        <w:t xml:space="preserve">. Con productos diferenciados, el oligopolio es el del tema de diferenciación de productos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  <w:r>
        <w:rPr>
          <w:rStyle w:val="FootnoteReference"/>
        </w:rPr>
        <w:footnoteReference w:id="45"/>
      </w:r>
    </w:p>
    <w:p>
      <w:pPr>
        <w:numPr>
          <w:ilvl w:val="1"/>
          <w:numId w:val="1017"/>
        </w:numPr>
      </w:pPr>
      <w:r>
        <w:rPr>
          <w:i/>
          <w:iCs/>
        </w:rPr>
        <w:t xml:space="preserve">Se levanta: pocos vendedores</w:t>
      </w:r>
      <w:r>
        <w:t xml:space="preserve"> </w:t>
      </w:r>
      <w:r>
        <w:t xml:space="preserve">(2, por sencillez, salvo que se diga otra cosa), que se saben interdependientes. Los compradores siguen siendo muchos y precio-aceptantes; los vendedores, al ser pocos, tienen poder de mercado.</w:t>
      </w:r>
      <w:r>
        <w:rPr>
          <w:rStyle w:val="FootnoteReference"/>
        </w:rPr>
        <w:footnoteReference w:id="46"/>
      </w:r>
    </w:p>
    <w:p>
      <w:pPr>
        <w:keepNext/>
        <w:numPr>
          <w:ilvl w:val="1"/>
          <w:numId w:val="1017"/>
        </w:numPr>
      </w:pPr>
      <w:r>
        <w:rPr>
          <w:i/>
          <w:iCs/>
        </w:rPr>
        <w:t xml:space="preserve">Se levanta: barreras de entrada</w:t>
      </w:r>
      <w:r>
        <w:t xml:space="preserve">, que mantienen fijo el número de empresas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:</w:t>
      </w:r>
    </w:p>
    <w:p>
      <w:pPr>
        <w:numPr>
          <w:ilvl w:val="2"/>
          <w:numId w:val="1018"/>
        </w:numPr>
      </w:pPr>
      <w:r>
        <w:rPr>
          <w:i/>
          <w:iCs/>
        </w:rPr>
        <w:t xml:space="preserve">estratégicas</w:t>
      </w:r>
      <w:r>
        <w:t xml:space="preserve">: conductas de las empresas instaladas que disuaden la entrada (precio límite, capacidad excedente, proliferación de marcas);</w:t>
      </w:r>
    </w:p>
    <w:p>
      <w:pPr>
        <w:numPr>
          <w:ilvl w:val="2"/>
          <w:numId w:val="1018"/>
        </w:numPr>
      </w:pPr>
      <w:r>
        <w:rPr>
          <w:i/>
          <w:iCs/>
        </w:rPr>
        <w:t xml:space="preserve">legales o administrativas</w:t>
      </w:r>
      <w:r>
        <w:t xml:space="preserve">: licencias, patentes, concesiones o aranceles que excluyen a los competidores extranjeros;</w:t>
      </w:r>
    </w:p>
    <w:p>
      <w:pPr>
        <w:numPr>
          <w:ilvl w:val="2"/>
          <w:numId w:val="1018"/>
        </w:numPr>
      </w:pPr>
      <w:r>
        <w:rPr>
          <w:i/>
          <w:iCs/>
        </w:rPr>
        <w:t xml:space="preserve">tecnológicas</w:t>
      </w:r>
      <w:r>
        <w:t xml:space="preserve">: una escala mínima eficiente grande respecto al mercado deja sitio solo para unas pocas empresas: es el</w:t>
      </w:r>
      <w:r>
        <w:t xml:space="preserve"> </w:t>
      </w:r>
      <w:r>
        <w:rPr>
          <w:b/>
          <w:bCs/>
        </w:rPr>
        <w:t xml:space="preserve">oligopolio natural</w:t>
      </w:r>
      <w:r>
        <w:t xml:space="preserve"> </w:t>
      </w:r>
      <w:hyperlink r:id="rId28">
        <w:r>
          <w:rPr>
            <w:rStyle w:val="Referenciaatema"/>
          </w:rPr>
          <w:t xml:space="preserve">[ver tema 3.A.16]</w:t>
        </w:r>
      </w:hyperlink>
      <w:r>
        <w:t xml:space="preserve">.</w:t>
      </w:r>
      <w:r>
        <w:rPr>
          <w:rStyle w:val="FootnoteReference"/>
        </w:rPr>
        <w:footnoteReference w:id="48"/>
      </w:r>
    </w:p>
    <w:p>
      <w:pPr>
        <w:numPr>
          <w:ilvl w:val="1"/>
          <w:numId w:val="1000"/>
        </w:numPr>
      </w:pPr>
      <w:r>
        <w:t xml:space="preserve">Sin barreras, la amenaza de entrada limita lo que pueden ganar las empresas instaladas (</w:t>
      </w:r>
      <w:hyperlink w:anchor="sec_limites_cooperacion">
        <w:r>
          <w:rPr>
            <w:rStyle w:val="Hyperlink"/>
          </w:rPr>
          <w:t xml:space="preserve">III.3</w:t>
        </w:r>
      </w:hyperlink>
      <w:r>
        <w:t xml:space="preserve">).</w:t>
      </w:r>
    </w:p>
    <w:p>
      <w:pPr>
        <w:keepNext/>
        <w:numPr>
          <w:ilvl w:val="0"/>
          <w:numId w:val="1016"/>
        </w:numPr>
      </w:pPr>
      <w:r>
        <w:t xml:space="preserve">La consecuencia de levantar el supuesto 4 es la</w:t>
      </w:r>
      <w:r>
        <w:t xml:space="preserve"> </w:t>
      </w:r>
      <w:r>
        <w:rPr>
          <w:b/>
          <w:bCs/>
        </w:rPr>
        <w:t xml:space="preserve">interdependencia estratégica</w:t>
      </w:r>
      <w:r>
        <w:t xml:space="preserve">, y la herramienta para analizarla es la teoría de juegos no cooperativos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: los jugadores son las empresas; las estrategias, la cantidad o el precio; los pagos, los beneficios.</w:t>
      </w:r>
    </w:p>
    <w:p>
      <w:pPr>
        <w:numPr>
          <w:ilvl w:val="1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función de reacción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de la empresa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 su</w:t>
      </w:r>
      <w:r>
        <w:t xml:space="preserve"> </w:t>
      </w:r>
      <w:r>
        <w:rPr>
          <w:i/>
          <w:iCs/>
        </w:rPr>
        <w:t xml:space="preserve">mejor respuesta</w:t>
      </w:r>
      <w:r>
        <w:t xml:space="preserve">: lo que más le conviene hacer para cada decisión de las demás.</w:t>
      </w:r>
    </w:p>
    <w:p>
      <w:pPr>
        <w:numPr>
          <w:ilvl w:val="1"/>
          <w:numId w:val="101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equilibrio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Nash</w:t>
      </w:r>
      <w:r>
        <w:t xml:space="preserve"> </w:t>
      </w:r>
      <w:r>
        <w:t xml:space="preserve">(EN) es una combinación de decisiones en la que cada empresa da la mejor respuesta a lo que hacen las demás: nadie quiere cambiar la suya, dadas las de los otros.</w:t>
      </w:r>
    </w:p>
    <w:p>
      <w:pPr>
        <w:numPr>
          <w:ilvl w:val="1"/>
          <w:numId w:val="1019"/>
        </w:numPr>
      </w:pPr>
      <w:r>
        <w:t xml:space="preserve">En los juegos secuenciales se exige además que sea creíble lo que cada empresa haría en cualquier situación, también fuera del camino del equilibrio: es el</w:t>
      </w:r>
      <w:r>
        <w:t xml:space="preserve"> </w:t>
      </w:r>
      <w:r>
        <w:rPr>
          <w:b/>
          <w:bCs/>
        </w:rPr>
        <w:t xml:space="preserve">equilibrio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Nash</w:t>
      </w:r>
      <w:r>
        <w:rPr>
          <w:b/>
          <w:bCs/>
        </w:rPr>
        <w:t xml:space="preserve"> </w:t>
      </w:r>
      <w:r>
        <w:rPr>
          <w:b/>
          <w:bCs/>
        </w:rPr>
        <w:t xml:space="preserve">perfecto en subjuegos</w:t>
      </w:r>
      <w:r>
        <w:t xml:space="preserve"> </w:t>
      </w:r>
      <w:r>
        <w:t xml:space="preserve">(ENPS), que se obtiene por</w:t>
      </w:r>
      <w:r>
        <w:t xml:space="preserve"> </w:t>
      </w:r>
      <w:r>
        <w:rPr>
          <w:i/>
          <w:iCs/>
        </w:rPr>
        <w:t xml:space="preserve">inducción hacia atrás</w:t>
      </w:r>
      <w:r>
        <w:t xml:space="preserve">.</w:t>
      </w:r>
    </w:p>
    <w:p>
      <w:pPr>
        <w:keepNext/>
        <w:numPr>
          <w:ilvl w:val="0"/>
          <w:numId w:val="1016"/>
        </w:numPr>
      </w:pPr>
      <w:r>
        <w:t xml:space="preserve">La pendiente de la función de reacción clasifica las variables de decisión</w:t>
      </w:r>
      <w:r>
        <w:t xml:space="preserve"> </w:t>
      </w:r>
      <w:r>
        <w:t xml:space="preserve">(</w:t>
      </w:r>
      <w:hyperlink w:anchor="ref_BulowGeanakoplosKlemperer1985M_30256">
        <w:r>
          <w:rPr>
            <w:rStyle w:val="Hyperlink"/>
            <w:smallCaps/>
          </w:rPr>
          <w:t xml:space="preserve">Bulow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Geanakoplos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Klemperer</w:t>
        </w:r>
        <w:r>
          <w:rPr>
            <w:rStyle w:val="Hyperlink"/>
          </w:rPr>
          <w:t xml:space="preserve">, 1985</w:t>
        </w:r>
      </w:hyperlink>
      <w:r>
        <w:t xml:space="preserve">)</w:t>
      </w:r>
      <w:r>
        <w:t xml:space="preserve">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sustitutos estratégicos</w:t>
      </w:r>
      <w:r>
        <w:t xml:space="preserve">: si la rival es más agresiva, a mí me conviene serlo menos, y la función de reacción es decreciente. Es el caso de las cantidades: si la rival produce más, el precio baja y a mí me conviene producir menos;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complementos estratégicos</w:t>
      </w:r>
      <w:r>
        <w:t xml:space="preserve">: si la rival es más agresiva, a mí me conviene serlo más, y la función de reacción es creciente. Es el caso de los precios: si la rival baja el suyo, me conviene bajar el mío.</w:t>
      </w:r>
      <w:r>
        <w:rPr>
          <w:rStyle w:val="FootnoteReference"/>
        </w:rPr>
        <w:footnoteReference w:id="49"/>
      </w:r>
    </w:p>
    <w:p>
      <w:pPr>
        <w:numPr>
          <w:ilvl w:val="0"/>
          <w:numId w:val="1016"/>
        </w:numPr>
      </w:pPr>
      <w:r>
        <w:t xml:space="preserve">Con 2 variables (cantidad o precio) y 2 órdenes (a la vez o una detrás de otra) salen los 4 modelos del bloque (tabla </w:t>
      </w:r>
      <w:hyperlink w:anchor="tab_modelos_oligopolio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53" w:name="tab_modelos_oligopolio"/>
    <w:p>
      <w:pPr>
        <w:pStyle w:val="TableCaption"/>
      </w:pPr>
      <w:r>
        <w:t xml:space="preserve">Tabla 2.–</w:t>
      </w:r>
      <w:r>
        <w:t xml:space="preserve"> </w:t>
      </w:r>
      <w:r>
        <w:t xml:space="preserve">Los modelos de oligopolio con producto homogéneo según la variable y el orden de las decisiones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2.– Los modelos de oligopolio con producto homogéneo según la variable y el orden de las decisiones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vAlign w:val="center"/>
          </w:tcPr>
          <w:p/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Decisiones simultáneas (EN)</w:t>
            </w:r>
            <w:r>
              <w:br/>
            </w:r>
            <w:r>
              <w:t xml:space="preserve">(juegos estáticos)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Decisiones secuenciales (ENPS)</w:t>
            </w:r>
            <w:r>
              <w:br/>
            </w:r>
            <w:r>
              <w:t xml:space="preserve">(juegos dinámicos)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Cantidades</w:t>
            </w:r>
            <w:r>
              <w:br/>
            </w:r>
            <w:r>
              <w:t xml:space="preserve">(sustitutos estratégicos)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mallCaps/>
              </w:rPr>
              <w:t xml:space="preserve">Cournot</w:t>
            </w:r>
            <w:r>
              <w:t xml:space="preserve"> </w:t>
            </w:r>
            <w:r>
              <w:t xml:space="preserve">(1838)</w:t>
            </w:r>
            <w:r>
              <w:br/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p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p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sec_cournot">
              <w:r>
                <w:rPr>
                  <w:rStyle w:val="Hyperlink"/>
                </w:rPr>
                <w:t xml:space="preserve">I.2</w:t>
              </w:r>
            </w:hyperlink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mallCaps/>
              </w:rPr>
              <w:t xml:space="preserve">Stackelberg</w:t>
            </w:r>
            <w:r>
              <w:t xml:space="preserve"> </w:t>
            </w:r>
            <w:r>
              <w:t xml:space="preserve">(1934)</w:t>
            </w:r>
            <w:r>
              <w:br/>
            </w:r>
            <w:r>
              <w:t xml:space="preserve">ventaja del primero (</w:t>
            </w:r>
            <w:hyperlink w:anchor="sec_stackelberg">
              <w:r>
                <w:rPr>
                  <w:rStyle w:val="Hyperlink"/>
                </w:rPr>
                <w:t xml:space="preserve">I.3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Precios</w:t>
            </w:r>
            <w:r>
              <w:br/>
            </w:r>
            <w:r>
              <w:t xml:space="preserve">(complementos estratégicos)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mallCaps/>
              </w:rPr>
              <w:t xml:space="preserve">Bertrand</w:t>
            </w:r>
            <w:r>
              <w:t xml:space="preserve"> </w:t>
            </w:r>
            <w:r>
              <w:t xml:space="preserve">(1883)</w:t>
            </w:r>
            <w:r>
              <w:br/>
            </w:r>
            <m:oMath>
              <m:sSup>
                <m:e>
                  <m:r>
                    <m:t>p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(</w:t>
            </w:r>
            <w:hyperlink w:anchor="sec_bertrand">
              <w:r>
                <w:rPr>
                  <w:rStyle w:val="Hyperlink"/>
                </w:rPr>
                <w:t xml:space="preserve">I.4</w:t>
              </w:r>
            </w:hyperlink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liderazgo en precios</w:t>
            </w:r>
            <w:r>
              <w:br/>
            </w:r>
            <w:r>
              <w:t xml:space="preserve">empresa dominante (</w:t>
            </w:r>
            <w:hyperlink w:anchor="sec_liderazgo_precios">
              <w:r>
                <w:rPr>
                  <w:rStyle w:val="Hyperlink"/>
                </w:rPr>
                <w:t xml:space="preserve">I.5</w:t>
              </w:r>
            </w:hyperlink>
            <w:r>
              <w:t xml:space="preserve">)</w:t>
            </w:r>
          </w:p>
        </w:tc>
      </w:tr>
    </w:tbl>
    <w:bookmarkEnd w:id="53"/>
    <w:p>
      <w:pPr>
        <w:pStyle w:val="BodyText"/>
      </w:pPr>
      <w:r>
        <w:rPr>
          <w:i/>
          <w:iCs/>
        </w:rPr>
        <w:t xml:space="preserve">Fuente: elaboración propia.</w:t>
      </w:r>
    </w:p>
    <w:bookmarkEnd w:id="54"/>
    <w:bookmarkStart w:id="73" w:name="sec_cournot"/>
    <w:p>
      <w:pPr>
        <w:pStyle w:val="Heading2"/>
      </w:pPr>
      <w:r>
        <w:t xml:space="preserve">I.2.</w:t>
      </w:r>
      <w:r>
        <w:t xml:space="preserve"> </w:t>
      </w:r>
      <w:r>
        <w:t xml:space="preserve">Competencia simultánea en cantidades: modelo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(1838)</w:t>
      </w:r>
    </w:p>
    <w:p>
      <w:pPr>
        <w:numPr>
          <w:ilvl w:val="0"/>
          <w:numId w:val="1021"/>
        </w:numPr>
      </w:pPr>
      <w:r>
        <w:t xml:space="preserve">Empezamos por la primera casilla de la tabla, la más antigua y la que sirve de referencia a las demás: las empresas eligen cantidades y a la vez.</w:t>
      </w:r>
    </w:p>
    <w:bookmarkStart w:id="56" w:name="a_idea"/>
    <w:p>
      <w:pPr>
        <w:pStyle w:val="Heading4"/>
      </w:pPr>
      <w:r>
        <w:t xml:space="preserve">a) Idea</w:t>
      </w:r>
    </w:p>
    <w:p>
      <w:pPr>
        <w:numPr>
          <w:ilvl w:val="0"/>
          <w:numId w:val="1022"/>
        </w:numPr>
      </w:pP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ref_Cournot1838Recherches">
        <w:r>
          <w:rPr>
            <w:rStyle w:val="Hyperlink"/>
          </w:rPr>
          <w:t xml:space="preserve">1838, cap. 7</w:t>
        </w:r>
      </w:hyperlink>
      <w:r>
        <w:t xml:space="preserve">)</w:t>
      </w:r>
      <w:r>
        <w:t xml:space="preserve"> </w:t>
      </w:r>
      <w:r>
        <w:t xml:space="preserve">estudia 2 propietarios de manantiales de agua mineral que deciden cuánta agua llevar al mercado; el precio es el que vacía el mercado para la cantidad total, como si lo fijara un subastador. Cada uno elige su cantidad</w:t>
      </w:r>
      <w:r>
        <w:t xml:space="preserve"> </w:t>
      </w:r>
      <w:r>
        <w:rPr>
          <w:i/>
          <w:iCs/>
        </w:rPr>
        <w:t xml:space="preserve">tomando como dada la del otro</w:t>
      </w:r>
      <w:r>
        <w:t xml:space="preserve">.</w:t>
      </w:r>
      <w:r>
        <w:rPr>
          <w:rStyle w:val="FootnoteReference"/>
        </w:rPr>
        <w:footnoteReference w:id="55"/>
      </w:r>
    </w:p>
    <w:bookmarkEnd w:id="56"/>
    <w:bookmarkStart w:id="69" w:name="b_modelo"/>
    <w:p>
      <w:pPr>
        <w:pStyle w:val="Heading4"/>
      </w:pPr>
      <w:r>
        <w:t xml:space="preserve">b) Modelo</w:t>
      </w:r>
    </w:p>
    <w:bookmarkStart w:id="57" w:name="i_supuestos"/>
    <w:p>
      <w:pPr>
        <w:pStyle w:val="Heading5"/>
      </w:pPr>
      <w:r>
        <w:t xml:space="preserve">i) Supuestos</w:t>
      </w:r>
    </w:p>
    <w:p>
      <w:pPr>
        <w:numPr>
          <w:ilvl w:val="0"/>
          <w:numId w:val="1023"/>
        </w:numPr>
      </w:pPr>
      <m:oMath>
        <m:r>
          <m:t>n</m:t>
        </m:r>
      </m:oMath>
      <w:r>
        <w:t xml:space="preserve"> </w:t>
      </w:r>
      <w:r>
        <w:t xml:space="preserve">empresas (2 en los gráficos) venden un producto homogéneo y eligen</w:t>
      </w:r>
      <w:r>
        <w:t xml:space="preserve"> </w:t>
      </w:r>
      <w:r>
        <w:rPr>
          <w:i/>
          <w:iCs/>
        </w:rPr>
        <w:t xml:space="preserve">a la vez</w:t>
      </w:r>
      <w:r>
        <w:t xml:space="preserve"> </w:t>
      </w:r>
      <w:r>
        <w:t xml:space="preserve">cuánto producir,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 la producción total 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y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 </w:t>
      </w:r>
      <w:r>
        <w:t xml:space="preserve">la de las demás.</w:t>
      </w:r>
    </w:p>
    <w:p>
      <w:pPr>
        <w:numPr>
          <w:ilvl w:val="0"/>
          <w:numId w:val="1023"/>
        </w:numPr>
      </w:pPr>
      <w:r>
        <w:t xml:space="preserve">Demanda inversa decreciente,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, y costes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; en el caso lineal,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con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23"/>
        </w:numPr>
      </w:pPr>
      <w:r>
        <w:t xml:space="preserve">Cada empresa toma como dada la cantidad de las demás: no espera que reaccionen a la suya (</w:t>
      </w:r>
      <w:r>
        <w:rPr>
          <w:b/>
          <w:bCs/>
        </w:rPr>
        <w:t xml:space="preserve">conjetura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Nash</w:t>
      </w:r>
      <w:r>
        <w:t xml:space="preserve"> </w:t>
      </w:r>
      <w:r>
        <w:t xml:space="preserve">o variación conjetural nula; véanse las extensiones).</w:t>
      </w:r>
    </w:p>
    <w:p>
      <w:pPr>
        <w:numPr>
          <w:ilvl w:val="0"/>
          <w:numId w:val="1023"/>
        </w:numPr>
      </w:pPr>
      <w:r>
        <w:t xml:space="preserve">El precio se ajusta hasta vaciar el mercado.</w:t>
      </w:r>
    </w:p>
    <w:bookmarkEnd w:id="57"/>
    <w:bookmarkStart w:id="65" w:name="ii_desarrollo"/>
    <w:p>
      <w:pPr>
        <w:pStyle w:val="Heading5"/>
      </w:pPr>
      <w:r>
        <w:t xml:space="preserve">ii) Desarrollo</w:t>
      </w:r>
    </w:p>
    <w:p>
      <w:pPr>
        <w:numPr>
          <w:ilvl w:val="0"/>
          <w:numId w:val="1024"/>
        </w:numPr>
      </w:pPr>
      <w:r>
        <w:t xml:space="preserve">Cada empresa resuelve</w:t>
      </w:r>
    </w:p>
    <w:p>
      <w:pPr>
        <w:pStyle w:val="BodyText"/>
        <w:keepNext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lim>
                </m:limLow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sub>
                    </m:sSub>
                  </m:e>
                </m:d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s.a.</m:t>
                </m:r>
              </m:e>
              <m:e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y la condición de primer orden iguala su ingreso marginal y su coste marginal:</w:t>
      </w:r>
      <w:r>
        <w:rPr>
          <w:rStyle w:val="FootnoteReference"/>
        </w:rPr>
        <w:footnoteReference w:id="58"/>
      </w:r>
      <w:r>
        <w:t xml:space="preserve"> </w:t>
      </w:r>
      <w:bookmarkStart w:id="59" w:name="eq_cpo_cournot"/>
      <w:bookmarkEnd w:id="59"/>
    </w:p>
    <w:p>
      <w:pPr>
        <w:pStyle w:val="BodyText"/>
        <w:keepNext/>
      </w:pPr>
      <m:oMathPara>
        <m:oMathParaPr>
          <m:jc m:val="center"/>
        </m:oMathParaPr>
        <m:oMath>
          <m:limLow>
            <m:e>
              <m:limLow>
                <m:e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</m:e>
                  </m:d>
                  <m:r>
                    <m:t> 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i</m:t>
                  </m:r>
                </m:sub>
              </m:sSub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El ingreso marginal solo recoge cómo baja el precio sobre las unidades</w:t>
      </w:r>
      <w:r>
        <w:t xml:space="preserve"> </w:t>
      </w:r>
      <w:r>
        <w:rPr>
          <w:i/>
          <w:iCs/>
        </w:rPr>
        <w:t xml:space="preserve">propias</w:t>
      </w:r>
      <w:r>
        <w:t xml:space="preserve">: por eso cada empresa produce más de lo que convendría al conjunto.</w:t>
      </w:r>
    </w:p>
    <w:p>
      <w:pPr>
        <w:numPr>
          <w:ilvl w:val="0"/>
          <w:numId w:val="1024"/>
        </w:numPr>
      </w:pPr>
      <w:r>
        <w:t xml:space="preserve">Despejando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obtiene la</w:t>
      </w:r>
      <w:r>
        <w:t xml:space="preserve"> </w:t>
      </w:r>
      <w:r>
        <w:rPr>
          <w:b/>
          <w:bCs/>
        </w:rPr>
        <w:t xml:space="preserve">función de reacción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e>
        </m:d>
      </m:oMath>
      <w:r>
        <w:t xml:space="preserve">. Con demanda lineal y coste marginal constante, en el duopolio es una recta de pendiente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que corta el eje en la cantidad de monopolio de la empresa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(si la otra no produce,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 monopolista):</w:t>
      </w:r>
    </w:p>
    <w:p>
      <w:pPr>
        <w:pStyle w:val="BodyText"/>
        <w:keepNext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24"/>
        </w:numPr>
      </w:pPr>
      <w:r>
        <w:t xml:space="preserve">Las funciones de reacción son decrecientes y de pendiente menor que uno</w:t>
      </w:r>
      <w:r>
        <w:t xml:space="preserve"> </w:t>
      </w:r>
      <w:r>
        <w:rPr>
          <w:i/>
          <w:iCs/>
        </w:rPr>
        <w:t xml:space="preserve">en valor absoluto</w:t>
      </w:r>
      <w:r>
        <w:t xml:space="preserve"> </w:t>
      </w:r>
      <w:r>
        <w:t xml:space="preserve">si se cumplen las</w:t>
      </w:r>
      <w:r>
        <w:t xml:space="preserve"> </w:t>
      </w:r>
      <w:r>
        <w:rPr>
          <w:b/>
          <w:bCs/>
        </w:rPr>
        <w:t xml:space="preserve">condiciones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Hahn</w:t>
      </w:r>
      <w:r>
        <w:t xml:space="preserve"> </w:t>
      </w:r>
      <w:r>
        <w:t xml:space="preserve">(</w:t>
      </w:r>
      <w:hyperlink w:anchor="ref_Hahn1962Stability">
        <w:r>
          <w:rPr>
            <w:rStyle w:val="Hyperlink"/>
            <w:smallCaps/>
          </w:rPr>
          <w:t xml:space="preserve">Hahn</w:t>
        </w:r>
        <w:r>
          <w:rPr>
            <w:rStyle w:val="Hyperlink"/>
          </w:rPr>
          <w:t xml:space="preserve">, 1962</w:t>
        </w:r>
      </w:hyperlink>
      <w:r>
        <w:t xml:space="preserve">)</w:t>
      </w:r>
      <w:r>
        <w:t xml:space="preserve">: (H1)</w:t>
      </w:r>
      <w: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p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, el ingreso marginal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baja cuando las demás producen más (las cantidades son sustitutos estratégicos), y (H2)</w:t>
      </w:r>
      <w: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, la demanda corta a la curva de coste marginal desde arriba. Derivando (</w:t>
      </w:r>
      <w:hyperlink w:anchor="eq_cpo_cournot">
        <w:r>
          <w:rPr>
            <w:rStyle w:val="Hyperlink"/>
          </w:rPr>
          <w:t xml:space="preserve">1</w:t>
        </w:r>
      </w:hyperlink>
      <w:r>
        <w:t xml:space="preserve">), el numerador y los 2 sumandos del denominador son negativos:</w:t>
      </w:r>
    </w:p>
    <w:p>
      <w:pPr>
        <w:pStyle w:val="BodyText"/>
        <w:keepNext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p</m:t>
              </m:r>
              <m:r>
                <m:rPr>
                  <m:sty m:val="p"/>
                </m:rPr>
                <m:t>″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p</m:t>
                  </m:r>
                  <m:r>
                    <m:rPr>
                      <m:sty m:val="p"/>
                    </m:rPr>
                    <m:t>″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″</m:t>
                  </m:r>
                </m:e>
              </m:d>
            </m:den>
          </m:f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equilibrio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Cournot</w:t>
      </w:r>
      <w:r>
        <w:t xml:space="preserve"> </w:t>
      </w:r>
      <w:r>
        <w:t xml:space="preserve">es el punto en que se cortan las funciones de reacción: cada empresa produce su mejor respuesta a lo que</w:t>
      </w:r>
      <w:r>
        <w:t xml:space="preserve"> </w:t>
      </w:r>
      <w:r>
        <w:rPr>
          <w:i/>
          <w:iCs/>
        </w:rPr>
        <w:t xml:space="preserve">de verdad</w:t>
      </w:r>
      <w:r>
        <w:t xml:space="preserve"> </w:t>
      </w:r>
      <w:r>
        <w:t xml:space="preserve">producen las demás.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iguales y demanda lineal (anexo </w:t>
      </w:r>
      <w:hyperlink w:anchor="anexo_cournot_lineal">
        <w:r>
          <w:rPr>
            <w:rStyle w:val="Hyperlink"/>
          </w:rPr>
          <w:t xml:space="preserve">A</w:t>
        </w:r>
      </w:hyperlink>
      <w:r>
        <w:t xml:space="preserve">),</w:t>
      </w:r>
    </w:p>
    <w:p>
      <w:pPr>
        <w:pStyle w:val="BodyText"/>
        <w:keepNext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 </m:t>
              </m:r>
              <m:r>
                <m:t>c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y en el duopolio,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3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y un beneficio de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t>b</m:t>
        </m:r>
      </m:oMath>
      <w:r>
        <w:t xml:space="preserve"> </w:t>
      </w:r>
      <w:r>
        <w:t xml:space="preserve">para cada empresa.</w:t>
      </w:r>
    </w:p>
    <w:p>
      <w:pPr>
        <w:numPr>
          <w:ilvl w:val="0"/>
          <w:numId w:val="1024"/>
        </w:numPr>
      </w:pPr>
      <w:r>
        <w:rPr>
          <w:i/>
          <w:iCs/>
        </w:rPr>
        <w:t xml:space="preserve">Gráficamente</w:t>
      </w:r>
      <w:r>
        <w:t xml:space="preserve"> </w:t>
      </w:r>
      <w:r>
        <w:t xml:space="preserve">(gráfico </w:t>
      </w:r>
      <w:hyperlink w:anchor="fig_cournot">
        <w:r>
          <w:rPr>
            <w:rStyle w:val="Hyperlink"/>
          </w:rPr>
          <w:t xml:space="preserve">2</w:t>
        </w:r>
      </w:hyperlink>
      <w:r>
        <w:t xml:space="preserve">), en el plano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los</w:t>
      </w:r>
      <w:r>
        <w:t xml:space="preserve"> </w:t>
      </w:r>
      <w:r>
        <w:rPr>
          <w:b/>
          <w:bCs/>
        </w:rPr>
        <w:t xml:space="preserve">isobeneficios</w:t>
      </w:r>
      <w:r>
        <w:t xml:space="preserve"> </w:t>
      </w:r>
      <w:r>
        <w:t xml:space="preserve">de la empresa 1 son curvas con forma de U invertida, con su máximo sobre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y su beneficio es mayor cuanto más abajo están (cuanto menos produce la rival); el más bajo de todos se reduce al punto de monopolio,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El equilibrio está donde se cortan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y allí los isobeneficios de las 2 empresas se cortan en lugar de ser tangentes. Las rectas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c</m:t>
            </m:r>
          </m:sup>
        </m:sSup>
      </m:oMath>
      <w:r>
        <w:t xml:space="preserve">, con la cantidad total de monopolio y la de competencia perfecta, quedan a uno y otro lado del equilibrio: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produce más que el monopolio y menos que la competencia.</w:t>
      </w:r>
      <w:r>
        <w:rPr>
          <w:rStyle w:val="FootnoteReference"/>
        </w:rPr>
        <w:footnoteReference w:id="60"/>
      </w:r>
    </w:p>
    <w:bookmarkStart w:id="64" w:name="fig_cournot"/>
    <w:p>
      <w:pPr>
        <w:pStyle w:val="ImageCaption"/>
      </w:pPr>
      <w:r>
        <w:t xml:space="preserve">Gráfico 2.–</w:t>
      </w:r>
      <w:r>
        <w:t xml:space="preserve"> </w:t>
      </w:r>
      <w:r>
        <w:t xml:space="preserve">Equilibrio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(C): funciones de reacción e isobeneficios</w:t>
      </w:r>
    </w:p>
    <w:p>
      <w:pPr>
        <w:pStyle w:val="CaptionedFigure"/>
      </w:pPr>
      <w:r>
        <w:drawing>
          <wp:inline>
            <wp:extent cx="3700780" cy="3301537"/>
            <wp:effectExtent b="0" l="0" r="0" t="0"/>
            <wp:docPr descr="Gráfico 2.– Equilibrio de Cournot (C): funciones de reacción e isobeneficios" title="" id="62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courno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30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Pindyck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Rubinfeld</w:t>
      </w:r>
      <w:r>
        <w:t xml:space="preserve"> </w:t>
      </w:r>
      <w:r>
        <w:t xml:space="preserve">(</w:t>
      </w:r>
      <w:hyperlink w:anchor="ref_PindyckRubinfeld2009Microeconomia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.</w:t>
      </w:r>
    </w:p>
    <w:p>
      <w:pPr>
        <w:pStyle w:val="Cajadeanotaciones"/>
        <w:keepNext/>
        <w:keepLines/>
      </w:pPr>
      <w:r>
        <w:rPr>
          <w:b/>
          <w:bCs/>
        </w:rPr>
        <w:t xml:space="preserve">Existencia, unicidad y estabilidad del equilibrio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Cournot</w:t>
      </w:r>
      <w:r>
        <w:t xml:space="preserve"> </w:t>
      </w:r>
      <w:r>
        <w:t xml:space="preserve">(</w:t>
      </w:r>
      <w:hyperlink w:anchor="ref_Vives1999Oligopoly">
        <w:r>
          <w:rPr>
            <w:rStyle w:val="Hyperlink"/>
            <w:smallCaps/>
          </w:rPr>
          <w:t xml:space="preserve">Vives</w:t>
        </w:r>
        <w:r>
          <w:rPr>
            <w:rStyle w:val="Hyperlink"/>
          </w:rPr>
          <w:t xml:space="preserve">, 1999, cap. 4</w:t>
        </w:r>
      </w:hyperlink>
      <w:r>
        <w:t xml:space="preserve">)</w:t>
      </w:r>
      <w:r>
        <w:t xml:space="preserve">.</w:t>
      </w:r>
    </w:p>
    <w:p>
      <w:pPr>
        <w:pStyle w:val="Cajadeanotaciones"/>
        <w:keepNext/>
        <w:keepLines/>
        <w:numPr>
          <w:ilvl w:val="0"/>
          <w:numId w:val="1025"/>
        </w:numPr>
      </w:pPr>
      <w:r>
        <w:rPr>
          <w:i/>
          <w:iCs/>
        </w:rPr>
        <w:t xml:space="preserve">Existencia</w:t>
      </w:r>
      <w:r>
        <w:t xml:space="preserve">: si el beneficio de cada empresa es cuasicóncavo en su propia cantidad, el equilibrio existe por un teorema de punto fijo, como todo EN con acciones continuas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  <w:r>
        <w:t xml:space="preserve"> </w:t>
      </w:r>
      <w:r>
        <w:rPr>
          <w:smallCaps/>
        </w:rPr>
        <w:t xml:space="preserve">Novshek</w:t>
      </w:r>
      <w:r>
        <w:t xml:space="preserve"> </w:t>
      </w:r>
      <w:r>
        <w:t xml:space="preserve">(</w:t>
      </w:r>
      <w:hyperlink w:anchor="ref_Novshek1985Existence">
        <w:r>
          <w:rPr>
            <w:rStyle w:val="Hyperlink"/>
          </w:rPr>
          <w:t xml:space="preserve">1985</w:t>
        </w:r>
      </w:hyperlink>
      <w:r>
        <w:t xml:space="preserve">)</w:t>
      </w:r>
      <w:r>
        <w:t xml:space="preserve"> </w:t>
      </w:r>
      <w:r>
        <w:t xml:space="preserve">lo prueba sin cuasiconcavidad, solo con (H1).</w:t>
      </w:r>
    </w:p>
    <w:p>
      <w:pPr>
        <w:pStyle w:val="Cajadeanotaciones"/>
        <w:keepNext/>
        <w:keepLines/>
        <w:numPr>
          <w:ilvl w:val="0"/>
          <w:numId w:val="1025"/>
        </w:numPr>
      </w:pPr>
      <w:r>
        <w:rPr>
          <w:i/>
          <w:iCs/>
        </w:rPr>
        <w:t xml:space="preserve">Unicidad</w:t>
      </w:r>
      <w:r>
        <w:t xml:space="preserve">: si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′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la aplicación de mejores respuestas es una contracción y solo tiene un punto fijo; en el duopolio, las 2 funciones de reacción se cortan una sola vez.</w:t>
      </w:r>
    </w:p>
    <w:p>
      <w:pPr>
        <w:pStyle w:val="Cajadeanotaciones"/>
        <w:keepNext/>
        <w:keepLines/>
        <w:numPr>
          <w:ilvl w:val="0"/>
          <w:numId w:val="1025"/>
        </w:numPr>
      </w:pPr>
      <w:r>
        <w:rPr>
          <w:i/>
          <w:iCs/>
        </w:rPr>
        <w:t xml:space="preserve">Estabilidad</w:t>
      </w:r>
      <w:r>
        <w:t xml:space="preserve">: el EN dice que, si se llega a él, nadie quiere salir, pero no cómo se llega.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propuso un ajuste en el que cada empresa responde a lo que la otra hizo el periodo anterior,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En el duopolio converge si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′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′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y basta con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′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: con demanda lineal,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la senda se acerca al equilibrio en una «telaraña» entre las 2 funciones de reacción</w:t>
      </w:r>
      <w:r>
        <w:t xml:space="preserve"> </w:t>
      </w:r>
      <w:r>
        <w:t xml:space="preserve">(</w:t>
      </w:r>
      <w:hyperlink w:anchor="ref_Hahn1962Stability">
        <w:r>
          <w:rPr>
            <w:rStyle w:val="Hyperlink"/>
            <w:smallCaps/>
          </w:rPr>
          <w:t xml:space="preserve">Hahn</w:t>
        </w:r>
        <w:r>
          <w:rPr>
            <w:rStyle w:val="Hyperlink"/>
          </w:rPr>
          <w:t xml:space="preserve">, 1962</w:t>
        </w:r>
      </w:hyperlink>
      <w:r>
        <w:t xml:space="preserve">)</w:t>
      </w:r>
      <w:r>
        <w:t xml:space="preserve">.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iguales y lineales, el mismo ajuste oscila sin acercarse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y se aleja desde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w:hyperlink w:anchor="ref_Theocharis1960Stability">
        <w:r>
          <w:rPr>
            <w:rStyle w:val="Hyperlink"/>
            <w:smallCaps/>
          </w:rPr>
          <w:t xml:space="preserve">Theocharis</w:t>
        </w:r>
        <w:r>
          <w:rPr>
            <w:rStyle w:val="Hyperlink"/>
          </w:rPr>
          <w:t xml:space="preserve">, 1960</w:t>
        </w:r>
      </w:hyperlink>
      <w:r>
        <w:t xml:space="preserve">)</w:t>
      </w:r>
      <w:r>
        <w:t xml:space="preserve">: la estabilidad depende del proceso de ajuste que se suponga, que está fuera del modelo, porque este es estático.</w:t>
      </w:r>
    </w:p>
    <w:p>
      <w:pPr>
        <w:pStyle w:val="Cajadeanotaciones"/>
        <w:keepLines/>
        <w:numPr>
          <w:ilvl w:val="0"/>
          <w:numId w:val="1025"/>
        </w:numPr>
      </w:pPr>
      <w:r>
        <w:rPr>
          <w:i/>
          <w:iCs/>
        </w:rPr>
        <w:t xml:space="preserve">Dominancia</w:t>
      </w:r>
      <w:r>
        <w:t xml:space="preserve">: en el duopolio lineal el equilibrio se obtiene también eliminando de forma iterada las estrategias estrictamente dominadas</w:t>
      </w:r>
      <w:r>
        <w:t xml:space="preserve"> </w:t>
      </w:r>
      <w:r>
        <w:t xml:space="preserve">(</w:t>
      </w:r>
      <w:hyperlink w:anchor="ref_Gibbons1992Game">
        <w:r>
          <w:rPr>
            <w:rStyle w:val="Hyperlink"/>
            <w:smallCaps/>
          </w:rPr>
          <w:t xml:space="preserve">Gibbons</w:t>
        </w:r>
        <w:r>
          <w:rPr>
            <w:rStyle w:val="Hyperlink"/>
          </w:rPr>
          <w:t xml:space="preserve">, 1992, párr. 1.2.A</w:t>
        </w:r>
      </w:hyperlink>
      <w:r>
        <w:t xml:space="preserve">)</w:t>
      </w:r>
      <w:r>
        <w:t xml:space="preserve">; con 3 o más empresas, no.</w:t>
      </w:r>
    </w:p>
    <w:bookmarkEnd w:id="65"/>
    <w:bookmarkStart w:id="68" w:name="iii_implicaciones"/>
    <w:p>
      <w:pPr>
        <w:pStyle w:val="Heading5"/>
      </w:pPr>
      <w:r>
        <w:t xml:space="preserve">iii) Implicaciones</w:t>
      </w:r>
    </w:p>
    <w:p>
      <w:pPr>
        <w:numPr>
          <w:ilvl w:val="0"/>
          <w:numId w:val="1026"/>
        </w:numPr>
      </w:pPr>
      <w:r>
        <w:rPr>
          <w:i/>
          <w:iCs/>
        </w:rPr>
        <w:t xml:space="preserve">Es un equilibrio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Nash</w:t>
      </w:r>
      <w:r>
        <w:t xml:space="preserve">: ninguna empresa quiere cambiar su cantidad</w:t>
      </w:r>
      <w:r>
        <w:t xml:space="preserve"> </w:t>
      </w:r>
      <w:r>
        <w:rPr>
          <w:i/>
          <w:iCs/>
        </w:rPr>
        <w:t xml:space="preserve">dada la de la otra</w:t>
      </w:r>
      <w:r>
        <w:t xml:space="preserve">. No es un equilibrio en estrategias dominantes: si la otra produjera otra cantidad, cada una cambiaría la suya.</w:t>
      </w:r>
    </w:p>
    <w:p>
      <w:pPr>
        <w:numPr>
          <w:ilvl w:val="0"/>
          <w:numId w:val="1026"/>
        </w:numPr>
      </w:pPr>
      <w:r>
        <w:rPr>
          <w:i/>
          <w:iCs/>
        </w:rPr>
        <w:t xml:space="preserve">Poder de mercado proporcional a la cuota</w:t>
      </w:r>
      <w:r>
        <w:t xml:space="preserve">. Reordenando (</w:t>
      </w:r>
      <w:hyperlink w:anchor="eq_cpo_cournot">
        <w:r>
          <w:rPr>
            <w:rStyle w:val="Hyperlink"/>
          </w:rPr>
          <w:t xml:space="preserve">1</w:t>
        </w:r>
      </w:hyperlink>
      <w:r>
        <w:t xml:space="preserve">), con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la cuota de mercado de la empresa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ε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Q</m:t>
            </m:r>
            <m:r>
              <m:rPr>
                <m:sty m:val="p"/>
              </m:rPr>
              <m:t>/</m:t>
            </m:r>
            <m:r>
              <m:t>d</m:t>
            </m:r>
            <m:r>
              <m:t>p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la elasticidad de la demanda de mercado,</w:t>
      </w:r>
      <w:r>
        <w:rPr>
          <w:rStyle w:val="FootnoteReference"/>
        </w:rPr>
        <w:footnoteReference w:id="66"/>
      </w:r>
    </w:p>
    <w:bookmarkStart w:id="67" w:name="eq_lerner_cournot"/>
    <w:bookmarkEnd w:id="67"/>
    <w:p>
      <w:pPr>
        <w:pStyle w:val="Funcionclave"/>
        <w:keepLines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</m:den>
          </m:f>
        </m:oMath>
      </m:oMathPara>
    </w:p>
    <w:p>
      <w:pPr>
        <w:numPr>
          <w:ilvl w:val="0"/>
          <w:numId w:val="1000"/>
        </w:numPr>
      </w:pPr>
      <w:r>
        <w:t xml:space="preserve">En palabras: cada empresa carga un margen tanto mayor cuanto mayor es su cuota y menos elástica la demanda. Es la regla de la elasticidad inversa del monopolio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 </w:t>
      </w:r>
      <w:r>
        <w:t xml:space="preserve">multiplicada por la cuota: con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monopolio; con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competencia perfecta</w:t>
      </w:r>
      <w:r>
        <w:t xml:space="preserve"> </w:t>
      </w:r>
      <w:hyperlink r:id="rId28">
        <w:r>
          <w:rPr>
            <w:rStyle w:val="Referenciaatema"/>
          </w:rPr>
          <w:t xml:space="preserve">[ver tema 3.A.16]</w:t>
        </w:r>
      </w:hyperlink>
      <w:r>
        <w:t xml:space="preserve">. Las empresas con menor coste marginal tienen más cuota y más margen.</w:t>
      </w:r>
    </w:p>
    <w:p>
      <w:pPr>
        <w:numPr>
          <w:ilvl w:val="0"/>
          <w:numId w:val="1026"/>
        </w:numPr>
      </w:pPr>
      <w:r>
        <w:rPr>
          <w:i/>
          <w:iCs/>
        </w:rPr>
        <w:t xml:space="preserve">La concentración mide el poder de mercado</w:t>
      </w:r>
      <w:r>
        <w:t xml:space="preserve">. Ponderando por las cuotas, el margen medio de la industria es</w:t>
      </w:r>
    </w:p>
    <w:p>
      <w:pPr>
        <w:pStyle w:val="BodyText"/>
        <w:keepNext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H</m:t>
              </m:r>
            </m:num>
            <m:den>
              <m:r>
                <m:t>10.000</m:t>
              </m:r>
              <m:r>
                <m:t> 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I</m:t>
          </m:r>
          <m:r>
            <m:rPr>
              <m:sty m:val="p"/>
            </m:rPr>
            <m:t>H</m:t>
          </m:r>
          <m:r>
            <m:rPr>
              <m:sty m:val="p"/>
            </m:rPr>
            <m:t>H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100</m:t>
                      </m:r>
                      <m:r>
                        <m:t> 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;</m:t>
          </m:r>
          <m:r>
            <m:t> </m:t>
          </m:r>
          <m:r>
            <m:t>10.000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con IHH el índice de</w:t>
      </w:r>
      <w:r>
        <w:t xml:space="preserve"> </w:t>
      </w:r>
      <w:r>
        <w:rPr>
          <w:smallCaps/>
        </w:rPr>
        <w:t xml:space="preserve">Herfindahl</w:t>
      </w:r>
      <w:r>
        <w:t xml:space="preserve">-</w:t>
      </w:r>
      <w:r>
        <w:rPr>
          <w:smallCaps/>
        </w:rPr>
        <w:t xml:space="preserve">Hirschman</w:t>
      </w:r>
      <w:r>
        <w:t xml:space="preserve"> </w:t>
      </w:r>
      <w:r>
        <w:t xml:space="preserve">(HHI en inglés), que vale 10.000 en el monopolio</w:t>
      </w:r>
      <w:r>
        <w:t xml:space="preserve"> </w:t>
      </w:r>
      <w:r>
        <w:t xml:space="preserve">(</w:t>
      </w:r>
      <w:hyperlink w:anchor="ref_CowlingWaterson1976Price">
        <w:r>
          <w:rPr>
            <w:rStyle w:val="Hyperlink"/>
            <w:smallCaps/>
          </w:rPr>
          <w:t xml:space="preserve">Cowling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Waterson</w:t>
        </w:r>
        <w:r>
          <w:rPr>
            <w:rStyle w:val="Hyperlink"/>
          </w:rPr>
          <w:t xml:space="preserve">, 1976</w:t>
        </w:r>
      </w:hyperlink>
      <w:r>
        <w:t xml:space="preserve">)</w:t>
      </w:r>
      <w:r>
        <w:t xml:space="preserve">: así se justifica que las autoridades de competencia midan la concentración con el IHH</w:t>
      </w:r>
      <w:r>
        <w:t xml:space="preserve"> </w:t>
      </w:r>
      <w:hyperlink r:id="rId25">
        <w:r>
          <w:rPr>
            <w:rStyle w:val="Referenciaatema"/>
          </w:rPr>
          <w:t xml:space="preserve">[ver tema 3.A.20]</w:t>
        </w:r>
      </w:hyperlink>
      <w:r>
        <w:t xml:space="preserve">. En la telefonía móvil en España, tras la fusión de Orange y MásMóvil, 4 operadores tienen el 96,8 % de las líneas y el IHH ronda 2.770</w:t>
      </w:r>
      <w:r>
        <w:t xml:space="preserve"> </w:t>
      </w:r>
      <w:r>
        <w:t xml:space="preserve">(</w:t>
      </w:r>
      <w:hyperlink w:anchor="ref_CNMC2026Telecos2T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2026b</w:t>
        </w:r>
      </w:hyperlink>
      <w:r>
        <w:t xml:space="preserve">)</w:t>
      </w:r>
      <w:r>
        <w:t xml:space="preserve">.</w:t>
      </w:r>
    </w:p>
    <w:p>
      <w:pPr>
        <w:keepNext/>
        <w:numPr>
          <w:ilvl w:val="0"/>
          <w:numId w:val="1026"/>
        </w:numPr>
      </w:pPr>
      <w:r>
        <w:rPr>
          <w:i/>
          <w:iCs/>
        </w:rPr>
        <w:t xml:space="preserve">Bienestar</w:t>
      </w:r>
      <w:r>
        <w:t xml:space="preserve">: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  <m:r>
          <m:rPr>
            <m:sty m:val="p"/>
          </m:rPr>
          <m:t>&lt;</m:t>
        </m:r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&lt;</m:t>
        </m:r>
        <m:sSup>
          <m:e>
            <m:r>
              <m:t>Q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. Hay 2 ineficiencias:</w:t>
      </w:r>
    </w:p>
    <w:p>
      <w:pPr>
        <w:numPr>
          <w:ilvl w:val="1"/>
          <w:numId w:val="1027"/>
        </w:numPr>
      </w:pPr>
      <w:r>
        <w:rPr>
          <w:i/>
          <w:iCs/>
        </w:rPr>
        <w:t xml:space="preserve">asignativa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</m:oMath>
      <w:r>
        <w:t xml:space="preserve">, de modo que se produce menos de lo eficiente (pérdida irrecuperable de eficiencia) y no se cumple el 1TFEB</w:t>
      </w:r>
      <w:r>
        <w:t xml:space="preserve"> </w:t>
      </w:r>
      <w:hyperlink r:id="rId24">
        <w:r>
          <w:rPr>
            <w:rStyle w:val="Referenciaatema"/>
          </w:rPr>
          <w:t xml:space="preserve">[ver tema 3.A.22]</w:t>
        </w:r>
      </w:hyperlink>
      <w:r>
        <w:t xml:space="preserve">;</w:t>
      </w:r>
    </w:p>
    <w:p>
      <w:pPr>
        <w:numPr>
          <w:ilvl w:val="1"/>
          <w:numId w:val="1027"/>
        </w:numPr>
      </w:pPr>
      <w:r>
        <w:rPr>
          <w:i/>
          <w:iCs/>
        </w:rPr>
        <w:t xml:space="preserve">productiva</w:t>
      </w:r>
      <w:r>
        <w:t xml:space="preserve">: con costes distintos, los costes marginales de las empresas no se igualan (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⇔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j</m:t>
            </m:r>
          </m:sub>
        </m:sSub>
      </m:oMath>
      <w:r>
        <w:t xml:space="preserve">), de modo que la producción total no se obtiene al menor coste: la empresa eficiente produce más que la otra, pero no tanto como convendría.</w:t>
      </w:r>
    </w:p>
    <w:p>
      <w:pPr>
        <w:numPr>
          <w:ilvl w:val="0"/>
          <w:numId w:val="1026"/>
        </w:numPr>
      </w:pPr>
      <w:r>
        <w:rPr>
          <w:i/>
          <w:iCs/>
        </w:rPr>
        <w:t xml:space="preserve">Ineficiente para las propias empresas</w:t>
      </w:r>
      <w:r>
        <w:t xml:space="preserve">: en el equilibrio los isobeneficios se cortan, de modo que en la «lente» que forman entre ellos las 2 estarían mejor. Las 2 empresas ganarían produciendo menos, pero a cada una le conviene producir más: es un dilema del prisionero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 Veremos que la repetición sin final conocido 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 y los acuerdos explícitos 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 pueden resolverlo.</w:t>
      </w:r>
    </w:p>
    <w:p>
      <w:pPr>
        <w:numPr>
          <w:ilvl w:val="0"/>
          <w:numId w:val="1026"/>
        </w:numPr>
      </w:pPr>
      <w:r>
        <w:rPr>
          <w:i/>
          <w:iCs/>
        </w:rPr>
        <w:t xml:space="preserve">Convergencia a la competencia</w:t>
      </w:r>
      <w:r>
        <w:t xml:space="preserve">: cuando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y, con empresas iguales,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 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  <m:r>
          <m:rPr>
            <m:sty m:val="p"/>
          </m:rPr>
          <m:t>→</m:t>
        </m:r>
        <m:r>
          <m:t>0</m:t>
        </m:r>
      </m:oMath>
      <w:r>
        <w:t xml:space="preserve">. Es la «concurrencia indefinida»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ref_Cournot1838Recherches">
        <w:r>
          <w:rPr>
            <w:rStyle w:val="Hyperlink"/>
          </w:rPr>
          <w:t xml:space="preserve">1838, cap. 8</w:t>
        </w:r>
      </w:hyperlink>
      <w:r>
        <w:t xml:space="preserve">)</w:t>
      </w:r>
      <w:r>
        <w:t xml:space="preserve">: el modelo une el monopolio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 y la competencia perfecta (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bookmarkEnd w:id="68"/>
    <w:bookmarkEnd w:id="69"/>
    <w:bookmarkStart w:id="70" w:name="c_extensiones"/>
    <w:p>
      <w:pPr>
        <w:pStyle w:val="Heading4"/>
      </w:pPr>
      <w:r>
        <w:t xml:space="preserve">c) Extensiones</w:t>
      </w:r>
    </w:p>
    <w:p>
      <w:pPr>
        <w:numPr>
          <w:ilvl w:val="0"/>
          <w:numId w:val="1028"/>
        </w:numPr>
      </w:pPr>
      <w:r>
        <w:rPr>
          <w:i/>
          <w:iCs/>
        </w:rPr>
        <w:t xml:space="preserve">Variaciones conjeturales</w:t>
      </w:r>
      <w:r>
        <w:t xml:space="preserve"> </w:t>
      </w:r>
      <w:r>
        <w:t xml:space="preserve">(</w:t>
      </w:r>
      <w:hyperlink w:anchor="ref_Bowley1924Mathematical">
        <w:r>
          <w:rPr>
            <w:rStyle w:val="Hyperlink"/>
            <w:smallCaps/>
          </w:rPr>
          <w:t xml:space="preserve">Bowley</w:t>
        </w:r>
        <w:r>
          <w:rPr>
            <w:rStyle w:val="Hyperlink"/>
          </w:rPr>
          <w:t xml:space="preserve">, 1924</w:t>
        </w:r>
      </w:hyperlink>
      <w:r>
        <w:t xml:space="preserve">)</w:t>
      </w:r>
      <w:r>
        <w:t xml:space="preserve">. Si la empresa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cree que, cuando produce una unidad más, las demás cambian su producción 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t>d</m:t>
        </m:r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(su</w:t>
      </w:r>
      <w:r>
        <w:t xml:space="preserve"> </w:t>
      </w:r>
      <w:r>
        <w:rPr>
          <w:b/>
          <w:bCs/>
        </w:rPr>
        <w:t xml:space="preserve">variación conjetural</w:t>
      </w:r>
      <w:r>
        <w:t xml:space="preserve">), su condición de primer orden y su margen son</w:t>
      </w:r>
    </w:p>
    <w:p>
      <w:pPr>
        <w:pStyle w:val="BodyText"/>
        <w:keepNext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1"/>
          <w:numId w:val="1029"/>
        </w:numPr>
      </w:pPr>
      <w:r>
        <w:t xml:space="preserve">Con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 obtiene</w:t>
      </w:r>
      <w:r>
        <w:t xml:space="preserve"> </w:t>
      </w:r>
      <w:r>
        <w:rPr>
          <w:smallCaps/>
        </w:rPr>
        <w:t xml:space="preserve">Cournot</w:t>
      </w:r>
      <w:r>
        <w:t xml:space="preserve">; con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(las demás compensan cualquier aumento), la competencia perfecta; con empresas iguales 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(las demás imitan cualquier aumento y las cuotas no cambian), el monopolio, es decir, la colusión. La líder de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actúa con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(</w:t>
      </w:r>
      <w:hyperlink w:anchor="sec_stackelberg">
        <w:r>
          <w:rPr>
            <w:rStyle w:val="Hyperlink"/>
          </w:rPr>
          <w:t xml:space="preserve">I.3</w:t>
        </w:r>
      </w:hyperlink>
      <w:r>
        <w:t xml:space="preserve">).</w:t>
      </w:r>
    </w:p>
    <w:p>
      <w:pPr>
        <w:numPr>
          <w:ilvl w:val="1"/>
          <w:numId w:val="1029"/>
        </w:numPr>
      </w:pPr>
      <w:r>
        <w:t xml:space="preserve">El enfoque resume todos los modelos en un parámetro, que la organización industrial empírica estima como «parámetro de conducta». Pero tiene un problema de fondo: en un juego simultáneo de una sola vez nadie puede reaccionar, de modo que cualquier conjetura distinta de cero es incoherente con el propio modelo</w:t>
      </w:r>
      <w:r>
        <w:t xml:space="preserve"> </w:t>
      </w:r>
      <w:r>
        <w:t xml:space="preserve">(</w:t>
      </w:r>
      <w:hyperlink w:anchor="ref_Tirole1988Theory">
        <w:r>
          <w:rPr>
            <w:rStyle w:val="Hyperlink"/>
            <w:smallCaps/>
          </w:rPr>
          <w:t xml:space="preserve">Tirole</w:t>
        </w:r>
        <w:r>
          <w:rPr>
            <w:rStyle w:val="Hyperlink"/>
          </w:rPr>
          <w:t xml:space="preserve">, 1988, cap. 5</w:t>
        </w:r>
      </w:hyperlink>
      <w:r>
        <w:t xml:space="preserve">)</w:t>
      </w:r>
      <w:r>
        <w:t xml:space="preserve">. Exigir que la conjetura coincida con la pendiente de la verdadera función de reacción (</w:t>
      </w:r>
      <w:r>
        <w:rPr>
          <w:i/>
          <w:iCs/>
        </w:rPr>
        <w:t xml:space="preserve">conjeturas consistentes</w:t>
      </w:r>
      <w:r>
        <w:t xml:space="preserve">:</w:t>
      </w:r>
      <w:r>
        <w:t xml:space="preserve"> </w:t>
      </w:r>
      <w:r>
        <w:rPr>
          <w:smallCaps/>
        </w:rPr>
        <w:t xml:space="preserve">Bresnahan</w:t>
      </w:r>
      <w:r>
        <w:t xml:space="preserve"> </w:t>
      </w:r>
      <w:r>
        <w:t xml:space="preserve">(</w:t>
      </w:r>
      <w:hyperlink w:anchor="ref_Bresnahan1981Duopoly">
        <w:r>
          <w:rPr>
            <w:rStyle w:val="Hyperlink"/>
          </w:rPr>
          <w:t xml:space="preserve">1981</w:t>
        </w:r>
      </w:hyperlink>
      <w:r>
        <w:t xml:space="preserve">)</w:t>
      </w:r>
      <w:r>
        <w:t xml:space="preserve">) no resuelve el problema: la forma de hacerlo bien es modelizar el juego dinámico: el orden de las jugadas (</w:t>
      </w:r>
      <w:hyperlink w:anchor="sec_stackelberg">
        <w:r>
          <w:rPr>
            <w:rStyle w:val="Hyperlink"/>
          </w:rPr>
          <w:t xml:space="preserve">I.3</w:t>
        </w:r>
      </w:hyperlink>
      <w:r>
        <w:t xml:space="preserve">) o la repetición (bloque 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).</w:t>
      </w:r>
    </w:p>
    <w:p>
      <w:pPr>
        <w:keepNext/>
        <w:numPr>
          <w:ilvl w:val="0"/>
          <w:numId w:val="1028"/>
        </w:numPr>
      </w:pPr>
      <w:r>
        <w:rPr>
          <w:i/>
          <w:iCs/>
        </w:rPr>
        <w:t xml:space="preserve">Información incompleta: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Cournot</w:t>
      </w:r>
      <w:r>
        <w:rPr>
          <w:i/>
          <w:iCs/>
        </w:rPr>
        <w:t xml:space="preserve"> </w:t>
      </w:r>
      <w:r>
        <w:rPr>
          <w:i/>
          <w:iCs/>
        </w:rPr>
        <w:t xml:space="preserve">con costes privados</w:t>
      </w:r>
      <w:r>
        <w:t xml:space="preserve">. Si la empresa 2 conoce su coste y la 1 solo sabe que es alto,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, con probabilidad</w:t>
      </w:r>
      <w:r>
        <w:t xml:space="preserve"> </w:t>
      </w:r>
      <m:oMath>
        <m:r>
          <m:t>π</m:t>
        </m:r>
      </m:oMath>
      <w:r>
        <w:t xml:space="preserve">, o bajo,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 xml:space="preserve">, el juego es bayesiano</w:t>
      </w:r>
      <w:r>
        <w:t xml:space="preserve"> </w:t>
      </w:r>
      <w:r>
        <w:t xml:space="preserve">(</w:t>
      </w:r>
      <w:hyperlink w:anchor="ref_Harsanyi1967Games">
        <w:r>
          <w:rPr>
            <w:rStyle w:val="Hyperlink"/>
            <w:smallCaps/>
          </w:rPr>
          <w:t xml:space="preserve">Harsanyi</w:t>
        </w:r>
        <w:r>
          <w:rPr>
            <w:rStyle w:val="Hyperlink"/>
          </w:rPr>
          <w:t xml:space="preserve">, 1967–1968</w:t>
        </w:r>
      </w:hyperlink>
      <w:r>
        <w:t xml:space="preserve">)</w:t>
      </w:r>
      <w:r>
        <w:t xml:space="preserve">: la 2 elige una cantidad para cada tipo,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e>
        </m:d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e>
        </m:d>
      </m:oMath>
      <w:r>
        <w:t xml:space="preserve">, y la 1 responde a la cantidad</w:t>
      </w:r>
      <w:r>
        <w:t xml:space="preserve"> </w:t>
      </w:r>
      <w:r>
        <w:rPr>
          <w:i/>
          <w:iCs/>
        </w:rPr>
        <w:t xml:space="preserve">esperada</w:t>
      </w:r>
      <w:r>
        <w:t xml:space="preserve"> </w:t>
      </w:r>
      <w:r>
        <w:t xml:space="preserve">de la 2. El</w:t>
      </w:r>
      <w:r>
        <w:t xml:space="preserve"> </w:t>
      </w:r>
      <w:r>
        <w:rPr>
          <w:b/>
          <w:bCs/>
        </w:rPr>
        <w:t xml:space="preserve">equilibrio bayesiano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Nash</w:t>
      </w:r>
      <w:r>
        <w:t xml:space="preserve"> </w:t>
      </w:r>
      <w:r>
        <w:t xml:space="preserve">es la terna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q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r>
              <m:t> </m:t>
            </m:r>
            <m:sSubSup>
              <m:e>
                <m:r>
                  <m:t>q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 </m:t>
            </m:r>
            <m:sSubSup>
              <m:e>
                <m:r>
                  <m:t>q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(</w:t>
      </w:r>
      <w:hyperlink w:anchor="ref_Gibbons1992Game">
        <w:r>
          <w:rPr>
            <w:rStyle w:val="Hyperlink"/>
            <w:smallCaps/>
          </w:rPr>
          <w:t xml:space="preserve">Gibbons</w:t>
        </w:r>
        <w:r>
          <w:rPr>
            <w:rStyle w:val="Hyperlink"/>
          </w:rPr>
          <w:t xml:space="preserve">, 1992, párr. 3.1.A</w:t>
        </w:r>
      </w:hyperlink>
      <w:r>
        <w:t xml:space="preserve">)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p>
      <w:pPr>
        <w:numPr>
          <w:ilvl w:val="1"/>
          <w:numId w:val="1030"/>
        </w:numPr>
      </w:pPr>
      <w:r>
        <w:rPr>
          <w:i/>
          <w:iCs/>
        </w:rPr>
        <w:t xml:space="preserve">Implicaciones</w:t>
      </w:r>
      <w:r>
        <w:t xml:space="preserve">: comparada con la información completa, la empresa informada de coste alto produce</w:t>
      </w:r>
      <w:r>
        <w:t xml:space="preserve"> </w:t>
      </w:r>
      <w:r>
        <w:rPr>
          <w:i/>
          <w:iCs/>
        </w:rPr>
        <w:t xml:space="preserve">más</w:t>
      </w:r>
      <w:r>
        <w:t xml:space="preserve"> </w:t>
      </w:r>
      <w:r>
        <w:t xml:space="preserve">y gana más, y la de coste bajo produce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y gana menos, porque la rival responde a la media. A la de coste bajo le gustaría demostrar que lo es: es el origen de la señalización</w:t>
      </w:r>
      <w:r>
        <w:t xml:space="preserve"> </w:t>
      </w:r>
      <w:hyperlink r:id="rId44">
        <w:r>
          <w:rPr>
            <w:rStyle w:val="Referenciaatema"/>
          </w:rPr>
          <w:t xml:space="preserve">[ver tema 3.A.13]</w:t>
        </w:r>
      </w:hyperlink>
      <w:r>
        <w:t xml:space="preserve">. Desarrollo y ejemplo en el anexo </w:t>
      </w:r>
      <w:hyperlink w:anchor="anexo_cournot_bayesiano">
        <w:r>
          <w:rPr>
            <w:rStyle w:val="Hyperlink"/>
          </w:rPr>
          <w:t xml:space="preserve">C</w:t>
        </w:r>
      </w:hyperlink>
      <w:r>
        <w:t xml:space="preserve">.</w:t>
      </w:r>
    </w:p>
    <w:p>
      <w:pPr>
        <w:numPr>
          <w:ilvl w:val="0"/>
          <w:numId w:val="1028"/>
        </w:numPr>
      </w:pPr>
      <w:r>
        <w:rPr>
          <w:i/>
          <w:iCs/>
        </w:rPr>
        <w:t xml:space="preserve">Colusión</w:t>
      </w:r>
      <w:r>
        <w:t xml:space="preserve">: si las 2 empresas pudieran firmar un acuerdo, se repartirían la cantidad de monopolio; es el cártel 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).</w:t>
      </w:r>
    </w:p>
    <w:bookmarkEnd w:id="70"/>
    <w:bookmarkStart w:id="71" w:name="d_evidencia_emp__rica"/>
    <w:p>
      <w:pPr>
        <w:pStyle w:val="Heading4"/>
      </w:pPr>
      <w:r>
        <w:t xml:space="preserve">d) Evidencia empírica</w:t>
      </w:r>
    </w:p>
    <w:p>
      <w:pPr>
        <w:numPr>
          <w:ilvl w:val="0"/>
          <w:numId w:val="1031"/>
        </w:numPr>
      </w:pPr>
      <w:r>
        <w:rPr>
          <w:smallCaps/>
        </w:rPr>
        <w:t xml:space="preserve">Brander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Zhang</w:t>
      </w:r>
      <w:r>
        <w:t xml:space="preserve"> </w:t>
      </w:r>
      <w:r>
        <w:t xml:space="preserve">(</w:t>
      </w:r>
      <w:hyperlink w:anchor="ref_BranderZhang1990Market">
        <w:r>
          <w:rPr>
            <w:rStyle w:val="Hyperlink"/>
          </w:rPr>
          <w:t xml:space="preserve">1990</w:t>
        </w:r>
      </w:hyperlink>
      <w:r>
        <w:t xml:space="preserve">)</w:t>
      </w:r>
      <w:r>
        <w:t xml:space="preserve">, con datos de rutas de 2 aerolíneas que operaban desde Chicago, encuentran que la conducta observada se parece más a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que a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o al cártel. El modelo encaja mejor donde la capacidad se decide antes de vender y cuesta cambiarla (</w:t>
      </w:r>
      <w:hyperlink w:anchor="sec_bertrand">
        <w:r>
          <w:rPr>
            <w:rStyle w:val="Hyperlink"/>
          </w:rPr>
          <w:t xml:space="preserve">I.4</w:t>
        </w:r>
      </w:hyperlink>
      <w:r>
        <w:t xml:space="preserve">,</w:t>
      </w:r>
      <w:r>
        <w:t xml:space="preserve"> </w:t>
      </w:r>
      <w:r>
        <w:rPr>
          <w:smallCaps/>
        </w:rPr>
        <w:t xml:space="preserve">Kreps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Scheinkman</w:t>
      </w:r>
      <w:r>
        <w:t xml:space="preserve">).</w:t>
      </w:r>
    </w:p>
    <w:bookmarkEnd w:id="71"/>
    <w:bookmarkStart w:id="72" w:name="e_valoraci__n"/>
    <w:p>
      <w:pPr>
        <w:pStyle w:val="Heading4"/>
      </w:pPr>
      <w:r>
        <w:t xml:space="preserve">e) Valoración</w:t>
      </w:r>
    </w:p>
    <w:p>
      <w:pPr>
        <w:numPr>
          <w:ilvl w:val="0"/>
          <w:numId w:val="1032"/>
        </w:numPr>
      </w:pPr>
      <w:r>
        <w:t xml:space="preserve">Con supuestos muy estilizados,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da predicciones razonables: el precio queda entre el competitivo y el de monopolio, y baja al entrar empresas. Pero tiene 2 críticas que abren los modelos siguientes: las empresas no siempre deciden a la vez (</w:t>
      </w:r>
      <w:r>
        <w:rPr>
          <w:smallCaps/>
        </w:rPr>
        <w:t xml:space="preserve">Stackelberg</w:t>
      </w:r>
      <w:r>
        <w:t xml:space="preserve">,</w:t>
      </w:r>
      <w:r>
        <w:t xml:space="preserve"> </w:t>
      </w:r>
      <w:hyperlink w:anchor="sec_stackelberg">
        <w:r>
          <w:rPr>
            <w:rStyle w:val="Hyperlink"/>
          </w:rPr>
          <w:t xml:space="preserve">I.3</w:t>
        </w:r>
      </w:hyperlink>
      <w:r>
        <w:t xml:space="preserve">), y en la práctica son ellas, y no un subastador, quienes fijan el precio (</w:t>
      </w:r>
      <w:r>
        <w:rPr>
          <w:smallCaps/>
        </w:rPr>
        <w:t xml:space="preserve">Bertrand</w:t>
      </w:r>
      <w:r>
        <w:t xml:space="preserve">,</w:t>
      </w:r>
      <w:r>
        <w:t xml:space="preserve"> </w:t>
      </w:r>
      <w:hyperlink w:anchor="sec_bertrand">
        <w:r>
          <w:rPr>
            <w:rStyle w:val="Hyperlink"/>
          </w:rPr>
          <w:t xml:space="preserve">I.4</w:t>
        </w:r>
      </w:hyperlink>
      <w:r>
        <w:t xml:space="preserve">).</w:t>
      </w:r>
    </w:p>
    <w:bookmarkEnd w:id="72"/>
    <w:bookmarkEnd w:id="73"/>
    <w:bookmarkStart w:id="84" w:name="sec_stackelberg"/>
    <w:p>
      <w:pPr>
        <w:pStyle w:val="Heading2"/>
      </w:pPr>
      <w:r>
        <w:t xml:space="preserve">I.3.</w:t>
      </w:r>
      <w:r>
        <w:t xml:space="preserve"> </w:t>
      </w:r>
      <w:r>
        <w:t xml:space="preserve">Competencia secuencial en cantidades: modelo de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(1934)</w:t>
      </w:r>
    </w:p>
    <w:p>
      <w:pPr>
        <w:numPr>
          <w:ilvl w:val="0"/>
          <w:numId w:val="1033"/>
        </w:numPr>
      </w:pPr>
      <w:r>
        <w:t xml:space="preserve">Mantenemos las cantidades y cambiamos el orden: ¿qué pasa si una empresa decide antes que la otra?</w:t>
      </w:r>
    </w:p>
    <w:bookmarkStart w:id="74" w:name="a_idea_1"/>
    <w:p>
      <w:pPr>
        <w:pStyle w:val="Heading4"/>
      </w:pPr>
      <w:r>
        <w:t xml:space="preserve">a) Idea</w:t>
      </w:r>
    </w:p>
    <w:p>
      <w:pPr>
        <w:numPr>
          <w:ilvl w:val="0"/>
          <w:numId w:val="1034"/>
        </w:numPr>
      </w:pPr>
      <w:r>
        <w:t xml:space="preserve">En muchos mercados una empresa establecida decide su capacidad antes que las demás.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</w:t>
      </w:r>
      <w:hyperlink w:anchor="ref_Stackelberg1934Marktform">
        <w:r>
          <w:rPr>
            <w:rStyle w:val="Hyperlink"/>
          </w:rPr>
          <w:t xml:space="preserve">1934</w:t>
        </w:r>
      </w:hyperlink>
      <w:r>
        <w:t xml:space="preserve">)</w:t>
      </w:r>
      <w:r>
        <w:t xml:space="preserve"> </w:t>
      </w:r>
      <w:r>
        <w:t xml:space="preserve">estudia qué pasa si una empresa (la</w:t>
      </w:r>
      <w:r>
        <w:t xml:space="preserve"> </w:t>
      </w:r>
      <w:r>
        <w:rPr>
          <w:b/>
          <w:bCs/>
        </w:rPr>
        <w:t xml:space="preserve">líder</w:t>
      </w:r>
      <w:r>
        <w:t xml:space="preserve">) elige su cantidad primero, de forma irreversible, y la otra (la</w:t>
      </w:r>
      <w:r>
        <w:t xml:space="preserve"> </w:t>
      </w:r>
      <w:r>
        <w:rPr>
          <w:b/>
          <w:bCs/>
        </w:rPr>
        <w:t xml:space="preserve">seguidora</w:t>
      </w:r>
      <w:r>
        <w:t xml:space="preserve">) la observa antes de elegir la suya.</w:t>
      </w:r>
    </w:p>
    <w:bookmarkEnd w:id="74"/>
    <w:bookmarkStart w:id="82" w:name="b_modelo_1"/>
    <w:p>
      <w:pPr>
        <w:pStyle w:val="Heading4"/>
      </w:pPr>
      <w:r>
        <w:t xml:space="preserve">b) Modelo</w:t>
      </w:r>
    </w:p>
    <w:bookmarkStart w:id="75" w:name="i_supuestos_1"/>
    <w:p>
      <w:pPr>
        <w:pStyle w:val="Heading5"/>
      </w:pPr>
      <w:r>
        <w:t xml:space="preserve">i) Supuestos</w:t>
      </w:r>
    </w:p>
    <w:p>
      <w:pPr>
        <w:numPr>
          <w:ilvl w:val="0"/>
          <w:numId w:val="1035"/>
        </w:numPr>
      </w:pPr>
      <w:r>
        <w:t xml:space="preserve">Los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2 empresas, salvo el orden: la empresa 1 elige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; la 2 la observa y elige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 Es un juego dinámico secuencial con información perfecta, en 2 etapas, que se resuelve por</w:t>
      </w:r>
      <w:r>
        <w:t xml:space="preserve"> </w:t>
      </w:r>
      <w:r>
        <w:rPr>
          <w:b/>
          <w:bCs/>
        </w:rPr>
        <w:t xml:space="preserve">inducción hacia atrás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bookmarkEnd w:id="75"/>
    <w:bookmarkStart w:id="80" w:name="ii_desarrollo_1"/>
    <w:p>
      <w:pPr>
        <w:pStyle w:val="Heading5"/>
      </w:pPr>
      <w:r>
        <w:t xml:space="preserve">ii) Desarrollo</w:t>
      </w:r>
    </w:p>
    <w:p>
      <w:pPr>
        <w:numPr>
          <w:ilvl w:val="0"/>
          <w:numId w:val="1036"/>
        </w:numPr>
      </w:pPr>
      <w:r>
        <w:rPr>
          <w:i/>
          <w:iCs/>
        </w:rPr>
        <w:t xml:space="preserve">Segunda etapa</w:t>
      </w:r>
      <w:r>
        <w:t xml:space="preserve">: la seguidora responde a lo que ve con su función de reacción de</w:t>
      </w:r>
      <w:r>
        <w:t xml:space="preserve"> </w:t>
      </w:r>
      <w:r>
        <w:rPr>
          <w:smallCaps/>
        </w:rPr>
        <w:t xml:space="preserve">Cournot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A diferencia de</w:t>
      </w:r>
      <w:r>
        <w:t xml:space="preserve"> </w:t>
      </w:r>
      <w:r>
        <w:rPr>
          <w:smallCaps/>
        </w:rPr>
        <w:t xml:space="preserve">Cournot</w:t>
      </w:r>
      <w:r>
        <w:t xml:space="preserve">, no responde a lo que espera que haga la líder, sino a lo que ya ha hecho.</w:t>
      </w:r>
    </w:p>
    <w:p>
      <w:pPr>
        <w:numPr>
          <w:ilvl w:val="0"/>
          <w:numId w:val="1036"/>
        </w:numPr>
      </w:pPr>
      <w:r>
        <w:rPr>
          <w:i/>
          <w:iCs/>
        </w:rPr>
        <w:t xml:space="preserve">Primera etapa</w:t>
      </w:r>
      <w:r>
        <w:t xml:space="preserve">: la líder resuelve el mismo problema que en</w:t>
      </w:r>
      <w:r>
        <w:t xml:space="preserve"> </w:t>
      </w:r>
      <w:r>
        <w:rPr>
          <w:smallCaps/>
        </w:rPr>
        <w:t xml:space="preserve">Cournot</w:t>
      </w:r>
      <w:r>
        <w:t xml:space="preserve">, con una</w:t>
      </w:r>
      <w:r>
        <w:t xml:space="preserve"> </w:t>
      </w:r>
      <w:r>
        <w:rPr>
          <w:i/>
          <w:iCs/>
        </w:rPr>
        <w:t xml:space="preserve">restricción adicional</w:t>
      </w:r>
      <w:r>
        <w:t xml:space="preserve">: la respuesta de la seguidora, que anticipa,</w:t>
      </w:r>
    </w:p>
    <w:p>
      <w:pPr>
        <w:pStyle w:val="BodyText"/>
        <w:keepNext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Low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s.a.</m:t>
                </m:r>
              </m:e>
              <m:e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/>
              <m:e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En</w:t>
      </w:r>
      <w:r>
        <w:t xml:space="preserve"> </w:t>
      </w:r>
      <w:r>
        <w:rPr>
          <w:smallCaps/>
        </w:rPr>
        <w:t xml:space="preserve">Cournot</w:t>
      </w:r>
      <w:r>
        <w:t xml:space="preserve">, la empresa 1 toma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como dada; aquí sabe que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 de lo que ella haga. Sustituyendo la restricción en el objetivo, la condición de primer orden es</w:t>
      </w:r>
    </w:p>
    <w:p>
      <w:pPr>
        <w:pStyle w:val="BodyText"/>
        <w:keepNext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t> 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El corchete es la diferencia con</w:t>
      </w:r>
      <w:r>
        <w:t xml:space="preserve"> </w:t>
      </w:r>
      <w:r>
        <w:rPr>
          <w:smallCaps/>
        </w:rPr>
        <w:t xml:space="preserve">Cournot</w:t>
      </w:r>
      <w:r>
        <w:t xml:space="preserve">: la líder sabe que cada unidad que añade desplaza parte de la producción de la seguidora (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t xml:space="preserve">: su variación conjetural es</w:t>
      </w:r>
      <w:r>
        <w:t xml:space="preserve"> </w:t>
      </w:r>
      <w:r>
        <w:rPr>
          <w:i/>
          <w:iCs/>
        </w:rPr>
        <w:t xml:space="preserve">negativa</w:t>
      </w:r>
      <w:r>
        <w:t xml:space="preserve"> </w:t>
      </w:r>
      <w:r>
        <w:t xml:space="preserve">y, además, correcta), de modo que el precio baja menos de lo que bajaría si la seguidora no reaccionara, y le conviene producir más.</w:t>
      </w:r>
    </w:p>
    <w:p>
      <w:pPr>
        <w:numPr>
          <w:ilvl w:val="0"/>
          <w:numId w:val="1036"/>
        </w:numPr>
      </w:pPr>
      <w:r>
        <w:t xml:space="preserve">Con demanda lineal y costes iguales (anexo </w:t>
      </w:r>
      <w:hyperlink w:anchor="anexo_stackelberg_lineal">
        <w:r>
          <w:rPr>
            <w:rStyle w:val="Hyperlink"/>
          </w:rPr>
          <w:t xml:space="preserve">B</w:t>
        </w:r>
      </w:hyperlink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  <m:r>
          <m:t>b</m:t>
        </m:r>
      </m:oMath>
      <w:r>
        <w:t xml:space="preserve">, la cantidad de monopolio;</w:t>
      </w:r>
      <w:r>
        <w:t xml:space="preserve"> </w:t>
      </w:r>
      <m:oMath>
        <m:sSubSup>
          <m:e>
            <m:r>
              <m:t>q</m:t>
            </m:r>
          </m:e>
          <m:sub>
            <m:r>
              <m:t>2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</m:oMath>
      <w:r>
        <w:t xml:space="preserve">;</w:t>
      </w:r>
      <w:r>
        <w:t xml:space="preserve"> </w:t>
      </w:r>
      <m:oMath>
        <m:sSup>
          <m:e>
            <m:r>
              <m:t>p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; y la líder gana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 </w:t>
      </w:r>
      <w:r>
        <w:t xml:space="preserve">y la seguidora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  <m:r>
          <m:t>b</m:t>
        </m:r>
      </m:oMath>
      <w:r>
        <w:t xml:space="preserve">, frente 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t>b</m:t>
        </m:r>
      </m:oMath>
      <w:r>
        <w:t xml:space="preserve"> </w:t>
      </w:r>
      <w:r>
        <w:t xml:space="preserve">cada una en</w:t>
      </w:r>
      <w:r>
        <w:t xml:space="preserve"> </w:t>
      </w:r>
      <w:r>
        <w:rPr>
          <w:smallCaps/>
        </w:rPr>
        <w:t xml:space="preserve">Cournot</w:t>
      </w:r>
      <w:r>
        <w:t xml:space="preserve">.</w:t>
      </w:r>
    </w:p>
    <w:p>
      <w:pPr>
        <w:numPr>
          <w:ilvl w:val="0"/>
          <w:numId w:val="1036"/>
        </w:numPr>
      </w:pPr>
      <w:r>
        <w:rPr>
          <w:i/>
          <w:iCs/>
        </w:rPr>
        <w:t xml:space="preserve">Gráficamente</w:t>
      </w:r>
      <w:r>
        <w:t xml:space="preserve"> </w:t>
      </w:r>
      <w:r>
        <w:t xml:space="preserve">(gráfico </w:t>
      </w:r>
      <w:hyperlink w:anchor="fig_stackelberg">
        <w:r>
          <w:rPr>
            <w:rStyle w:val="Hyperlink"/>
          </w:rPr>
          <w:t xml:space="preserve">3</w:t>
        </w:r>
      </w:hyperlink>
      <w:r>
        <w:t xml:space="preserve">), sobre el de</w:t>
      </w:r>
      <w:r>
        <w:t xml:space="preserve"> </w:t>
      </w:r>
      <w:r>
        <w:rPr>
          <w:smallCaps/>
        </w:rPr>
        <w:t xml:space="preserve">Cournot</w:t>
      </w:r>
      <w:r>
        <w:t xml:space="preserve">: la restricción es la función de reacción de la seguidora, y la líder elige sobre ella el punto que toca su isobeneficio más bajo (el de mayor beneficio): el de tangencia, S, a la derecha y por debajo del de</w:t>
      </w:r>
      <w:r>
        <w:t xml:space="preserve"> </w:t>
      </w:r>
      <w:r>
        <w:rPr>
          <w:smallCaps/>
        </w:rPr>
        <w:t xml:space="preserve">Cournot</w:t>
      </w:r>
      <w:r>
        <w:t xml:space="preserve">, C. Su propia función de reacción deja de importar, porque no reacciona: decide antes.</w:t>
      </w:r>
    </w:p>
    <w:bookmarkStart w:id="79" w:name="fig_stackelberg"/>
    <w:p>
      <w:pPr>
        <w:pStyle w:val="ImageCaption"/>
      </w:pPr>
      <w:r>
        <w:t xml:space="preserve">Gráfico 3.–</w:t>
      </w:r>
      <w:r>
        <w:t xml:space="preserve"> </w:t>
      </w:r>
      <w:r>
        <w:t xml:space="preserve">Equilibrio de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(S): la líder elige sobre la función de reacción de la seguidora el punto de su isobeneficio más bajo</w:t>
      </w:r>
    </w:p>
    <w:p>
      <w:pPr>
        <w:pStyle w:val="CaptionedFigure"/>
      </w:pPr>
      <w:r>
        <w:drawing>
          <wp:inline>
            <wp:extent cx="3700780" cy="3301537"/>
            <wp:effectExtent b="0" l="0" r="0" t="0"/>
            <wp:docPr descr="Gráfico 3.– Equilibrio de Stackelberg (S): la líder elige sobre la función de reacción de la seguidora el punto de su isobeneficio más bajo" title="" id="77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stackelberg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30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Pindyck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Rubinfeld</w:t>
      </w:r>
      <w:r>
        <w:t xml:space="preserve"> </w:t>
      </w:r>
      <w:r>
        <w:t xml:space="preserve">(</w:t>
      </w:r>
      <w:hyperlink w:anchor="ref_PindyckRubinfeld2009Microeconomia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.</w:t>
      </w:r>
    </w:p>
    <w:bookmarkEnd w:id="80"/>
    <w:bookmarkStart w:id="81" w:name="iii_implicaciones_1"/>
    <w:p>
      <w:pPr>
        <w:pStyle w:val="Heading5"/>
      </w:pPr>
      <w:r>
        <w:t xml:space="preserve">iii) Implicaciones</w:t>
      </w:r>
    </w:p>
    <w:p>
      <w:pPr>
        <w:numPr>
          <w:ilvl w:val="0"/>
          <w:numId w:val="1037"/>
        </w:numPr>
      </w:pPr>
      <w:r>
        <w:rPr>
          <w:i/>
          <w:iCs/>
        </w:rPr>
        <w:t xml:space="preserve">Es un ENPS</w:t>
      </w:r>
      <w:r>
        <w:t xml:space="preserve">. El resultado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también puede ser un EN de este juego, si la seguidora amenaza con producir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haga lo que haga la líder; pero esa amenaza no es creíble: si la líder produce más, a la seguidora ya no le conviene cumplirla. La perfección en subjuegos la descarta.</w:t>
      </w:r>
    </w:p>
    <w:p>
      <w:pPr>
        <w:numPr>
          <w:ilvl w:val="0"/>
          <w:numId w:val="1037"/>
        </w:numPr>
      </w:pPr>
      <w:r>
        <w:rPr>
          <w:i/>
          <w:iCs/>
        </w:rPr>
        <w:t xml:space="preserve">Ventaja del primero en mover, que es de compromiso, no de información</w:t>
      </w:r>
      <w:r>
        <w:t xml:space="preserve">: la líder gana porque no puede rectificar; si pudiera volver a decidir tras ver a la seguidora, volvería a su función de reacción. Por eso la ventaja exige un compromiso creíble, como una inversión irreversible en capacidad (la disuasión de la entrada de</w:t>
      </w:r>
      <w:r>
        <w:t xml:space="preserve"> </w:t>
      </w:r>
      <w:r>
        <w:rPr>
          <w:smallCaps/>
        </w:rPr>
        <w:t xml:space="preserve">Dixit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). Con complementos estratégicos (precios con producto diferenciado), la ventaja es del segundo, que puede cobrar un poco menos que la líder</w:t>
      </w:r>
      <w:r>
        <w:t xml:space="preserve"> </w:t>
      </w:r>
      <w:r>
        <w:t xml:space="preserve">(</w:t>
      </w:r>
      <w:hyperlink w:anchor="ref_GalOr1985First">
        <w:r>
          <w:rPr>
            <w:rStyle w:val="Hyperlink"/>
            <w:smallCaps/>
          </w:rPr>
          <w:t xml:space="preserve">Gal-Or</w:t>
        </w:r>
        <w:r>
          <w:rPr>
            <w:rStyle w:val="Hyperlink"/>
          </w:rPr>
          <w:t xml:space="preserve">, 1985</w:t>
        </w:r>
      </w:hyperlink>
      <w:r>
        <w:t xml:space="preserve">)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i/>
          <w:iCs/>
        </w:rPr>
        <w:t xml:space="preserve">Bienestar</w:t>
      </w:r>
      <w:r>
        <w:t xml:space="preserve">:</w:t>
      </w:r>
      <w:r>
        <w:t xml:space="preserve"> </w:t>
      </w:r>
      <m:oMath>
        <m:sSup>
          <m:e>
            <m:r>
              <m:t>Q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  <m:r>
          <m:rPr>
            <m:sty m:val="p"/>
          </m:rPr>
          <m:t>&gt;</m:t>
        </m:r>
        <m:sSup>
          <m:e>
            <m:r>
              <m:t>Q</m:t>
            </m:r>
          </m:e>
          <m:sup>
            <m:r>
              <m:t>C</m:t>
            </m:r>
          </m:sup>
        </m:sSup>
      </m:oMath>
      <w:r>
        <w:t xml:space="preserve">, de modo que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es más competitivo que</w:t>
      </w:r>
      <w:r>
        <w:t xml:space="preserve"> </w:t>
      </w:r>
      <w:r>
        <w:rPr>
          <w:smallCaps/>
        </w:rPr>
        <w:t xml:space="preserve">Cournot</w:t>
      </w:r>
      <w:r>
        <w:t xml:space="preserve">, aunque sigue habiendo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c</m:t>
        </m:r>
      </m:oMath>
      <w:r>
        <w:t xml:space="preserve">. Y tampoco es eficiente para las empresas: las 2 ganarían produciendo menos juntas.</w:t>
      </w:r>
    </w:p>
    <w:bookmarkEnd w:id="81"/>
    <w:bookmarkEnd w:id="82"/>
    <w:bookmarkStart w:id="83" w:name="c_valoraci__n"/>
    <w:p>
      <w:pPr>
        <w:pStyle w:val="Heading4"/>
      </w:pPr>
      <w:r>
        <w:t xml:space="preserve">c) Valoración</w:t>
      </w:r>
    </w:p>
    <w:p>
      <w:pPr>
        <w:numPr>
          <w:ilvl w:val="0"/>
          <w:numId w:val="1038"/>
        </w:numPr>
      </w:pPr>
      <w:r>
        <w:t xml:space="preserve">El modelo explica la ventaja de las empresas establecidas, pero no dice quién lidera: el orden es exógeno. Y sigue suponiendo que las empresas eligen cantidades: ¿qué pasa si eligen precios?</w:t>
      </w:r>
    </w:p>
    <w:bookmarkEnd w:id="83"/>
    <w:bookmarkEnd w:id="84"/>
    <w:bookmarkStart w:id="104" w:name="sec_bertrand"/>
    <w:p>
      <w:pPr>
        <w:pStyle w:val="Heading2"/>
      </w:pPr>
      <w:r>
        <w:t xml:space="preserve">I.4.</w:t>
      </w:r>
      <w:r>
        <w:t xml:space="preserve"> </w:t>
      </w:r>
      <w:r>
        <w:t xml:space="preserve">Competencia simultánea en precios: modelo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(1883)</w:t>
      </w:r>
    </w:p>
    <w:p>
      <w:pPr>
        <w:numPr>
          <w:ilvl w:val="0"/>
          <w:numId w:val="1039"/>
        </w:numPr>
      </w:pPr>
      <w:r>
        <w:t xml:space="preserve">Volvemos a las decisiones simultáneas, pero ahora con la variable que las empresas eligen de verdad en la mayoría de los mercados: el precio. El resultado es tan extremo que da nombre a una paradoja, y sus salidas ordenan buena parte de la teoría.</w:t>
      </w:r>
    </w:p>
    <w:bookmarkStart w:id="85" w:name="a_idea_2"/>
    <w:p>
      <w:pPr>
        <w:pStyle w:val="Heading4"/>
      </w:pPr>
      <w:r>
        <w:t xml:space="preserve">a) Idea</w:t>
      </w:r>
    </w:p>
    <w:p>
      <w:pPr>
        <w:numPr>
          <w:ilvl w:val="0"/>
          <w:numId w:val="1040"/>
        </w:numPr>
      </w:pPr>
      <w:r>
        <w:t xml:space="preserve">Al reseñar el libro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45 años después,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(</w:t>
      </w:r>
      <w:hyperlink w:anchor="ref_Bertrand1883Theorie">
        <w:r>
          <w:rPr>
            <w:rStyle w:val="Hyperlink"/>
          </w:rPr>
          <w:t xml:space="preserve">1883</w:t>
        </w:r>
      </w:hyperlink>
      <w:r>
        <w:t xml:space="preserve">)</w:t>
      </w:r>
      <w:r>
        <w:t xml:space="preserve"> </w:t>
      </w:r>
      <w:r>
        <w:t xml:space="preserve">objeta que las empresas no eligen cantidades y esperan a que un subastador fije el precio: eligen</w:t>
      </w:r>
      <w:r>
        <w:t xml:space="preserve"> </w:t>
      </w:r>
      <w:r>
        <w:rPr>
          <w:i/>
          <w:iCs/>
        </w:rPr>
        <w:t xml:space="preserve">precios</w:t>
      </w:r>
      <w:r>
        <w:t xml:space="preserve">. ¿Qué pasa entonces?</w:t>
      </w:r>
    </w:p>
    <w:bookmarkEnd w:id="85"/>
    <w:bookmarkStart w:id="94" w:name="b_modelo_2"/>
    <w:p>
      <w:pPr>
        <w:pStyle w:val="Heading4"/>
      </w:pPr>
      <w:r>
        <w:t xml:space="preserve">b) Modelo</w:t>
      </w:r>
    </w:p>
    <w:bookmarkStart w:id="86" w:name="i_supuestos_2"/>
    <w:p>
      <w:pPr>
        <w:pStyle w:val="Heading5"/>
      </w:pPr>
      <w:r>
        <w:t xml:space="preserve">i) Supuestos</w:t>
      </w:r>
    </w:p>
    <w:p>
      <w:pPr>
        <w:numPr>
          <w:ilvl w:val="0"/>
          <w:numId w:val="1041"/>
        </w:numPr>
      </w:pPr>
      <w:r>
        <w:t xml:space="preserve">2 empresas venden un producto homogéneo con el mismo coste marginal constante</w:t>
      </w:r>
      <w:r>
        <w:t xml:space="preserve"> </w:t>
      </w:r>
      <m:oMath>
        <m:r>
          <m:t>c</m:t>
        </m:r>
      </m:oMath>
      <w:r>
        <w:t xml:space="preserve">, sin restricciones de capacidad (cada una puede atender todo el mercado), y eligen</w:t>
      </w:r>
      <w:r>
        <w:t xml:space="preserve"> </w:t>
      </w:r>
      <w:r>
        <w:rPr>
          <w:i/>
          <w:iCs/>
        </w:rPr>
        <w:t xml:space="preserve">a la vez</w:t>
      </w:r>
      <w:r>
        <w:t xml:space="preserve"> </w:t>
      </w:r>
      <w:r>
        <w:t xml:space="preserve">su precio, una sola vez.</w:t>
      </w:r>
    </w:p>
    <w:p>
      <w:pPr>
        <w:numPr>
          <w:ilvl w:val="0"/>
          <w:numId w:val="1041"/>
        </w:numPr>
      </w:pPr>
      <w:r>
        <w:t xml:space="preserve">Los consumidores compran a la más barata; si los precios son iguales, se reparten a partes iguales. Con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la demanda de mercado, la de la empresa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86"/>
    <w:bookmarkStart w:id="91" w:name="ii_desarrollo_2"/>
    <w:p>
      <w:pPr>
        <w:pStyle w:val="Heading5"/>
      </w:pPr>
      <w:r>
        <w:t xml:space="preserve">ii) Desarrollo</w:t>
      </w:r>
    </w:p>
    <w:p>
      <w:pPr>
        <w:keepNext/>
        <w:numPr>
          <w:ilvl w:val="0"/>
          <w:numId w:val="1042"/>
        </w:numPr>
      </w:pPr>
      <w:r>
        <w:t xml:space="preserve">La demanda de cada empresa salta al cruzar el precio de la otra, de modo que no hay condición de primer orden que valga: el equilibrio se encuentra razonando. La mejor respuesta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 precio de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es:</w:t>
      </w:r>
    </w:p>
    <w:p>
      <w:pPr>
        <w:numPr>
          <w:ilvl w:val="1"/>
          <w:numId w:val="1043"/>
        </w:numPr>
      </w:pPr>
      <w:r>
        <w:t xml:space="preserve">si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el precio de monopolio,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: se queda todo el mercado al mejor precio posible;</w:t>
      </w:r>
    </w:p>
    <w:p>
      <w:pPr>
        <w:numPr>
          <w:ilvl w:val="1"/>
          <w:numId w:val="1043"/>
        </w:numPr>
      </w:pPr>
      <w:r>
        <w:t xml:space="preserve">si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un precio</w:t>
      </w:r>
      <w:r>
        <w:t xml:space="preserve"> </w:t>
      </w:r>
      <w:r>
        <w:rPr>
          <w:i/>
          <w:iCs/>
        </w:rPr>
        <w:t xml:space="preserve">un céntimo por debajo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para quedarse todo el mercado (con precios continuos no hay una mejor respuesta exacta: siempre cabe acercarse más);</w:t>
      </w:r>
    </w:p>
    <w:p>
      <w:pPr>
        <w:numPr>
          <w:ilvl w:val="1"/>
          <w:numId w:val="1043"/>
        </w:numPr>
      </w:pPr>
      <w:r>
        <w:t xml:space="preserve">si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 no le conviene vender: cualquier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c</m:t>
        </m:r>
      </m:oMath>
      <w:r>
        <w:t xml:space="preserve"> </w:t>
      </w:r>
      <w:r>
        <w:t xml:space="preserve">le da un beneficio nulo, y rebajar le daría pérdidas.</w:t>
      </w:r>
    </w:p>
    <w:p>
      <w:pPr>
        <w:numPr>
          <w:ilvl w:val="0"/>
          <w:numId w:val="1042"/>
        </w:numPr>
      </w:pPr>
      <w:r>
        <w:t xml:space="preserve">El único EN es</w:t>
      </w:r>
      <w: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w:anchor="ref_MasColellWhinstonGreen1995">
        <w:r>
          <w:rPr>
            <w:rStyle w:val="Hyperlink"/>
            <w:smallCaps/>
          </w:rPr>
          <w:t xml:space="preserve">Mas-Colell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Whinston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Green</w:t>
        </w:r>
        <w:r>
          <w:rPr>
            <w:rStyle w:val="Hyperlink"/>
          </w:rPr>
          <w:t xml:space="preserve">, 1995, párr. 12.C</w:t>
        </w:r>
      </w:hyperlink>
      <w:r>
        <w:t xml:space="preserve">)</w:t>
      </w:r>
      <w:r>
        <w:t xml:space="preserve">. Ningún otro par de precios lo es: si los 2 cobran lo mismo por encima de</w:t>
      </w:r>
      <w:r>
        <w:t xml:space="preserve"> </w:t>
      </w:r>
      <m:oMath>
        <m:r>
          <m:t>c</m:t>
        </m:r>
      </m:oMath>
      <w:r>
        <w:t xml:space="preserve">, a cada uno le conviene rebajar un poco y quedarse con todo el mercado; si uno cobra más que el otro y el más barato gana algo, a este le conviene subir hasta justo por debajo del otro; y nadie cobra por debajo de</w:t>
      </w:r>
      <w:r>
        <w:t xml:space="preserve"> </w:t>
      </w:r>
      <m:oMath>
        <m:r>
          <m:t>c</m:t>
        </m:r>
      </m:oMath>
      <w:r>
        <w:t xml:space="preserve">. 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, nadie quiere bajar (tendría pérdidas) ni subir (perdería todas sus ventas).</w:t>
      </w:r>
    </w:p>
    <w:p>
      <w:pPr>
        <w:numPr>
          <w:ilvl w:val="0"/>
          <w:numId w:val="1042"/>
        </w:numPr>
      </w:pPr>
      <w:r>
        <w:rPr>
          <w:i/>
          <w:iCs/>
        </w:rPr>
        <w:t xml:space="preserve">Gráficamente</w:t>
      </w:r>
      <w:r>
        <w:t xml:space="preserve"> </w:t>
      </w:r>
      <w:r>
        <w:t xml:space="preserve">(gráfico </w:t>
      </w:r>
      <w:hyperlink w:anchor="fig_bertrand">
        <w:r>
          <w:rPr>
            <w:rStyle w:val="Hyperlink"/>
          </w:rPr>
          <w:t xml:space="preserve">4</w:t>
        </w:r>
      </w:hyperlink>
      <w:r>
        <w:t xml:space="preserve">), las funciones de reacción en el plano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van justo por debajo de la bisectriz entre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y se cortan 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. Son crecientes en ese tramo: los precios son</w:t>
      </w:r>
      <w:r>
        <w:t xml:space="preserve"> </w:t>
      </w:r>
      <w:r>
        <w:rPr>
          <w:b/>
          <w:bCs/>
        </w:rPr>
        <w:t xml:space="preserve">complementos estratégicos</w:t>
      </w:r>
      <w:r>
        <w:t xml:space="preserve">.</w:t>
      </w:r>
    </w:p>
    <w:bookmarkStart w:id="90" w:name="fig_bertrand"/>
    <w:p>
      <w:pPr>
        <w:pStyle w:val="ImageCaption"/>
      </w:pPr>
      <w:r>
        <w:t xml:space="preserve">Gráfico 4.–</w:t>
      </w:r>
      <w:r>
        <w:t xml:space="preserve"> </w:t>
      </w:r>
      <w:r>
        <w:t xml:space="preserve">Equilibrio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con producto homogéneo: funciones de reacción en precios</w:t>
      </w:r>
    </w:p>
    <w:p>
      <w:pPr>
        <w:pStyle w:val="CaptionedFigure"/>
      </w:pPr>
      <w:r>
        <w:drawing>
          <wp:inline>
            <wp:extent cx="3282950" cy="2911124"/>
            <wp:effectExtent b="0" l="0" r="0" t="0"/>
            <wp:docPr descr="Gráfico 4.– Equilibrio de Bertrand con producto homogéneo: funciones de reacción en precios" title="" id="88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bertrand-reacc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9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p>
      <w:pPr>
        <w:pStyle w:val="Piedeimagen"/>
      </w:pPr>
      <w:r>
        <w:t xml:space="preserve">Fuente: elaboración propia.</w:t>
      </w:r>
    </w:p>
    <w:bookmarkEnd w:id="91"/>
    <w:bookmarkStart w:id="93" w:name="iii_implicaciones_2"/>
    <w:p>
      <w:pPr>
        <w:pStyle w:val="Heading5"/>
      </w:pPr>
      <w:r>
        <w:t xml:space="preserve">iii) Implicaciones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Paradoja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Bertrand</w:t>
      </w:r>
      <w:r>
        <w:t xml:space="preserve">: con solo 2 empresas, el precio es el coste marginal y el beneficio es nulo, el mismo resultado que con infinitas empresas en competencia perfecta. El resultado es eficiente</w:t>
      </w:r>
      <w:r>
        <w:t xml:space="preserve"> </w:t>
      </w:r>
      <w:hyperlink r:id="rId24">
        <w:r>
          <w:rPr>
            <w:rStyle w:val="Referenciaatema"/>
          </w:rPr>
          <w:t xml:space="preserve">[ver tema 3.A.22]</w:t>
        </w:r>
      </w:hyperlink>
      <w:r>
        <w:t xml:space="preserve">, aunque no para las empresas, que ganarían cooperando. Y contradice la intuición y los datos: en los mercados con pocas empresas se observan márgenes positivos.</w:t>
      </w:r>
    </w:p>
    <w:p>
      <w:pPr>
        <w:numPr>
          <w:ilvl w:val="0"/>
          <w:numId w:val="1044"/>
        </w:numPr>
      </w:pPr>
      <w:r>
        <w:t xml:space="preserve">La paradoja descansa en 5 supuestos: costes marginales iguales, producto homogéneo, sin restricciones de capacidad, un contexto estático (una sola vez) y sin cooperación entre las empresas.</w:t>
      </w:r>
      <w:r>
        <w:rPr>
          <w:rStyle w:val="FootnoteReference"/>
        </w:rPr>
        <w:footnoteReference w:id="92"/>
      </w:r>
      <w:r>
        <w:t xml:space="preserve"> </w:t>
      </w:r>
      <w:r>
        <w:t xml:space="preserve">Levantar cada uno es una</w:t>
      </w:r>
      <w:r>
        <w:t xml:space="preserve"> </w:t>
      </w:r>
      <w:r>
        <w:rPr>
          <w:i/>
          <w:iCs/>
        </w:rPr>
        <w:t xml:space="preserve">salida</w:t>
      </w:r>
      <w:r>
        <w:t xml:space="preserve">.</w:t>
      </w:r>
    </w:p>
    <w:bookmarkEnd w:id="93"/>
    <w:bookmarkEnd w:id="94"/>
    <w:bookmarkStart w:id="101" w:name="c_extensiones_las_salidas_a_la_paradoja"/>
    <w:p>
      <w:pPr>
        <w:pStyle w:val="Heading4"/>
      </w:pPr>
      <w:r>
        <w:t xml:space="preserve">c) Extensiones: las salidas a la paradoja</w:t>
      </w:r>
    </w:p>
    <w:p>
      <w:pPr>
        <w:numPr>
          <w:ilvl w:val="0"/>
          <w:numId w:val="1045"/>
        </w:numPr>
      </w:pPr>
      <w:r>
        <w:rPr>
          <w:i/>
          <w:iCs/>
        </w:rPr>
        <w:t xml:space="preserve">Costes marginales distintos</w:t>
      </w:r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 La empresa eficiente cobra un céntimo por debajo de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se queda todo el mercado, con un beneficio de casi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; si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supera su precio de monopolio,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cobra este. Hay beneficio, pero la empresa ineficiente no vende nada, mientras que en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vende menos pero vende: con precios, la ventaja de costes se lleva todo el mercado.</w:t>
      </w:r>
    </w:p>
    <w:p>
      <w:pPr>
        <w:keepNext/>
        <w:numPr>
          <w:ilvl w:val="0"/>
          <w:numId w:val="1045"/>
        </w:numPr>
      </w:pPr>
      <w:r>
        <w:rPr>
          <w:i/>
          <w:iCs/>
        </w:rPr>
        <w:t xml:space="preserve">Costes marginales crecientes (rendimientos decrecientes)</w:t>
      </w:r>
      <w:r>
        <w:t xml:space="preserve">. En palabras sencillas: si producir cada unidad adicional cuesta más, a la empresa que rebaja el precio ya no le conviene atender a todo el mercado, y el «todo o nada» que lleva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desaparece. Con costes convexos, a un precio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cada empresa querría vender como mucho su</w:t>
      </w:r>
      <w:r>
        <w:t xml:space="preserve"> </w:t>
      </w:r>
      <w:r>
        <w:rPr>
          <w:i/>
          <w:iCs/>
        </w:rPr>
        <w:t xml:space="preserve">oferta competitiva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, la cantidad con la que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ref_Vives1999Oligopoly">
        <w:r>
          <w:rPr>
            <w:rStyle w:val="Hyperlink"/>
            <w:smallCaps/>
          </w:rPr>
          <w:t xml:space="preserve">Vives</w:t>
        </w:r>
        <w:r>
          <w:rPr>
            <w:rStyle w:val="Hyperlink"/>
          </w:rPr>
          <w:t xml:space="preserve">, 1999, cap. 5</w:t>
        </w:r>
      </w:hyperlink>
      <w:r>
        <w:t xml:space="preserve">)</w:t>
      </w:r>
      <w:r>
        <w:t xml:space="preserve">. El resultado depende de si puede limitarse a vender eso:</w:t>
      </w:r>
    </w:p>
    <w:p>
      <w:pPr>
        <w:numPr>
          <w:ilvl w:val="1"/>
          <w:numId w:val="1046"/>
        </w:numPr>
      </w:pPr>
      <w:r>
        <w:rPr>
          <w:i/>
          <w:iCs/>
        </w:rPr>
        <w:t xml:space="preserve">si puede racionar</w:t>
      </w:r>
      <w:r>
        <w:t xml:space="preserve"> </w:t>
      </w:r>
      <w:r>
        <w:t xml:space="preserve">(vender solo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y dejar sin atender al resto), el precio competitivo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, con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c</m:t>
                </m:r>
              </m:sup>
            </m:sSup>
          </m:e>
        </m:d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c</m:t>
                </m:r>
              </m:sup>
            </m:sSup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c</m:t>
                </m:r>
              </m:sup>
            </m:sSup>
          </m:e>
        </m:d>
      </m:oMath>
      <w:r>
        <w:t xml:space="preserve">, no es un equilibrio: si la empresa 1 lo sube un poco, la 2 no atiende a más clientes que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c</m:t>
                </m:r>
              </m:sup>
            </m:sSup>
          </m:e>
        </m:d>
      </m:oMath>
      <w:r>
        <w:t xml:space="preserve">, y los que quedan compran a la 1, que tiene así una demanda residual positiva y gana más (en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el margen sobre la última unidad es nulo, de modo que subir el precio solo tiene efectos favorables de primer orden). Tampoco lo es un precio común por encima de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: a ese precio se demanda menos de lo que las 2 querrían vender, y a cada una le conviene rebajar un poco para vender más. No hay equilibrio en estrategias puras; lo hay en mixtas, con precios por encima del competitivo;</w:t>
      </w:r>
    </w:p>
    <w:p>
      <w:pPr>
        <w:numPr>
          <w:ilvl w:val="1"/>
          <w:numId w:val="1046"/>
        </w:numPr>
      </w:pPr>
      <w:r>
        <w:rPr>
          <w:i/>
          <w:iCs/>
        </w:rPr>
        <w:t xml:space="preserve">si está obligada a atender toda la demanda</w:t>
      </w:r>
      <w:r>
        <w:t xml:space="preserve"> </w:t>
      </w:r>
      <w:r>
        <w:t xml:space="preserve">que le llega (servicios regulados, reputación), hay muchos equilibrios en estrategias puras, un intervalo de precios que incluye el competitivo y otros por encima de él: rebajar el precio obliga a servir a todo el mercado con costes marginales crecientes, y puede no compensar</w:t>
      </w:r>
      <w:r>
        <w:t xml:space="preserve"> </w:t>
      </w:r>
      <w:r>
        <w:t xml:space="preserve">(</w:t>
      </w:r>
      <w:hyperlink w:anchor="ref_Dastidar1995Existence">
        <w:r>
          <w:rPr>
            <w:rStyle w:val="Hyperlink"/>
            <w:smallCaps/>
          </w:rPr>
          <w:t xml:space="preserve">Dastidar</w:t>
        </w:r>
        <w:r>
          <w:rPr>
            <w:rStyle w:val="Hyperlink"/>
          </w:rPr>
          <w:t xml:space="preserve">, 1995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En los 2 casos el precio puede quedar por encima del coste marginal: los rendimientos decrecientes</w:t>
      </w:r>
      <w:r>
        <w:t xml:space="preserve"> </w:t>
      </w:r>
      <w:r>
        <w:rPr>
          <w:i/>
          <w:iCs/>
        </w:rPr>
        <w:t xml:space="preserve">suavizan la competencia en precios</w:t>
      </w:r>
      <w:r>
        <w:t xml:space="preserve"> </w:t>
      </w:r>
      <w:r>
        <w:t xml:space="preserve">y devuelven a las empresas parte del poder de mercado, con la consiguiente pérdida de bienestar frente a la competencia perfecta. La restricción de capacidad es el caso extremo: coste marginal constante hasta la capacidad e infinito a partir de ella.</w:t>
      </w:r>
    </w:p>
    <w:p>
      <w:pPr>
        <w:keepNext/>
        <w:numPr>
          <w:ilvl w:val="0"/>
          <w:numId w:val="1045"/>
        </w:numPr>
      </w:pPr>
      <w:r>
        <w:rPr>
          <w:i/>
          <w:iCs/>
        </w:rPr>
        <w:t xml:space="preserve">Capacidad limitada: los ciclos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Edgeworth</w:t>
      </w:r>
      <w:r>
        <w:t xml:space="preserve">.</w:t>
      </w:r>
      <w:r>
        <w:t xml:space="preserve"> </w:t>
      </w:r>
      <w:r>
        <w:rPr>
          <w:smallCaps/>
        </w:rPr>
        <w:t xml:space="preserve">Edgeworth</w:t>
      </w:r>
      <w:r>
        <w:t xml:space="preserve"> </w:t>
      </w:r>
      <w:r>
        <w:t xml:space="preserve">(</w:t>
      </w:r>
      <w:hyperlink w:anchor="ref_Edgeworth1897Teoria">
        <w:r>
          <w:rPr>
            <w:rStyle w:val="Hyperlink"/>
          </w:rPr>
          <w:t xml:space="preserve">1897</w:t>
        </w:r>
      </w:hyperlink>
      <w:r>
        <w:t xml:space="preserve">)</w:t>
      </w:r>
      <w:r>
        <w:t xml:space="preserve"> </w:t>
      </w:r>
      <w:r>
        <w:t xml:space="preserve">levanta el supuesto de que cada empresa puede atender todo el mercado. En palabras sencillas: si la rival no puede servir a más clientes de los que ya tiene, subir el precio ya no me deja sin ventas, y el precio no baja hasta el coste marginal. Es lo que pasa con 2 hoteles de habitaciones fijas en temporada alta: el que sube el precio sigue llenando, porque el otro ya está lleno.</w:t>
      </w:r>
    </w:p>
    <w:p>
      <w:pPr>
        <w:numPr>
          <w:ilvl w:val="1"/>
          <w:numId w:val="1047"/>
        </w:numPr>
      </w:pPr>
      <w:r>
        <w:rPr>
          <w:i/>
          <w:iCs/>
        </w:rPr>
        <w:t xml:space="preserve">Supuestos</w:t>
      </w:r>
      <w:r>
        <w:t xml:space="preserve">: los de</w:t>
      </w:r>
      <w:r>
        <w:t xml:space="preserve"> </w:t>
      </w:r>
      <w:r>
        <w:rPr>
          <w:smallCaps/>
        </w:rPr>
        <w:t xml:space="preserve">Bertrand</w:t>
      </w:r>
      <w:r>
        <w:t xml:space="preserve">, pero cada empresa puede producir como mucho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unidades,</w:t>
      </w:r>
      <w:r>
        <w:rPr>
          <w:rStyle w:val="FootnoteReference"/>
        </w:rPr>
        <w:footnoteReference w:id="95"/>
      </w:r>
      <w:r>
        <w:t xml:space="preserve"> </w:t>
      </w:r>
      <w:r>
        <w:t xml:space="preserve">con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(ninguna puede atender sola el mercado al precio competitivo) y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≥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(entre las 2, sí). Los clientes que no consiguen comprar a la más barata compran a la otra, empezando por los que más valoran el bien (</w:t>
      </w:r>
      <w:r>
        <w:rPr>
          <w:b/>
          <w:bCs/>
        </w:rPr>
        <w:t xml:space="preserve">racionamiento eficiente</w:t>
      </w:r>
      <w:r>
        <w:t xml:space="preserve">), de modo que la más cara se enfrenta a la</w:t>
      </w:r>
      <w:r>
        <w:t xml:space="preserve"> </w:t>
      </w:r>
      <w:r>
        <w:rPr>
          <w:b/>
          <w:bCs/>
        </w:rPr>
        <w:t xml:space="preserve">demanda residual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−</m:t>
        </m:r>
        <m:r>
          <m:t>k</m:t>
        </m:r>
      </m:oMath>
      <w:r>
        <w:t xml:space="preserve">.</w:t>
      </w:r>
    </w:p>
    <w:p>
      <w:pPr>
        <w:keepNext/>
        <w:numPr>
          <w:ilvl w:val="1"/>
          <w:numId w:val="1047"/>
        </w:numPr>
      </w:pPr>
      <w:r>
        <w:rPr>
          <w:i/>
          <w:iCs/>
        </w:rPr>
        <w:t xml:space="preserve">Desarrollo</w:t>
      </w:r>
      <w:r>
        <w:t xml:space="preserve"> </w:t>
      </w:r>
      <w:r>
        <w:t xml:space="preserve">(gráfico </w:t>
      </w:r>
      <w:hyperlink w:anchor="fig_edgeworth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numPr>
          <w:ilvl w:val="2"/>
          <w:numId w:val="1048"/>
        </w:numPr>
      </w:pP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no es un equilibrio: si una empresa sube el precio, la otra no puede atender a más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clientes, y la primera vende a los que quedan con margen positivo;</w:t>
      </w:r>
    </w:p>
    <w:p>
      <w:pPr>
        <w:numPr>
          <w:ilvl w:val="2"/>
          <w:numId w:val="1048"/>
        </w:numPr>
      </w:pPr>
      <w:r>
        <w:t xml:space="preserve">la empresa que sube elige el precio de monopolio sobre la demanda residual,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</m:e>
        </m:ba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p</m:t>
            </m:r>
          </m:sub>
        </m:sSub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;</w:t>
      </w:r>
    </w:p>
    <w:p>
      <w:pPr>
        <w:numPr>
          <w:ilvl w:val="2"/>
          <w:numId w:val="1048"/>
        </w:numPr>
      </w:pPr>
      <w:r>
        <w:t xml:space="preserve">pero entonces a la rival le conviene cobrar un poco menos que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 </w:t>
      </w:r>
      <w:r>
        <w:t xml:space="preserve">y vender toda su capacidad; la otra responde igual, y el precio baja, rebaja a rebaja;</w:t>
      </w:r>
    </w:p>
    <w:p>
      <w:pPr>
        <w:numPr>
          <w:ilvl w:val="2"/>
          <w:numId w:val="1048"/>
        </w:numPr>
      </w:pPr>
      <w:r>
        <w:t xml:space="preserve">hasta un precio</w:t>
      </w:r>
      <w:r>
        <w:t xml:space="preserve"> </w:t>
      </w:r>
      <m:oMath>
        <m:bar>
          <m:barPr>
            <m:pos m:val="bot"/>
          </m:barPr>
          <m:e>
            <m:r>
              <m:t>p</m:t>
            </m:r>
          </m:e>
        </m:bar>
      </m:oMath>
      <w:r>
        <w:t xml:space="preserve"> </w:t>
      </w:r>
      <w:r>
        <w:t xml:space="preserve">en el que vender toda la capacidad da lo mismo que volver a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 </w:t>
      </w:r>
      <w:r>
        <w:t xml:space="preserve">con la demanda residual,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bar>
              <m:barPr>
                <m:pos m:val="bot"/>
              </m:barPr>
              <m:e>
                <m:r>
                  <m:t>p</m:t>
                </m:r>
              </m:e>
            </m:bar>
            <m:r>
              <m:rPr>
                <m:sty m:val="p"/>
              </m:rPr>
              <m:t>−</m:t>
            </m:r>
            <m:r>
              <m:t>c</m:t>
            </m:r>
          </m:e>
        </m:d>
        <m:r>
          <m:t> </m:t>
        </m:r>
        <m:r>
          <m:t>k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p</m:t>
                </m:r>
              </m:e>
            </m:ba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bar>
                  <m:barPr>
                    <m:pos m:val="top"/>
                  </m:barPr>
                  <m:e>
                    <m:r>
                      <m:t>p</m:t>
                    </m:r>
                  </m:e>
                </m:bar>
              </m:e>
            </m:d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: por debajo, a una de ellas le conviene saltar otra vez a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, y vuelta a empezar.</w:t>
      </w:r>
    </w:p>
    <w:p>
      <w:pPr>
        <w:numPr>
          <w:ilvl w:val="1"/>
          <w:numId w:val="1047"/>
        </w:numPr>
      </w:pPr>
      <w:r>
        <w:rPr>
          <w:i/>
          <w:iCs/>
        </w:rPr>
        <w:t xml:space="preserve">Implicaciones</w:t>
      </w:r>
      <w:r>
        <w:t xml:space="preserve">: el precio oscila entre</w:t>
      </w:r>
      <w:r>
        <w:t xml:space="preserve"> </w:t>
      </w:r>
      <m:oMath>
        <m:bar>
          <m:barPr>
            <m:pos m:val="bot"/>
          </m:barPr>
          <m:e>
            <m:r>
              <m:t>p</m:t>
            </m:r>
          </m:e>
        </m:bar>
      </m:oMath>
      <w:r>
        <w:t xml:space="preserve"> </w:t>
      </w:r>
      <w:r>
        <w:t xml:space="preserve">y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, los</w:t>
      </w:r>
      <w:r>
        <w:t xml:space="preserve"> </w:t>
      </w:r>
      <w:r>
        <w:rPr>
          <w:b/>
          <w:bCs/>
        </w:rPr>
        <w:t xml:space="preserve">ciclos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Edgeworth</w:t>
      </w:r>
      <w:r>
        <w:t xml:space="preserve">, y no hay equilibrio en estrategias puras, aunque sí en mixtas</w:t>
      </w:r>
      <w:r>
        <w:t xml:space="preserve"> </w:t>
      </w:r>
      <w:r>
        <w:t xml:space="preserve">(</w:t>
      </w:r>
      <w:hyperlink w:anchor="ref_LevitanShubik1972Price">
        <w:r>
          <w:rPr>
            <w:rStyle w:val="Hyperlink"/>
            <w:smallCaps/>
          </w:rPr>
          <w:t xml:space="preserve">Levitan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Shubik</w:t>
        </w:r>
        <w:r>
          <w:rPr>
            <w:rStyle w:val="Hyperlink"/>
          </w:rPr>
          <w:t xml:space="preserve">, 1972</w:t>
        </w:r>
      </w:hyperlink>
      <w:r>
        <w:t xml:space="preserve">)</w:t>
      </w:r>
      <w:r>
        <w:t xml:space="preserve">. Los precios quedan por encima del coste marginal. Si la capacidad es pequeña respecto al mercado, sí hay equilibrio en puras: el precio que vacía el mercado con las 2 capacidades llenas,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</m:e>
        </m:d>
      </m:oMath>
      <w:r>
        <w:t xml:space="preserve">, porque nadie vende más rebajando y a ninguna le conviene subir.</w:t>
      </w:r>
    </w:p>
    <w:p>
      <w:pPr>
        <w:numPr>
          <w:ilvl w:val="1"/>
          <w:numId w:val="1047"/>
        </w:numPr>
      </w:pPr>
      <w:r>
        <w:rPr>
          <w:i/>
          <w:iCs/>
        </w:rPr>
        <w:t xml:space="preserve">Evidencia</w:t>
      </w:r>
      <w:r>
        <w:t xml:space="preserve">: con empresas que mueven por turnos, los ciclos de</w:t>
      </w:r>
      <w:r>
        <w:t xml:space="preserve"> </w:t>
      </w:r>
      <w:r>
        <w:rPr>
          <w:smallCaps/>
        </w:rPr>
        <w:t xml:space="preserve">Edgeworth</w:t>
      </w:r>
      <w:r>
        <w:t xml:space="preserve"> </w:t>
      </w:r>
      <w:r>
        <w:t xml:space="preserve">son un equilibrio</w:t>
      </w:r>
      <w:r>
        <w:t xml:space="preserve"> </w:t>
      </w:r>
      <w:r>
        <w:t xml:space="preserve">(</w:t>
      </w:r>
      <w:hyperlink w:anchor="ref_MaskinTirole1988DynamicII">
        <w:r>
          <w:rPr>
            <w:rStyle w:val="Hyperlink"/>
            <w:smallCaps/>
          </w:rPr>
          <w:t xml:space="preserve">Maskin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Tirole</w:t>
        </w:r>
        <w:r>
          <w:rPr>
            <w:rStyle w:val="Hyperlink"/>
          </w:rPr>
          <w:t xml:space="preserve">, 1988</w:t>
        </w:r>
      </w:hyperlink>
      <w:r>
        <w:t xml:space="preserve">)</w:t>
      </w:r>
      <w:r>
        <w:t xml:space="preserve">, y se observan en los precios de la gasolina, con subidas bruscas seguidas de bajadas graduales, como en Perth (Australia)</w:t>
      </w:r>
      <w:r>
        <w:t xml:space="preserve"> </w:t>
      </w:r>
      <w:r>
        <w:t xml:space="preserve">(</w:t>
      </w:r>
      <w:hyperlink w:anchor="ref_ByrneDeRoos2019Learning">
        <w:r>
          <w:rPr>
            <w:rStyle w:val="Hyperlink"/>
            <w:smallCaps/>
          </w:rPr>
          <w:t xml:space="preserve">Byrne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Roos</w:t>
        </w:r>
        <w:r>
          <w:rPr>
            <w:rStyle w:val="Hyperlink"/>
          </w:rPr>
          <w:t xml:space="preserve">, 2019</w:t>
        </w:r>
      </w:hyperlink>
      <w:r>
        <w:t xml:space="preserve">)</w:t>
      </w:r>
      <w:r>
        <w:t xml:space="preserve">.</w:t>
      </w:r>
    </w:p>
    <w:bookmarkStart w:id="99" w:name="fig_edgeworth"/>
    <w:p>
      <w:pPr>
        <w:pStyle w:val="ImageCaption"/>
      </w:pPr>
      <w:r>
        <w:t xml:space="preserve">Gráfico 5.–</w:t>
      </w:r>
      <w:r>
        <w:t xml:space="preserve"> </w:t>
      </w:r>
      <w:r>
        <w:t xml:space="preserve">Capacidad limitada: demanda residual y ciclo de precios de</w:t>
      </w:r>
      <w:r>
        <w:t xml:space="preserve"> </w:t>
      </w:r>
      <w:r>
        <w:rPr>
          <w:smallCaps/>
        </w:rPr>
        <w:t xml:space="preserve">Edgeworth</w:t>
      </w:r>
    </w:p>
    <w:p>
      <w:pPr>
        <w:pStyle w:val="CaptionedFigure"/>
      </w:pPr>
      <w:r>
        <w:drawing>
          <wp:inline>
            <wp:extent cx="5073650" cy="2466682"/>
            <wp:effectExtent b="0" l="0" r="0" t="0"/>
            <wp:docPr descr="Gráfico 5.– Capacidad limitada: demanda residual y ciclo de precios de Edgeworth" title="" id="97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edgeworth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46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Vives</w:t>
      </w:r>
      <w:r>
        <w:t xml:space="preserve"> </w:t>
      </w:r>
      <w:r>
        <w:t xml:space="preserve">(</w:t>
      </w:r>
      <w:hyperlink w:anchor="ref_Vives1999Oligopoly">
        <w:r>
          <w:rPr>
            <w:rStyle w:val="Hyperlink"/>
          </w:rPr>
          <w:t xml:space="preserve">1999, cap. 5</w:t>
        </w:r>
      </w:hyperlink>
      <w:r>
        <w:t xml:space="preserve">)</w:t>
      </w:r>
      <w:r>
        <w:t xml:space="preserve">.</w:t>
      </w:r>
    </w:p>
    <w:p>
      <w:pPr>
        <w:pStyle w:val="Cajadeanotaciones"/>
        <w:keepLines/>
      </w:pPr>
      <w:r>
        <w:t xml:space="preserve">Vídeo de repaso, en inglés: «Duopoly Models: Bertrand and Edgeworth»,</w:t>
      </w:r>
      <w:r>
        <w:t xml:space="preserve"> </w:t>
      </w:r>
      <w:hyperlink r:id="rId100">
        <w:r>
          <w:rPr>
            <w:rStyle w:val="Hyperlink"/>
          </w:rPr>
          <w:t xml:space="preserve">https://youtu.be/6Pf8VI4cXLI</w:t>
        </w:r>
      </w:hyperlink>
      <w:r>
        <w:t xml:space="preserve"> </w:t>
      </w:r>
      <w:r>
        <w:t xml:space="preserve">(consultado el 20/10/2026).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Capacidad elegida antes: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Kreps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Scheinkman</w:t>
      </w:r>
      <w:r>
        <w:t xml:space="preserve">.</w:t>
      </w:r>
      <w:r>
        <w:t xml:space="preserve"> </w:t>
      </w:r>
      <w:r>
        <w:rPr>
          <w:smallCaps/>
        </w:rPr>
        <w:t xml:space="preserve">Kreps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Scheinkman</w:t>
      </w:r>
      <w:r>
        <w:t xml:space="preserve"> </w:t>
      </w:r>
      <w:r>
        <w:t xml:space="preserve">(</w:t>
      </w:r>
      <w:hyperlink w:anchor="ref_KrepsScheinkman1983Quantity">
        <w:r>
          <w:rPr>
            <w:rStyle w:val="Hyperlink"/>
          </w:rPr>
          <w:t xml:space="preserve">1983</w:t>
        </w:r>
      </w:hyperlink>
      <w:r>
        <w:t xml:space="preserve">)</w:t>
      </w:r>
      <w:r>
        <w:t xml:space="preserve"> </w:t>
      </w:r>
      <w:r>
        <w:t xml:space="preserve">unen las 2 ideas en un juego en 2 etapas: primero cada empresa elige su capacidad, con un coste por unidad; después, vistas las capacidades, compiten en precios como en</w:t>
      </w:r>
      <w:r>
        <w:t xml:space="preserve"> </w:t>
      </w:r>
      <w:r>
        <w:rPr>
          <w:smallCaps/>
        </w:rPr>
        <w:t xml:space="preserve">Edgeworth</w:t>
      </w:r>
      <w:r>
        <w:t xml:space="preserve">, con racionamiento eficiente. Por inducción hacia atrás, en la segunda etapa el precio es el que vacía el mercado con las capacidades llenas, y en la primera las empresas eligen capacidades sabiéndolo: el único resultado del ENPS es el de</w:t>
      </w:r>
      <w:r>
        <w:t xml:space="preserve"> </w:t>
      </w:r>
      <w:r>
        <w:rPr>
          <w:smallCaps/>
        </w:rPr>
        <w:t xml:space="preserve">Cournot</w:t>
      </w:r>
      <w:r>
        <w:t xml:space="preserve">. Elegir la capacidad es elegir la cantidad. El resultado depende de la regla de racionamiento: con racionamiento proporcional, la competencia es más dura que en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ref_DavidsonDeneckere1986Long">
        <w:r>
          <w:rPr>
            <w:rStyle w:val="Hyperlink"/>
            <w:smallCaps/>
          </w:rPr>
          <w:t xml:space="preserve">Davidson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Deneckere</w:t>
        </w:r>
        <w:r>
          <w:rPr>
            <w:rStyle w:val="Hyperlink"/>
          </w:rPr>
          <w:t xml:space="preserve">, 1986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Producto diferenciado</w:t>
      </w:r>
      <w:r>
        <w:t xml:space="preserve">: si los productos no son sustitutivos perfectos, quien cobra un poco más no lo pierde todo, y el precio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queda por encima del coste marginal; y, con la misma demanda,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sigue siendo más competitivo que</w:t>
      </w:r>
      <w:r>
        <w:t xml:space="preserve"> </w:t>
      </w:r>
      <w:r>
        <w:rPr>
          <w:smallCaps/>
        </w:rPr>
        <w:t xml:space="preserve">Cournot</w:t>
      </w:r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B</m:t>
            </m:r>
          </m:sup>
        </m:sSup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</w:t>
      </w:r>
      <w:hyperlink w:anchor="ref_SinghVives1984Price">
        <w:r>
          <w:rPr>
            <w:rStyle w:val="Hyperlink"/>
            <w:smallCaps/>
          </w:rPr>
          <w:t xml:space="preserve">Singh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Vives</w:t>
        </w:r>
        <w:r>
          <w:rPr>
            <w:rStyle w:val="Hyperlink"/>
          </w:rPr>
          <w:t xml:space="preserve">, 1984</w:t>
        </w:r>
      </w:hyperlink>
      <w:r>
        <w:t xml:space="preserve">)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Contexto dinámico, con repetición</w:t>
      </w:r>
      <w:r>
        <w:t xml:space="preserve">: si las empresas se encuentran muchas veces, pueden sostener precios altos sin acuerdos (bloque 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).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Cooperación</w:t>
      </w:r>
      <w:r>
        <w:t xml:space="preserve">: si pueden firmar acuerdos, el cártel (bloque </w:t>
      </w:r>
      <w:hyperlink w:anchor="sec_soluciones_cooperativas">
        <w:r>
          <w:rPr>
            <w:rStyle w:val="Hyperlink"/>
          </w:rPr>
          <w:t xml:space="preserve">III</w:t>
        </w:r>
      </w:hyperlink>
      <w:r>
        <w:t xml:space="preserve">).</w:t>
      </w:r>
    </w:p>
    <w:bookmarkEnd w:id="101"/>
    <w:bookmarkStart w:id="103" w:name="d_valoraci__n_cournot_o_bertrand"/>
    <w:p>
      <w:pPr>
        <w:pStyle w:val="Heading4"/>
      </w:pPr>
      <w:r>
        <w:t xml:space="preserve">d) Valoración: ¿</w:t>
      </w:r>
      <w:r>
        <w:rPr>
          <w:smallCaps/>
        </w:rPr>
        <w:t xml:space="preserve">Cournot</w:t>
      </w:r>
      <w:r>
        <w:t xml:space="preserve"> </w:t>
      </w:r>
      <w:r>
        <w:t xml:space="preserve">o</w:t>
      </w:r>
      <w:r>
        <w:t xml:space="preserve"> </w:t>
      </w:r>
      <w:r>
        <w:rPr>
          <w:smallCaps/>
        </w:rPr>
        <w:t xml:space="preserve">Bertrand</w:t>
      </w:r>
      <w:r>
        <w:t xml:space="preserve">?</w:t>
      </w:r>
    </w:p>
    <w:p>
      <w:pPr>
        <w:keepNext/>
        <w:numPr>
          <w:ilvl w:val="0"/>
          <w:numId w:val="1050"/>
        </w:numPr>
      </w:pPr>
      <w:r>
        <w:t xml:space="preserve">Los supuestos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parecen más realistas (las empresas fijan precios), pero sus predicciones lo son menos: con 2 empresas no basta para llegar a la competencia perfecta.</w:t>
      </w:r>
      <w:r>
        <w:t xml:space="preserve"> </w:t>
      </w:r>
      <w:r>
        <w:rPr>
          <w:smallCaps/>
        </w:rPr>
        <w:t xml:space="preserve">Kreps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Scheinkman</w:t>
      </w:r>
      <w:r>
        <w:t xml:space="preserve"> </w:t>
      </w:r>
      <w:r>
        <w:t xml:space="preserve">muestran que no son modelos rivales, sino de mercados distintos:</w:t>
      </w:r>
      <w:r>
        <w:rPr>
          <w:rStyle w:val="FootnoteReference"/>
        </w:rPr>
        <w:footnoteReference w:id="102"/>
      </w:r>
    </w:p>
    <w:p>
      <w:pPr>
        <w:numPr>
          <w:ilvl w:val="1"/>
          <w:numId w:val="1051"/>
        </w:numPr>
      </w:pPr>
      <w:r>
        <w:rPr>
          <w:smallCaps/>
        </w:rPr>
        <w:t xml:space="preserve">Cournot</w:t>
      </w:r>
      <w:r>
        <w:t xml:space="preserve"> </w:t>
      </w:r>
      <w:r>
        <w:t xml:space="preserve">describe los mercados en que la capacidad se decide antes de vender y es cara de cambiar (acero, cemento, transporte aéreo en una ruta): las cantidades son sustitutos estratégicos y la competencia es más suave;</w:t>
      </w:r>
    </w:p>
    <w:p>
      <w:pPr>
        <w:numPr>
          <w:ilvl w:val="1"/>
          <w:numId w:val="1051"/>
        </w:numPr>
      </w:pPr>
      <w:r>
        <w:rPr>
          <w:smallCaps/>
        </w:rPr>
        <w:t xml:space="preserve">Bertrand</w:t>
      </w:r>
      <w:r>
        <w:t xml:space="preserve">, los mercados en que sobra capacidad o se produce por encargo, y el precio es la variable que se ajusta: los precios son complementos estratégicos y la competencia es más dura.</w:t>
      </w:r>
    </w:p>
    <w:p>
      <w:pPr>
        <w:numPr>
          <w:ilvl w:val="0"/>
          <w:numId w:val="1050"/>
        </w:numPr>
      </w:pPr>
      <w:r>
        <w:t xml:space="preserve">Queda una pregunta: ¿qué pasa si una empresa fija el precio antes que las demás?</w:t>
      </w:r>
    </w:p>
    <w:bookmarkEnd w:id="103"/>
    <w:bookmarkEnd w:id="104"/>
    <w:bookmarkStart w:id="120" w:name="sec_liderazgo_precios"/>
    <w:p>
      <w:pPr>
        <w:pStyle w:val="Heading2"/>
      </w:pPr>
      <w:r>
        <w:t xml:space="preserve">I.5.</w:t>
      </w:r>
      <w:r>
        <w:t xml:space="preserve"> </w:t>
      </w:r>
      <w:r>
        <w:t xml:space="preserve">Competencia secuencial en precios: modelo de liderazgo en precios</w:t>
      </w:r>
    </w:p>
    <w:p>
      <w:pPr>
        <w:numPr>
          <w:ilvl w:val="0"/>
          <w:numId w:val="1052"/>
        </w:numPr>
      </w:pPr>
      <w:r>
        <w:t xml:space="preserve">La última casilla de la tabla: precios y decisiones por turnos.</w:t>
      </w:r>
    </w:p>
    <w:bookmarkStart w:id="105" w:name="a_idea_3"/>
    <w:p>
      <w:pPr>
        <w:pStyle w:val="Heading4"/>
      </w:pPr>
      <w:r>
        <w:t xml:space="preserve">a) Idea</w:t>
      </w:r>
    </w:p>
    <w:p>
      <w:pPr>
        <w:numPr>
          <w:ilvl w:val="0"/>
          <w:numId w:val="1053"/>
        </w:numPr>
      </w:pPr>
      <w:r>
        <w:t xml:space="preserve">Con producto homogéneo y 2 empresas iguales, fijar el precio primero no da ventaja: la seguidora cobraría un céntimo menos, y se vuelve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. El liderazgo en precios tiene sentido cuando hay una</w:t>
      </w:r>
      <w:r>
        <w:t xml:space="preserve"> </w:t>
      </w:r>
      <w:r>
        <w:rPr>
          <w:b/>
          <w:bCs/>
        </w:rPr>
        <w:t xml:space="preserve">empresa dominante</w:t>
      </w:r>
      <w:r>
        <w:t xml:space="preserve">, grande y de costes bajos, rodeada de una</w:t>
      </w:r>
      <w:r>
        <w:t xml:space="preserve"> </w:t>
      </w:r>
      <w:r>
        <w:rPr>
          <w:b/>
          <w:bCs/>
        </w:rPr>
        <w:t xml:space="preserve">franja competitiva</w:t>
      </w:r>
      <w:r>
        <w:t xml:space="preserve"> </w:t>
      </w:r>
      <w:r>
        <w:t xml:space="preserve">de empresas pequeñas que aceptan el precio que ella fija. El modelo se remonta a</w:t>
      </w:r>
      <w:r>
        <w:t xml:space="preserve"> </w:t>
      </w:r>
      <w:r>
        <w:rPr>
          <w:smallCaps/>
        </w:rPr>
        <w:t xml:space="preserve">Forchheimer</w:t>
      </w:r>
      <w:r>
        <w:t xml:space="preserve"> </w:t>
      </w:r>
      <w:r>
        <w:t xml:space="preserve">(</w:t>
      </w:r>
      <w:hyperlink w:anchor="ref_Forchheimer1908Theoretisches">
        <w:r>
          <w:rPr>
            <w:rStyle w:val="Hyperlink"/>
          </w:rPr>
          <w:t xml:space="preserve">1908</w:t>
        </w:r>
      </w:hyperlink>
      <w:r>
        <w:t xml:space="preserve">)</w:t>
      </w:r>
      <w:r>
        <w:t xml:space="preserve">.</w:t>
      </w:r>
    </w:p>
    <w:bookmarkEnd w:id="105"/>
    <w:bookmarkStart w:id="113" w:name="b_modelo_3"/>
    <w:p>
      <w:pPr>
        <w:pStyle w:val="Heading4"/>
      </w:pPr>
      <w:r>
        <w:t xml:space="preserve">b) Modelo</w:t>
      </w:r>
    </w:p>
    <w:bookmarkStart w:id="106" w:name="i_supuestos_3"/>
    <w:p>
      <w:pPr>
        <w:pStyle w:val="Heading5"/>
      </w:pPr>
      <w:r>
        <w:t xml:space="preserve">i) Supuestos</w:t>
      </w:r>
    </w:p>
    <w:p>
      <w:pPr>
        <w:numPr>
          <w:ilvl w:val="0"/>
          <w:numId w:val="1054"/>
        </w:numPr>
      </w:pPr>
      <w:r>
        <w:t xml:space="preserve">Producto homogéneo y demanda de mercado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.</w:t>
      </w:r>
    </w:p>
    <w:p>
      <w:pPr>
        <w:numPr>
          <w:ilvl w:val="0"/>
          <w:numId w:val="1054"/>
        </w:numPr>
      </w:pPr>
      <w:r>
        <w:t xml:space="preserve">La franja, de muchas empresas pequeñas y precio-aceptantes, ofrece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, creciente: cada una produce hasta que su coste marginal iguala el precio.</w:t>
      </w:r>
    </w:p>
    <w:p>
      <w:pPr>
        <w:numPr>
          <w:ilvl w:val="0"/>
          <w:numId w:val="1054"/>
        </w:numPr>
      </w:pPr>
      <w:r>
        <w:t xml:space="preserve">La empresa dominante, con coste marginal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L</m:t>
            </m:r>
          </m:sub>
        </m:sSub>
      </m:oMath>
      <w:r>
        <w:t xml:space="preserve">, fija el precio sabiendo cuánto venderá la franja.</w:t>
      </w:r>
    </w:p>
    <w:bookmarkEnd w:id="106"/>
    <w:bookmarkStart w:id="111" w:name="ii_desarrollo_3"/>
    <w:p>
      <w:pPr>
        <w:pStyle w:val="Heading5"/>
      </w:pPr>
      <w:r>
        <w:t xml:space="preserve">ii) Desarrollo</w:t>
      </w:r>
    </w:p>
    <w:p>
      <w:pPr>
        <w:numPr>
          <w:ilvl w:val="0"/>
          <w:numId w:val="1055"/>
        </w:numPr>
      </w:pPr>
      <w:r>
        <w:t xml:space="preserve">A cada precio, a la dominante le queda la</w:t>
      </w:r>
      <w:r>
        <w:t xml:space="preserve"> </w:t>
      </w:r>
      <w:r>
        <w:rPr>
          <w:b/>
          <w:bCs/>
        </w:rPr>
        <w:t xml:space="preserve">demanda residual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f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, y es monopolista de ella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: produce la cantidad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con la que su ingreso marginal residual iguala su coste marginal,</w:t>
      </w:r>
    </w:p>
    <w:p>
      <w:pPr>
        <w:pStyle w:val="BodyText"/>
        <w:keepNext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y fija el precio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corresponde a esa cantidad en la demanda residual. La residual es quebrada: por debajo del precio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 que la franja deja de producir coincide con la de mercado,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y a partir del precio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 que la franja cubre toda la demanda es nula. La franja vende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 y la producción total es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f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(gráfico </w:t>
      </w:r>
      <w:hyperlink w:anchor="fig_liderazgo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numPr>
          <w:ilvl w:val="0"/>
          <w:numId w:val="1055"/>
        </w:numPr>
      </w:pPr>
      <w:r>
        <w:t xml:space="preserve">Su margen es el de un monopolista sobre una demanda más elástica que la de mercado. Con</w:t>
      </w:r>
      <w:r>
        <w:t xml:space="preserve"> </w:t>
      </w:r>
      <m:oMath>
        <m:sSub>
          <m:e>
            <m:r>
              <m:t>s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su cuota y</w:t>
      </w:r>
      <w:r>
        <w:t xml:space="preserve"> </w:t>
      </w:r>
      <m:oMath>
        <m:sSub>
          <m:e>
            <m:r>
              <m:t>ε</m:t>
            </m:r>
          </m:e>
          <m:sub>
            <m:r>
              <m:t>f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la elasticidad de la oferta de la franja</w:t>
      </w:r>
      <w:r>
        <w:t xml:space="preserve"> </w:t>
      </w:r>
      <w:r>
        <w:t xml:space="preserve">(</w:t>
      </w:r>
      <w:hyperlink w:anchor="ref_LandesPosner1981Market">
        <w:r>
          <w:rPr>
            <w:rStyle w:val="Hyperlink"/>
            <w:smallCaps/>
          </w:rPr>
          <w:t xml:space="preserve">Landes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Posner</w:t>
        </w:r>
        <w:r>
          <w:rPr>
            <w:rStyle w:val="Hyperlink"/>
          </w:rPr>
          <w:t xml:space="preserve">, 1981</w:t>
        </w:r>
      </w:hyperlink>
      <w:r>
        <w:t xml:space="preserve">)</w:t>
      </w:r>
      <w:r>
        <w:t xml:space="preserve">,</w:t>
      </w:r>
    </w:p>
    <w:p>
      <w:pPr>
        <w:pStyle w:val="BodyText"/>
        <w:keepNext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:</m:t>
          </m:r>
        </m:oMath>
      </m:oMathPara>
    </w:p>
    <w:p>
      <w:pPr>
        <w:numPr>
          <w:ilvl w:val="0"/>
          <w:numId w:val="1000"/>
        </w:numPr>
      </w:pPr>
      <w:r>
        <w:t xml:space="preserve">el poder de mercado no depende solo de la cuota, sino de lo que puede crecer la franja si sube el precio.</w:t>
      </w:r>
    </w:p>
    <w:bookmarkStart w:id="110" w:name="fig_liderazgo"/>
    <w:p>
      <w:pPr>
        <w:pStyle w:val="ImageCaption"/>
      </w:pPr>
      <w:r>
        <w:t xml:space="preserve">Gráfico 6.–</w:t>
      </w:r>
      <w:r>
        <w:t xml:space="preserve"> </w:t>
      </w:r>
      <w:r>
        <w:t xml:space="preserve">Liderazgo en precios: la empresa dominante y la franja competitiva</w:t>
      </w:r>
    </w:p>
    <w:p>
      <w:pPr>
        <w:pStyle w:val="CaptionedFigure"/>
      </w:pPr>
      <w:r>
        <w:drawing>
          <wp:inline>
            <wp:extent cx="3260034" cy="2834945"/>
            <wp:effectExtent b="0" l="0" r="0" t="0"/>
            <wp:docPr descr="Gráfico 6.– Liderazgo en precios: la empresa dominante y la franja competitiva" title="" id="108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liderazgo-precio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34" cy="283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p>
      <w:pPr>
        <w:pStyle w:val="Piedeimagen"/>
      </w:pPr>
      <w:r>
        <w:t xml:space="preserve">Fuente: elaboración propia.</w:t>
      </w:r>
    </w:p>
    <w:bookmarkEnd w:id="111"/>
    <w:bookmarkStart w:id="112" w:name="iii_implicaciones_3"/>
    <w:p>
      <w:pPr>
        <w:pStyle w:val="Heading5"/>
      </w:pPr>
      <w:r>
        <w:t xml:space="preserve">iii) Implicaciones</w:t>
      </w:r>
    </w:p>
    <w:p>
      <w:pPr>
        <w:numPr>
          <w:ilvl w:val="0"/>
          <w:numId w:val="1056"/>
        </w:numPr>
      </w:pPr>
      <w:r>
        <w:t xml:space="preserve">El precio queda entre el competitivo y el de monopolio, más cerca del primero cuanto más elástica es la oferta de la franja. La franja gana más que en competencia perfecta: vende cuanto quiere al precio que sostiene la dominante, que es la que reduce su producción.</w:t>
      </w:r>
    </w:p>
    <w:p>
      <w:pPr>
        <w:numPr>
          <w:ilvl w:val="0"/>
          <w:numId w:val="1056"/>
        </w:numPr>
      </w:pPr>
      <w:r>
        <w:t xml:space="preserve">A largo plazo, si la franja puede crecer o entrar, la cuota de la dominante se erosiona. Y el liderazgo puede ser también una forma de coordinarse: si todas siguen a la que mueve primero, la líder señala el precio colusorio sin necesidad de acuerdo 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).</w:t>
      </w:r>
    </w:p>
    <w:bookmarkEnd w:id="112"/>
    <w:bookmarkEnd w:id="113"/>
    <w:bookmarkStart w:id="119" w:name="c_valoraci__n_1"/>
    <w:p>
      <w:pPr>
        <w:pStyle w:val="Heading4"/>
      </w:pPr>
      <w:r>
        <w:t xml:space="preserve">c) Valoración</w:t>
      </w:r>
    </w:p>
    <w:p>
      <w:pPr>
        <w:numPr>
          <w:ilvl w:val="0"/>
          <w:numId w:val="1057"/>
        </w:numPr>
      </w:pPr>
      <w:r>
        <w:t xml:space="preserve">El modelo supone, y no explica, quién es la dominante y por qué la franja no se coordina. Además, con producto diferenciado, en la competencia en precios la ventaja es del segundo en mover</w:t>
      </w:r>
      <w:r>
        <w:t xml:space="preserve"> </w:t>
      </w:r>
      <w:r>
        <w:t xml:space="preserve">(</w:t>
      </w:r>
      <w:hyperlink w:anchor="ref_GalOr1985First">
        <w:r>
          <w:rPr>
            <w:rStyle w:val="Hyperlink"/>
            <w:smallCaps/>
          </w:rPr>
          <w:t xml:space="preserve">Gal-Or</w:t>
        </w:r>
        <w:r>
          <w:rPr>
            <w:rStyle w:val="Hyperlink"/>
          </w:rPr>
          <w:t xml:space="preserve">, 1985</w:t>
        </w:r>
      </w:hyperlink>
      <w:r>
        <w:t xml:space="preserve">)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</w:p>
    <w:p>
      <w:pPr>
        <w:pStyle w:val="Cajadeanotaciones"/>
        <w:keepLines/>
      </w:pPr>
      <w:r>
        <w:rPr>
          <w:b/>
          <w:bCs/>
        </w:rPr>
        <w:t xml:space="preserve">Comparación de las soluciones no cooperativas</w:t>
      </w:r>
      <w:r>
        <w:t xml:space="preserve"> </w:t>
      </w:r>
      <w:r>
        <w:t xml:space="preserve">(demanda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 </w:t>
      </w:r>
      <w:r>
        <w:t xml:space="preserve">y 2 empresas con coste marginal</w:t>
      </w:r>
      <w:r>
        <w:t xml:space="preserve"> </w:t>
      </w:r>
      <m:oMath>
        <m:r>
          <m:t>c</m:t>
        </m:r>
      </m:oMath>
      <w:r>
        <w:t xml:space="preserve">). Cuanto más se produce, menor es la pérdida irrecuperable de eficiencia (PIE):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da la competencia perfecta;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es más competitivo que</w:t>
      </w:r>
      <w:r>
        <w:t xml:space="preserve"> </w:t>
      </w:r>
      <w:r>
        <w:rPr>
          <w:smallCaps/>
        </w:rPr>
        <w:t xml:space="preserve">Cournot</w:t>
      </w:r>
      <w:r>
        <w:t xml:space="preserve">, y el monopolio, o el cártel, es el peor (gráfico </w:t>
      </w:r>
      <w:hyperlink w:anchor="fig_ineficiencia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y tabla </w:t>
      </w:r>
      <w:hyperlink w:anchor="tab_comparacion">
        <w:r>
          <w:rPr>
            <w:rStyle w:val="Hyperlink"/>
          </w:rPr>
          <w:t xml:space="preserve">3</w:t>
        </w:r>
      </w:hyperlink>
      <w:r>
        <w:t xml:space="preserve">). En el gráfico, la PIE es A en</w:t>
      </w:r>
      <w:r>
        <w:t xml:space="preserve"> </w:t>
      </w:r>
      <w:r>
        <w:rPr>
          <w:smallCaps/>
        </w:rPr>
        <w:t xml:space="preserve">Stackelberg</w:t>
      </w:r>
      <w:r>
        <w:t xml:space="preserve">, A+B en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 A+B+C en el monopolio o el cártel.</w:t>
      </w:r>
    </w:p>
    <w:bookmarkStart w:id="117" w:name="fig_ineficiencia"/>
    <w:p>
      <w:pPr>
        <w:pStyle w:val="ImageCaption"/>
        <w:pBdr>
          <w:top w:color="767171" w:space="4" w:sz="4" w:val="single"/>
          <w:left w:color="767171" w:space="4" w:sz="4" w:val="single"/>
          <w:bottom w:color="767171" w:space="4" w:sz="4" w:val="single"/>
          <w:right w:color="767171" w:space="4" w:sz="4" w:val="single"/>
        </w:pBdr>
        <w:shd w:color="auto" w:fill="E7E6E6" w:val="clear"/>
      </w:pPr>
      <w:r>
        <w:t xml:space="preserve">Gráfico 7.–</w:t>
      </w:r>
      <w:r>
        <w:t xml:space="preserve"> </w:t>
      </w:r>
      <w:r>
        <w:t xml:space="preserve">Producción y pérdida de eficiencia de cada estructura</w:t>
      </w:r>
    </w:p>
    <w:p>
      <w:pPr>
        <w:pStyle w:val="CaptionedFigure"/>
        <w:pBdr>
          <w:top w:color="767171" w:space="4" w:sz="4" w:val="single"/>
          <w:left w:color="767171" w:space="4" w:sz="4" w:val="single"/>
          <w:bottom w:color="767171" w:space="4" w:sz="4" w:val="single"/>
          <w:right w:color="767171" w:space="4" w:sz="4" w:val="single"/>
        </w:pBdr>
        <w:shd w:color="auto" w:fill="E7E6E6" w:val="clear"/>
      </w:pPr>
      <w:r>
        <w:drawing>
          <wp:inline>
            <wp:extent cx="2984500" cy="2134970"/>
            <wp:effectExtent b="0" l="0" r="0" t="0"/>
            <wp:docPr descr="Gráfico 7.– Producción y pérdida de eficiencia de cada estructura" title="" id="115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ineficiencia-oligopolio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13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p>
      <w:pPr>
        <w:pStyle w:val="Piedeimagen"/>
        <w:pBdr>
          <w:top w:color="767171" w:space="4" w:sz="4" w:val="single"/>
          <w:left w:color="767171" w:space="4" w:sz="4" w:val="single"/>
          <w:bottom w:color="767171" w:space="4" w:sz="4" w:val="single"/>
          <w:right w:color="767171" w:space="4" w:sz="4" w:val="single"/>
        </w:pBdr>
        <w:shd w:color="auto" w:fill="E7E6E6" w:val="clear"/>
      </w:pPr>
      <w:r>
        <w:t xml:space="preserve">Fuente: elaboración propia.</w:t>
      </w:r>
    </w:p>
    <w:bookmarkStart w:id="118" w:name="tab_comparacion"/>
    <w:p>
      <w:pPr>
        <w:pStyle w:val="TableCaption"/>
        <w:pBdr>
          <w:top w:color="767171" w:space="4" w:sz="4" w:val="single"/>
          <w:left w:color="767171" w:space="4" w:sz="4" w:val="single"/>
          <w:bottom w:color="767171" w:space="4" w:sz="4" w:val="single"/>
          <w:right w:color="767171" w:space="4" w:sz="4" w:val="single"/>
        </w:pBdr>
        <w:shd w:color="auto" w:fill="E7E6E6" w:val="clear"/>
      </w:pPr>
      <w:r>
        <w:t xml:space="preserve">Tabla 3.–</w:t>
      </w:r>
      <w:r>
        <w:t xml:space="preserve"> </w:t>
      </w:r>
      <w:r>
        <w:t xml:space="preserve">Producción, margen, beneficio y pérdida de eficiencia (producción en unidades de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b</m:t>
        </m:r>
      </m:oMath>
      <w:r>
        <w:t xml:space="preserve">; margen, de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c</m:t>
        </m:r>
      </m:oMath>
      <w:r>
        <w:t xml:space="preserve">; beneficio de la industria, excedente del consumidor y PIE, de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)</w:t>
      </w:r>
    </w:p>
    <w:tbl>
      <w:tblPr>
        <w:tblStyle w:val="Table"/>
        <w:tblW w:type="auto" w:w="0"/>
        <w:shd w:color="auto" w:fill="E7E6E6" w:val="clear"/>
        <w:tblLook w:firstRow="1" w:lastRow="0" w:firstColumn="0" w:lastColumn="0" w:noHBand="0" w:noVBand="0" w:val="0020"/>
        <w:tblCaption w:val="Tabla 3.– Producción, margen, beneficio y pérdida de eficiencia (producción en unidades de (a-c)/b; margen, de a-c; beneficio de la industria, excedente del consumidor y PIE, de (a-c)^2/b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>
            <w:shd w:color="auto" w:fill="E7E6E6" w:val="clear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Producción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Margen</w:t>
            </w:r>
            <w:r>
              <w:br/>
            </w: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Beneficio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EC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PIE</w:t>
            </w:r>
          </w:p>
        </w:tc>
      </w:tr>
      <w:tr>
        <w:trPr>
          <w:cantSplit/>
        </w:trPr>
        <w:tc>
          <w:tcPr>
            <w:shd w:color="auto" w:fill="E7E6E6" w:val="clear"/>
            <w:vAlign w:val="center"/>
          </w:tcPr>
          <w:p>
            <w:pPr>
              <w:pStyle w:val="Compact"/>
              <w:jc w:val="left"/>
            </w:pPr>
            <w:r>
              <w:t xml:space="preserve">Competencia perfecta o</w:t>
            </w:r>
            <w:r>
              <w:t xml:space="preserve"> </w:t>
            </w:r>
            <w:r>
              <w:rPr>
                <w:smallCaps/>
              </w:rPr>
              <w:t xml:space="preserve">Bertrand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rPr>
          <w:cantSplit/>
        </w:trPr>
        <w:tc>
          <w:tcPr>
            <w:shd w:color="auto" w:fill="E7E6E6" w:val="clear"/>
            <w:vAlign w:val="center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Stackelberg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16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/</m:t>
              </m:r>
              <m:r>
                <m:t>32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32</m:t>
              </m:r>
            </m:oMath>
          </w:p>
        </w:tc>
      </w:tr>
      <w:tr>
        <w:trPr>
          <w:cantSplit/>
        </w:trPr>
        <w:tc>
          <w:tcPr>
            <w:shd w:color="auto" w:fill="E7E6E6" w:val="clear"/>
            <w:vAlign w:val="center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Cournot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9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9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oMath>
          </w:p>
        </w:tc>
      </w:tr>
      <w:tr>
        <w:trPr>
          <w:cantSplit/>
        </w:trPr>
        <w:tc>
          <w:tcPr>
            <w:shd w:color="auto" w:fill="E7E6E6" w:val="clear"/>
            <w:vAlign w:val="center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Cournot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empresas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rPr>
          <w:cantSplit/>
        </w:trPr>
        <w:tc>
          <w:tcPr>
            <w:shd w:color="auto" w:fill="E7E6E6" w:val="clear"/>
            <w:vAlign w:val="center"/>
          </w:tcPr>
          <w:p>
            <w:pPr>
              <w:pStyle w:val="Compact"/>
              <w:jc w:val="left"/>
            </w:pPr>
            <w:r>
              <w:t xml:space="preserve">Monopolio o cártel</w:t>
            </w:r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  <w:tc>
          <w:tcPr>
            <w:shd w:color="auto" w:fill="E7E6E6" w:val="clear"/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</w:tr>
    </w:tbl>
    <w:bookmarkEnd w:id="118"/>
    <w:p>
      <w:pPr>
        <w:pStyle w:val="Cajadeanotaciones"/>
        <w:keepLines/>
      </w:pPr>
      <w:r>
        <w:rPr>
          <w:i/>
          <w:iCs/>
        </w:rPr>
        <w:t xml:space="preserve">Fuente: elaboración propia.</w:t>
      </w:r>
    </w:p>
    <w:p>
      <w:pPr>
        <w:numPr>
          <w:ilvl w:val="0"/>
          <w:numId w:val="1058"/>
        </w:numPr>
      </w:pPr>
      <w:r>
        <w:rPr>
          <w:i/>
          <w:iCs/>
        </w:rPr>
        <w:t xml:space="preserve">Recapitulación del bloque I</w:t>
      </w:r>
      <w:r>
        <w:t xml:space="preserve">: cuando las empresas se encuentran una sola vez, el resultado está entre la competencia perfecta y el monopolio y depende de la variable y del orden: con</w:t>
      </w:r>
      <w:r>
        <w:t xml:space="preserve"> </w:t>
      </w:r>
      <w:r>
        <w:rPr>
          <w:smallCaps/>
        </w:rPr>
        <w:t xml:space="preserve">Bertrand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; con</w:t>
      </w:r>
      <w:r>
        <w:t xml:space="preserve"> </w:t>
      </w:r>
      <w:r>
        <w:rPr>
          <w:smallCaps/>
        </w:rPr>
        <w:t xml:space="preserve">Stackelberg</w:t>
      </w:r>
      <w:r>
        <w:t xml:space="preserve">,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 el liderazgo en precios, en medio. Pero en todos los casos las empresas ganarían más produciendo menos juntas: el equilibrio no es eficiente para ellas. ¿Pueden cooperar sin un contrato? Es la pregunta del bloque siguiente.</w:t>
      </w:r>
    </w:p>
    <w:bookmarkEnd w:id="119"/>
    <w:bookmarkEnd w:id="120"/>
    <w:bookmarkEnd w:id="121"/>
    <w:bookmarkStart w:id="152" w:name="sec_analisis_dinamico"/>
    <w:p>
      <w:pPr>
        <w:pStyle w:val="Heading1"/>
      </w:pPr>
      <w:r>
        <w:t xml:space="preserve">II.</w:t>
      </w:r>
      <w:r>
        <w:t xml:space="preserve"> </w:t>
      </w:r>
      <w:r>
        <w:t xml:space="preserve">Competencia repetida:</w:t>
      </w:r>
      <w:r>
        <w:br/>
      </w:r>
      <w:r>
        <w:t xml:space="preserve">de la competencia a la colusión tácita</w:t>
      </w:r>
      <w:r>
        <w:t xml:space="preserve"> </w:t>
      </w:r>
      <w:r>
        <w:rPr>
          <w:rStyle w:val="Minutos"/>
        </w:rPr>
        <w:t xml:space="preserve">7′</w:t>
      </w:r>
    </w:p>
    <w:p>
      <w:pPr>
        <w:pStyle w:val="Notaalopositor"/>
        <w:keepLines/>
      </w:pPr>
      <w:r>
        <w:rPr>
          <w:b/>
          <w:bCs/>
        </w:rPr>
        <w:t xml:space="preserve">Nota al opositor. </w:t>
      </w:r>
      <w:r>
        <w:t xml:space="preserve">En el cante: el horizonte finito en una frase (1′); la condición de la colusión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), que se recuadra y se queda en la pizarra, con su gráfico del beneficio en el tiempo,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con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y el teorema de tradición oral aplicado (4′);</w:t>
      </w:r>
      <w:r>
        <w:t xml:space="preserve"> </w:t>
      </w:r>
      <w:r>
        <w:rPr>
          <w:smallCaps/>
        </w:rPr>
        <w:t xml:space="preserve">Green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Porter</w:t>
      </w:r>
      <w:r>
        <w:t xml:space="preserve">,</w:t>
      </w:r>
      <w:r>
        <w:t xml:space="preserve"> </w:t>
      </w:r>
      <w:r>
        <w:rPr>
          <w:smallCaps/>
        </w:rPr>
        <w:t xml:space="preserve">Rotemberg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Saloner</w:t>
      </w:r>
      <w:r>
        <w:t xml:space="preserve"> </w:t>
      </w:r>
      <w:r>
        <w:t xml:space="preserve">y los factores que facilitan o dificultan la colusión, con la tabla como apoyo (2′). La tabla de estrategias de los juegos repetidos, los castigos óptimos y la renegociación son de profundización; la derivación de la condición y el caso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están en el anexo </w:t>
      </w:r>
      <w:hyperlink w:anchor="anexo_gatillo">
        <w:r>
          <w:rPr>
            <w:rStyle w:val="Hyperlink"/>
          </w:rPr>
          <w:t xml:space="preserve">D</w:t>
        </w:r>
      </w:hyperlink>
      <w:r>
        <w:t xml:space="preserve">.</w:t>
      </w:r>
    </w:p>
    <w:p>
      <w:pPr>
        <w:numPr>
          <w:ilvl w:val="0"/>
          <w:numId w:val="1059"/>
        </w:numPr>
      </w:pPr>
      <w:r>
        <w:t xml:space="preserve">En el bloque anterior las empresas se encontraban una sola vez. Pero las empresas de verdad compiten un día tras otro, y lo que hagan hoy influye en cómo las tratarán sus rivales mañana. Su</w:t>
      </w:r>
      <w:r>
        <w:t xml:space="preserve"> </w:t>
      </w:r>
      <w:r>
        <w:rPr>
          <w:i/>
          <w:iCs/>
        </w:rPr>
        <w:t xml:space="preserve">conclusión anticipada</w:t>
      </w:r>
      <w:r>
        <w:t xml:space="preserve">: si el final del juego es incierto y las empresas son pacientes, la amenaza de una guerra de precios basta para sostener precios altos</w:t>
      </w:r>
      <w:r>
        <w:t xml:space="preserve"> </w:t>
      </w:r>
      <w:r>
        <w:rPr>
          <w:i/>
          <w:iCs/>
        </w:rPr>
        <w:t xml:space="preserve">sin ningún acuerdo</w:t>
      </w:r>
      <w:r>
        <w:t xml:space="preserve">: es la</w:t>
      </w:r>
      <w:r>
        <w:t xml:space="preserve"> </w:t>
      </w:r>
      <w:r>
        <w:rPr>
          <w:b/>
          <w:bCs/>
        </w:rPr>
        <w:t xml:space="preserve">colusión tácita</w:t>
      </w:r>
      <w:r>
        <w:t xml:space="preserve">, un resultado cooperativo alcanzado con un equilibrio no cooperativo.</w:t>
      </w:r>
    </w:p>
    <w:bookmarkStart w:id="128" w:name="sec_horizonte_finito"/>
    <w:p>
      <w:pPr>
        <w:pStyle w:val="Heading2"/>
      </w:pPr>
      <w:r>
        <w:t xml:space="preserve">II.1.</w:t>
      </w:r>
      <w:r>
        <w:t xml:space="preserve"> </w:t>
      </w:r>
      <w:r>
        <w:t xml:space="preserve">Horizonte finito</w:t>
      </w:r>
    </w:p>
    <w:bookmarkStart w:id="122" w:name="a_idea_4"/>
    <w:p>
      <w:pPr>
        <w:pStyle w:val="Heading4"/>
      </w:pPr>
      <w:r>
        <w:t xml:space="preserve">a) Idea</w:t>
      </w:r>
    </w:p>
    <w:p>
      <w:pPr>
        <w:numPr>
          <w:ilvl w:val="0"/>
          <w:numId w:val="1060"/>
        </w:numPr>
      </w:pPr>
      <w:r>
        <w:t xml:space="preserve">¿Basta con repetir el juego de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un número conocido de veces para escapar de la paradoja? Este es, además, uno de los motivos por los que se estudia la competencia en un contexto dinámico: ver si la repetición devuelve realismo a la paradoja.</w:t>
      </w:r>
    </w:p>
    <w:bookmarkEnd w:id="122"/>
    <w:bookmarkStart w:id="127" w:name="b_modelo_4"/>
    <w:p>
      <w:pPr>
        <w:pStyle w:val="Heading4"/>
      </w:pPr>
      <w:r>
        <w:t xml:space="preserve">b) Modelo</w:t>
      </w:r>
    </w:p>
    <w:bookmarkStart w:id="123" w:name="i_supuestos_4"/>
    <w:p>
      <w:pPr>
        <w:pStyle w:val="Heading5"/>
      </w:pPr>
      <w:r>
        <w:t xml:space="preserve">i) Supuestos</w:t>
      </w:r>
    </w:p>
    <w:p>
      <w:pPr>
        <w:numPr>
          <w:ilvl w:val="0"/>
          <w:numId w:val="1061"/>
        </w:numPr>
      </w:pPr>
      <w:r>
        <w:t xml:space="preserve">2 empresas (el resultado vale para</w:t>
      </w:r>
      <w:r>
        <w:t xml:space="preserve"> </w:t>
      </w:r>
      <m:oMath>
        <m:r>
          <m:t>n</m:t>
        </m:r>
      </m:oMath>
      <w:r>
        <w:t xml:space="preserve">) con el mismo coste marginal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compiten en precios,</w:t>
      </w:r>
      <w:r>
        <w:t xml:space="preserve"> </w:t>
      </w:r>
      <w:r>
        <w:rPr>
          <w:i/>
          <w:iCs/>
        </w:rPr>
        <w:t xml:space="preserve">a la</w:t>
      </w:r>
      <w:r>
        <w:t xml:space="preserve"> </w:t>
      </w:r>
      <w:r>
        <w:rPr>
          <w:smallCaps/>
        </w:rPr>
        <w:t xml:space="preserve">Bertrand</w:t>
      </w:r>
      <w:r>
        <w:t xml:space="preserve">, durante un número finito de periodos, y el último es conocido.</w:t>
      </w:r>
    </w:p>
    <w:p>
      <w:pPr>
        <w:numPr>
          <w:ilvl w:val="0"/>
          <w:numId w:val="1061"/>
        </w:numPr>
      </w:pPr>
      <w:r>
        <w:t xml:space="preserve">El juego de cada periodo, el</w:t>
      </w:r>
      <w:r>
        <w:t xml:space="preserve"> </w:t>
      </w:r>
      <w:r>
        <w:rPr>
          <w:b/>
          <w:bCs/>
        </w:rPr>
        <w:t xml:space="preserve">juego de etapa</w:t>
      </w:r>
      <w:r>
        <w:t xml:space="preserve">, es siempre el mismo: no hay inversiones ni cambios en el entorno que alteren las condiciones de un periodo a otro. Un juego así, la repetición de un juego estático, se llama</w:t>
      </w:r>
      <w:r>
        <w:t xml:space="preserve"> </w:t>
      </w:r>
      <w:r>
        <w:rPr>
          <w:b/>
          <w:bCs/>
        </w:rPr>
        <w:t xml:space="preserve">juego repetido</w:t>
      </w:r>
      <w:r>
        <w:t xml:space="preserve"> </w:t>
      </w:r>
      <w:r>
        <w:t xml:space="preserve">o superjuego.</w:t>
      </w:r>
    </w:p>
    <w:p>
      <w:pPr>
        <w:numPr>
          <w:ilvl w:val="0"/>
          <w:numId w:val="1061"/>
        </w:numPr>
      </w:pPr>
      <w:r>
        <w:t xml:space="preserve">Dentro de cada periodo los precios se eligen a la vez; al final del periodo cada empresa ve lo que hizo la otra. Cada empresa maximiza la suma descontada de sus beneficios con el factor de descuento</w:t>
      </w:r>
      <w:r>
        <w:t xml:space="preserve"> </w:t>
      </w:r>
      <m:oMath>
        <m:r>
          <m:t>β</m:t>
        </m:r>
        <m:r>
          <m:rPr>
            <m:sty m:val="p"/>
          </m:rPr>
          <m:t>≡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bookmarkEnd w:id="123"/>
    <w:bookmarkStart w:id="124" w:name="ii_desarrollo_4"/>
    <w:p>
      <w:pPr>
        <w:pStyle w:val="Heading5"/>
      </w:pPr>
      <w:r>
        <w:t xml:space="preserve">ii) Desarrollo</w:t>
      </w:r>
    </w:p>
    <w:p>
      <w:pPr>
        <w:numPr>
          <w:ilvl w:val="0"/>
          <w:numId w:val="1062"/>
        </w:numPr>
      </w:pPr>
      <w:r>
        <w:t xml:space="preserve">Por inducción hacia atrás: en el último periodo no hay futuro que proteger, y se juega el EN de la etapa,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. En el penúltimo, lo que pase mañana ya está decidido, haga lo que haga hoy cada empresa, y hoy vuelve a jugarse el EN de la etapa. Y así hasta el primero.</w:t>
      </w:r>
    </w:p>
    <w:bookmarkEnd w:id="124"/>
    <w:bookmarkStart w:id="126" w:name="iii_implicaciones_4"/>
    <w:p>
      <w:pPr>
        <w:pStyle w:val="Heading5"/>
      </w:pPr>
      <w:r>
        <w:t xml:space="preserve">iii) Implicaciones</w:t>
      </w:r>
    </w:p>
    <w:p>
      <w:pPr>
        <w:numPr>
          <w:ilvl w:val="0"/>
          <w:numId w:val="1063"/>
        </w:numPr>
      </w:pPr>
      <w:r>
        <w:t xml:space="preserve">El único ENPS 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en todos los periodos: con un final conocido y un único EN en la etapa, la repetición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saca de la paradoja.</w:t>
      </w:r>
      <w:r>
        <w:rPr>
          <w:rStyle w:val="FootnoteReference"/>
        </w:rPr>
        <w:footnoteReference w:id="125"/>
      </w:r>
    </w:p>
    <w:bookmarkEnd w:id="126"/>
    <w:bookmarkEnd w:id="127"/>
    <w:bookmarkEnd w:id="128"/>
    <w:bookmarkStart w:id="151" w:name="sec_horizonte_infinito"/>
    <w:p>
      <w:pPr>
        <w:pStyle w:val="Heading2"/>
      </w:pPr>
      <w:r>
        <w:t xml:space="preserve">II.2.</w:t>
      </w:r>
      <w:r>
        <w:t xml:space="preserve"> </w:t>
      </w:r>
      <w:r>
        <w:t xml:space="preserve">Horizonte infinito</w:t>
      </w:r>
    </w:p>
    <w:bookmarkStart w:id="129" w:name="a_idea_5"/>
    <w:p>
      <w:pPr>
        <w:pStyle w:val="Heading4"/>
      </w:pPr>
      <w:r>
        <w:t xml:space="preserve">a) Idea</w:t>
      </w:r>
    </w:p>
    <w:p>
      <w:pPr>
        <w:numPr>
          <w:ilvl w:val="0"/>
          <w:numId w:val="1064"/>
        </w:numPr>
      </w:pPr>
      <w:r>
        <w:t xml:space="preserve">Si el juego no tiene un último periodo conocido (porque es infinito o porque, en cada periodo, hay una probabilidad de que continúe), la inducción hacia atrás no tiene por dónde empezar, y el futuro puede disciplinar el presente: si me desvío hoy, mañana me castigarán.</w:t>
      </w:r>
      <w:r>
        <w:t xml:space="preserve"> </w:t>
      </w:r>
      <w:r>
        <w:rPr>
          <w:smallCaps/>
        </w:rPr>
        <w:t xml:space="preserve">Friedman</w:t>
      </w:r>
      <w:r>
        <w:t xml:space="preserve"> </w:t>
      </w:r>
      <w:r>
        <w:t xml:space="preserve">(</w:t>
      </w:r>
      <w:hyperlink w:anchor="ref_Friedman1971Supergames">
        <w:r>
          <w:rPr>
            <w:rStyle w:val="Hyperlink"/>
          </w:rPr>
          <w:t xml:space="preserve">1971</w:t>
        </w:r>
      </w:hyperlink>
      <w:r>
        <w:t xml:space="preserve">)</w:t>
      </w:r>
      <w:r>
        <w:t xml:space="preserve"> </w:t>
      </w:r>
      <w:r>
        <w:t xml:space="preserve">muestra que eso basta para sostener precios de colusión.</w:t>
      </w:r>
    </w:p>
    <w:bookmarkEnd w:id="129"/>
    <w:bookmarkStart w:id="146" w:name="b_modelo_5"/>
    <w:p>
      <w:pPr>
        <w:pStyle w:val="Heading4"/>
      </w:pPr>
      <w:r>
        <w:t xml:space="preserve">b) Modelo</w:t>
      </w:r>
    </w:p>
    <w:bookmarkStart w:id="131" w:name="i_supuestos_5"/>
    <w:p>
      <w:pPr>
        <w:pStyle w:val="Heading5"/>
      </w:pPr>
      <w:r>
        <w:t xml:space="preserve">i) Supuestos</w:t>
      </w:r>
    </w:p>
    <w:p>
      <w:pPr>
        <w:numPr>
          <w:ilvl w:val="0"/>
          <w:numId w:val="1065"/>
        </w:numPr>
      </w:pPr>
      <w:r>
        <w:t xml:space="preserve">Los del horizonte finito, salvo que el juego se repite indefinidamente.</w:t>
      </w:r>
      <w:r>
        <w:rPr>
          <w:rStyle w:val="FootnoteReference"/>
        </w:rPr>
        <w:footnoteReference w:id="130"/>
      </w:r>
      <w:r>
        <w:t xml:space="preserve"> </w:t>
      </w:r>
      <w:r>
        <w:t xml:space="preserve">Hay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iguales, y cada una observa los precios de las demás al final de cada periodo.</w:t>
      </w:r>
    </w:p>
    <w:bookmarkEnd w:id="131"/>
    <w:bookmarkStart w:id="138" w:name="ii_desarrollo_5"/>
    <w:p>
      <w:pPr>
        <w:pStyle w:val="Heading5"/>
      </w:pPr>
      <w:r>
        <w:t xml:space="preserve">ii) Desarrollo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Estrategia incondicionada</w:t>
      </w:r>
      <w:r>
        <w:t xml:space="preserve"> </w:t>
      </w:r>
      <w:r>
        <w:t xml:space="preserve">(gráfico </w:t>
      </w:r>
      <w:hyperlink w:anchor="fig_estrategias_automatas">
        <w:r>
          <w:rPr>
            <w:rStyle w:val="Hyperlink"/>
          </w:rPr>
          <w:t xml:space="preserve">9</w:t>
        </w:r>
      </w:hyperlink>
      <w:r>
        <w:t xml:space="preserve">, panel a): cobrar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pase lo que pase, la repetición del EN de la etapa, como en el horizonte finito. Es siempre un ENPS, pero no saca de la paradoja.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Estrategias condicionadas</w:t>
      </w:r>
      <w:r>
        <w:t xml:space="preserve">: el precio de cada periodo depende de lo que ha pasado antes. La más sencilla es la del</w:t>
      </w:r>
      <w:r>
        <w:t xml:space="preserve"> </w:t>
      </w:r>
      <w:r>
        <w:rPr>
          <w:b/>
          <w:bCs/>
        </w:rPr>
        <w:t xml:space="preserve">gatillo</w:t>
      </w:r>
      <w:r>
        <w:t xml:space="preserve"> </w:t>
      </w:r>
      <w:r>
        <w:t xml:space="preserve">(</w:t>
      </w:r>
      <w:r>
        <w:rPr>
          <w:i/>
          <w:iCs/>
        </w:rPr>
        <w:t xml:space="preserve">trigger</w:t>
      </w:r>
      <w:r>
        <w:t xml:space="preserve">) de</w:t>
      </w:r>
      <w:r>
        <w:t xml:space="preserve"> </w:t>
      </w:r>
      <w:r>
        <w:rPr>
          <w:smallCaps/>
        </w:rPr>
        <w:t xml:space="preserve">Friedman</w:t>
      </w:r>
      <w:r>
        <w:t xml:space="preserve"> </w:t>
      </w:r>
      <w:r>
        <w:t xml:space="preserve">(</w:t>
      </w:r>
      <w:hyperlink w:anchor="ref_Friedman1971Supergames">
        <w:r>
          <w:rPr>
            <w:rStyle w:val="Hyperlink"/>
          </w:rPr>
          <w:t xml:space="preserve">1971</w:t>
        </w:r>
      </w:hyperlink>
      <w:r>
        <w:t xml:space="preserve">)</w:t>
      </w:r>
      <w:r>
        <w:t xml:space="preserve"> </w:t>
      </w:r>
      <w:r>
        <w:t xml:space="preserve">(panel b): cobrar un precio de colusión entre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mientras todas lo hayan cobrado y, si alguna se desvía, volver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para siempre. Una sola desviación «dispara» el castigo.</w:t>
      </w:r>
    </w:p>
    <w:p>
      <w:pPr>
        <w:numPr>
          <w:ilvl w:val="0"/>
          <w:numId w:val="1066"/>
        </w:numPr>
      </w:pPr>
      <w:r>
        <w:t xml:space="preserve">Con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el beneficio por periodo de cada empresa si todas coluden,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el del periodo en que se desvía 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t xml:space="preserve">el del EN de la etapa (el castigo),</w:t>
      </w:r>
      <w:r>
        <w:rPr>
          <w:rStyle w:val="FootnoteReference"/>
        </w:rPr>
        <w:footnoteReference w:id="132"/>
      </w:r>
      <w:r>
        <w:t xml:space="preserve"> </w:t>
      </w:r>
      <w:r>
        <w:t xml:space="preserve">a una empresa no le conviene desviarse si lo que gana coludiendo siempre supera lo que gana desviándose hoy y siendo castigada después,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≥</m:t>
        </m:r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+</m:t>
        </m:r>
        <m:r>
          <m:t>β</m:t>
        </m:r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. Es decir, la colusión es sostenible si las empresas son lo bastante pacientes:</w:t>
      </w:r>
    </w:p>
    <w:bookmarkStart w:id="133" w:name="eq_colusion"/>
    <w:bookmarkEnd w:id="133"/>
    <w:p>
      <w:pPr>
        <w:pStyle w:val="Funcionclave"/>
        <w:keepLines/>
      </w:pPr>
      <m:oMathPara>
        <m:oMathParaPr>
          <m:jc m:val="center"/>
        </m:oMathParaPr>
        <m:oMath>
          <m:r>
            <m:t>β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El numerador es lo que se gana hoy desviándose; el denominador, lo que se pierde cada periodo después (derivación en el anexo </w:t>
      </w:r>
      <w:hyperlink w:anchor="anexo_gatillo">
        <w:r>
          <w:rPr>
            <w:rStyle w:val="Hyperlink"/>
          </w:rPr>
          <w:t xml:space="preserve">D</w:t>
        </w:r>
      </w:hyperlink>
      <w:r>
        <w:t xml:space="preserve">). Es la misma condición que la del gatillo en el dilema del prisionero repetido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, aplicada a la colusión.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Bertrand</w:t>
      </w:r>
      <w:r>
        <w:t xml:space="preserve">: si todas cobran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cada una gana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; la que rebaja un céntimo se queda casi todo el mercado,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≈</m:t>
        </m:r>
        <m:sSup>
          <m:e>
            <m:r>
              <m:t>B</m:t>
            </m:r>
          </m:e>
          <m:sup>
            <m:r>
              <m:t>M</m:t>
            </m:r>
          </m:sup>
        </m:sSup>
      </m:oMath>
      <w:r>
        <w:t xml:space="preserve">; y el castigo da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Por tanto</w:t>
      </w:r>
    </w:p>
    <w:p>
      <w:pPr>
        <w:pStyle w:val="BodyText"/>
        <w:keepNext/>
      </w:pPr>
      <m:oMathPara>
        <m:oMathParaPr>
          <m:jc m:val="center"/>
        </m:oMathParaPr>
        <m:oMath>
          <m:r>
            <m:t>β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que en el duopolio es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Con más empresas hace falta más paciencia: cada una se lleva menos del beneficio colusorio y gana lo mismo desviándose.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Cournot</w:t>
      </w:r>
      <w:r>
        <w:t xml:space="preserve"> </w:t>
      </w:r>
      <w:r>
        <w:t xml:space="preserve">(duopolio lineal, con el castigo de volver a</w:t>
      </w:r>
      <w:r>
        <w:t xml:space="preserve"> </w:t>
      </w:r>
      <w:r>
        <w:rPr>
          <w:smallCaps/>
        </w:rPr>
        <w:t xml:space="preserve">Cournot</w:t>
      </w:r>
      <w:r>
        <w:t xml:space="preserve">),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9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53</m:t>
        </m:r>
      </m:oMath>
      <w:r>
        <w:t xml:space="preserve"> </w:t>
      </w:r>
      <w:r>
        <w:t xml:space="preserve">(anexo </w:t>
      </w:r>
      <w:hyperlink w:anchor="anexo_gatillo">
        <w:r>
          <w:rPr>
            <w:rStyle w:val="Hyperlink"/>
          </w:rPr>
          <w:t xml:space="preserve">D</w:t>
        </w:r>
      </w:hyperlink>
      <w:r>
        <w:t xml:space="preserve">): el castigo es más suave, porque en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se gana algo.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El castigo es creíble</w:t>
      </w:r>
      <w:r>
        <w:t xml:space="preserve">: volver al EN de la etapa es un EN en cada subjuego; por eso el gatillo es un ENPS.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Retraso en la detección</w:t>
      </w:r>
      <w:r>
        <w:t xml:space="preserve">: si la desviación se descubre al cabo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periodos, el que se desvía gana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durante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periodos, y la condición pasa a ser</w:t>
      </w:r>
      <w:r>
        <w:t xml:space="preserve"> </w:t>
      </w:r>
      <m:oMath>
        <m:sSup>
          <m:e>
            <m:r>
              <m:t>β</m:t>
            </m:r>
          </m:e>
          <m:sup>
            <m:r>
              <m:t>τ</m:t>
            </m:r>
          </m:sup>
        </m:sSup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C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N</m:t>
                </m:r>
              </m:sup>
            </m:sSup>
          </m:e>
        </m:d>
      </m:oMath>
      <w:r>
        <w:t xml:space="preserve">: cuanto más se tarda en reaccionar, más difícil es coludir. En resumen, la colusión es más fácil cuanto mayores son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β</m:t>
        </m:r>
      </m:oMath>
      <w:r>
        <w:t xml:space="preserve">, y cuanto menores son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t xml:space="preserve">y el tiempo de reacción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numPr>
          <w:ilvl w:val="0"/>
          <w:numId w:val="1066"/>
        </w:numPr>
      </w:pPr>
      <w:r>
        <w:rPr>
          <w:i/>
          <w:iCs/>
        </w:rPr>
        <w:t xml:space="preserve">Gráficamente</w:t>
      </w:r>
      <w:r>
        <w:t xml:space="preserve"> </w:t>
      </w:r>
      <w:r>
        <w:t xml:space="preserve">(gráfico </w:t>
      </w:r>
      <w:hyperlink w:anchor="fig_colusion_tiempo">
        <w:r>
          <w:rPr>
            <w:rStyle w:val="Hyperlink"/>
          </w:rPr>
          <w:t xml:space="preserve">8</w:t>
        </w:r>
      </w:hyperlink>
      <w:r>
        <w:t xml:space="preserve">), con los beneficios ya descontados,</w:t>
      </w:r>
      <w:r>
        <w:t xml:space="preserve"> </w:t>
      </w:r>
      <m:oMath>
        <m:sSup>
          <m:e>
            <m:r>
              <m:t>β</m:t>
            </m:r>
          </m:e>
          <m:sup>
            <m:r>
              <m:t>t</m:t>
            </m:r>
          </m:sup>
        </m:sSup>
        <m:r>
          <m:t>B</m:t>
        </m:r>
      </m:oMath>
      <w:r>
        <w:t xml:space="preserve">, se comparan directamente 2 áreas: la ganancia de desviarse hasta que las demás reaccionan (en rojo) y la pérdida por el castigo desde entonces (en azul). La colusión aguanta si la segunda es mayor; y la roja crece si se tarda más en reaccionar, y la azul, si las empresas son más pacientes.</w:t>
      </w:r>
    </w:p>
    <w:bookmarkStart w:id="137" w:name="fig_colusion_tiempo"/>
    <w:p>
      <w:pPr>
        <w:pStyle w:val="ImageCaption"/>
      </w:pPr>
      <w:r>
        <w:t xml:space="preserve">Gráfico 8.–</w:t>
      </w:r>
      <w:r>
        <w:t xml:space="preserve"> </w:t>
      </w:r>
      <w:r>
        <w:t xml:space="preserve">Valor descontado del beneficio de cada periodo, coludiendo siempre o desviándose hoy: la ganancia hasta que las demás reaccionan y la pérdida por el castigo</w:t>
      </w:r>
    </w:p>
    <w:p>
      <w:pPr>
        <w:pStyle w:val="CaptionedFigure"/>
      </w:pPr>
      <w:r>
        <w:drawing>
          <wp:inline>
            <wp:extent cx="4178300" cy="1766781"/>
            <wp:effectExtent b="0" l="0" r="0" t="0"/>
            <wp:docPr descr="Gráfico 8.– Valor descontado del beneficio de cada periodo, coludiendo siempre o desviándose hoy: la ganancia hasta que las demás reaccionan y la pérdida por el castigo" title="" id="135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colusion-tiempo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176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p>
      <w:pPr>
        <w:pStyle w:val="Piedeimagen"/>
      </w:pPr>
      <w:r>
        <w:t xml:space="preserve">Fuente: elaboración propia.</w:t>
      </w:r>
    </w:p>
    <w:bookmarkEnd w:id="138"/>
    <w:bookmarkStart w:id="145" w:name="iii_implicaciones_5"/>
    <w:p>
      <w:pPr>
        <w:pStyle w:val="Heading5"/>
      </w:pPr>
      <w:r>
        <w:t xml:space="preserve">iii) Implicaciones</w:t>
      </w:r>
    </w:p>
    <w:p>
      <w:pPr>
        <w:numPr>
          <w:ilvl w:val="0"/>
          <w:numId w:val="1067"/>
        </w:numPr>
      </w:pPr>
      <w:r>
        <w:rPr>
          <w:i/>
          <w:iCs/>
        </w:rPr>
        <w:t xml:space="preserve">El teorema de tradición oral</w:t>
      </w:r>
      <w:r>
        <w:t xml:space="preserve"> </w:t>
      </w:r>
      <w:r>
        <w:t xml:space="preserve">(</w:t>
      </w:r>
      <w:r>
        <w:rPr>
          <w:i/>
          <w:iCs/>
        </w:rPr>
        <w:t xml:space="preserve">folk theorem</w:t>
      </w:r>
      <w:r>
        <w:t xml:space="preserve">)</w:t>
      </w:r>
      <w:r>
        <w:t xml:space="preserve"> </w:t>
      </w:r>
      <w:r>
        <w:rPr>
          <w:i/>
          <w:iCs/>
        </w:rPr>
        <w:t xml:space="preserve">aplicado a la colusión</w:t>
      </w:r>
      <w:r>
        <w:t xml:space="preserve">: con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suficientemente alto, cualquier precio entre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puede sostenerse como ENPS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 Hay</w:t>
      </w:r>
      <w:r>
        <w:t xml:space="preserve"> </w:t>
      </w:r>
      <w:r>
        <w:rPr>
          <w:i/>
          <w:iCs/>
        </w:rPr>
        <w:t xml:space="preserve">infinitos</w:t>
      </w:r>
      <w:r>
        <w:t xml:space="preserve"> </w:t>
      </w:r>
      <w:r>
        <w:t xml:space="preserve">ENPS, entre ellos el de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en todos los periodos: la teoría dice que la colusión es</w:t>
      </w:r>
      <w:r>
        <w:t xml:space="preserve"> </w:t>
      </w:r>
      <w:r>
        <w:rPr>
          <w:i/>
          <w:iCs/>
        </w:rPr>
        <w:t xml:space="preserve">posible</w:t>
      </w:r>
      <w:r>
        <w:t xml:space="preserve">, no que ocurra ni a qué precio. Por eso la colusión puede ser</w:t>
      </w:r>
      <w:r>
        <w:t xml:space="preserve"> </w:t>
      </w:r>
      <w:r>
        <w:rPr>
          <w:b/>
          <w:bCs/>
        </w:rPr>
        <w:t xml:space="preserve">perfecta</w:t>
      </w:r>
      <w:r>
        <w:t xml:space="preserve">, al precio de monopolio, o</w:t>
      </w:r>
      <w:r>
        <w:t xml:space="preserve"> </w:t>
      </w:r>
      <w:r>
        <w:rPr>
          <w:b/>
          <w:bCs/>
        </w:rPr>
        <w:t xml:space="preserve">imperfecta</w:t>
      </w:r>
      <w:r>
        <w:t xml:space="preserve">, a cualquier precio entre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numPr>
          <w:ilvl w:val="0"/>
          <w:numId w:val="1067"/>
        </w:numPr>
      </w:pPr>
      <w:r>
        <w:t xml:space="preserve">La colusión es</w:t>
      </w:r>
      <w:r>
        <w:t xml:space="preserve"> </w:t>
      </w:r>
      <w:r>
        <w:rPr>
          <w:i/>
          <w:iCs/>
        </w:rPr>
        <w:t xml:space="preserve">tácita</w:t>
      </w:r>
      <w:r>
        <w:t xml:space="preserve">: no hace falta comunicarse; basta con que cada empresa entienda que a todas les conviene el precio alto y que una rebaja desataría una guerra de precios. Por eso es tan difícil de perseguir (</w:t>
      </w:r>
      <w:hyperlink w:anchor="sec_limites_cooperacion">
        <w:r>
          <w:rPr>
            <w:rStyle w:val="Hyperlink"/>
          </w:rPr>
          <w:t xml:space="preserve">III.3</w:t>
        </w:r>
      </w:hyperlink>
      <w:r>
        <w:t xml:space="preserve">).</w:t>
      </w:r>
    </w:p>
    <w:p>
      <w:pPr>
        <w:numPr>
          <w:ilvl w:val="0"/>
          <w:numId w:val="1067"/>
        </w:numPr>
      </w:pPr>
      <w:r>
        <w:t xml:space="preserve">Además del gatillo hay otras estrategias condicionadas, más indulgentes (tabla </w:t>
      </w:r>
      <w:hyperlink w:anchor="tab_estrategias_repetida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y gráfico </w:t>
      </w:r>
      <w:hyperlink w:anchor="fig_estrategias_automatas">
        <w:r>
          <w:rPr>
            <w:rStyle w:val="Hyperlink"/>
          </w:rPr>
          <w:t xml:space="preserve">9</w:t>
        </w:r>
      </w:hyperlink>
      <w:r>
        <w:t xml:space="preserve">). En los torneos de</w:t>
      </w:r>
      <w:r>
        <w:t xml:space="preserve"> </w:t>
      </w:r>
      <w:r>
        <w:rPr>
          <w:smallCaps/>
        </w:rPr>
        <w:t xml:space="preserve">Axelrod</w:t>
      </w:r>
      <w:r>
        <w:t xml:space="preserve"> </w:t>
      </w:r>
      <w:r>
        <w:t xml:space="preserve">(</w:t>
      </w:r>
      <w:hyperlink w:anchor="ref_Axelrod1984Evolution">
        <w:r>
          <w:rPr>
            <w:rStyle w:val="Hyperlink"/>
          </w:rPr>
          <w:t xml:space="preserve">1984</w:t>
        </w:r>
      </w:hyperlink>
      <w:r>
        <w:t xml:space="preserve">)</w:t>
      </w:r>
      <w:r>
        <w:t xml:space="preserve"> </w:t>
      </w:r>
      <w:r>
        <w:t xml:space="preserve">ganó la más sencilla, «donde las dan, las toman» (</w:t>
      </w:r>
      <w:r>
        <w:rPr>
          <w:i/>
          <w:iCs/>
        </w:rPr>
        <w:t xml:space="preserve">tit for tat</w:t>
      </w:r>
      <w:r>
        <w:t xml:space="preserve">); pero no es en general un ENPS: solo lo es para valores muy concretos de</w:t>
      </w:r>
      <w:r>
        <w:t xml:space="preserve"> </w:t>
      </w:r>
      <m:oMath>
        <m:r>
          <m:t>β</m:t>
        </m:r>
      </m:oMath>
      <w:r>
        <w:t xml:space="preserve">, porque castigar puede no convenir al que castiga</w:t>
      </w:r>
      <w:r>
        <w:t xml:space="preserve"> </w:t>
      </w:r>
      <w:r>
        <w:t xml:space="preserve">(</w:t>
      </w:r>
      <w:hyperlink w:anchor="ref_KalaiSametStanford1988Note">
        <w:r>
          <w:rPr>
            <w:rStyle w:val="Hyperlink"/>
            <w:smallCaps/>
          </w:rPr>
          <w:t xml:space="preserve">Kalai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Samet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Stanford</w:t>
        </w:r>
        <w:r>
          <w:rPr>
            <w:rStyle w:val="Hyperlink"/>
          </w:rPr>
          <w:t xml:space="preserve">, 1988</w:t>
        </w:r>
      </w:hyperlink>
      <w:r>
        <w:t xml:space="preserve">)</w:t>
      </w:r>
      <w:r>
        <w:t xml:space="preserve">.</w:t>
      </w:r>
      <w:r>
        <w:rPr>
          <w:rStyle w:val="FootnoteReference"/>
        </w:rPr>
        <w:footnoteReference w:id="139"/>
      </w:r>
    </w:p>
    <w:bookmarkStart w:id="140" w:name="tab_estrategias_repetidas"/>
    <w:p>
      <w:pPr>
        <w:pStyle w:val="TableCaption"/>
      </w:pPr>
      <w:r>
        <w:t xml:space="preserve">Tabla 4.–</w:t>
      </w:r>
      <w:r>
        <w:t xml:space="preserve"> </w:t>
      </w:r>
      <w:r>
        <w:t xml:space="preserve">Estrategias del dilema del prisionero repetido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4.– Estrategias del dilema del prisionero repetido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Estrategia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¿ENPS?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Incondicionada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no cooperar nunca (el EN de la etapa)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sí, siempre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Gatillo (</w:t>
            </w:r>
            <w:r>
              <w:rPr>
                <w:i/>
                <w:iCs/>
              </w:rPr>
              <w:t xml:space="preserve">grim trigger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cooperar mientras todos cooperen; si alguien se desvía, no cooperar nunca más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sí, si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es alto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«Donde las dan, las toman» (</w:t>
            </w:r>
            <w:r>
              <w:rPr>
                <w:i/>
                <w:iCs/>
              </w:rPr>
              <w:t xml:space="preserve">tit for tat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cooperar al principio y después hacer lo que hizo el otro en el periodo anterior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solo con valores muy concretos de</w:t>
            </w:r>
            <w:r>
              <w:t xml:space="preserve"> </w:t>
            </w:r>
            <m:oMath>
              <m:r>
                <m:t>β</m:t>
              </m:r>
            </m:oMath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Castigo tras 2 desviaciones (</w:t>
            </w:r>
            <w:r>
              <w:rPr>
                <w:i/>
                <w:iCs/>
              </w:rPr>
              <w:t xml:space="preserve">tit for two tats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cooperar salvo que el otro se haya desviado en los 2 periodos anteriores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no, en general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«Si gano, repito; si pierdo, cambio» (</w:t>
            </w:r>
            <w:r>
              <w:rPr>
                <w:i/>
                <w:iCs/>
              </w:rPr>
              <w:t xml:space="preserve">win-stay, lose-shift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repetir lo que hice si me fue bien (el otro cooperó) y cambiar si me fue mal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no, en general</w:t>
            </w:r>
          </w:p>
        </w:tc>
      </w:tr>
    </w:tbl>
    <w:bookmarkEnd w:id="140"/>
    <w:p>
      <w:pPr>
        <w:pStyle w:val="BodyText"/>
      </w:pPr>
      <w:r>
        <w:rPr>
          <w:i/>
          <w:iCs/>
        </w:rPr>
        <w:t xml:space="preserve">Fuente: elaboración propia a partir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Axelrod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Axelrod1984Evolution">
        <w:r>
          <w:rPr>
            <w:rStyle w:val="Hyperlink"/>
            <w:i/>
            <w:iCs/>
          </w:rPr>
          <w:t xml:space="preserve">1984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Nowak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Sigmund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NowakSigmund1993Strategy">
        <w:r>
          <w:rPr>
            <w:rStyle w:val="Hyperlink"/>
            <w:i/>
            <w:iCs/>
          </w:rPr>
          <w:t xml:space="preserve">1993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Kalai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Samet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KalaiSametStanford1988Note">
        <w:r>
          <w:rPr>
            <w:rStyle w:val="Hyperlink"/>
            <w:i/>
            <w:iCs/>
          </w:rPr>
          <w:t xml:space="preserve">1988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bookmarkStart w:id="144" w:name="fig_estrategias_automatas"/>
    <w:p>
      <w:pPr>
        <w:pStyle w:val="ImageCaption"/>
      </w:pPr>
      <w:r>
        <w:t xml:space="preserve">Gráfico 9.–</w:t>
      </w:r>
      <w:r>
        <w:t xml:space="preserve"> </w:t>
      </w:r>
      <w:r>
        <w:t xml:space="preserve">Las estrategias del juego repetido como autómatas: cada círculo es lo que la empresa juega este periodo (C, coludir; D, desviarse) y cada flecha, adónde pasa según lo que hizo la rival el periodo anterior; la flecha suelta marca por dónde empieza</w:t>
      </w:r>
    </w:p>
    <w:p>
      <w:pPr>
        <w:pStyle w:val="CaptionedFigure"/>
      </w:pPr>
      <w:r>
        <w:drawing>
          <wp:inline>
            <wp:extent cx="5670550" cy="2393893"/>
            <wp:effectExtent b="0" l="0" r="0" t="0"/>
            <wp:docPr descr="Gráfico 9.– Las estrategias del juego repetido como autómatas: cada círculo es lo que la empresa juega este periodo (C, coludir; D, desviarse) y cada flecha, adónde pasa según lo que hizo la rival el periodo anterior; la flecha suelta marca por dónde empieza" title="" id="142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estrategias-automata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393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Axelrod</w:t>
      </w:r>
      <w:r>
        <w:t xml:space="preserve"> </w:t>
      </w:r>
      <w:r>
        <w:t xml:space="preserve">(</w:t>
      </w:r>
      <w:hyperlink w:anchor="ref_Axelrod1984Evolution">
        <w:r>
          <w:rPr>
            <w:rStyle w:val="Hyperlink"/>
          </w:rPr>
          <w:t xml:space="preserve">1984</w:t>
        </w:r>
      </w:hyperlink>
      <w:r>
        <w:t xml:space="preserve">)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Nowak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Sigmund</w:t>
      </w:r>
      <w:r>
        <w:t xml:space="preserve"> </w:t>
      </w:r>
      <w:r>
        <w:t xml:space="preserve">(</w:t>
      </w:r>
      <w:hyperlink w:anchor="ref_NowakSigmund1993Strategy">
        <w:r>
          <w:rPr>
            <w:rStyle w:val="Hyperlink"/>
          </w:rPr>
          <w:t xml:space="preserve">1993</w:t>
        </w:r>
      </w:hyperlink>
      <w:r>
        <w:t xml:space="preserve">)</w:t>
      </w:r>
      <w:r>
        <w:t xml:space="preserve">.</w:t>
      </w:r>
    </w:p>
    <w:bookmarkEnd w:id="145"/>
    <w:bookmarkEnd w:id="146"/>
    <w:bookmarkStart w:id="147" w:name="c_extensiones_1"/>
    <w:p>
      <w:pPr>
        <w:pStyle w:val="Heading4"/>
      </w:pPr>
      <w:r>
        <w:t xml:space="preserve">c) Extensiones</w:t>
      </w:r>
    </w:p>
    <w:p>
      <w:pPr>
        <w:numPr>
          <w:ilvl w:val="0"/>
          <w:numId w:val="1068"/>
        </w:numPr>
      </w:pPr>
      <w:r>
        <w:rPr>
          <w:i/>
          <w:iCs/>
        </w:rPr>
        <w:t xml:space="preserve">Información imperfecta: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Green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Porter</w:t>
      </w:r>
      <w:r>
        <w:t xml:space="preserve">.</w:t>
      </w:r>
      <w:r>
        <w:t xml:space="preserve"> </w:t>
      </w:r>
      <w:r>
        <w:rPr>
          <w:smallCaps/>
        </w:rPr>
        <w:t xml:space="preserve">Stigler</w:t>
      </w:r>
      <w:r>
        <w:t xml:space="preserve"> </w:t>
      </w:r>
      <w:r>
        <w:t xml:space="preserve">(</w:t>
      </w:r>
      <w:hyperlink w:anchor="ref_Stigler1964Theory">
        <w:r>
          <w:rPr>
            <w:rStyle w:val="Hyperlink"/>
          </w:rPr>
          <w:t xml:space="preserve">1964</w:t>
        </w:r>
      </w:hyperlink>
      <w:r>
        <w:t xml:space="preserve">)</w:t>
      </w:r>
      <w:r>
        <w:t xml:space="preserve"> </w:t>
      </w:r>
      <w:r>
        <w:t xml:space="preserve">señala que el problema de un cártel es detectar las rebajas secretas.</w:t>
      </w:r>
      <w:r>
        <w:t xml:space="preserve"> </w:t>
      </w:r>
      <w:r>
        <w:rPr>
          <w:smallCaps/>
        </w:rPr>
        <w:t xml:space="preserve">Green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Porter</w:t>
      </w:r>
      <w:r>
        <w:t xml:space="preserve"> </w:t>
      </w:r>
      <w:r>
        <w:t xml:space="preserve">(</w:t>
      </w:r>
      <w:hyperlink w:anchor="ref_GreenPorter1984Noncooperative">
        <w:r>
          <w:rPr>
            <w:rStyle w:val="Hyperlink"/>
          </w:rPr>
          <w:t xml:space="preserve">1984</w:t>
        </w:r>
      </w:hyperlink>
      <w:r>
        <w:t xml:space="preserve">)</w:t>
      </w:r>
      <w:r>
        <w:t xml:space="preserve"> </w:t>
      </w:r>
      <w:r>
        <w:t xml:space="preserve">lo formalizan: si las empresas solo ven el precio de mercado, que también baja cuando cae la demanda, no saben si una caída se debe a la mala suerte o a que alguien ha hecho trampa. El mejor acuerdo fija un</w:t>
      </w:r>
      <w:r>
        <w:t xml:space="preserve"> </w:t>
      </w:r>
      <w:r>
        <w:rPr>
          <w:i/>
          <w:iCs/>
        </w:rPr>
        <w:t xml:space="preserve">precio umbral</w:t>
      </w:r>
      <w:r>
        <w:t xml:space="preserve">: si el precio cae por debajo, guerra de precios durante unos periodos y vuelta a coludir. En equilibrio nadie se desvía, pero hay guerras de precios tras las caídas de la demanda: son el coste de que el castigo sea creíble.</w:t>
      </w:r>
    </w:p>
    <w:p>
      <w:pPr>
        <w:numPr>
          <w:ilvl w:val="0"/>
          <w:numId w:val="1068"/>
        </w:numPr>
      </w:pPr>
      <w:r>
        <w:rPr>
          <w:i/>
          <w:iCs/>
        </w:rPr>
        <w:t xml:space="preserve">Demanda variable: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Rotemberg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Saloner</w:t>
      </w:r>
      <w:r>
        <w:t xml:space="preserve">. Si la demanda fluctúa y se observa, la tentación de desviarse es mayor en los picos (se gana más hoy y el castigo futuro es el mismo), de modo que el precio colusorio tiene que bajar en las expansiones: guerras de precios en los auges y márgenes anticíclicos</w:t>
      </w:r>
      <w:r>
        <w:t xml:space="preserve"> </w:t>
      </w:r>
      <w:r>
        <w:t xml:space="preserve">(</w:t>
      </w:r>
      <w:hyperlink w:anchor="ref_RotembergSaloner1986Supergame">
        <w:r>
          <w:rPr>
            <w:rStyle w:val="Hyperlink"/>
            <w:smallCaps/>
          </w:rPr>
          <w:t xml:space="preserve">Rotemberg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Saloner</w:t>
        </w:r>
        <w:r>
          <w:rPr>
            <w:rStyle w:val="Hyperlink"/>
          </w:rPr>
          <w:t xml:space="preserve">, 1986</w:t>
        </w:r>
      </w:hyperlink>
      <w:r>
        <w:t xml:space="preserve">)</w:t>
      </w:r>
      <w:r>
        <w:t xml:space="preserve">. Si lo que se prevé es una recesión, el castigo futuro pesa menos y la colusión es más difícil</w:t>
      </w:r>
      <w:r>
        <w:t xml:space="preserve"> </w:t>
      </w:r>
      <w:r>
        <w:t xml:space="preserve">(</w:t>
      </w:r>
      <w:hyperlink w:anchor="ref_HaltiwangerHarrington1991Impact">
        <w:r>
          <w:rPr>
            <w:rStyle w:val="Hyperlink"/>
            <w:smallCaps/>
          </w:rPr>
          <w:t xml:space="preserve">Haltiwanger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Harrington</w:t>
        </w:r>
        <w:r>
          <w:rPr>
            <w:rStyle w:val="Hyperlink"/>
          </w:rPr>
          <w:t xml:space="preserve">, 1991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68"/>
        </w:numPr>
      </w:pPr>
      <w:r>
        <w:rPr>
          <w:i/>
          <w:iCs/>
        </w:rPr>
        <w:t xml:space="preserve">Castigos óptimos</w:t>
      </w:r>
      <w:r>
        <w:t xml:space="preserve"> </w:t>
      </w:r>
      <w:r>
        <w:t xml:space="preserve">(</w:t>
      </w:r>
      <w:hyperlink w:anchor="ref_Abreu1986Extremal">
        <w:r>
          <w:rPr>
            <w:rStyle w:val="Hyperlink"/>
            <w:smallCaps/>
          </w:rPr>
          <w:t xml:space="preserve">Abreu</w:t>
        </w:r>
        <w:r>
          <w:rPr>
            <w:rStyle w:val="Hyperlink"/>
          </w:rPr>
          <w:t xml:space="preserve">, 1986</w:t>
        </w:r>
      </w:hyperlink>
      <w:r>
        <w:t xml:space="preserve">,</w:t>
      </w:r>
      <w:r>
        <w:t xml:space="preserve"> </w:t>
      </w:r>
      <w:hyperlink w:anchor="ref_Abreu1988Theory">
        <w:r>
          <w:rPr>
            <w:rStyle w:val="Hyperlink"/>
          </w:rPr>
          <w:t xml:space="preserve">1988</w:t>
        </w:r>
      </w:hyperlink>
      <w:r>
        <w:t xml:space="preserve">)</w:t>
      </w:r>
      <w:r>
        <w:t xml:space="preserve">: cuanto más duro es el castigo creíble, más colusión se sostiene. En</w:t>
      </w:r>
      <w:r>
        <w:t xml:space="preserve"> </w:t>
      </w:r>
      <w:r>
        <w:rPr>
          <w:smallCaps/>
        </w:rPr>
        <w:t xml:space="preserve">Bertrand</w:t>
      </w:r>
      <w:r>
        <w:t xml:space="preserve">, volver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ya es el castigo más duro posible (beneficio nulo); en</w:t>
      </w:r>
      <w:r>
        <w:t xml:space="preserve"> </w:t>
      </w:r>
      <w:r>
        <w:rPr>
          <w:smallCaps/>
        </w:rPr>
        <w:t xml:space="preserve">Cournot</w:t>
      </w:r>
      <w:r>
        <w:t xml:space="preserve">, no, y conviene un castigo de «palo y zanahoria»: un periodo de guerra muy dura, con pérdidas, seguido de la vuelta inmediata a coludir si todos han castigado.</w:t>
      </w:r>
    </w:p>
    <w:p>
      <w:pPr>
        <w:numPr>
          <w:ilvl w:val="0"/>
          <w:numId w:val="1068"/>
        </w:numPr>
      </w:pPr>
      <w:r>
        <w:rPr>
          <w:i/>
          <w:iCs/>
        </w:rPr>
        <w:t xml:space="preserve">Renegociación</w:t>
      </w:r>
      <w:r>
        <w:t xml:space="preserve"> </w:t>
      </w:r>
      <w:r>
        <w:t xml:space="preserve">(</w:t>
      </w:r>
      <w:hyperlink w:anchor="ref_FarrellMaskin1989Renegotiation">
        <w:r>
          <w:rPr>
            <w:rStyle w:val="Hyperlink"/>
            <w:smallCaps/>
          </w:rPr>
          <w:t xml:space="preserve">Farrell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Maskin</w:t>
        </w:r>
        <w:r>
          <w:rPr>
            <w:rStyle w:val="Hyperlink"/>
          </w:rPr>
          <w:t xml:space="preserve">, 1989</w:t>
        </w:r>
      </w:hyperlink>
      <w:r>
        <w:t xml:space="preserve">)</w:t>
      </w:r>
      <w:r>
        <w:t xml:space="preserve">: el castigo del gatillo perjudica también a quien castiga, que estará tentado de «perdonar». Si se espera la renegociación, la amenaza pierde fuerza y la colusión es más difícil; los castigos a prueba de renegociación hacen que el que se desvió compense a los demás antes de volver a coludir.</w:t>
      </w:r>
    </w:p>
    <w:bookmarkEnd w:id="147"/>
    <w:bookmarkStart w:id="148" w:name="d_evidencia_emp__rica_1"/>
    <w:p>
      <w:pPr>
        <w:pStyle w:val="Heading4"/>
      </w:pPr>
      <w:r>
        <w:t xml:space="preserve">d) Evidencia empírica</w:t>
      </w:r>
    </w:p>
    <w:p>
      <w:pPr>
        <w:numPr>
          <w:ilvl w:val="0"/>
          <w:numId w:val="1069"/>
        </w:numPr>
      </w:pPr>
      <w:r>
        <w:t xml:space="preserve">El cártel ferroviario del Joint Executive Committee (Estados Unidos, 1880-1886) alternó periodos de colusión y guerras de precios como predicen</w:t>
      </w:r>
      <w:r>
        <w:t xml:space="preserve"> </w:t>
      </w:r>
      <w:r>
        <w:rPr>
          <w:smallCaps/>
        </w:rPr>
        <w:t xml:space="preserve">Green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Porter</w:t>
      </w:r>
      <w:r>
        <w:t xml:space="preserve"> </w:t>
      </w:r>
      <w:r>
        <w:t xml:space="preserve">(</w:t>
      </w:r>
      <w:hyperlink w:anchor="ref_Porter1983Study">
        <w:r>
          <w:rPr>
            <w:rStyle w:val="Hyperlink"/>
            <w:smallCaps/>
          </w:rPr>
          <w:t xml:space="preserve">Porter</w:t>
        </w:r>
        <w:r>
          <w:rPr>
            <w:rStyle w:val="Hyperlink"/>
          </w:rPr>
          <w:t xml:space="preserve">, 1983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69"/>
        </w:numPr>
      </w:pPr>
      <w:r>
        <w:t xml:space="preserve">En Perth, las gasolineras aprendieron a coordinar sus precios con ciclos en los que una empresa líder señalaba las subidas</w:t>
      </w:r>
      <w:r>
        <w:t xml:space="preserve"> </w:t>
      </w:r>
      <w:r>
        <w:t xml:space="preserve">(</w:t>
      </w:r>
      <w:hyperlink w:anchor="ref_ByrneDeRoos2019Learning">
        <w:r>
          <w:rPr>
            <w:rStyle w:val="Hyperlink"/>
            <w:smallCaps/>
          </w:rPr>
          <w:t xml:space="preserve">Byrne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Roos</w:t>
        </w:r>
        <w:r>
          <w:rPr>
            <w:rStyle w:val="Hyperlink"/>
          </w:rPr>
          <w:t xml:space="preserve">, 2019</w:t>
        </w:r>
      </w:hyperlink>
      <w:r>
        <w:t xml:space="preserve">)</w:t>
      </w:r>
      <w:r>
        <w:t xml:space="preserve">; y algoritmos de aprendizaje automático que fijan precios llegan por sí solos a precios de colusión sostenidos con castigos, sin comunicarse</w:t>
      </w:r>
      <w:r>
        <w:t xml:space="preserve"> </w:t>
      </w:r>
      <w:r>
        <w:t xml:space="preserve">(</w:t>
      </w:r>
      <w:hyperlink w:anchor="ref_CalvanoEtAl2020Artificial">
        <w:r>
          <w:rPr>
            <w:rStyle w:val="Hyperlink"/>
            <w:smallCaps/>
          </w:rPr>
          <w:t xml:space="preserve">Calvano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 al., 2020</w:t>
        </w:r>
      </w:hyperlink>
      <w:r>
        <w:t xml:space="preserve">)</w:t>
      </w:r>
      <w:r>
        <w:t xml:space="preserve">.</w:t>
      </w:r>
    </w:p>
    <w:bookmarkEnd w:id="148"/>
    <w:bookmarkStart w:id="150" w:name="e_valoraci__n_qu___facilita_y_qu___69588"/>
    <w:p>
      <w:pPr>
        <w:pStyle w:val="Heading4"/>
      </w:pPr>
      <w:r>
        <w:t xml:space="preserve">e) Valoración: qué facilita y qué dificulta la colusión</w:t>
      </w:r>
    </w:p>
    <w:p>
      <w:pPr>
        <w:numPr>
          <w:ilvl w:val="0"/>
          <w:numId w:val="1070"/>
        </w:numPr>
      </w:pPr>
      <w:r>
        <w:t xml:space="preserve">El resultado de</w:t>
      </w:r>
      <w:r>
        <w:t xml:space="preserve"> </w:t>
      </w:r>
      <w:r>
        <w:rPr>
          <w:smallCaps/>
        </w:rPr>
        <w:t xml:space="preserve">Friedman</w:t>
      </w:r>
      <w:r>
        <w:t xml:space="preserve"> </w:t>
      </w:r>
      <w:r>
        <w:t xml:space="preserve">entronca con</w:t>
      </w:r>
      <w:r>
        <w:t xml:space="preserve"> </w:t>
      </w:r>
      <w:r>
        <w:rPr>
          <w:smallCaps/>
        </w:rPr>
        <w:t xml:space="preserve">Stigler</w:t>
      </w:r>
      <w:r>
        <w:t xml:space="preserve"> </w:t>
      </w:r>
      <w:r>
        <w:t xml:space="preserve">(</w:t>
      </w:r>
      <w:hyperlink w:anchor="ref_Stigler1964Theory">
        <w:r>
          <w:rPr>
            <w:rStyle w:val="Hyperlink"/>
          </w:rPr>
          <w:t xml:space="preserve">1964</w:t>
        </w:r>
      </w:hyperlink>
      <w:r>
        <w:t xml:space="preserve">)</w:t>
      </w:r>
      <w:r>
        <w:t xml:space="preserve">: el mismo afán de beneficio que lleva a coludir empuja a cada empresa a desviarse, como en el dilema del prisionero. Y ha dado lugar a una literatura que ordena los rasgos del mercado según cómo afectan 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y el tiempo de reacción</w:t>
      </w:r>
      <w:r>
        <w:t xml:space="preserve"> </w:t>
      </w:r>
      <w:r>
        <w:t xml:space="preserve">(</w:t>
      </w:r>
      <w:hyperlink w:anchor="ref_IvaldiEtAl2003Tacit">
        <w:r>
          <w:rPr>
            <w:rStyle w:val="Hyperlink"/>
            <w:smallCaps/>
          </w:rPr>
          <w:t xml:space="preserve">Ivaldi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 al., 2003</w:t>
        </w:r>
      </w:hyperlink>
      <w:r>
        <w:t xml:space="preserve">)</w:t>
      </w:r>
      <w:r>
        <w:t xml:space="preserve">: tabla </w:t>
      </w:r>
      <w:hyperlink w:anchor="tab_factores_colusion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149" w:name="tab_factores_colusion"/>
    <w:p>
      <w:pPr>
        <w:pStyle w:val="TableCaption"/>
      </w:pPr>
      <w:r>
        <w:t xml:space="preserve">Tabla 5.–</w:t>
      </w:r>
      <w:r>
        <w:t xml:space="preserve"> </w:t>
      </w:r>
      <w:r>
        <w:t xml:space="preserve">Factores que facilitan (+) o dificultan (</w:t>
      </w:r>
      <m:oMath>
        <m:r>
          <m:rPr>
            <m:sty m:val="p"/>
          </m:rPr>
          <m:t>−</m:t>
        </m:r>
      </m:oMath>
      <w:r>
        <w:t xml:space="preserve">) la colusión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5.– Factores que facilitan (+) o dificultan (-) la colusión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Signo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left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Número de empresas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  <w:b/>
                <w:bCs/>
              </w:rPr>
              <w:t xml:space="preserve">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cada una se lleva menos de la colusión y lo mismo de desviarse (</w:t>
            </w:r>
            <m:oMath>
              <m:r>
                <m:t>β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Barreras de entrada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sin ellas, los precios altos atraen a entrantes que no están en el acuerdo (estrategias de</w:t>
            </w:r>
            <w:r>
              <w:t xml:space="preserve"> </w:t>
            </w:r>
            <w:r>
              <w:rPr>
                <w:i/>
                <w:iCs/>
              </w:rPr>
              <w:t xml:space="preserve">entrar y salir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hit and run</w:t>
            </w:r>
            <w:r>
              <w:t xml:space="preserve">)</w:t>
            </w:r>
            <w:r>
              <w:t xml:space="preserve"> </w:t>
            </w:r>
            <w:hyperlink r:id="rId47">
              <w:r>
                <w:rPr>
                  <w:rStyle w:val="Referenciaatema"/>
                </w:rPr>
                <w:t xml:space="preserve">[ver tema 3.A.15]</w:t>
              </w:r>
            </w:hyperlink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Frecuencia de la interacción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el castigo llega antes (menor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Transparencia del mercado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las desviaciones se detectan antes y sin confundirlas con la demanda (</w:t>
            </w:r>
            <w:r>
              <w:rPr>
                <w:smallCaps/>
              </w:rPr>
              <w:t xml:space="preserve">Green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smallCaps/>
              </w:rPr>
              <w:t xml:space="preserve">Porter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Demanda que crece (o que fluctúa)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</w:t>
            </w:r>
            <w:r>
              <w:rPr>
                <w:rStyle w:val="Textorojo"/>
                <w:b/>
                <w:bCs/>
              </w:rPr>
              <w:t xml:space="preserve">−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si se espera que crezca, el futuro pesa más; si fluctúa, la tentación es mayor en los picos (</w:t>
            </w:r>
            <w:r>
              <w:rPr>
                <w:smallCaps/>
              </w:rPr>
              <w:t xml:space="preserve">Rotemberg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smallCaps/>
              </w:rPr>
              <w:t xml:space="preserve">Saloner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Asimetrías de costes o de capacidad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  <w:b/>
                <w:bCs/>
              </w:rPr>
              <w:t xml:space="preserve">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la empresa eficiente gana más desviándose y es más difícil castigarla; y no hay un precio común evidente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Diferenciación del producto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dorado"/>
                <w:b/>
                <w:bCs/>
              </w:rPr>
              <w:t xml:space="preserve">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reduce lo que gana el que se desvía, porque no capta toda la demanda de la rival, pero también la dureza del castigo</w:t>
            </w:r>
            <w:r>
              <w:t xml:space="preserve"> </w:t>
            </w:r>
            <w:r>
              <w:t xml:space="preserve">(</w:t>
            </w:r>
            <w:hyperlink w:anchor="ref_Ross1992Cartel">
              <w:r>
                <w:rPr>
                  <w:rStyle w:val="Hyperlink"/>
                  <w:smallCaps/>
                </w:rPr>
                <w:t xml:space="preserve">Ross</w:t>
              </w:r>
              <w:r>
                <w:rPr>
                  <w:rStyle w:val="Hyperlink"/>
                </w:rPr>
                <w:t xml:space="preserve">, 1992</w:t>
              </w:r>
            </w:hyperlink>
            <w:r>
              <w:t xml:space="preserve">)</w:t>
            </w:r>
            <w:r>
              <w:t xml:space="preserve">; y, si es vertical, introduce asimetrías y resta transparencia</w:t>
            </w:r>
            <w:r>
              <w:t xml:space="preserve"> </w:t>
            </w:r>
            <w:hyperlink r:id="rId30">
              <w:r>
                <w:rPr>
                  <w:rStyle w:val="Referenciaatema"/>
                </w:rPr>
                <w:t xml:space="preserve">[ver tema 3.A.18]</w:t>
              </w:r>
            </w:hyperlink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Contacto en varios mercados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más interacción y posibilidad de castigar en todos; compensa asimetrías</w:t>
            </w:r>
            <w:r>
              <w:t xml:space="preserve"> </w:t>
            </w:r>
            <w:r>
              <w:t xml:space="preserve">(</w:t>
            </w:r>
            <w:hyperlink w:anchor="ref_BernheimWhinston1990Multimarket">
              <w:r>
                <w:rPr>
                  <w:rStyle w:val="Hyperlink"/>
                  <w:smallCaps/>
                </w:rPr>
                <w:t xml:space="preserve">Bernheim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y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smallCaps/>
                </w:rPr>
                <w:t xml:space="preserve">Whinston</w:t>
              </w:r>
              <w:r>
                <w:rPr>
                  <w:rStyle w:val="Hyperlink"/>
                </w:rPr>
                <w:t xml:space="preserve">, 1990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Innovación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  <w:b/>
                <w:bCs/>
              </w:rPr>
              <w:t xml:space="preserve">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una innovación drástica da al que la logra una ventaja que reduce el valor de coludir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Poder de los compradores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  <w:b/>
                <w:bCs/>
              </w:rPr>
              <w:t xml:space="preserve">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los pedidos grandes y escasos aumentan la tentación de rebajar</w:t>
            </w:r>
            <w:r>
              <w:t xml:space="preserve"> </w:t>
            </w:r>
            <w:r>
              <w:t xml:space="preserve">(</w:t>
            </w:r>
            <w:hyperlink w:anchor="ref_Snyder1996Dynamic">
              <w:r>
                <w:rPr>
                  <w:rStyle w:val="Hyperlink"/>
                  <w:smallCaps/>
                </w:rPr>
                <w:t xml:space="preserve">Snyder</w:t>
              </w:r>
              <w:r>
                <w:rPr>
                  <w:rStyle w:val="Hyperlink"/>
                </w:rPr>
                <w:t xml:space="preserve">, 1996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Capacidad excedente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dorado"/>
                <w:b/>
                <w:bCs/>
              </w:rPr>
              <w:t xml:space="preserve">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aumenta lo que gana el que se desvía, pero también la dureza del castigo</w:t>
            </w:r>
            <w:r>
              <w:t xml:space="preserve"> </w:t>
            </w:r>
            <w:r>
              <w:t xml:space="preserve">(</w:t>
            </w:r>
            <w:hyperlink w:anchor="ref_BrockScheinkman1985Price">
              <w:r>
                <w:rPr>
                  <w:rStyle w:val="Hyperlink"/>
                  <w:smallCaps/>
                </w:rPr>
                <w:t xml:space="preserve">Brock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y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smallCaps/>
                </w:rPr>
                <w:t xml:space="preserve">Scheinkman</w:t>
              </w:r>
              <w:r>
                <w:rPr>
                  <w:rStyle w:val="Hyperlink"/>
                </w:rPr>
                <w:t xml:space="preserve">, 1985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Prácticas facilitadoras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  <w:b/>
                <w:bCs/>
              </w:rPr>
              <w:t xml:space="preserve">+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anuncios previos de precios, intercambio de información, participaciones cruzadas, cláusulas de cliente más favorecido</w:t>
            </w:r>
            <w:r>
              <w:t xml:space="preserve"> </w:t>
            </w:r>
            <w:r>
              <w:t xml:space="preserve">(</w:t>
            </w:r>
            <w:hyperlink w:anchor="ref_Cooper1986Most">
              <w:r>
                <w:rPr>
                  <w:rStyle w:val="Hyperlink"/>
                  <w:smallCaps/>
                </w:rPr>
                <w:t xml:space="preserve">Cooper</w:t>
              </w:r>
              <w:r>
                <w:rPr>
                  <w:rStyle w:val="Hyperlink"/>
                </w:rPr>
                <w:t xml:space="preserve">, 1986</w:t>
              </w:r>
            </w:hyperlink>
            <w:r>
              <w:t xml:space="preserve">)</w:t>
            </w:r>
            <w:r>
              <w:t xml:space="preserve">, liderazgo en precios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Expectativa de renegociación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  <w:b/>
                <w:bCs/>
              </w:rPr>
              <w:t xml:space="preserve">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el castigo esperado es más suave</w:t>
            </w:r>
          </w:p>
        </w:tc>
      </w:tr>
    </w:tbl>
    <w:bookmarkEnd w:id="149"/>
    <w:p>
      <w:pPr>
        <w:pStyle w:val="BodyText"/>
        <w:keepNext/>
      </w:pPr>
      <w:r>
        <w:rPr>
          <w:i/>
          <w:iCs/>
        </w:rPr>
        <w:t xml:space="preserve">Fuente: elaboración propia a partir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Ivaldi</w:t>
      </w:r>
      <w:r>
        <w:rPr>
          <w:i/>
          <w:iCs/>
        </w:rPr>
        <w:t xml:space="preserve"> </w:t>
      </w:r>
      <w:r>
        <w:rPr>
          <w:i/>
          <w:iCs/>
        </w:rPr>
        <w:t xml:space="preserve">et al. (</w:t>
      </w:r>
      <w:hyperlink w:anchor="ref_IvaldiEtAl2003Tacit">
        <w:r>
          <w:rPr>
            <w:rStyle w:val="Hyperlink"/>
            <w:i/>
            <w:iCs/>
          </w:rPr>
          <w:t xml:space="preserve">2003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Motta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Motta2004Competition">
        <w:r>
          <w:rPr>
            <w:rStyle w:val="Hyperlink"/>
            <w:i/>
            <w:iCs/>
          </w:rPr>
          <w:t xml:space="preserve">2004, cap. 4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p>
      <w:pPr>
        <w:numPr>
          <w:ilvl w:val="0"/>
          <w:numId w:val="1071"/>
        </w:numPr>
      </w:pPr>
      <w:r>
        <w:t xml:space="preserve">La crítica de fondo es la del teorema de tradición oral: el modelo explica que la colusión</w:t>
      </w:r>
      <w:r>
        <w:t xml:space="preserve"> </w:t>
      </w:r>
      <w:r>
        <w:rPr>
          <w:i/>
          <w:iCs/>
        </w:rPr>
        <w:t xml:space="preserve">puede</w:t>
      </w:r>
      <w:r>
        <w:t xml:space="preserve"> </w:t>
      </w:r>
      <w:r>
        <w:t xml:space="preserve">sostenerse, pero no cómo eligen las empresas el precio colusorio ni cómo se reparten el mercado, sobre todo si son distintas. Para eso hace falta ponerse de acuerdo: el cártel.</w:t>
      </w:r>
    </w:p>
    <w:p>
      <w:pPr>
        <w:numPr>
          <w:ilvl w:val="0"/>
          <w:numId w:val="1071"/>
        </w:numPr>
      </w:pPr>
      <w:r>
        <w:rPr>
          <w:i/>
          <w:iCs/>
        </w:rPr>
        <w:t xml:space="preserve">Recapitulación del bloque II</w:t>
      </w:r>
      <w:r>
        <w:t xml:space="preserve">: con un final conocido, la repetición no ayuda; sin él, la amenaza de una guerra de precios sostiene la colusión si las empresas son pacientes y pocas, se ven a menudo y detectan pronto las rebajas. Es cooperación sin contratos, y por eso es frágil y múltiple. Pasamos a la cooperación con acuerdo explícito.</w:t>
      </w:r>
    </w:p>
    <w:bookmarkEnd w:id="150"/>
    <w:bookmarkEnd w:id="151"/>
    <w:bookmarkEnd w:id="152"/>
    <w:bookmarkStart w:id="187" w:name="sec_soluciones_cooperativas"/>
    <w:p>
      <w:pPr>
        <w:pStyle w:val="Heading1"/>
      </w:pPr>
      <w:r>
        <w:t xml:space="preserve">III.</w:t>
      </w:r>
      <w:r>
        <w:t xml:space="preserve"> </w:t>
      </w:r>
      <w:r>
        <w:t xml:space="preserve">Soluciones cooperativas:</w:t>
      </w:r>
      <w:r>
        <w:br/>
      </w:r>
      <w:r>
        <w:t xml:space="preserve">el cártel y el reparto de sus ganancias</w:t>
      </w:r>
      <w:r>
        <w:t xml:space="preserve"> </w:t>
      </w:r>
      <w:r>
        <w:rPr>
          <w:rStyle w:val="Minutos"/>
        </w:rPr>
        <w:t xml:space="preserve">8′30″</w:t>
      </w:r>
    </w:p>
    <w:p>
      <w:pPr>
        <w:pStyle w:val="Notaalopositor"/>
        <w:keepLines/>
      </w:pPr>
      <w:r>
        <w:rPr>
          <w:b/>
          <w:bCs/>
        </w:rPr>
        <w:t xml:space="preserve">Nota al opositor. </w:t>
      </w:r>
      <w:r>
        <w:t xml:space="preserve">En el cante: el cártel como monopolista multiplanta, con la condición (</w:t>
      </w:r>
      <w:hyperlink w:anchor="eq_cartel">
        <w:r>
          <w:rPr>
            <w:rStyle w:val="Hyperlink"/>
          </w:rPr>
          <w:t xml:space="preserve">4</w:t>
        </w:r>
      </w:hyperlink>
      <w:r>
        <w:t xml:space="preserve">), su inestabilidad sobre el plano de cantidades (la última capa del gráfico de</w:t>
      </w:r>
      <w:r>
        <w:t xml:space="preserve"> </w:t>
      </w:r>
      <w:r>
        <w:rPr>
          <w:smallCaps/>
        </w:rPr>
        <w:t xml:space="preserve">Cournot</w:t>
      </w:r>
      <w:r>
        <w:t xml:space="preserve">) y la tabla del dilema; los cárteles parciales y la paradoja de las fusiones, en una frase (3′); el reparto, con la solución de</w:t>
      </w:r>
      <w:r>
        <w:t xml:space="preserve"> </w:t>
      </w:r>
      <w:r>
        <w:rPr>
          <w:smallCaps/>
        </w:rPr>
        <w:t xml:space="preserve">Nash</w:t>
      </w:r>
      <w:r>
        <w:t xml:space="preserve"> </w:t>
      </w:r>
      <w:r>
        <w:t xml:space="preserve">en una línea y los 3 valores de la función característica, con sus 2 conclusiones (núcleo no vacío; ventaja de quedarse fuera) (3′); la entrada en 3 frases y la defensa de la competencia, con la clemencia como dilema del prisionero ligada a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 y 2 datos (2′30″). El ejemplo de la negociación con costes distintos y los casos concretos son de apoyo.</w:t>
      </w:r>
    </w:p>
    <w:p>
      <w:pPr>
        <w:numPr>
          <w:ilvl w:val="0"/>
          <w:numId w:val="1072"/>
        </w:numPr>
      </w:pPr>
      <w:r>
        <w:t xml:space="preserve">La colusión tácita es frágil y no dice qué precio elegir ni cómo repartir el mercado. Las empresas pueden resolverlo poniéndose de acuerdo de forma expresa. Su</w:t>
      </w:r>
      <w:r>
        <w:t xml:space="preserve"> </w:t>
      </w:r>
      <w:r>
        <w:rPr>
          <w:i/>
          <w:iCs/>
        </w:rPr>
        <w:t xml:space="preserve">conclusión anticipada</w:t>
      </w:r>
      <w:r>
        <w:t xml:space="preserve">: el cártel maximiza el beneficio conjunto como lo haría un monopolista con varias plantas, pero el acuerdo no es un equilibrio de</w:t>
      </w:r>
      <w:r>
        <w:t xml:space="preserve"> </w:t>
      </w:r>
      <w:r>
        <w:rPr>
          <w:smallCaps/>
        </w:rPr>
        <w:t xml:space="preserve">Nash</w:t>
      </w:r>
      <w:r>
        <w:t xml:space="preserve">; cómo se reparte lo ganado depende de lo que cada empresa conseguiría sin él; y, como nadie puede hacerlo cumplir ante un juez, la entrada y la política de competencia lo limitan.</w:t>
      </w:r>
    </w:p>
    <w:bookmarkStart w:id="173" w:name="sec_cartel"/>
    <w:p>
      <w:pPr>
        <w:pStyle w:val="Heading2"/>
      </w:pPr>
      <w:r>
        <w:t xml:space="preserve">III.1.</w:t>
      </w:r>
      <w:r>
        <w:t xml:space="preserve"> </w:t>
      </w:r>
      <w:r>
        <w:t xml:space="preserve">Colusión explícita: el cártel</w:t>
      </w:r>
    </w:p>
    <w:bookmarkStart w:id="153" w:name="a_idea_6"/>
    <w:p>
      <w:pPr>
        <w:pStyle w:val="Heading4"/>
      </w:pPr>
      <w:r>
        <w:t xml:space="preserve">a) Idea</w:t>
      </w:r>
    </w:p>
    <w:p>
      <w:pPr>
        <w:keepNext/>
        <w:numPr>
          <w:ilvl w:val="0"/>
          <w:numId w:val="107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colusión</w:t>
      </w:r>
      <w:r>
        <w:t xml:space="preserve"> </w:t>
      </w:r>
      <w:r>
        <w:t xml:space="preserve">es el ejercicio conjunto del poder de mercado por un grupo de empresas, que lleva a precios por encima de los del equilibrio no cooperativo. Puede ser:</w:t>
      </w:r>
    </w:p>
    <w:p>
      <w:pPr>
        <w:numPr>
          <w:ilvl w:val="1"/>
          <w:numId w:val="1074"/>
        </w:numPr>
      </w:pPr>
      <w:r>
        <w:rPr>
          <w:b/>
          <w:bCs/>
        </w:rPr>
        <w:t xml:space="preserve">explícita</w:t>
      </w:r>
      <w:r>
        <w:t xml:space="preserve">: un acuerdo expreso entre competidores sobre precios, cuotas, clientes o territorios, el</w:t>
      </w:r>
      <w:r>
        <w:t xml:space="preserve"> </w:t>
      </w:r>
      <w:r>
        <w:rPr>
          <w:b/>
          <w:bCs/>
        </w:rPr>
        <w:t xml:space="preserve">cártel</w:t>
      </w:r>
      <w:r>
        <w:t xml:space="preserve">; en la Unión Europea y en España está prohibida</w:t>
      </w:r>
      <w:r>
        <w:t xml:space="preserve"> </w:t>
      </w:r>
      <w:hyperlink r:id="rId26">
        <w:r>
          <w:rPr>
            <w:rStyle w:val="Referenciaatema"/>
          </w:rPr>
          <w:t xml:space="preserve">[ver tema 3.B.39]</w:t>
        </w:r>
      </w:hyperlink>
      <w:r>
        <w:t xml:space="preserve">;</w:t>
      </w:r>
    </w:p>
    <w:p>
      <w:pPr>
        <w:numPr>
          <w:ilvl w:val="1"/>
          <w:numId w:val="1074"/>
        </w:numPr>
      </w:pPr>
      <w:r>
        <w:rPr>
          <w:b/>
          <w:bCs/>
        </w:rPr>
        <w:t xml:space="preserve">tácita</w:t>
      </w:r>
      <w:r>
        <w:t xml:space="preserve">: una coordinación sin comunicación, sostenida por el entendimiento compartido de que a todas les conviene el precio alto 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).</w:t>
      </w:r>
    </w:p>
    <w:p>
      <w:pPr>
        <w:numPr>
          <w:ilvl w:val="0"/>
          <w:numId w:val="1073"/>
        </w:numPr>
      </w:pPr>
      <w:r>
        <w:rPr>
          <w:smallCaps/>
        </w:rPr>
        <w:t xml:space="preserve">Stigler</w:t>
      </w:r>
      <w:r>
        <w:t xml:space="preserve"> </w:t>
      </w:r>
      <w:r>
        <w:t xml:space="preserve">(</w:t>
      </w:r>
      <w:hyperlink w:anchor="ref_Stigler1950Monopoly">
        <w:r>
          <w:rPr>
            <w:rStyle w:val="Hyperlink"/>
          </w:rPr>
          <w:t xml:space="preserve">1950</w:t>
        </w:r>
      </w:hyperlink>
      <w:r>
        <w:t xml:space="preserve">)</w:t>
      </w:r>
      <w:r>
        <w:t xml:space="preserve"> </w:t>
      </w:r>
      <w:r>
        <w:t xml:space="preserve">lo resume: el beneficio conjunto de las empresas de una industria es máximo cuando actúan juntas como un monopolista.</w:t>
      </w:r>
    </w:p>
    <w:bookmarkEnd w:id="153"/>
    <w:bookmarkStart w:id="170" w:name="b_modelo_6"/>
    <w:p>
      <w:pPr>
        <w:pStyle w:val="Heading4"/>
      </w:pPr>
      <w:r>
        <w:t xml:space="preserve">b) Modelo</w:t>
      </w:r>
    </w:p>
    <w:bookmarkStart w:id="154" w:name="i_supuestos_6"/>
    <w:p>
      <w:pPr>
        <w:pStyle w:val="Heading5"/>
      </w:pPr>
      <w:r>
        <w:t xml:space="preserve">i) Supuestos</w:t>
      </w:r>
    </w:p>
    <w:p>
      <w:pPr>
        <w:numPr>
          <w:ilvl w:val="0"/>
          <w:numId w:val="1075"/>
        </w:numPr>
      </w:pPr>
      <w:r>
        <w:t xml:space="preserve">2 empresas (vale para</w:t>
      </w:r>
      <w:r>
        <w:t xml:space="preserve"> </w:t>
      </w:r>
      <m:oMath>
        <m:r>
          <m:t>n</m:t>
        </m:r>
      </m:oMath>
      <w:r>
        <w:t xml:space="preserve">) con costes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venden un producto homogéneo y delegan la decisión en el cártel, que maximiza el beneficio conjunto. De momento, el acuerdo se cumple: ese supuesto se discute en las implicaciones.</w:t>
      </w:r>
    </w:p>
    <w:bookmarkEnd w:id="154"/>
    <w:bookmarkStart w:id="164" w:name="ii_desarrollo_6"/>
    <w:p>
      <w:pPr>
        <w:pStyle w:val="Heading5"/>
      </w:pPr>
      <w:r>
        <w:t xml:space="preserve">ii) Desarrollo</w:t>
      </w:r>
    </w:p>
    <w:p>
      <w:pPr>
        <w:numPr>
          <w:ilvl w:val="0"/>
          <w:numId w:val="1076"/>
        </w:numPr>
      </w:pPr>
      <w:r>
        <w:t xml:space="preserve">El cártel resuelve el mismo problema que un monopolista con 2 plantas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, y en las empresas que producen iguala el ingreso marginal de mercado con el coste marginal de cada una:</w:t>
      </w:r>
      <w:r>
        <w:t xml:space="preserve"> </w:t>
      </w:r>
      <w:bookmarkStart w:id="155" w:name="eq_cartel"/>
      <w:bookmarkEnd w:id="155"/>
    </w:p>
    <w:p>
      <w:pPr>
        <w:pStyle w:val="BodyText"/>
        <w:keepNext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Low>
              </m:e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t> 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s.a.</m:t>
                </m:r>
              </m:e>
              <m:e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mr>
            <m:mr>
              <m:e/>
              <m:e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mr>
          </m:m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76"/>
        </w:numPr>
      </w:pPr>
      <w:r>
        <w:t xml:space="preserve">Son 2 decisiones:</w:t>
      </w:r>
      <w:r>
        <w:t xml:space="preserve"> </w:t>
      </w:r>
      <w:r>
        <w:rPr>
          <w:i/>
          <w:iCs/>
        </w:rPr>
        <w:t xml:space="preserve">cuánto</w:t>
      </w:r>
      <w:r>
        <w:t xml:space="preserve"> </w:t>
      </w:r>
      <w:r>
        <w:t xml:space="preserve">producir, igualando el ingreso marginal de mercado con la suma horizontal de los costes marginales, lo que da la cantidad y el precio de monopolio,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; y</w:t>
      </w:r>
      <w:r>
        <w:t xml:space="preserve"> </w:t>
      </w:r>
      <w:r>
        <w:rPr>
          <w:i/>
          <w:iCs/>
        </w:rPr>
        <w:t xml:space="preserve">cómo repartirlo</w:t>
      </w:r>
      <w:r>
        <w:t xml:space="preserve">, igualando los costes marginales de las empresas, lo que minimiza el coste (gráfico </w:t>
      </w:r>
      <w:hyperlink w:anchor="fig_cartel_multiplanta">
        <w:r>
          <w:rPr>
            <w:rStyle w:val="Hyperlink"/>
          </w:rPr>
          <w:t xml:space="preserve">10</w:t>
        </w:r>
      </w:hyperlink>
      <w:r>
        <w:t xml:space="preserve">). Con costes marginales constantes e iguales, cualquier reparto de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sirve; con costes marginales constantes y distintos, solo produce la más eficiente, y el cártel eficiente necesita</w:t>
      </w:r>
      <w:r>
        <w:t xml:space="preserve"> </w:t>
      </w:r>
      <w:r>
        <w:rPr>
          <w:i/>
          <w:iCs/>
        </w:rPr>
        <w:t xml:space="preserve">pagos laterales</w:t>
      </w:r>
      <w:r>
        <w:t xml:space="preserve"> </w:t>
      </w:r>
      <w:r>
        <w:t xml:space="preserve">a la otra.</w:t>
      </w:r>
    </w:p>
    <w:p>
      <w:pPr>
        <w:numPr>
          <w:ilvl w:val="0"/>
          <w:numId w:val="1076"/>
        </w:numPr>
      </w:pPr>
      <w:r>
        <w:rPr>
          <w:i/>
          <w:iCs/>
        </w:rPr>
        <w:t xml:space="preserve">En el plano de cantidades</w:t>
      </w:r>
      <w:r>
        <w:t xml:space="preserve"> </w:t>
      </w:r>
      <w:r>
        <w:t xml:space="preserve">(gráfico </w:t>
      </w:r>
      <w:hyperlink w:anchor="fig_cartel">
        <w:r>
          <w:rPr>
            <w:rStyle w:val="Hyperlink"/>
          </w:rPr>
          <w:t xml:space="preserve">11</w:t>
        </w:r>
      </w:hyperlink>
      <w:r>
        <w:t xml:space="preserve">), los repartos que maximizan el beneficio conjunto son los puntos en que los isobeneficios de las 2 empresas son tangentes: la</w:t>
      </w:r>
      <w:r>
        <w:t xml:space="preserve"> </w:t>
      </w:r>
      <w:r>
        <w:rPr>
          <w:b/>
          <w:bCs/>
        </w:rPr>
        <w:t xml:space="preserve">curva de colusión</w:t>
      </w:r>
      <w:r>
        <w:t xml:space="preserve"> </w:t>
      </w:r>
      <w:r>
        <w:t xml:space="preserve">o de contrato, que une las cantidades de monopolio de cada una,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q</m:t>
                </m:r>
              </m:e>
              <m:sup>
                <m:r>
                  <m:t>M</m:t>
                </m:r>
              </m:sup>
            </m:sSup>
          </m:e>
        </m:d>
      </m:oMath>
      <w:r>
        <w:t xml:space="preserve">. El equilibrio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queda fuera de ella: las 2 ganarían moviéndose hacia la curva, dentro de la «lente» de sus isobeneficios.</w:t>
      </w:r>
    </w:p>
    <w:bookmarkStart w:id="159" w:name="fig_cartel_multiplanta"/>
    <w:p>
      <w:pPr>
        <w:pStyle w:val="ImageCaption"/>
      </w:pPr>
      <w:r>
        <w:t xml:space="preserve">Gráfico 10.–</w:t>
      </w:r>
      <w:r>
        <w:t xml:space="preserve"> </w:t>
      </w:r>
      <w:r>
        <w:t xml:space="preserve">El cártel como monopolista multiplanta: cuánto producir y cómo repartirlo</w:t>
      </w:r>
    </w:p>
    <w:p>
      <w:pPr>
        <w:pStyle w:val="CaptionedFigure"/>
      </w:pPr>
      <w:r>
        <w:drawing>
          <wp:inline>
            <wp:extent cx="5073650" cy="1988835"/>
            <wp:effectExtent b="0" l="0" r="0" t="0"/>
            <wp:docPr descr="Gráfico 10.– El cártel como monopolista multiplanta: cuánto producir y cómo repartirlo" title="" id="157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cartel-multiplanta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198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Motta</w:t>
      </w:r>
      <w:r>
        <w:t xml:space="preserve"> </w:t>
      </w:r>
      <w:r>
        <w:t xml:space="preserve">(</w:t>
      </w:r>
      <w:hyperlink w:anchor="ref_Motta2004Competition">
        <w:r>
          <w:rPr>
            <w:rStyle w:val="Hyperlink"/>
          </w:rPr>
          <w:t xml:space="preserve">2004, cap. 4</w:t>
        </w:r>
      </w:hyperlink>
      <w:r>
        <w:t xml:space="preserve">)</w:t>
      </w:r>
      <w:r>
        <w:t xml:space="preserve">.</w:t>
      </w:r>
    </w:p>
    <w:bookmarkStart w:id="163" w:name="fig_cartel"/>
    <w:p>
      <w:pPr>
        <w:pStyle w:val="ImageCaption"/>
      </w:pPr>
      <w:r>
        <w:t xml:space="preserve">Gráfico 11.–</w:t>
      </w:r>
      <w:r>
        <w:t xml:space="preserve"> </w:t>
      </w:r>
      <w:r>
        <w:t xml:space="preserve">El cártel en el plano de cantidades: curva de colusión e incentivo a desviarse</w:t>
      </w:r>
    </w:p>
    <w:p>
      <w:pPr>
        <w:pStyle w:val="CaptionedFigure"/>
      </w:pPr>
      <w:r>
        <w:drawing>
          <wp:inline>
            <wp:extent cx="3700780" cy="3301537"/>
            <wp:effectExtent b="0" l="0" r="0" t="0"/>
            <wp:docPr descr="Gráfico 11.– El cártel en el plano de cantidades: curva de colusión e incentivo a desviarse" title="" id="161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carte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30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p>
      <w:pPr>
        <w:pStyle w:val="Piedeimagen"/>
      </w:pPr>
      <w:r>
        <w:t xml:space="preserve">Fuente: elaboración propia a partir de</w:t>
      </w:r>
      <w:r>
        <w:t xml:space="preserve"> </w:t>
      </w:r>
      <w:r>
        <w:rPr>
          <w:smallCaps/>
        </w:rPr>
        <w:t xml:space="preserve">Pindyck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Rubinfeld</w:t>
      </w:r>
      <w:r>
        <w:t xml:space="preserve"> </w:t>
      </w:r>
      <w:r>
        <w:t xml:space="preserve">(</w:t>
      </w:r>
      <w:hyperlink w:anchor="ref_PindyckRubinfeld2009Microeconomia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.</w:t>
      </w:r>
    </w:p>
    <w:bookmarkEnd w:id="164"/>
    <w:bookmarkStart w:id="169" w:name="iii_implicaciones_6"/>
    <w:p>
      <w:pPr>
        <w:pStyle w:val="Heading5"/>
      </w:pPr>
      <w:r>
        <w:t xml:space="preserve">iii) Implicaciones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Colusión perfecta e imperfecta</w:t>
      </w:r>
      <w:r>
        <w:t xml:space="preserve">: la colusión es</w:t>
      </w:r>
      <w:r>
        <w:t xml:space="preserve"> </w:t>
      </w:r>
      <w:r>
        <w:rPr>
          <w:i/>
          <w:iCs/>
        </w:rPr>
        <w:t xml:space="preserve">perfecta</w:t>
      </w:r>
      <w:r>
        <w:t xml:space="preserve"> </w:t>
      </w:r>
      <w:r>
        <w:t xml:space="preserve">cuando el cártel alcanza el resultado del monopolio con el reparto que minimiza el coste; es</w:t>
      </w:r>
      <w:r>
        <w:t xml:space="preserve"> </w:t>
      </w:r>
      <w:r>
        <w:rPr>
          <w:i/>
          <w:iCs/>
        </w:rPr>
        <w:t xml:space="preserve">imperfecta</w:t>
      </w:r>
      <w:r>
        <w:t xml:space="preserve"> </w:t>
      </w:r>
      <w:r>
        <w:t xml:space="preserve">cuando el precio queda entre el no cooperativo y el de monopolio o el reparto no es eficiente, que es lo habitual: cualquier punto de la «lente» entre el equilibrio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 la curva de colusión.</w:t>
      </w:r>
    </w:p>
    <w:p>
      <w:pPr>
        <w:numPr>
          <w:ilvl w:val="0"/>
          <w:numId w:val="1077"/>
        </w:numPr>
      </w:pPr>
      <w:r>
        <w:rPr>
          <w:i/>
          <w:iCs/>
        </w:rPr>
        <w:t xml:space="preserve">El acuerdo no es un equilibrio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Nash</w:t>
      </w:r>
      <w:r>
        <w:t xml:space="preserve">. En el reparto del cártel, la empresa 1 iguala su coste marginal con el ingreso marginal de</w:t>
      </w:r>
      <w:r>
        <w:t xml:space="preserve"> </w:t>
      </w:r>
      <w:r>
        <w:rPr>
          <w:i/>
          <w:iCs/>
        </w:rPr>
        <w:t xml:space="preserve">mercado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t> </m:t>
        </m:r>
        <m:r>
          <m:t>Q</m:t>
        </m:r>
      </m:oMath>
      <w:r>
        <w:t xml:space="preserve">; pero su ingreso marginal propio es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mayor. Producir una unidad más le reporta</w:t>
      </w:r>
    </w:p>
    <w:p>
      <w:pPr>
        <w:pStyle w:val="BodyText"/>
        <w:keepNext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  <m:sty m:val="p"/>
                </m:rPr>
                <m:t>cártel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t> 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</m:e>
          </m:d>
          <m:r>
            <m:t> 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</m:oMath>
      </m:oMathPara>
    </w:p>
    <w:p>
      <w:pPr>
        <w:numPr>
          <w:ilvl w:val="0"/>
          <w:numId w:val="1000"/>
        </w:numPr>
      </w:pPr>
      <w:r>
        <w:t xml:space="preserve">cada empresa gana más produciendo por encima de su cuota, porque la bajada del precio que provoca la soporta en parte la otra (en el gráfico </w:t>
      </w:r>
      <w:hyperlink w:anchor="fig_cartel">
        <w:r>
          <w:rPr>
            <w:rStyle w:val="Hyperlink"/>
          </w:rPr>
          <w:t xml:space="preserve">11</w:t>
        </w:r>
      </w:hyperlink>
      <w:r>
        <w:t xml:space="preserve">, la flecha que lleva desde el punto del cártel hasta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). Es un</w:t>
      </w:r>
      <w:r>
        <w:t xml:space="preserve"> </w:t>
      </w:r>
      <w:r>
        <w:rPr>
          <w:b/>
          <w:bCs/>
        </w:rPr>
        <w:t xml:space="preserve">dilema del prisionero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 </w:t>
      </w:r>
      <w:r>
        <w:t xml:space="preserve">(tabla </w:t>
      </w:r>
      <w:hyperlink w:anchor="tab_cartel_dilema">
        <w:r>
          <w:rPr>
            <w:rStyle w:val="Hyperlink"/>
          </w:rPr>
          <w:t xml:space="preserve">6</w:t>
        </w:r>
      </w:hyperlink>
      <w:r>
        <w:t xml:space="preserve">): producir por encima de la cuota es una estrategia dominante, y el resultado es peor para las 2 que cumplir.</w:t>
      </w:r>
      <w:r>
        <w:rPr>
          <w:rStyle w:val="FootnoteReference"/>
        </w:rPr>
        <w:footnoteReference w:id="165"/>
      </w:r>
    </w:p>
    <w:bookmarkStart w:id="166" w:name="tab_cartel_dilema"/>
    <w:p>
      <w:pPr>
        <w:pStyle w:val="TableCaption"/>
      </w:pPr>
      <w:r>
        <w:t xml:space="preserve">Tabla 6.–</w:t>
      </w:r>
      <w:r>
        <w:t xml:space="preserve"> </w:t>
      </w:r>
      <w:r>
        <w:t xml:space="preserve">El cártel como dilema del prisionero (empresa 1, filas; beneficios en unidades de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; mejores respuestas subrayadas y equilibrio de</w:t>
      </w:r>
      <w:r>
        <w:t xml:space="preserve"> </w:t>
      </w:r>
      <w:r>
        <w:rPr>
          <w:smallCaps/>
        </w:rPr>
        <w:t xml:space="preserve">Nash</w:t>
      </w:r>
      <w:r>
        <w:t xml:space="preserve"> </w:t>
      </w:r>
      <w:r>
        <w:t xml:space="preserve">sombreado)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6.– El cártel como dilema del prisionero (empresa 1, filas; beneficios en unidades de (a-c)^2/b; mejores respuestas subrayadas y equilibrio de Nash sombreado)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vAlign w:val="center"/>
          </w:tcPr>
          <w:p/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Cumplir la cuota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q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)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Producir la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mallCaps/>
              </w:rPr>
              <w:t xml:space="preserve">Cournot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q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Cumplir la cuota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q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125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125</m:t>
                  </m:r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104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bar>
                    <m:barPr>
                      <m:pos m:val="bot"/>
                    </m:bar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139</m:t>
                      </m:r>
                    </m:e>
                  </m:bar>
                </m:e>
              </m:d>
            </m:oMath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Producir la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mallCaps/>
              </w:rPr>
              <w:t xml:space="preserve">Cournot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q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139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104</m:t>
                  </m:r>
                </m:e>
              </m:d>
            </m:oMath>
          </w:p>
        </w:tc>
        <w:tc>
          <w:tcPr>
            <w:shd w:val="clear" w:color="auto" w:fill="E2EFD9"/>
            <w:vAlign w:val="center"/>
          </w:tcPr>
          <w:p>
            <w:pPr>
              <w:pStyle w:val="Celdatceesalvia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111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bar>
                    <m:barPr>
                      <m:pos m:val="bot"/>
                    </m:bar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111</m:t>
                      </m:r>
                    </m:e>
                  </m:bar>
                </m:e>
              </m:d>
            </m:oMath>
          </w:p>
        </w:tc>
      </w:tr>
    </w:tbl>
    <w:bookmarkEnd w:id="166"/>
    <w:p>
      <w:pPr>
        <w:pStyle w:val="BodyText"/>
        <w:keepNext/>
      </w:pPr>
      <w:r>
        <w:rPr>
          <w:i/>
          <w:iCs/>
        </w:rPr>
        <w:t xml:space="preserve">Fuente: elaboración propia con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coste marginal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3</m:t>
        </m:r>
        <m:r>
          <m:t>b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78"/>
        </w:numPr>
      </w:pPr>
      <w:r>
        <w:rPr>
          <w:i/>
          <w:iCs/>
        </w:rPr>
        <w:t xml:space="preserve">Cómo se sostiene</w:t>
      </w:r>
      <w:r>
        <w:t xml:space="preserve">. El acuerdo solo se cumple si algo lo hace cumplir: un contrato que un juez pueda ejecutar, imposible porque el acuerdo es ilegal; la repetición, con la amenaza de una guerra de precios (bloque 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); o un tercero que lo imponga. Por eso los cárteles más duraderos son los que no están sujetos al derecho de la competencia, como los acuerdos entre Estados: la OPEP no es un cártel de empresas, sino de países.</w:t>
      </w:r>
      <w:r>
        <w:rPr>
          <w:rStyle w:val="FootnoteReference"/>
        </w:rPr>
        <w:footnoteReference w:id="167"/>
      </w:r>
    </w:p>
    <w:bookmarkEnd w:id="169"/>
    <w:bookmarkEnd w:id="170"/>
    <w:bookmarkStart w:id="171" w:name="c_extensiones_c__rteles_parciales__76061"/>
    <w:p>
      <w:pPr>
        <w:pStyle w:val="Heading4"/>
      </w:pPr>
      <w:r>
        <w:t xml:space="preserve">c) Extensiones: cárteles parciales y su estabilidad</w:t>
      </w:r>
    </w:p>
    <w:p>
      <w:pPr>
        <w:numPr>
          <w:ilvl w:val="0"/>
          <w:numId w:val="1079"/>
        </w:numPr>
      </w:pPr>
      <w:r>
        <w:rPr>
          <w:i/>
          <w:iCs/>
        </w:rPr>
        <w:t xml:space="preserve">Los cárteles parciales no compensan: la paradoja de las fusiones</w:t>
      </w:r>
      <w:r>
        <w:t xml:space="preserve">. En palabras sencillas: si solo una parte de las empresas se pone de acuerdo y reduce su producción, las de fuera se expanden y se quedan con buena parte de la ganancia. Con</w:t>
      </w:r>
      <w:r>
        <w:t xml:space="preserve"> </w:t>
      </w:r>
      <w:r>
        <w:rPr>
          <w:smallCaps/>
        </w:rPr>
        <w:t xml:space="preserve">Cournot</w:t>
      </w:r>
      <w:r>
        <w:t xml:space="preserve">, demanda lineal y costes constantes, una fusión (o un cártel) que reúne 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 las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reduce el beneficio conjunto de las que se unen salvo que sean casi todas, en torno al 80 % del mercado</w:t>
      </w:r>
      <w:r>
        <w:t xml:space="preserve"> </w:t>
      </w:r>
      <w:r>
        <w:t xml:space="preserve">(</w:t>
      </w:r>
      <w:hyperlink w:anchor="ref_SalantSwitzerReynolds1983Losses">
        <w:r>
          <w:rPr>
            <w:rStyle w:val="Hyperlink"/>
            <w:smallCaps/>
          </w:rPr>
          <w:t xml:space="preserve">Salant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Switzer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Reynolds</w:t>
        </w:r>
        <w:r>
          <w:rPr>
            <w:rStyle w:val="Hyperlink"/>
          </w:rPr>
          <w:t xml:space="preserve">, 1983</w:t>
        </w:r>
      </w:hyperlink>
      <w:r>
        <w:t xml:space="preserve">)</w:t>
      </w:r>
      <w:r>
        <w:t xml:space="preserve">. Con 3 empresas iguales, 2 juntas ganan menos que por separado: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de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(</w:t>
      </w:r>
      <w:hyperlink w:anchor="sec_reparto">
        <w:r>
          <w:rPr>
            <w:rStyle w:val="Hyperlink"/>
          </w:rPr>
          <w:t xml:space="preserve">III.2</w:t>
        </w:r>
      </w:hyperlink>
      <w:r>
        <w:t xml:space="preserve">).</w:t>
      </w:r>
    </w:p>
    <w:p>
      <w:pPr>
        <w:numPr>
          <w:ilvl w:val="0"/>
          <w:numId w:val="1079"/>
        </w:numPr>
      </w:pPr>
      <w:r>
        <w:rPr>
          <w:i/>
          <w:iCs/>
        </w:rPr>
        <w:t xml:space="preserve">El que se queda fuera gana más</w:t>
      </w:r>
      <w:r>
        <w:t xml:space="preserve">: en el mismo ejemplo, la empresa que no entra en el cártel de 2 gana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, más que cada miembro del cártel completo,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. Cada empresa prefiere que coludan las demás</w:t>
      </w:r>
      <w:r>
        <w:t xml:space="preserve"> </w:t>
      </w:r>
      <w:r>
        <w:t xml:space="preserve">(</w:t>
      </w:r>
      <w:hyperlink w:anchor="ref_Stigler1950Monopoly">
        <w:r>
          <w:rPr>
            <w:rStyle w:val="Hyperlink"/>
            <w:smallCaps/>
          </w:rPr>
          <w:t xml:space="preserve">Stigler</w:t>
        </w:r>
        <w:r>
          <w:rPr>
            <w:rStyle w:val="Hyperlink"/>
          </w:rPr>
          <w:t xml:space="preserve">, 1950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79"/>
        </w:numPr>
      </w:pPr>
      <w:r>
        <w:rPr>
          <w:i/>
          <w:iCs/>
        </w:rPr>
        <w:t xml:space="preserve">Estabilidad del cártel</w:t>
      </w:r>
      <w:r>
        <w:t xml:space="preserve"> </w:t>
      </w:r>
      <w:r>
        <w:t xml:space="preserve">(</w:t>
      </w:r>
      <w:hyperlink w:anchor="ref_dAspremontEtAl1983Stability">
        <w:r>
          <w:rPr>
            <w:rStyle w:val="Hyperlink"/>
            <w:smallCaps/>
          </w:rPr>
          <w:t xml:space="preserve">d’Aspremont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 al., 1983</w:t>
        </w:r>
      </w:hyperlink>
      <w:r>
        <w:t xml:space="preserve">)</w:t>
      </w:r>
      <w:r>
        <w:t xml:space="preserve">: un cártel que no reúne a todas las empresas actúa como la empresa dominante del liderazgo en precios (</w:t>
      </w:r>
      <w:hyperlink w:anchor="sec_liderazgo_precios">
        <w:r>
          <w:rPr>
            <w:rStyle w:val="Hyperlink"/>
          </w:rPr>
          <w:t xml:space="preserve">I.5</w:t>
        </w:r>
      </w:hyperlink>
      <w:r>
        <w:t xml:space="preserve">), con las de fuera como franja. Es</w:t>
      </w:r>
      <w:r>
        <w:t xml:space="preserve"> </w:t>
      </w:r>
      <w:r>
        <w:rPr>
          <w:i/>
          <w:iCs/>
        </w:rPr>
        <w:t xml:space="preserve">internamente estable</w:t>
      </w:r>
      <w:r>
        <w:t xml:space="preserve"> </w:t>
      </w:r>
      <w:r>
        <w:t xml:space="preserve">si a ningún miembro le conviene salir y</w:t>
      </w:r>
      <w:r>
        <w:t xml:space="preserve"> </w:t>
      </w:r>
      <w:r>
        <w:rPr>
          <w:i/>
          <w:iCs/>
        </w:rPr>
        <w:t xml:space="preserve">externamente estable</w:t>
      </w:r>
      <w:r>
        <w:t xml:space="preserve"> </w:t>
      </w:r>
      <w:r>
        <w:t xml:space="preserve">si a ninguna empresa de fuera le conviene entrar.</w:t>
      </w:r>
    </w:p>
    <w:p>
      <w:pPr>
        <w:numPr>
          <w:ilvl w:val="0"/>
          <w:numId w:val="1079"/>
        </w:numPr>
      </w:pPr>
      <w:r>
        <w:rPr>
          <w:i/>
          <w:iCs/>
        </w:rPr>
        <w:t xml:space="preserve">Formación de cárteles</w:t>
      </w:r>
      <w:r>
        <w:t xml:space="preserve">: si las empresas deciden primero si se unen y después compiten, el cártel se forma cuando son pocas y no cuando son muchas</w:t>
      </w:r>
      <w:r>
        <w:t xml:space="preserve"> </w:t>
      </w:r>
      <w:r>
        <w:t xml:space="preserve">(</w:t>
      </w:r>
      <w:hyperlink w:anchor="ref_Selten1973Simple">
        <w:r>
          <w:rPr>
            <w:rStyle w:val="Hyperlink"/>
            <w:smallCaps/>
          </w:rPr>
          <w:t xml:space="preserve">Selten</w:t>
        </w:r>
        <w:r>
          <w:rPr>
            <w:rStyle w:val="Hyperlink"/>
          </w:rPr>
          <w:t xml:space="preserve">, 1973</w:t>
        </w:r>
      </w:hyperlink>
      <w:r>
        <w:t xml:space="preserve">)</w:t>
      </w:r>
      <w:r>
        <w:t xml:space="preserve">.</w:t>
      </w:r>
    </w:p>
    <w:bookmarkEnd w:id="171"/>
    <w:bookmarkStart w:id="172" w:name="d_valoraci__n"/>
    <w:p>
      <w:pPr>
        <w:pStyle w:val="Heading4"/>
      </w:pPr>
      <w:r>
        <w:t xml:space="preserve">d) Valoración</w:t>
      </w:r>
    </w:p>
    <w:p>
      <w:pPr>
        <w:numPr>
          <w:ilvl w:val="0"/>
          <w:numId w:val="1080"/>
        </w:numPr>
      </w:pPr>
      <w:r>
        <w:t xml:space="preserve">El modelo dice cuánto gana el cártel, pero no cómo se reparte, y el reparto importa: con costes distintos, la cantidad que minimiza el coste puede dejar a una empresa sin producir. ¿Por qué iba a aceptarlo? Es el problema del apartado siguiente.</w:t>
      </w:r>
    </w:p>
    <w:bookmarkEnd w:id="172"/>
    <w:bookmarkEnd w:id="173"/>
    <w:bookmarkStart w:id="180" w:name="sec_reparto"/>
    <w:p>
      <w:pPr>
        <w:pStyle w:val="Heading2"/>
      </w:pPr>
      <w:r>
        <w:t xml:space="preserve">III.2.</w:t>
      </w:r>
      <w:r>
        <w:t xml:space="preserve"> </w:t>
      </w:r>
      <w:r>
        <w:t xml:space="preserve">El reparto de las ganancias: negociación, núcleo y valor de</w:t>
      </w:r>
      <w:r>
        <w:t xml:space="preserve"> </w:t>
      </w:r>
      <w:r>
        <w:rPr>
          <w:smallCaps/>
        </w:rPr>
        <w:t xml:space="preserve">Shapley</w:t>
      </w:r>
    </w:p>
    <w:bookmarkStart w:id="174" w:name="a_idea_7"/>
    <w:p>
      <w:pPr>
        <w:pStyle w:val="Heading4"/>
      </w:pPr>
      <w:r>
        <w:t xml:space="preserve">a) Idea</w:t>
      </w:r>
    </w:p>
    <w:p>
      <w:pPr>
        <w:numPr>
          <w:ilvl w:val="0"/>
          <w:numId w:val="1081"/>
        </w:numPr>
      </w:pPr>
      <w:r>
        <w:t xml:space="preserve">El cártel fija el tamaño del pastel, el beneficio de monopolio</w:t>
      </w:r>
      <w: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</m:sup>
        </m:sSup>
      </m:oMath>
      <w:r>
        <w:t xml:space="preserve">, pero no cómo se reparte. Si el acuerdo puede hacerse cumplir, el reparto es un problema de</w:t>
      </w:r>
      <w:r>
        <w:t xml:space="preserve"> </w:t>
      </w:r>
      <w:r>
        <w:rPr>
          <w:b/>
          <w:bCs/>
        </w:rPr>
        <w:t xml:space="preserve">teoría de juegos cooperativa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: con 2 empresas, una negociación; con más, también importa qué coaliciones pueden formarse. En palabras sencillas: cada empresa recibe al menos lo que ganaría sin acuerdo, y el resto se reparte según su poder de negociación o su aportación.</w:t>
      </w:r>
    </w:p>
    <w:bookmarkEnd w:id="174"/>
    <w:bookmarkStart w:id="178" w:name="b_modelo_7"/>
    <w:p>
      <w:pPr>
        <w:pStyle w:val="Heading4"/>
      </w:pPr>
      <w:r>
        <w:t xml:space="preserve">b) Modelo</w:t>
      </w:r>
    </w:p>
    <w:bookmarkStart w:id="175" w:name="i_supuestos_7"/>
    <w:p>
      <w:pPr>
        <w:pStyle w:val="Heading5"/>
      </w:pPr>
      <w:r>
        <w:t xml:space="preserve">i) Supuestos</w:t>
      </w:r>
    </w:p>
    <w:p>
      <w:pPr>
        <w:numPr>
          <w:ilvl w:val="0"/>
          <w:numId w:val="1082"/>
        </w:numPr>
      </w:pPr>
      <w:r>
        <w:t xml:space="preserve">Acuerdos vinculantes y</w:t>
      </w:r>
      <w:r>
        <w:t xml:space="preserve"> </w:t>
      </w:r>
      <w:r>
        <w:rPr>
          <w:b/>
          <w:bCs/>
        </w:rPr>
        <w:t xml:space="preserve">utilidad transferible</w:t>
      </w:r>
      <w:r>
        <w:t xml:space="preserve">: el beneficio puede redistribuirse con pagos entre las empresas.</w:t>
      </w:r>
    </w:p>
    <w:p>
      <w:pPr>
        <w:numPr>
          <w:ilvl w:val="0"/>
          <w:numId w:val="1082"/>
        </w:numPr>
      </w:pPr>
      <w:r>
        <w:t xml:space="preserve">Si no hay acuerdo, se compite: el</w:t>
      </w:r>
      <w:r>
        <w:t xml:space="preserve"> </w:t>
      </w:r>
      <w:r>
        <w:rPr>
          <w:b/>
          <w:bCs/>
        </w:rPr>
        <w:t xml:space="preserve">punto de desacuerdo</w:t>
      </w:r>
      <w:r>
        <w:t xml:space="preserve"> </w:t>
      </w:r>
      <w:r>
        <w:t xml:space="preserve">es el beneficio del equilibrio no cooperativo (aquí, el de</w:t>
      </w:r>
      <w:r>
        <w:t xml:space="preserve"> </w:t>
      </w:r>
      <w:r>
        <w:rPr>
          <w:smallCaps/>
        </w:rPr>
        <w:t xml:space="preserve">Cournot</w:t>
      </w:r>
      <w:r>
        <w:t xml:space="preserve">),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 Así, las soluciones no cooperativas del bloque </w:t>
      </w:r>
      <w:hyperlink w:anchor="sec_analisis_estatico">
        <w:r>
          <w:rPr>
            <w:rStyle w:val="Hyperlink"/>
          </w:rPr>
          <w:t xml:space="preserve">I</w:t>
        </w:r>
      </w:hyperlink>
      <w:r>
        <w:t xml:space="preserve"> </w:t>
      </w:r>
      <w:r>
        <w:t xml:space="preserve">fijan lo que cada empresa puede exigir.</w:t>
      </w:r>
    </w:p>
    <w:bookmarkEnd w:id="175"/>
    <w:bookmarkStart w:id="176" w:name="ii_desarrollo_7"/>
    <w:p>
      <w:pPr>
        <w:pStyle w:val="Heading5"/>
      </w:pPr>
      <w:r>
        <w:t xml:space="preserve">ii) Desarrollo</w:t>
      </w:r>
    </w:p>
    <w:p>
      <w:pPr>
        <w:numPr>
          <w:ilvl w:val="0"/>
          <w:numId w:val="1083"/>
        </w:numPr>
      </w:pPr>
      <w:r>
        <w:rPr>
          <w:i/>
          <w:iCs/>
        </w:rPr>
        <w:t xml:space="preserve">2 empresas: la solución de negociación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Nash</w:t>
      </w:r>
      <w:r>
        <w:t xml:space="preserve"> </w:t>
      </w:r>
      <w:r>
        <w:t xml:space="preserve">(</w:t>
      </w:r>
      <w:hyperlink w:anchor="ref_Nash1950Bargaining">
        <w:r>
          <w:rPr>
            <w:rStyle w:val="Hyperlink"/>
            <w:smallCaps/>
          </w:rPr>
          <w:t xml:space="preserve">Nash</w:t>
        </w:r>
        <w:r>
          <w:rPr>
            <w:rStyle w:val="Hyperlink"/>
          </w:rPr>
          <w:t xml:space="preserve">, 1950b</w:t>
        </w:r>
      </w:hyperlink>
      <w:r>
        <w:t xml:space="preserve">)</w:t>
      </w:r>
      <w:r>
        <w:t xml:space="preserve">. Con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el poder de negociación de la empresa 1, el reparto resuelve</w:t>
      </w:r>
    </w:p>
    <w:p>
      <w:pPr>
        <w:pStyle w:val="BodyText"/>
        <w:keepNext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Low>
              </m:e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γ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0</m:t>
                    </m:r>
                  </m:sup>
                </m:sSub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s.a.</m:t>
                </m:r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B</m:t>
                    </m:r>
                  </m:e>
                  <m:sup>
                    <m:r>
                      <m:t>M</m:t>
                    </m:r>
                  </m:sup>
                </m:sSup>
              </m:e>
            </m:mr>
            <m:mr>
              <m:e/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0</m:t>
                    </m:r>
                  </m:sup>
                </m:sSubSup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y cada empresa recibe su beneficio sin acuerdo más una parte del excedente que crea el cártel:</w:t>
      </w:r>
    </w:p>
    <w:p>
      <w:pPr>
        <w:pStyle w:val="BodyText"/>
        <w:keepNext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+</m:t>
          </m:r>
          <m:r>
            <m:t>γ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B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2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B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2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83"/>
        </w:numPr>
      </w:pPr>
      <w:r>
        <w:rPr>
          <w:i/>
          <w:iCs/>
        </w:rPr>
        <w:t xml:space="preserve">Ejemplo con costes distintos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−</m:t>
        </m:r>
        <m:r>
          <m:t>Q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 Sin acuerdo (</w:t>
      </w:r>
      <w:r>
        <w:rPr>
          <w:smallCaps/>
        </w:rPr>
        <w:t xml:space="preserve">Cournot</w:t>
      </w:r>
      <w:r>
        <w:t xml:space="preserve">):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B</m:t>
            </m:r>
          </m:e>
          <m:sub>
            <m:r>
              <m:t>2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. El cártel produce solo con la empresa eficiente,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7</m:t>
        </m:r>
      </m:oMath>
      <w:r>
        <w:t xml:space="preserve">, y gana</w:t>
      </w:r>
      <w: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: un excedente de 7. Con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la empresa 1 se queda 28,5 y paga 7,5 a la 2 para que no produzca. Sin esos pagos, que serían la prueba del delito, el cártel tendría que dejar producir a la empresa 2 y ganaría menos.</w:t>
      </w:r>
    </w:p>
    <w:p>
      <w:pPr>
        <w:numPr>
          <w:ilvl w:val="0"/>
          <w:numId w:val="1083"/>
        </w:numPr>
      </w:pPr>
      <w:r>
        <w:rPr>
          <w:i/>
          <w:iCs/>
        </w:rPr>
        <w:t xml:space="preserve">3 o más empresas: núcleo y valor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Shapley</w:t>
      </w:r>
      <w:r>
        <w:t xml:space="preserve">. Sea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lo que gana la coalición</w:t>
      </w:r>
      <w:r>
        <w:t xml:space="preserve"> </w:t>
      </w:r>
      <m:oMath>
        <m:r>
          <m:t>T</m:t>
        </m:r>
        <m:r>
          <m:rPr>
            <m:sty m:val="p"/>
          </m:rPr>
          <m:t>⊆</m:t>
        </m:r>
        <m:r>
          <m:t>N</m:t>
        </m:r>
      </m:oMath>
      <w:r>
        <w:t xml:space="preserve"> </w:t>
      </w:r>
      <w:r>
        <w:t xml:space="preserve">si actúa como una sola empresa y las demás compiten con ella por separado, a la</w:t>
      </w:r>
      <w:r>
        <w:t xml:space="preserve"> </w:t>
      </w:r>
      <w:r>
        <w:rPr>
          <w:smallCaps/>
        </w:rPr>
        <w:t xml:space="preserve">Cournot</w:t>
      </w:r>
      <w:r>
        <w:t xml:space="preserve">. Con 3 empresas iguales,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competidores cada uno gana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BodyText"/>
        <w:keepNext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78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numPr>
          <w:ilvl w:val="1"/>
          <w:numId w:val="108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núcleo</w:t>
      </w:r>
      <w:r>
        <w:t xml:space="preserve">, los repartos de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que ninguna coalición puede mejorar por su cuenta</w:t>
      </w:r>
      <w:r>
        <w:t xml:space="preserve"> </w:t>
      </w:r>
      <w:r>
        <w:t xml:space="preserve">(</w:t>
      </w:r>
      <w:hyperlink w:anchor="ref_Gillies1959Solutions">
        <w:r>
          <w:rPr>
            <w:rStyle w:val="Hyperlink"/>
            <w:smallCaps/>
          </w:rPr>
          <w:t xml:space="preserve">Gillies</w:t>
        </w:r>
        <w:r>
          <w:rPr>
            <w:rStyle w:val="Hyperlink"/>
          </w:rPr>
          <w:t xml:space="preserve">, 1959</w:t>
        </w:r>
      </w:hyperlink>
      <w:r>
        <w:t xml:space="preserve">)</w:t>
      </w:r>
      <w:r>
        <w:t xml:space="preserve">, es aquí</w:t>
      </w:r>
      <w:r>
        <w:t xml:space="preserve"> </w:t>
      </w:r>
      <m:oMath>
        <m:r>
          <m:rPr>
            <m:sty m:val="p"/>
            <m:scr m:val="script"/>
          </m:rPr>
          <m:t>C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:</m:t>
        </m:r>
        <m:r>
          <m:t> 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(la condición de las parejas,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16</m:t>
        </m:r>
        <m:r>
          <m:rPr>
            <m:sty m:val="p"/>
          </m:rPr>
          <m:t>/</m:t>
        </m:r>
        <m:r>
          <m:t>9</m:t>
        </m:r>
      </m:oMath>
      <w:r>
        <w:t xml:space="preserve">, se cumple siempre que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): el cártel completo puede repartirse de forma que nadie quiera romperlo para formar otro menor.</w:t>
      </w:r>
    </w:p>
    <w:p>
      <w:pPr>
        <w:numPr>
          <w:ilvl w:val="1"/>
          <w:numId w:val="108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valor de</w:t>
      </w:r>
      <w:r>
        <w:rPr>
          <w:b/>
          <w:bCs/>
        </w:rPr>
        <w:t xml:space="preserve"> </w:t>
      </w:r>
      <w:r>
        <w:rPr>
          <w:b/>
          <w:bCs/>
          <w:smallCaps/>
        </w:rPr>
        <w:t xml:space="preserve">Shapley</w:t>
      </w:r>
      <w:r>
        <w:t xml:space="preserve">, la aportación marginal media de cada empresa en todos los órdenes de llegada</w:t>
      </w:r>
      <w:r>
        <w:t xml:space="preserve"> </w:t>
      </w:r>
      <w:r>
        <w:t xml:space="preserve">(</w:t>
      </w:r>
      <w:hyperlink w:anchor="ref_Shapley1953Value">
        <w:r>
          <w:rPr>
            <w:rStyle w:val="Hyperlink"/>
            <w:smallCaps/>
          </w:rPr>
          <w:t xml:space="preserve">Shapley</w:t>
        </w:r>
        <w:r>
          <w:rPr>
            <w:rStyle w:val="Hyperlink"/>
          </w:rPr>
          <w:t xml:space="preserve">, 1953</w:t>
        </w:r>
      </w:hyperlink>
      <w:r>
        <w:t xml:space="preserve">)</w:t>
      </w:r>
      <w:r>
        <w:t xml:space="preserve">, es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para las 3: la primera en llegar aporta 1, la segunda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y la tercera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9</m:t>
        </m:r>
      </m:oMath>
      <w:r>
        <w:t xml:space="preserve">, que en media dan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. Está en el núcleo.</w:t>
      </w:r>
    </w:p>
    <w:bookmarkEnd w:id="176"/>
    <w:bookmarkStart w:id="177" w:name="iii_implicaciones_7"/>
    <w:p>
      <w:pPr>
        <w:pStyle w:val="Heading5"/>
      </w:pPr>
      <w:r>
        <w:t xml:space="preserve">iii) Implicaciones</w:t>
      </w:r>
    </w:p>
    <w:p>
      <w:pPr>
        <w:numPr>
          <w:ilvl w:val="0"/>
          <w:numId w:val="1085"/>
        </w:numPr>
      </w:pPr>
      <w:r>
        <w:t xml:space="preserve">El reparto refleja las</w:t>
      </w:r>
      <w:r>
        <w:t xml:space="preserve"> </w:t>
      </w:r>
      <w:r>
        <w:rPr>
          <w:i/>
          <w:iCs/>
        </w:rPr>
        <w:t xml:space="preserve">opciones externas</w:t>
      </w:r>
      <w:r>
        <w:t xml:space="preserve"> </w:t>
      </w:r>
      <w:r>
        <w:t xml:space="preserve">(lo que cada una ganaría compitiendo) y el poder de negociación: la empresa eficiente se lleva más, y la ineficiente puede cobrar por no producir.</w:t>
      </w:r>
    </w:p>
    <w:p>
      <w:pPr>
        <w:numPr>
          <w:ilvl w:val="0"/>
          <w:numId w:val="1085"/>
        </w:numPr>
      </w:pPr>
      <w:r>
        <w:rPr>
          <w:i/>
          <w:iCs/>
        </w:rPr>
        <w:t xml:space="preserve">Los cárteles parciales no compensan</w:t>
      </w:r>
      <w:r>
        <w:t xml:space="preserve">: en el ejemplo, 2 empresas juntas ganan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&lt;</m:t>
        </m:r>
        <m:r>
          <m:t>2</m:t>
        </m:r>
      </m:oMath>
      <w:r>
        <w:t xml:space="preserve">, menos que separadas, porque la tercera se expande: es la paradoja de las fusiones 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).</w:t>
      </w:r>
    </w:p>
    <w:p>
      <w:pPr>
        <w:numPr>
          <w:ilvl w:val="0"/>
          <w:numId w:val="1085"/>
        </w:numPr>
      </w:pPr>
      <w:r>
        <w:rPr>
          <w:i/>
          <w:iCs/>
        </w:rPr>
        <w:t xml:space="preserve">La estabilidad cooperativa no es la estabilidad no cooperativa</w:t>
      </w:r>
      <w:r>
        <w:t xml:space="preserve">: el reparto de</w:t>
      </w:r>
      <w:r>
        <w:t xml:space="preserve"> </w:t>
      </w:r>
      <w:r>
        <w:rPr>
          <w:smallCaps/>
        </w:rPr>
        <w:t xml:space="preserve">Shapley</w:t>
      </w:r>
      <w:r>
        <w:t xml:space="preserve"> </w:t>
      </w:r>
      <w:r>
        <w:t xml:space="preserve">está en el núcleo, pero cada empresa preferiría que se coludieran las otras 2 y quedarse fuera, porque ganaría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. El núcleo dice que ninguna coalición quiere romper el acuerdo; no que a cada empresa le convenga cumplirlo. Por eso el núcleo no basta: hace falta que el acuerdo se pueda hacer cumplir.</w:t>
      </w:r>
    </w:p>
    <w:bookmarkEnd w:id="177"/>
    <w:bookmarkEnd w:id="178"/>
    <w:bookmarkStart w:id="179" w:name="c_valoraci__n_2"/>
    <w:p>
      <w:pPr>
        <w:pStyle w:val="Heading4"/>
      </w:pPr>
      <w:r>
        <w:t xml:space="preserve">c) Valoración</w:t>
      </w:r>
    </w:p>
    <w:p>
      <w:pPr>
        <w:numPr>
          <w:ilvl w:val="0"/>
          <w:numId w:val="1086"/>
        </w:numPr>
      </w:pPr>
      <w:r>
        <w:t xml:space="preserve">La teoría de juegos cooperativa supone acuerdos vinculantes y pagos entre las partes, justo lo que un cártel no puede tener a la vista de un juez. Por eso describe mejor la cooperación legal entre empresas (empresas conjuntas, consorcios de I+D, alianzas, reparto de los costes de una infraestructura común) que los cárteles, cuyo reparto real suele hacerse con cuotas de mercado o de clientes basadas en las ventas históricas, más fáciles de vigilar. Y, aunque el reparto sea aceptable para todos, el cártel sigue expuesto a 2 amenazas externas: la entrada y la ley.</w:t>
      </w:r>
    </w:p>
    <w:bookmarkEnd w:id="179"/>
    <w:bookmarkEnd w:id="180"/>
    <w:bookmarkStart w:id="186" w:name="sec_limites_cooperacion"/>
    <w:p>
      <w:pPr>
        <w:pStyle w:val="Heading2"/>
      </w:pPr>
      <w:r>
        <w:t xml:space="preserve">III.3.</w:t>
      </w:r>
      <w:r>
        <w:t xml:space="preserve"> </w:t>
      </w:r>
      <w:r>
        <w:t xml:space="preserve">Los límites de la cooperación: la entrada y la defensa de la competencia</w:t>
      </w:r>
    </w:p>
    <w:p>
      <w:pPr>
        <w:numPr>
          <w:ilvl w:val="0"/>
          <w:numId w:val="1087"/>
        </w:numPr>
      </w:pPr>
      <w:r>
        <w:t xml:space="preserve">Además de su inestabilidad interna, la colusión tiene 2 límites externos: la entrada de competidores atraídos por los beneficios y la política de competencia.</w:t>
      </w:r>
    </w:p>
    <w:bookmarkStart w:id="182" w:name="a_la_amenaza_de_entrada"/>
    <w:p>
      <w:pPr>
        <w:pStyle w:val="Heading4"/>
      </w:pPr>
      <w:r>
        <w:t xml:space="preserve">a) La amenaza de entrada</w:t>
      </w:r>
    </w:p>
    <w:p>
      <w:pPr>
        <w:numPr>
          <w:ilvl w:val="0"/>
          <w:numId w:val="1088"/>
        </w:numPr>
      </w:pPr>
      <w:r>
        <w:t xml:space="preserve">Todos los modelos anteriores suponen un número fijo de empresas. Si hay beneficios extraordinarios, entrarán otras, salvo que haya</w:t>
      </w:r>
      <w:r>
        <w:t xml:space="preserve"> </w:t>
      </w:r>
      <w:r>
        <w:rPr>
          <w:b/>
          <w:bCs/>
        </w:rPr>
        <w:t xml:space="preserve">barreras de entrada</w:t>
      </w:r>
      <w:r>
        <w:t xml:space="preserve">: legales, de acceso a los factores, técnicas (economías de escala) o estratégicas, levantadas por las propias empresas instaladas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.</w:t>
      </w:r>
    </w:p>
    <w:p>
      <w:pPr>
        <w:numPr>
          <w:ilvl w:val="0"/>
          <w:numId w:val="1088"/>
        </w:numPr>
      </w:pPr>
      <w:r>
        <w:rPr>
          <w:i/>
          <w:iCs/>
        </w:rPr>
        <w:t xml:space="preserve">Disuasión estratégica</w:t>
      </w:r>
      <w:r>
        <w:t xml:space="preserve">: el</w:t>
      </w:r>
      <w:r>
        <w:t xml:space="preserve"> </w:t>
      </w:r>
      <w:r>
        <w:rPr>
          <w:b/>
          <w:bCs/>
        </w:rPr>
        <w:t xml:space="preserve">precio límite</w:t>
      </w:r>
      <w:r>
        <w:t xml:space="preserve">, un precio por debajo del de monopolio que dejaría sin beneficio a quien entrase</w:t>
      </w:r>
      <w:r>
        <w:t xml:space="preserve"> </w:t>
      </w:r>
      <w:r>
        <w:t xml:space="preserve">(</w:t>
      </w:r>
      <w:hyperlink w:anchor="ref_Bain1956Barriers">
        <w:r>
          <w:rPr>
            <w:rStyle w:val="Hyperlink"/>
            <w:smallCaps/>
          </w:rPr>
          <w:t xml:space="preserve">Bain</w:t>
        </w:r>
        <w:r>
          <w:rPr>
            <w:rStyle w:val="Hyperlink"/>
          </w:rPr>
          <w:t xml:space="preserve">, 1956</w:t>
        </w:r>
      </w:hyperlink>
      <w:r>
        <w:t xml:space="preserve">;</w:t>
      </w:r>
      <w:r>
        <w:t xml:space="preserve"> </w:t>
      </w:r>
      <w:hyperlink w:anchor="ref_Modigliani1958New">
        <w:r>
          <w:rPr>
            <w:rStyle w:val="Hyperlink"/>
            <w:smallCaps/>
          </w:rPr>
          <w:t xml:space="preserve">Modigliani</w:t>
        </w:r>
        <w:r>
          <w:rPr>
            <w:rStyle w:val="Hyperlink"/>
          </w:rPr>
          <w:t xml:space="preserve">, 1958</w:t>
        </w:r>
      </w:hyperlink>
      <w:r>
        <w:t xml:space="preserve">)</w:t>
      </w:r>
      <w:r>
        <w:t xml:space="preserve">, solo disuade si la amenaza de mantener la producción tras la entrada es creíble, es decir, si forma parte de un ENPS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; lo es si la empresa instalada se compromete antes con una inversión irreversible en capacidad</w:t>
      </w:r>
      <w:r>
        <w:t xml:space="preserve"> </w:t>
      </w:r>
      <w:r>
        <w:t xml:space="preserve">(</w:t>
      </w:r>
      <w:hyperlink w:anchor="ref_Dixit1980Role">
        <w:r>
          <w:rPr>
            <w:rStyle w:val="Hyperlink"/>
            <w:smallCaps/>
          </w:rPr>
          <w:t xml:space="preserve">Dixit</w:t>
        </w:r>
        <w:r>
          <w:rPr>
            <w:rStyle w:val="Hyperlink"/>
          </w:rPr>
          <w:t xml:space="preserve">, 1980</w:t>
        </w:r>
      </w:hyperlink>
      <w:r>
        <w:t xml:space="preserve">)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.</w:t>
      </w:r>
    </w:p>
    <w:p>
      <w:pPr>
        <w:keepNext/>
        <w:numPr>
          <w:ilvl w:val="0"/>
          <w:numId w:val="1088"/>
        </w:numPr>
      </w:pPr>
      <w:r>
        <w:rPr>
          <w:i/>
          <w:iCs/>
        </w:rPr>
        <w:t xml:space="preserve">Mercados impugnables (contestables)</w:t>
      </w:r>
      <w:r>
        <w:t xml:space="preserve"> </w:t>
      </w:r>
      <w:r>
        <w:t xml:space="preserve">(</w:t>
      </w:r>
      <w:hyperlink w:anchor="ref_Baumol1982Contestable">
        <w:r>
          <w:rPr>
            <w:rStyle w:val="Hyperlink"/>
            <w:smallCaps/>
          </w:rPr>
          <w:t xml:space="preserve">Baumol</w:t>
        </w:r>
        <w:r>
          <w:rPr>
            <w:rStyle w:val="Hyperlink"/>
          </w:rPr>
          <w:t xml:space="preserve">, 1982</w:t>
        </w:r>
      </w:hyperlink>
      <w:r>
        <w:t xml:space="preserve">;</w:t>
      </w:r>
      <w:r>
        <w:t xml:space="preserve"> </w:t>
      </w:r>
      <w:hyperlink w:anchor="ref_BaumolPanzarWillig1982Contestable">
        <w:r>
          <w:rPr>
            <w:rStyle w:val="Hyperlink"/>
            <w:smallCaps/>
          </w:rPr>
          <w:t xml:space="preserve">Baumol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Panzar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Willig</w:t>
        </w:r>
        <w:r>
          <w:rPr>
            <w:rStyle w:val="Hyperlink"/>
          </w:rPr>
          <w:t xml:space="preserve">, 1982</w:t>
        </w:r>
      </w:hyperlink>
      <w:r>
        <w:t xml:space="preserve">)</w:t>
      </w:r>
      <w:r>
        <w:t xml:space="preserve">. Si se cumplen 3 condiciones:</w:t>
      </w:r>
    </w:p>
    <w:p>
      <w:pPr>
        <w:numPr>
          <w:ilvl w:val="1"/>
          <w:numId w:val="1089"/>
        </w:numPr>
      </w:pPr>
      <w:r>
        <w:t xml:space="preserve">no hay</w:t>
      </w:r>
      <w:r>
        <w:t xml:space="preserve"> </w:t>
      </w:r>
      <w:r>
        <w:rPr>
          <w:i/>
          <w:iCs/>
        </w:rPr>
        <w:t xml:space="preserve">costes hundidos</w:t>
      </w:r>
      <w:r>
        <w:t xml:space="preserve">: entrar puede costar, pero lo invertido se recupera al salir;</w:t>
      </w:r>
    </w:p>
    <w:p>
      <w:pPr>
        <w:numPr>
          <w:ilvl w:val="1"/>
          <w:numId w:val="1089"/>
        </w:numPr>
      </w:pPr>
      <w:r>
        <w:t xml:space="preserve">los entrantes tienen acceso a la</w:t>
      </w:r>
      <w:r>
        <w:t xml:space="preserve"> </w:t>
      </w:r>
      <w:r>
        <w:rPr>
          <w:i/>
          <w:iCs/>
        </w:rPr>
        <w:t xml:space="preserve">misma tecnología</w:t>
      </w:r>
      <w:r>
        <w:t xml:space="preserve"> </w:t>
      </w:r>
      <w:r>
        <w:t xml:space="preserve">y a los mismos costes que las instaladas;</w:t>
      </w:r>
    </w:p>
    <w:p>
      <w:pPr>
        <w:numPr>
          <w:ilvl w:val="1"/>
          <w:numId w:val="1089"/>
        </w:numPr>
      </w:pPr>
      <w:r>
        <w:t xml:space="preserve">las instaladas tardan en cambiar sus precios más que los consumidores en cambiar de proveedor (</w:t>
      </w:r>
      <w:r>
        <w:rPr>
          <w:i/>
          <w:iCs/>
        </w:rPr>
        <w:t xml:space="preserve">retardo de reacción</w:t>
      </w:r>
      <w:r>
        <w:t xml:space="preserve">),</w:t>
      </w:r>
    </w:p>
    <w:p>
      <w:pPr>
        <w:numPr>
          <w:ilvl w:val="0"/>
          <w:numId w:val="1000"/>
        </w:numPr>
      </w:pPr>
      <w:r>
        <w:t xml:space="preserve">la sola amenaza de una entrada fugaz (</w:t>
      </w:r>
      <w:r>
        <w:rPr>
          <w:i/>
          <w:iCs/>
        </w:rPr>
        <w:t xml:space="preserve">hit and run</w:t>
      </w:r>
      <w:r>
        <w:t xml:space="preserve">) obliga a cobrar el coste medio, aunque haya pocas empresas o una sola. La implicación es que a la política de competencia le importan más las barreras y los costes hundidos que el número de empresas.</w:t>
      </w:r>
      <w:r>
        <w:rPr>
          <w:rStyle w:val="FootnoteReference"/>
        </w:rPr>
        <w:footnoteReference w:id="181"/>
      </w:r>
    </w:p>
    <w:p>
      <w:pPr>
        <w:numPr>
          <w:ilvl w:val="0"/>
          <w:numId w:val="1088"/>
        </w:numPr>
      </w:pPr>
      <w:r>
        <w:t xml:space="preserve">La colusión puede extenderse a la entrada: precios predatorios o compras de competidores potenciales para eliminarlos (</w:t>
      </w:r>
      <w:r>
        <w:rPr>
          <w:i/>
          <w:iCs/>
        </w:rPr>
        <w:t xml:space="preserve">killer acquisitions</w:t>
      </w:r>
      <w:r>
        <w:t xml:space="preserve">)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 </w:t>
      </w:r>
      <w:hyperlink r:id="rId26">
        <w:r>
          <w:rPr>
            <w:rStyle w:val="Referenciaatema"/>
          </w:rPr>
          <w:t xml:space="preserve">[ver tema 3.B.39]</w:t>
        </w:r>
      </w:hyperlink>
      <w:r>
        <w:t xml:space="preserve">.</w:t>
      </w:r>
    </w:p>
    <w:bookmarkEnd w:id="182"/>
    <w:bookmarkStart w:id="185" w:name="b_la_defensa_de_la_competencia"/>
    <w:p>
      <w:pPr>
        <w:pStyle w:val="Heading4"/>
      </w:pPr>
      <w:r>
        <w:t xml:space="preserve">b) La defensa de la competencia</w:t>
      </w:r>
    </w:p>
    <w:p>
      <w:pPr>
        <w:numPr>
          <w:ilvl w:val="0"/>
          <w:numId w:val="1090"/>
        </w:numPr>
      </w:pPr>
      <w:r>
        <w:rPr>
          <w:i/>
          <w:iCs/>
        </w:rPr>
        <w:t xml:space="preserve">Prohibición</w:t>
      </w:r>
      <w:r>
        <w:t xml:space="preserve">: el art. 101 del Tratado de Funcionamiento de la Unión Europea (TFUE) prohíbe los acuerdos entre empresas, las decisiones de asociaciones de empresas y las prácticas concertadas que puedan afectar al comercio entre los Estados miembros y que tengan por objeto o efecto restringir la competencia</w:t>
      </w:r>
      <w:r>
        <w:t xml:space="preserve"> </w:t>
      </w:r>
      <w:r>
        <w:t xml:space="preserve">(</w:t>
      </w:r>
      <w:hyperlink w:anchor="ref_UE2016TFUE">
        <w:r>
          <w:rPr>
            <w:rStyle w:val="Hyperlink"/>
            <w:smallCaps/>
          </w:rPr>
          <w:t xml:space="preserve">Unión Europea</w:t>
        </w:r>
        <w:r>
          <w:rPr>
            <w:rStyle w:val="Hyperlink"/>
          </w:rPr>
          <w:t xml:space="preserve">, 2016</w:t>
        </w:r>
      </w:hyperlink>
      <w:r>
        <w:t xml:space="preserve">)</w:t>
      </w:r>
      <w:r>
        <w:t xml:space="preserve">, y el art. 1 de la Ley 15/2007, de Defensa de la Competencia, hace lo mismo en España</w:t>
      </w:r>
      <w:r>
        <w:t xml:space="preserve"> </w:t>
      </w:r>
      <w:r>
        <w:t xml:space="preserve">(</w:t>
      </w:r>
      <w:hyperlink w:anchor="ref_BOE2007LDC">
        <w:r>
          <w:rPr>
            <w:rStyle w:val="Hyperlink"/>
            <w:smallCaps/>
          </w:rPr>
          <w:t xml:space="preserve">Jefatura del Estado</w:t>
        </w:r>
        <w:r>
          <w:rPr>
            <w:rStyle w:val="Hyperlink"/>
          </w:rPr>
          <w:t xml:space="preserve">, 2007</w:t>
        </w:r>
      </w:hyperlink>
      <w:r>
        <w:t xml:space="preserve">)</w:t>
      </w:r>
      <w:r>
        <w:t xml:space="preserve">. Los cárteles son infracciones muy graves, con multas de hasta el 10 % del volumen de negocios total de la empresa (art. 63 de la Ley 15/2007).</w:t>
      </w:r>
      <w:r>
        <w:rPr>
          <w:rStyle w:val="FootnoteReference"/>
        </w:rPr>
        <w:footnoteReference w:id="183"/>
      </w:r>
    </w:p>
    <w:p>
      <w:pPr>
        <w:numPr>
          <w:ilvl w:val="0"/>
          <w:numId w:val="1090"/>
        </w:numPr>
      </w:pPr>
      <w:r>
        <w:rPr>
          <w:i/>
          <w:iCs/>
        </w:rPr>
        <w:t xml:space="preserve">El problema de la prueba</w:t>
      </w:r>
      <w:r>
        <w:t xml:space="preserve">: la teoría dice que se puede coludir sin acuerdo, pero el derecho sanciona el acuerdo o la concertación. Un comportamiento paralelo solo prueba la concertación si no tiene otra explicación plausible</w:t>
      </w:r>
      <w:r>
        <w:t xml:space="preserve"> </w:t>
      </w:r>
      <w:r>
        <w:t xml:space="preserve">(</w:t>
      </w:r>
      <w:hyperlink w:anchor="ref_TJUE1993PastaPapel">
        <w:r>
          <w:rPr>
            <w:rStyle w:val="Hyperlink"/>
            <w:smallCaps/>
          </w:rPr>
          <w:t xml:space="preserve">Tribunal de Justicia de las Comunidades Europeas</w:t>
        </w:r>
        <w:r>
          <w:rPr>
            <w:rStyle w:val="Hyperlink"/>
          </w:rPr>
          <w:t xml:space="preserve">, 1993</w:t>
        </w:r>
      </w:hyperlink>
      <w:r>
        <w:t xml:space="preserve">)</w:t>
      </w:r>
      <w:r>
        <w:t xml:space="preserve">: la colusión tácita pura no es ilegal.</w:t>
      </w:r>
    </w:p>
    <w:p>
      <w:pPr>
        <w:keepNext/>
        <w:numPr>
          <w:ilvl w:val="0"/>
          <w:numId w:val="1090"/>
        </w:numPr>
      </w:pPr>
      <w:r>
        <w:rPr>
          <w:i/>
          <w:iCs/>
        </w:rPr>
        <w:t xml:space="preserve">Programas de clemencia</w:t>
      </w:r>
      <w:r>
        <w:t xml:space="preserve">. Eximen de la multa a la primera empresa que denuncie el cártel con pruebas y la reducen a las que colaboren después</w:t>
      </w:r>
      <w:r>
        <w:t xml:space="preserve"> </w:t>
      </w:r>
      <w:r>
        <w:t xml:space="preserve">(</w:t>
      </w:r>
      <w:hyperlink w:anchor="ref_UE2006Clemencia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2006</w:t>
        </w:r>
      </w:hyperlink>
      <w:r>
        <w:t xml:space="preserve">)</w:t>
      </w:r>
      <w:r>
        <w:t xml:space="preserve">. En España (arts. 65 y 66 de la Ley 15/2007), la exención es para la primera que aporte pruebas que permitan inspeccionar o acreditar el cártel, y las siguientes que aporten un valor añadido significativo obtienen reducciones decrecientes: del 30 al 50 % la primera, del 20 al 30 % la segunda y de hasta el 20 % las demás</w:t>
      </w:r>
      <w:r>
        <w:t xml:space="preserve"> </w:t>
      </w:r>
      <w:r>
        <w:t xml:space="preserve">(</w:t>
      </w:r>
      <w:hyperlink w:anchor="ref_BOE2007LDC">
        <w:r>
          <w:rPr>
            <w:rStyle w:val="Hyperlink"/>
            <w:smallCaps/>
          </w:rPr>
          <w:t xml:space="preserve">Jefatura del Estado</w:t>
        </w:r>
        <w:r>
          <w:rPr>
            <w:rStyle w:val="Hyperlink"/>
          </w:rPr>
          <w:t xml:space="preserve">, 2007</w:t>
        </w:r>
      </w:hyperlink>
      <w:r>
        <w:t xml:space="preserve">)</w:t>
      </w:r>
      <w:r>
        <w:t xml:space="preserve">.</w:t>
      </w:r>
    </w:p>
    <w:p>
      <w:pPr>
        <w:numPr>
          <w:ilvl w:val="1"/>
          <w:numId w:val="1091"/>
        </w:numPr>
      </w:pPr>
      <w:r>
        <w:rPr>
          <w:i/>
          <w:iCs/>
        </w:rPr>
        <w:t xml:space="preserve">Por qué funcionan</w:t>
      </w:r>
      <w:r>
        <w:t xml:space="preserve">, en los términos de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): la multa esperada reduce el beneficio de coludir,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, y la exención aumenta lo que gana quien se desvía y denuncia,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, porque a la ganancia de romper el acuerdo suma la de no pagar. Las 2 cosas suben el umbral de paciencia que hace falta para coludir. Y convierten el cártel en un dilema del prisionero entre sus miembros, que compiten por llegar los primeros: si cada uno teme que otro confiese, confesar es la mejor respuesta</w:t>
      </w:r>
      <w:r>
        <w:t xml:space="preserve"> </w:t>
      </w:r>
      <w:r>
        <w:t xml:space="preserve">(</w:t>
      </w:r>
      <w:hyperlink w:anchor="ref_MottaPolo2003Leniency">
        <w:r>
          <w:rPr>
            <w:rStyle w:val="Hyperlink"/>
            <w:smallCaps/>
          </w:rPr>
          <w:t xml:space="preserve">Motta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Polo</w:t>
        </w:r>
        <w:r>
          <w:rPr>
            <w:rStyle w:val="Hyperlink"/>
          </w:rPr>
          <w:t xml:space="preserve">, 2003</w:t>
        </w:r>
      </w:hyperlink>
      <w:r>
        <w:t xml:space="preserve">)</w:t>
      </w:r>
      <w:r>
        <w:t xml:space="preserve"> </w:t>
      </w:r>
      <w:hyperlink r:id="rId184">
        <w:r>
          <w:rPr>
            <w:rStyle w:val="Referenciaatema"/>
          </w:rPr>
          <w:t xml:space="preserve">[ver tema 4.A.15]</w:t>
        </w:r>
      </w:hyperlink>
      <w:r>
        <w:t xml:space="preserve">.</w:t>
      </w:r>
    </w:p>
    <w:p>
      <w:pPr>
        <w:numPr>
          <w:ilvl w:val="1"/>
          <w:numId w:val="1091"/>
        </w:numPr>
      </w:pPr>
      <w:r>
        <w:rPr>
          <w:i/>
          <w:iCs/>
        </w:rPr>
        <w:t xml:space="preserve">Datos</w:t>
      </w:r>
      <w:r>
        <w:t xml:space="preserve">: de los 116 cárteles sancionados por la Comisión Nacional de los Mercados y la Competencia (CNMC) hasta 2022, en 53 (un 46 %) alguna empresa había pedido clemencia</w:t>
      </w:r>
      <w:r>
        <w:t xml:space="preserve"> </w:t>
      </w:r>
      <w:r>
        <w:t xml:space="preserve">(</w:t>
      </w:r>
      <w:hyperlink w:anchor="ref_CNMC2023Clemencia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2023</w:t>
        </w:r>
      </w:hyperlink>
      <w:r>
        <w:t xml:space="preserve">)</w:t>
      </w:r>
      <w:r>
        <w:t xml:space="preserve">; desde 2018, sin embargo, la mayoría se detectan de oficio, con análisis de datos de licitaciones</w:t>
      </w:r>
      <w:r>
        <w:t xml:space="preserve"> </w:t>
      </w:r>
      <w:r>
        <w:t xml:space="preserve">(</w:t>
      </w:r>
      <w:hyperlink w:anchor="ref_CNMC2026Memoria2025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2026a</w:t>
        </w:r>
      </w:hyperlink>
      <w:r>
        <w:t xml:space="preserve">)</w:t>
      </w:r>
      <w:r>
        <w:t xml:space="preserve">.</w:t>
      </w:r>
    </w:p>
    <w:p>
      <w:pPr>
        <w:keepNext/>
        <w:numPr>
          <w:ilvl w:val="0"/>
          <w:numId w:val="1090"/>
        </w:numPr>
      </w:pPr>
      <w:r>
        <w:rPr>
          <w:i/>
          <w:iCs/>
        </w:rPr>
        <w:t xml:space="preserve">Casos y estadísticas</w:t>
      </w:r>
      <w:r>
        <w:t xml:space="preserve">:</w:t>
      </w:r>
    </w:p>
    <w:p>
      <w:pPr>
        <w:numPr>
          <w:ilvl w:val="1"/>
          <w:numId w:val="1092"/>
        </w:numPr>
      </w:pPr>
      <w:r>
        <w:t xml:space="preserve">en la Unión Europea, la Comisión impuso en 2025 multas de 859,5 millones de euros a 4 cárteles, casi 18 veces lo de 2024</w:t>
      </w:r>
      <w:r>
        <w:t xml:space="preserve"> </w:t>
      </w:r>
      <w:r>
        <w:t xml:space="preserve">(</w:t>
      </w:r>
      <w:hyperlink w:anchor="ref_CE2026CartelStatistics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2026</w:t>
        </w:r>
      </w:hyperlink>
      <w:r>
        <w:t xml:space="preserve">)</w:t>
      </w:r>
      <w:r>
        <w:t xml:space="preserve">. Entre ellos, unos 458 millones a 15 fabricantes de automóviles y a su asociación, que habían pactado durante 15 años no pagar a los desguaces por el reciclado de los vehículos al final de su vida útil; Mercedes-Benz, que lo denunció, quedó exenta, y Stellantis, Mitsubishi y Ford obtuvieron rebajas del 50, el 30 y el 20 %</w:t>
      </w:r>
      <w:r>
        <w:t xml:space="preserve"> </w:t>
      </w:r>
      <w:r>
        <w:t xml:space="preserve">(</w:t>
      </w:r>
      <w:hyperlink w:anchor="ref_CE2025VehiculosFuera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2025a</w:t>
        </w:r>
      </w:hyperlink>
      <w:r>
        <w:t xml:space="preserve">)</w:t>
      </w:r>
      <w:r>
        <w:t xml:space="preserve">; y 329 millones a Delivery Hero y a la española Glovo, que, apoyándose en la participación minoritaria de la primera en la segunda, se repartieron los mercados europeos y se comprometieron a no contratarse los empleados</w:t>
      </w:r>
      <w:r>
        <w:t xml:space="preserve"> </w:t>
      </w:r>
      <w:r>
        <w:t xml:space="preserve">(</w:t>
      </w:r>
      <w:hyperlink w:anchor="ref_CE2025Glovo">
        <w:r>
          <w:rPr>
            <w:rStyle w:val="Hyperlink"/>
            <w:smallCaps/>
          </w:rPr>
          <w:t xml:space="preserve">Comisión Europea</w:t>
        </w:r>
        <w:r>
          <w:rPr>
            <w:rStyle w:val="Hyperlink"/>
          </w:rPr>
          <w:t xml:space="preserve">, 2025b</w:t>
        </w:r>
      </w:hyperlink>
      <w:r>
        <w:t xml:space="preserve">)</w:t>
      </w:r>
      <w:r>
        <w:t xml:space="preserve">;</w:t>
      </w:r>
    </w:p>
    <w:p>
      <w:pPr>
        <w:numPr>
          <w:ilvl w:val="1"/>
          <w:numId w:val="1092"/>
        </w:numPr>
      </w:pPr>
      <w:r>
        <w:t xml:space="preserve">en España, la CNMC multó en 2025 con 2,91 millones de euros a 4 agencias de viajes que se habían repartido por turnos los viajes de la Universidad Complutense y habían dejado desierto un concurso del Banco de España para que se convocara en mejores condiciones</w:t>
      </w:r>
      <w:r>
        <w:t xml:space="preserve"> </w:t>
      </w:r>
      <w:r>
        <w:t xml:space="preserve">(</w:t>
      </w:r>
      <w:hyperlink w:anchor="ref_CNMC2025AgenciasViajes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2025</w:t>
        </w:r>
      </w:hyperlink>
      <w:r>
        <w:t xml:space="preserve">)</w:t>
      </w:r>
      <w:r>
        <w:t xml:space="preserve">. Las multas por conductas colusorias de 2025, 4,1 millones, quedan muy por debajo de las de 2022 y 2023, más de 200 millones cada año</w:t>
      </w:r>
      <w:r>
        <w:t xml:space="preserve"> </w:t>
      </w:r>
      <w:r>
        <w:t xml:space="preserve">(</w:t>
      </w:r>
      <w:hyperlink w:anchor="ref_CNMC2026Memoria2025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2026a</w:t>
        </w:r>
      </w:hyperlink>
      <w:r>
        <w:t xml:space="preserve">)</w:t>
      </w:r>
      <w:r>
        <w:t xml:space="preserve">, en las que pesa la de 203,6 millones a 6 grandes constructoras por coordinar durante 25 años sus ofertas en miles de licitaciones públicas, que está recurrida</w:t>
      </w:r>
      <w:r>
        <w:t xml:space="preserve"> </w:t>
      </w:r>
      <w:r>
        <w:t xml:space="preserve">(</w:t>
      </w:r>
      <w:hyperlink w:anchor="ref_CNMC2022Constructoras">
        <w:r>
          <w:rPr>
            <w:rStyle w:val="Hyperlink"/>
            <w:smallCaps/>
          </w:rPr>
          <w:t xml:space="preserve">Comisión Nacional de los Mercados y la Competencia</w:t>
        </w:r>
        <w:r>
          <w:rPr>
            <w:rStyle w:val="Hyperlink"/>
          </w:rPr>
          <w:t xml:space="preserve">, 2022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90"/>
        </w:numPr>
      </w:pPr>
      <w:r>
        <w:rPr>
          <w:i/>
          <w:iCs/>
        </w:rPr>
        <w:t xml:space="preserve">Prevención</w:t>
      </w:r>
      <w:r>
        <w:t xml:space="preserve">: en el control de concentraciones se vigilan los</w:t>
      </w:r>
      <w:r>
        <w:t xml:space="preserve"> </w:t>
      </w:r>
      <w:r>
        <w:rPr>
          <w:i/>
          <w:iCs/>
        </w:rPr>
        <w:t xml:space="preserve">efectos coordinados</w:t>
      </w:r>
      <w:r>
        <w:t xml:space="preserve">, porque una fusión que deja menos empresas y más parecidas facilita la colusión (tabla </w:t>
      </w:r>
      <w:hyperlink w:anchor="tab_factores_colusion">
        <w:r>
          <w:rPr>
            <w:rStyle w:val="Hyperlink"/>
          </w:rPr>
          <w:t xml:space="preserve">5</w:t>
        </w:r>
      </w:hyperlink>
      <w:r>
        <w:t xml:space="preserve">)</w:t>
      </w:r>
      <w:r>
        <w:t xml:space="preserve"> </w:t>
      </w:r>
      <w:r>
        <w:t xml:space="preserve">(</w:t>
      </w:r>
      <w:hyperlink w:anchor="ref_UE2004Reglamento139">
        <w:r>
          <w:rPr>
            <w:rStyle w:val="Hyperlink"/>
            <w:smallCaps/>
          </w:rPr>
          <w:t xml:space="preserve">Consejo de la Unión Europea</w:t>
        </w:r>
        <w:r>
          <w:rPr>
            <w:rStyle w:val="Hyperlink"/>
          </w:rPr>
          <w:t xml:space="preserve">, 2004</w:t>
        </w:r>
      </w:hyperlink>
      <w:r>
        <w:t xml:space="preserve">)</w:t>
      </w:r>
      <w:r>
        <w:t xml:space="preserve">; y empieza a vigilarse la colusión entre algoritmos de precios</w:t>
      </w:r>
      <w:r>
        <w:t xml:space="preserve"> </w:t>
      </w:r>
      <w:r>
        <w:t xml:space="preserve">(</w:t>
      </w:r>
      <w:hyperlink w:anchor="ref_CalvanoEtAl2020Artificial">
        <w:r>
          <w:rPr>
            <w:rStyle w:val="Hyperlink"/>
            <w:smallCaps/>
          </w:rPr>
          <w:t xml:space="preserve">Calvano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 al., 2020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90"/>
        </w:numPr>
      </w:pPr>
      <w:r>
        <w:rPr>
          <w:i/>
          <w:iCs/>
        </w:rPr>
        <w:t xml:space="preserve">Recapitulación del bloque III</w:t>
      </w:r>
      <w:r>
        <w:t xml:space="preserve">: las empresas ganan coordinándose como un monopolista, y la teoría de juegos cooperativa dice cómo se repartirían lo ganado; pero el acuerdo no es un equilibrio, nadie puede hacerlo cumplir ante un juez, la entrada lo amenaza y la clemencia lo desestabiliza.</w:t>
      </w:r>
    </w:p>
    <w:bookmarkEnd w:id="185"/>
    <w:bookmarkEnd w:id="186"/>
    <w:bookmarkEnd w:id="187"/>
    <w:bookmarkStart w:id="188" w:name="conclusi__n"/>
    <w:p>
      <w:pPr>
        <w:pStyle w:val="Heading1"/>
      </w:pPr>
      <w:r>
        <w:t xml:space="preserve">Conclusión</w:t>
      </w:r>
      <w:r>
        <w:t xml:space="preserve"> </w:t>
      </w:r>
      <w:r>
        <w:rPr>
          <w:rStyle w:val="Minutos"/>
        </w:rPr>
        <w:t xml:space="preserve">1′</w:t>
      </w:r>
    </w:p>
    <w:p>
      <w:pPr>
        <w:numPr>
          <w:ilvl w:val="0"/>
          <w:numId w:val="1093"/>
        </w:numPr>
      </w:pPr>
      <w:r>
        <w:rPr>
          <w:b/>
          <w:bCs/>
          <w:i/>
          <w:iCs/>
        </w:rPr>
        <w:t xml:space="preserve">Recapitulación</w:t>
      </w:r>
      <w:r>
        <w:t xml:space="preserve">: En conclusión, cuando pocas empresas se encuentran una sola vez, el resultado está entre la competencia perfecta y el monopolio y depende de la variable con la que compiten y del orden en que deciden: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con cantidades,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y sus salidas con precios; el poder de mercado de cada empresa crece con su cuota (</w:t>
      </w:r>
      <w:hyperlink w:anchor="eq_lerner_cournot">
        <w:r>
          <w:rPr>
            <w:rStyle w:val="Hyperlink"/>
          </w:rPr>
          <w:t xml:space="preserve">2</w:t>
        </w:r>
      </w:hyperlink>
      <w:r>
        <w:t xml:space="preserve">). Si se encuentran indefinidamente, la amenaza de una guerra de precios sostiene la colusión tácita sin contratos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), tanto más fácil cuanto menos y más pacientes son las empresas y antes detectan las rebajas. Y si se ponen de acuerdo, el cártel actúa como un monopolista con varias plantas y reparte lo ganado según lo que cada empresa obtendría compitiendo; pero el acuerdo no es un equilibrio y nadie puede hacerlo cumplir ante un juez.</w:t>
      </w:r>
    </w:p>
    <w:p>
      <w:pPr>
        <w:numPr>
          <w:ilvl w:val="0"/>
          <w:numId w:val="1093"/>
        </w:numPr>
      </w:pPr>
      <w:r>
        <w:rPr>
          <w:b/>
          <w:bCs/>
          <w:i/>
          <w:iCs/>
        </w:rPr>
        <w:t xml:space="preserve">Relevancia</w:t>
      </w:r>
      <w:r>
        <w:t xml:space="preserve">: el oligopolio es la estructura de muchos de los mercados que más importan, y su análisis guía la defensa de la competencia: la medida del poder de mercado con la cuota y el IHH, el control de concentraciones y la lucha contra los cárteles.</w:t>
      </w:r>
    </w:p>
    <w:p>
      <w:pPr>
        <w:numPr>
          <w:ilvl w:val="0"/>
          <w:numId w:val="1093"/>
        </w:numPr>
      </w:pPr>
      <w:r>
        <w:rPr>
          <w:b/>
          <w:bCs/>
          <w:i/>
          <w:iCs/>
        </w:rPr>
        <w:t xml:space="preserve">Extensiones y relación con otras partes del temario</w:t>
      </w:r>
      <w:r>
        <w:t xml:space="preserve">: el oligopolio con producto diferenciado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; los conceptos de teoría de juegos que se han aplicado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; las barreras de entrada y los mercados impugnables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; la medida del poder de mercado y la regulación</w:t>
      </w:r>
      <w:r>
        <w:t xml:space="preserve"> </w:t>
      </w:r>
      <w:hyperlink r:id="rId25">
        <w:r>
          <w:rPr>
            <w:rStyle w:val="Referenciaatema"/>
          </w:rPr>
          <w:t xml:space="preserve">[ver tema 3.A.20]</w:t>
        </w:r>
      </w:hyperlink>
      <w:r>
        <w:t xml:space="preserve">; la política de competencia de la Unión</w:t>
      </w:r>
      <w:r>
        <w:t xml:space="preserve"> </w:t>
      </w:r>
      <w:hyperlink r:id="rId26">
        <w:r>
          <w:rPr>
            <w:rStyle w:val="Referenciaatema"/>
          </w:rPr>
          <w:t xml:space="preserve">[ver tema 3.B.39]</w:t>
        </w:r>
      </w:hyperlink>
      <w:r>
        <w:t xml:space="preserve"> </w:t>
      </w:r>
      <w:r>
        <w:t xml:space="preserve">y de España</w:t>
      </w:r>
      <w:r>
        <w:t xml:space="preserve"> </w:t>
      </w:r>
      <w:hyperlink r:id="rId184">
        <w:r>
          <w:rPr>
            <w:rStyle w:val="Referenciaatema"/>
          </w:rPr>
          <w:t xml:space="preserve">[ver tema 4.A.15]</w:t>
        </w:r>
      </w:hyperlink>
      <w:r>
        <w:t xml:space="preserve">; la política comercial estratégica y el dumping recíproco, que llevan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al comercio entre países</w:t>
      </w:r>
      <w:r>
        <w:t xml:space="preserve"> </w:t>
      </w:r>
      <w:hyperlink r:id="rId21">
        <w:r>
          <w:rPr>
            <w:rStyle w:val="Referenciaatema"/>
          </w:rPr>
          <w:t xml:space="preserve">[ver tema 3.B.8]</w:t>
        </w:r>
      </w:hyperlink>
      <w:r>
        <w:t xml:space="preserve"> </w:t>
      </w:r>
      <w:hyperlink r:id="rId22">
        <w:r>
          <w:rPr>
            <w:rStyle w:val="Referenciaatema"/>
          </w:rPr>
          <w:t xml:space="preserve">[ver tema 3.B.6]</w:t>
        </w:r>
      </w:hyperlink>
      <w:r>
        <w:t xml:space="preserve">; y la colusión entre algoritmos de precios, un campo abierto.</w:t>
      </w:r>
    </w:p>
    <w:p>
      <w:pPr>
        <w:numPr>
          <w:ilvl w:val="0"/>
          <w:numId w:val="1093"/>
        </w:numPr>
      </w:pPr>
      <w:r>
        <w:rPr>
          <w:b/>
          <w:bCs/>
          <w:i/>
          <w:iCs/>
        </w:rPr>
        <w:t xml:space="preserve">Opinión</w:t>
      </w:r>
      <w:r>
        <w:t xml:space="preserve">: no hay un modelo único de oligopolio. Por eso la política de competencia no puede limitarse a contar empresas: tiene que preguntarse qué hace estable la colusión en cada mercado y diseñar instituciones, como la clemencia, que la hagan inestable.</w:t>
      </w:r>
    </w:p>
    <w:p>
      <w:pPr>
        <w:numPr>
          <w:ilvl w:val="0"/>
          <w:numId w:val="1093"/>
        </w:numPr>
      </w:pPr>
      <w:r>
        <w:rPr>
          <w:b/>
          <w:bCs/>
          <w:i/>
          <w:iCs/>
        </w:rPr>
        <w:t xml:space="preserve">Idea final</w:t>
      </w:r>
      <w:r>
        <w:t xml:space="preserve">: ¿por qué compiten las empresas si les conviene ponerse de acuerdo? Porque a cada una, por separado, le conviene romper el acuerdo. Entre bomberos no se pisan la manguera… mientras a ninguno le compense pisarla: la colusión aguanta si lo que se gana desviándose hoy pesa menos que lo que se pierde después (</w:t>
      </w:r>
      <w:hyperlink w:anchor="eq_colusion">
        <w:r>
          <w:rPr>
            <w:rStyle w:val="Hyperlink"/>
          </w:rPr>
          <w:t xml:space="preserve">3</w:t>
        </w:r>
      </w:hyperlink>
      <w:r>
        <w:t xml:space="preserve">). Por eso unas reuniones como las que temía</w:t>
      </w:r>
      <w:r>
        <w:t xml:space="preserve"> </w:t>
      </w:r>
      <w:r>
        <w:rPr>
          <w:smallCaps/>
        </w:rPr>
        <w:t xml:space="preserve">Smith</w:t>
      </w:r>
      <w:r>
        <w:t xml:space="preserve"> </w:t>
      </w:r>
      <w:r>
        <w:t xml:space="preserve">no sirven de nada y otras duran 14 años, como la de los fabricantes de camiones; y la política de competencia usa ese mismo dilema para que al primero que pise la manguera y confiese, como MAN, le salga a cuenta.</w:t>
      </w:r>
    </w:p>
    <w:p>
      <w:pPr>
        <w:spacing w:before="0" w:after="0" w:line="20" w:lineRule="exact"/>
        <w:sectPr>
          <w:headerReference r:id="rId9" w:type="default"/>
          <w:footerReference r:id="rId10" w:type="default"/>
          <w:footnotePr>
            <w:numRestart w:val="continuous"/>
          </w:footnotePr>
          <w:pgSz w:h="16838" w:w="11906"/>
          <w:pgMar w:bottom="1361" w:left="1247" w:right="1247" w:top="1474"/>
          <w:pgNumType w:start="1"/>
        </w:sectPr>
      </w:pPr>
    </w:p>
    <w:bookmarkEnd w:id="188"/>
    <w:bookmarkStart w:id="189" w:name="anexo_cournot_lineal"/>
    <w:p>
      <w:pPr>
        <w:pStyle w:val="Heading1"/>
      </w:pPr>
      <w:r>
        <w:t xml:space="preserve">A. Anexo: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demanda lineal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Supuestos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con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Condición de primer orden de la empresa</w:t>
      </w:r>
      <w:r>
        <w:rPr>
          <w:i/>
          <w:iCs/>
        </w:rP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  <m:r>
          <m:rPr>
            <m:sty m:val="p"/>
          </m:rPr>
          <m:t>−</m:t>
        </m:r>
        <m:r>
          <m:t>b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es decir,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t>b</m:t>
        </m:r>
      </m:oMath>
      <w:r>
        <w:t xml:space="preserve">. En el duopolio,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t>b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 una recta, porque la demanda es lineal y el coste marginal constante, que corta el eje en la cantidad de monopolio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t>b</m:t>
        </m:r>
      </m:oMath>
      <w:r>
        <w:t xml:space="preserve">.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Equilibrio con costes distintos</w:t>
      </w:r>
      <w:r>
        <w:t xml:space="preserve">: sumando las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condiciones,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 </m:t>
        </m:r>
        <m:r>
          <m:t>b</m:t>
        </m:r>
        <m:r>
          <m:t>Q</m:t>
        </m:r>
        <m:r>
          <m:rPr>
            <m:sty m:val="p"/>
          </m:rPr>
          <m:t>=</m:t>
        </m:r>
        <m:r>
          <m:t>n</m:t>
        </m:r>
        <m:r>
          <m:t>a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, y</w:t>
      </w:r>
    </w:p>
    <w:p>
      <w:pPr>
        <w:pStyle w:val="BodyText"/>
        <w:keepNext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En el duopolio,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3</m:t>
        </m:r>
        <m:r>
          <m:t>b</m:t>
        </m:r>
      </m:oMath>
      <w:r>
        <w:t xml:space="preserve">: la empresa con menor coste produce más.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Equilibrio simétrico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):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t>b</m:t>
        </m:r>
      </m:oMath>
      <w:r>
        <w:t xml:space="preserve">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monopolio;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3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t>b</m:t>
        </m:r>
      </m:oMath>
      <w:r>
        <w:t xml:space="preserve">; con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→</m:t>
        </m:r>
        <m:r>
          <m:t>c</m:t>
        </m:r>
      </m:oMath>
      <w:r>
        <w:t xml:space="preserve">.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Índice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Lerner</w:t>
      </w:r>
      <w:r>
        <w:t xml:space="preserve"> </w:t>
      </w:r>
      <w:r>
        <w:t xml:space="preserve">(con cualquier demanda). De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keepNext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Q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es decir,</w:t>
      </w:r>
      <w:r>
        <w:t xml:space="preserve"> </w:t>
      </w:r>
      <m:oMath>
        <m:r>
          <m:t>p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</m:oMath>
      <w:r>
        <w:t xml:space="preserve">. Con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(o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i</m:t>
            </m:r>
          </m:sub>
        </m:sSub>
      </m:oMath>
      <w:r>
        <w:t xml:space="preserve">: competencia perfecta; con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: monopolio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. Multiplicando por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 sumando,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s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H</m:t>
        </m:r>
        <m:r>
          <m:rPr>
            <m:sty m:val="p"/>
          </m:rPr>
          <m:t>H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10.000</m:t>
            </m:r>
            <m:r>
              <m:t> 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</m:oMath>
      <w:r>
        <w:t xml:space="preserve">. ∎</w:t>
      </w:r>
    </w:p>
    <w:p>
      <w:pPr>
        <w:numPr>
          <w:ilvl w:val="0"/>
          <w:numId w:val="1094"/>
        </w:numPr>
      </w:pPr>
      <w:r>
        <w:rPr>
          <w:i/>
          <w:iCs/>
        </w:rPr>
        <w:t xml:space="preserve">Estabilidad del ajuste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Cournot</w:t>
      </w:r>
      <w:r>
        <w:t xml:space="preserve">: con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iguales, la desviación respecto al equilibrio evoluciona con una matriz que tiene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fuera de la diagonal y 0 en ella, de autovalores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converge 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1</m:t>
        </m:r>
      </m:oMath>
      <w:r>
        <w:t xml:space="preserve">, es decir,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;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oscila sin acercarse y 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se aleja</w:t>
      </w:r>
      <w:r>
        <w:t xml:space="preserve"> </w:t>
      </w:r>
      <w:r>
        <w:t xml:space="preserve">(</w:t>
      </w:r>
      <w:hyperlink w:anchor="ref_Theocharis1960Stability">
        <w:r>
          <w:rPr>
            <w:rStyle w:val="Hyperlink"/>
            <w:smallCaps/>
          </w:rPr>
          <w:t xml:space="preserve">Theocharis</w:t>
        </w:r>
        <w:r>
          <w:rPr>
            <w:rStyle w:val="Hyperlink"/>
          </w:rPr>
          <w:t xml:space="preserve">, 1960</w:t>
        </w:r>
      </w:hyperlink>
      <w:r>
        <w:t xml:space="preserve">)</w:t>
      </w:r>
      <w:r>
        <w:t xml:space="preserve">.</w:t>
      </w:r>
    </w:p>
    <w:bookmarkEnd w:id="189"/>
    <w:bookmarkStart w:id="190" w:name="anexo_stackelberg_lineal"/>
    <w:p>
      <w:pPr>
        <w:pStyle w:val="Heading1"/>
      </w:pPr>
      <w:r>
        <w:t xml:space="preserve">B. Anexo: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con demanda lineal</w:t>
      </w:r>
    </w:p>
    <w:p>
      <w:pPr>
        <w:numPr>
          <w:ilvl w:val="0"/>
          <w:numId w:val="1095"/>
        </w:numPr>
      </w:pPr>
      <w:r>
        <w:rPr>
          <w:i/>
          <w:iCs/>
        </w:rPr>
        <w:t xml:space="preserve">Seguidora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  <m:r>
          <m:t>b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95"/>
        </w:numPr>
      </w:pPr>
      <w:r>
        <w:rPr>
          <w:i/>
          <w:iCs/>
        </w:rPr>
        <w:t xml:space="preserve">Líder</w:t>
      </w:r>
      <w:r>
        <w:t xml:space="preserve">: sustituyendo,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b</m:t>
            </m:r>
            <m:r>
              <m:t> 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y la condición de primer orden,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b</m:t>
        </m:r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da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  <m:r>
          <m:t>b</m:t>
        </m:r>
      </m:oMath>
      <w:r>
        <w:t xml:space="preserve">, la cantidad de monopolio.</w:t>
      </w:r>
    </w:p>
    <w:p>
      <w:pPr>
        <w:numPr>
          <w:ilvl w:val="0"/>
          <w:numId w:val="1095"/>
        </w:numPr>
      </w:pPr>
      <w:r>
        <w:rPr>
          <w:i/>
          <w:iCs/>
        </w:rPr>
        <w:t xml:space="preserve">Resultado</w:t>
      </w:r>
      <w:r>
        <w:t xml:space="preserve">:</w:t>
      </w:r>
      <w:r>
        <w:t xml:space="preserve"> </w:t>
      </w:r>
      <m:oMath>
        <m:sSubSup>
          <m:e>
            <m:r>
              <m:t>q</m:t>
            </m:r>
          </m:e>
          <m:sub>
            <m:r>
              <m:t>2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</m:oMath>
      <w:r>
        <w:t xml:space="preserve">;</w:t>
      </w:r>
      <w:r>
        <w:t xml:space="preserve"> </w:t>
      </w:r>
      <m:oMath>
        <m:sSup>
          <m:e>
            <m:r>
              <m:t>Q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</m:oMath>
      <w:r>
        <w:t xml:space="preserve"> </w:t>
      </w:r>
      <w:r>
        <w:t xml:space="preserve">(la líder produce 2/3 del total);</w:t>
      </w:r>
      <w:r>
        <w:t xml:space="preserve"> </w:t>
      </w:r>
      <m:oMath>
        <m:sSup>
          <m:e>
            <m:r>
              <m:t>p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  <m:r>
          <m:t>b</m:t>
        </m:r>
      </m:oMath>
      <w:r>
        <w:t xml:space="preserve">, frente 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t>b</m:t>
        </m:r>
      </m:oMath>
      <w:r>
        <w:t xml:space="preserve"> </w:t>
      </w:r>
      <w:r>
        <w:t xml:space="preserve">cada una en</w:t>
      </w:r>
      <w:r>
        <w:t xml:space="preserve"> </w:t>
      </w:r>
      <w:r>
        <w:rPr>
          <w:smallCaps/>
        </w:rPr>
        <w:t xml:space="preserve">Cournot</w:t>
      </w:r>
      <w:r>
        <w:t xml:space="preserve">. La líder produce la cantidad de monopolio, pero gana la mitad que un monopolista, porque la seguidora también vende.</w:t>
      </w:r>
    </w:p>
    <w:p>
      <w:pPr>
        <w:numPr>
          <w:ilvl w:val="0"/>
          <w:numId w:val="1095"/>
        </w:numPr>
      </w:pPr>
      <w:r>
        <w:rPr>
          <w:i/>
          <w:iCs/>
        </w:rPr>
        <w:t xml:space="preserve">Variación conjetural de la líder</w:t>
      </w:r>
      <w:r>
        <w:t xml:space="preserve">:</w:t>
      </w:r>
      <w:r>
        <w:t xml:space="preserve"> </w:t>
      </w:r>
      <m:oMath>
        <m:r>
          <m:t>d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negativa. ∎</w:t>
      </w:r>
    </w:p>
    <w:bookmarkEnd w:id="190"/>
    <w:bookmarkStart w:id="192" w:name="anexo_cournot_bayesiano"/>
    <w:p>
      <w:pPr>
        <w:pStyle w:val="Heading1"/>
      </w:pPr>
      <w:r>
        <w:t xml:space="preserve">C. Anexo: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costes privados</w:t>
      </w:r>
    </w:p>
    <w:p>
      <w:pPr>
        <w:numPr>
          <w:ilvl w:val="0"/>
          <w:numId w:val="1096"/>
        </w:numPr>
      </w:pPr>
      <w:r>
        <w:rPr>
          <w:i/>
          <w:iCs/>
        </w:rPr>
        <w:t xml:space="preserve">Supuestos</w:t>
      </w:r>
      <w:r>
        <w:t xml:space="preserve"> </w:t>
      </w:r>
      <w:r>
        <w:t xml:space="preserve">(</w:t>
      </w:r>
      <w:hyperlink w:anchor="ref_Gibbons1992Game">
        <w:r>
          <w:rPr>
            <w:rStyle w:val="Hyperlink"/>
            <w:smallCaps/>
          </w:rPr>
          <w:t xml:space="preserve">Gibbons</w:t>
        </w:r>
        <w:r>
          <w:rPr>
            <w:rStyle w:val="Hyperlink"/>
          </w:rPr>
          <w:t xml:space="preserve">, 1992, párr. 3.1.A</w:t>
        </w:r>
      </w:hyperlink>
      <w:r>
        <w:t xml:space="preserve">)</w:t>
      </w:r>
      <w:r>
        <w:t xml:space="preserve">: demanda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; el coste unitario de la empresa 1,</w:t>
      </w:r>
      <w:r>
        <w:t xml:space="preserve"> </w:t>
      </w:r>
      <m:oMath>
        <m:r>
          <m:t>c</m:t>
        </m:r>
      </m:oMath>
      <w:r>
        <w:t xml:space="preserve">, lo conocen las 2; el de la 2 es alto,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, con probabilidad</w:t>
      </w:r>
      <w:r>
        <w:t xml:space="preserve"> </w:t>
      </w:r>
      <m:oMath>
        <m:r>
          <m:t>π</m:t>
        </m:r>
      </m:oMath>
      <w:r>
        <w:t xml:space="preserve">, o bajo,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, y solo ella lo sabe. Todo lo demás es conocimiento común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.</w:t>
      </w:r>
    </w:p>
    <w:p>
      <w:pPr>
        <w:numPr>
          <w:ilvl w:val="0"/>
          <w:numId w:val="1096"/>
        </w:numPr>
      </w:pPr>
      <w:r>
        <w:rPr>
          <w:i/>
          <w:iCs/>
        </w:rPr>
        <w:t xml:space="preserve">Empresa 2</w:t>
      </w:r>
      <w:r>
        <w:t xml:space="preserve">: para cada tipo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96"/>
        </w:numPr>
      </w:pPr>
      <w:r>
        <w:rPr>
          <w:i/>
          <w:iCs/>
        </w:rPr>
        <w:t xml:space="preserve">Empresa 1</w:t>
      </w:r>
      <w:r>
        <w:t xml:space="preserve">: maximiza su beneficio esperado,</w:t>
      </w:r>
      <w:r>
        <w:t xml:space="preserve"> </w:t>
      </w:r>
      <m:oMath>
        <m:r>
          <m:t>π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  <m:r>
          <m:t> 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y responde a la cantidad esperada de la 2: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96"/>
        </w:numPr>
      </w:pPr>
      <w:r>
        <w:rPr>
          <w:i/>
          <w:iCs/>
        </w:rPr>
        <w:t xml:space="preserve">Equilibrio bayesiano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Nash</w:t>
      </w:r>
      <w:r>
        <w:t xml:space="preserve">: con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π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 xml:space="preserve">,</w:t>
      </w:r>
    </w:p>
    <w:p>
      <w:pPr>
        <w:pStyle w:val="BodyText"/>
        <w:keepNext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  <m:scr m:val="double-struck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t> 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Los primeros sumandos son las cantidades con información completa: el tipo alto produce más y el bajo menos, porque la empresa 1 produce para el coste medio.</w:t>
      </w:r>
    </w:p>
    <w:p>
      <w:pPr>
        <w:numPr>
          <w:ilvl w:val="0"/>
          <w:numId w:val="1096"/>
        </w:numPr>
      </w:pPr>
      <w:r>
        <w:rPr>
          <w:i/>
          <w:iCs/>
        </w:rPr>
        <w:t xml:space="preserve">Ejemplo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(tabla </w:t>
      </w:r>
      <w:hyperlink w:anchor="tab_cournot_bayesiano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191" w:name="tab_cournot_bayesiano"/>
    <w:p>
      <w:pPr>
        <w:pStyle w:val="TableCaption"/>
      </w:pPr>
      <w:r>
        <w:t xml:space="preserve">Tabla 7.–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con costes privados frente a información completa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a 7.– Cournot con costes privados frente a información completa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vAlign w:val="center"/>
          </w:tcPr>
          <w:p/>
        </w:tc>
        <w:tc>
          <w:tcPr>
            <w:gridSpan w:val="2"/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Coste bajo de la 2</w:t>
            </w:r>
          </w:p>
        </w:tc>
        <w:tc>
          <w:tcPr>
            <w:gridSpan w:val="2"/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Coste alto de la 2</w:t>
            </w:r>
          </w:p>
        </w:tc>
      </w:tr>
      <w:tr>
        <w:trPr>
          <w:cantSplit/>
        </w:trPr>
        <w:tc>
          <w:tcPr>
            <w:vAlign w:val="center"/>
          </w:tcPr>
          <w:p/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Completa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Privada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Completa</w:t>
            </w:r>
          </w:p>
        </w:tc>
        <w:tc>
          <w:tcPr>
            <w:shd w:val="clear" w:color="auto" w:fill="DDEBF7"/>
            <w:vAlign w:val="center"/>
          </w:tcPr>
          <w:p>
            <w:pPr>
              <w:pStyle w:val="Celdatceeazulpalido"/>
              <w:jc w:val="center"/>
            </w:pPr>
            <w:r>
              <w:rPr>
                <w:b/>
                <w:bCs/>
              </w:rPr>
              <w:t xml:space="preserve">Privada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Beneficio de la 1 (no informada)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</w:rPr>
              <w:t xml:space="preserve">7,5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</w:rPr>
              <w:t xml:space="preserve">10,5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Beneficio de la 2 (informada)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</w:rPr>
              <w:t xml:space="preserve">6,25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</w:rPr>
              <w:t xml:space="preserve">2,25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Producción total (consumidores)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verde"/>
              </w:rPr>
              <w:t xml:space="preserve">5,5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rStyle w:val="Textorojo"/>
              </w:rPr>
              <w:t xml:space="preserve">4,5</w:t>
            </w:r>
          </w:p>
        </w:tc>
      </w:tr>
    </w:tbl>
    <w:bookmarkEnd w:id="191"/>
    <w:p>
      <w:pPr>
        <w:pStyle w:val="BodyText"/>
        <w:keepNext/>
      </w:pPr>
      <w:r>
        <w:rPr>
          <w:i/>
          <w:iCs/>
        </w:rPr>
        <w:t xml:space="preserve">Fuente: elaboración propia a partir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Gibbons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Gibbons1992Game">
        <w:r>
          <w:rPr>
            <w:rStyle w:val="Hyperlink"/>
            <w:i/>
            <w:iCs/>
          </w:rPr>
          <w:t xml:space="preserve">1992, párr. 3.1.A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Cerdá Tena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Pérez Navarro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Jimeno Pastor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ref_CerdaPerezJimeno2004Teoria">
        <w:r>
          <w:rPr>
            <w:rStyle w:val="Hyperlink"/>
            <w:i/>
            <w:iCs/>
          </w:rPr>
          <w:t xml:space="preserve">2004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p>
      <w:pPr>
        <w:numPr>
          <w:ilvl w:val="0"/>
          <w:numId w:val="1097"/>
        </w:numPr>
      </w:pPr>
      <w:r>
        <w:rPr>
          <w:i/>
          <w:iCs/>
        </w:rPr>
        <w:t xml:space="preserve">Implicaciones</w:t>
      </w:r>
      <w:r>
        <w:t xml:space="preserve">: si su coste es bajo, a la empresa informada le perjudica que la otra no lo sepa (la otra produce más de lo que produciría ante una rival eficiente), y ganan la no informada y los consumidores; si es alto, al revés. La empresa de coste bajo querría demostrar que lo es: es el origen de los modelos de señalización</w:t>
      </w:r>
      <w:r>
        <w:t xml:space="preserve"> </w:t>
      </w:r>
      <w:hyperlink r:id="rId44">
        <w:r>
          <w:rPr>
            <w:rStyle w:val="Referenciaatema"/>
          </w:rPr>
          <w:t xml:space="preserve">[ver tema 3.A.13]</w:t>
        </w:r>
      </w:hyperlink>
      <w:r>
        <w:t xml:space="preserve">. ∎</w:t>
      </w:r>
    </w:p>
    <w:bookmarkEnd w:id="192"/>
    <w:bookmarkStart w:id="193" w:name="anexo_gatillo"/>
    <w:p>
      <w:pPr>
        <w:pStyle w:val="Heading1"/>
      </w:pPr>
      <w:r>
        <w:t xml:space="preserve">D. Anexo: la condición de la colusión con el gatillo</w:t>
      </w:r>
    </w:p>
    <w:p>
      <w:pPr>
        <w:numPr>
          <w:ilvl w:val="0"/>
          <w:numId w:val="1098"/>
        </w:numPr>
      </w:pPr>
      <w:r>
        <w:rPr>
          <w:i/>
          <w:iCs/>
        </w:rPr>
        <w:t xml:space="preserve">Derivación de (</w:t>
      </w:r>
      <w:hyperlink w:anchor="eq_colusion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)</w:t>
      </w:r>
      <w:r>
        <w:t xml:space="preserve">. Si coopera siempre, la empresa obtiene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β</m:t>
                </m:r>
              </m:e>
              <m:sup>
                <m:r>
                  <m:t>t</m:t>
                </m:r>
              </m:sup>
            </m:sSup>
          </m:e>
        </m:nary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. Si se desvía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obtiene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hoy 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t xml:space="preserve">cada periodo desde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+</m:t>
        </m:r>
        <m:r>
          <m:t>β</m:t>
        </m:r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. Multiplicando por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, que convierte cada flujo en su equivalente por periodo,</w:t>
      </w:r>
    </w:p>
    <w:p>
      <w:pPr>
        <w:pStyle w:val="BodyText"/>
        <w:keepNext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C</m:t>
              </m:r>
            </m:sup>
          </m:sSup>
          <m:r>
            <m:t> </m:t>
          </m:r>
          <m:r>
            <m:rPr>
              <m:sty m:val="p"/>
            </m:rPr>
            <m:t>≥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 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D</m:t>
              </m:r>
            </m:sup>
          </m:sSup>
          <m:r>
            <m:rPr>
              <m:sty m:val="p"/>
            </m:rPr>
            <m:t>+</m:t>
          </m:r>
          <m:r>
            <m:t>β</m:t>
          </m:r>
          <m:r>
            <m:t> 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N</m:t>
              </m:r>
            </m:sup>
          </m:sSup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β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N</m:t>
                  </m:r>
                </m:sup>
              </m:sSup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D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C</m:t>
              </m:r>
            </m:sup>
          </m:sSup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β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98"/>
        </w:numPr>
      </w:pPr>
      <w:r>
        <w:rPr>
          <w:i/>
          <w:iCs/>
        </w:rPr>
        <w:t xml:space="preserve">Retraso en la detección</w:t>
      </w:r>
      <w:r>
        <w:t xml:space="preserve">: si la desviación se descubre tras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periodos, el que se desvía obtiene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β</m:t>
                </m:r>
              </m:e>
              <m:sup>
                <m:r>
                  <m:t>τ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τ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, y la condición es</w:t>
      </w:r>
      <w:r>
        <w:t xml:space="preserve"> </w:t>
      </w:r>
      <m:oMath>
        <m:sSup>
          <m:e>
            <m:r>
              <m:t>β</m:t>
            </m:r>
          </m:e>
          <m:sup>
            <m:r>
              <m:t>τ</m:t>
            </m:r>
          </m:sup>
        </m:sSup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C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N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98"/>
        </w:numPr>
      </w:pPr>
      <w:r>
        <w:rPr>
          <w:i/>
          <w:iCs/>
        </w:rPr>
        <w:t xml:space="preserve">Horizonte incierto</w:t>
      </w:r>
      <w:r>
        <w:t xml:space="preserve">: si en cada periodo el juego continúa con una cierta probabilidad, basta con multiplicar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por ella.</w:t>
      </w:r>
    </w:p>
    <w:p>
      <w:pPr>
        <w:numPr>
          <w:ilvl w:val="0"/>
          <w:numId w:val="1098"/>
        </w:numPr>
      </w:pPr>
      <w:r>
        <w:rPr>
          <w:i/>
          <w:iCs/>
          <w:smallCaps/>
        </w:rPr>
        <w:t xml:space="preserve">Bertrand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empresas</w:t>
      </w:r>
      <w:r>
        <w:t xml:space="preserve">: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luego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numPr>
          <w:ilvl w:val="0"/>
          <w:numId w:val="1098"/>
        </w:numPr>
      </w:pPr>
      <w:r>
        <w:rPr>
          <w:i/>
          <w:iCs/>
          <w:smallCaps/>
        </w:rPr>
        <w:t xml:space="preserve">Cournot</w:t>
      </w:r>
      <w:r>
        <w:rPr>
          <w:i/>
          <w:iCs/>
        </w:rPr>
        <w:t xml:space="preserve"> </w:t>
      </w:r>
      <w:r>
        <w:rPr>
          <w:i/>
          <w:iCs/>
        </w:rPr>
        <w:t xml:space="preserve">repetido</w:t>
      </w:r>
      <w:r>
        <w:t xml:space="preserve"> </w:t>
      </w:r>
      <w:r>
        <w:t xml:space="preserve">(duopolio,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, coste</w:t>
      </w:r>
      <w:r>
        <w:t xml:space="preserve"> </w:t>
      </w:r>
      <m:oMath>
        <m:r>
          <m:t>c</m:t>
        </m:r>
      </m:oMath>
      <w:r>
        <w:t xml:space="preserve">): coludiendo, cada una produce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4</m:t>
        </m:r>
        <m:r>
          <m:t>b</m:t>
        </m:r>
      </m:oMath>
      <w:r>
        <w:t xml:space="preserve"> </w:t>
      </w:r>
      <w:r>
        <w:t xml:space="preserve">y gana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; la mejor desviación 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/</m:t>
            </m:r>
            <m:r>
              <m:t>4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, con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=</m:t>
        </m:r>
        <m:r>
          <m:t>9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64</m:t>
        </m:r>
        <m:r>
          <m:t>b</m:t>
        </m:r>
      </m:oMath>
      <w:r>
        <w:t xml:space="preserve">; el castigo es</w:t>
      </w:r>
      <w:r>
        <w:t xml:space="preserve"> </w:t>
      </w:r>
      <w:r>
        <w:rPr>
          <w:smallCaps/>
        </w:rPr>
        <w:t xml:space="preserve">Cournot</w:t>
      </w:r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t>b</m:t>
        </m:r>
      </m:oMath>
      <w:r>
        <w:t xml:space="preserve">. Entonces</w:t>
      </w:r>
    </w:p>
    <w:p>
      <w:pPr>
        <w:pStyle w:val="BodyText"/>
        <w:keepNext/>
      </w:pPr>
      <m:oMathPara>
        <m:oMathParaPr>
          <m:jc m:val="center"/>
        </m:oMathParaPr>
        <m:oMath>
          <m:r>
            <m:t>β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64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9</m:t>
              </m:r>
              <m:r>
                <m:rPr>
                  <m:sty m:val="p"/>
                </m:rPr>
                <m:t>/</m:t>
              </m:r>
              <m:r>
                <m:t>64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17</m:t>
              </m:r>
              <m:r>
                <m:rPr>
                  <m:sty m:val="p"/>
                </m:rPr>
                <m:t>/</m:t>
              </m:r>
              <m:r>
                <m:t>576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17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53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 ∎</w:t>
      </w:r>
    </w:p>
    <w:bookmarkEnd w:id="193"/>
    <w:bookmarkStart w:id="195" w:name="anexo_test"/>
    <w:p>
      <w:pPr>
        <w:pStyle w:val="Heading1"/>
      </w:pPr>
      <w:r>
        <w:t xml:space="preserve">E. Anexo: aspectos para el test y preguntas del tribunal</w:t>
      </w:r>
    </w:p>
    <w:p>
      <w:pPr>
        <w:keepNext/>
        <w:numPr>
          <w:ilvl w:val="0"/>
          <w:numId w:val="1099"/>
        </w:numPr>
      </w:pPr>
      <w:r>
        <w:rPr>
          <w:i/>
          <w:iCs/>
        </w:rPr>
        <w:t xml:space="preserve">Para el test</w:t>
      </w:r>
      <w:r>
        <w:t xml:space="preserve">:</w:t>
      </w:r>
    </w:p>
    <w:p>
      <w:pPr>
        <w:numPr>
          <w:ilvl w:val="1"/>
          <w:numId w:val="1100"/>
        </w:numPr>
      </w:pPr>
      <w:r>
        <w:rPr>
          <w:smallCaps/>
        </w:rPr>
        <w:t xml:space="preserve">Cournot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empresas iguales 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: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e>
        </m:d>
      </m:oMath>
      <w:r>
        <w:t xml:space="preserve">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H</m:t>
        </m:r>
        <m:r>
          <m:rPr>
            <m:sty m:val="p"/>
          </m:rPr>
          <m:t>H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10.000</m:t>
            </m:r>
            <m:r>
              <m:t> 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</m:oMath>
      <w:r>
        <w:t xml:space="preserve">.</w:t>
      </w:r>
    </w:p>
    <w:p>
      <w:pPr>
        <w:numPr>
          <w:ilvl w:val="1"/>
          <w:numId w:val="1100"/>
        </w:numPr>
      </w:pPr>
      <w:r>
        <w:t xml:space="preserve">Condiciones de</w:t>
      </w:r>
      <w:r>
        <w:t xml:space="preserve"> </w:t>
      </w:r>
      <w:r>
        <w:rPr>
          <w:smallCaps/>
        </w:rPr>
        <w:t xml:space="preserve">Hahn</w:t>
      </w:r>
      <w:r>
        <w:t xml:space="preserve"> </w:t>
      </w:r>
      <w:r>
        <w:t xml:space="preserve">(1962):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′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; con demanda lineal,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100"/>
        </w:numPr>
      </w:pPr>
      <w:r>
        <w:rPr>
          <w:smallCaps/>
        </w:rPr>
        <w:t xml:space="preserve">Stackelberg</w:t>
      </w:r>
      <w:r>
        <w:t xml:space="preserve">: la variación conjetural de la líder es negativa (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); la ventaja es de compromiso; es un ENPS.</w:t>
      </w:r>
    </w:p>
    <w:p>
      <w:pPr>
        <w:numPr>
          <w:ilvl w:val="1"/>
          <w:numId w:val="1100"/>
        </w:numPr>
      </w:pPr>
      <w:r>
        <w:rPr>
          <w:smallCaps/>
        </w:rPr>
        <w:t xml:space="preserve">Bertrand</w:t>
      </w:r>
      <w:r>
        <w:t xml:space="preserve"> </w:t>
      </w:r>
      <w:r>
        <w:t xml:space="preserve">(1883): con costes iguales y sin restricciones de capacidad,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(único EN); con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un céntimo por debajo de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vende solo la 1.</w:t>
      </w:r>
    </w:p>
    <w:p>
      <w:pPr>
        <w:numPr>
          <w:ilvl w:val="1"/>
          <w:numId w:val="1100"/>
        </w:numPr>
      </w:pPr>
      <w:r>
        <w:rPr>
          <w:smallCaps/>
        </w:rPr>
        <w:t xml:space="preserve">Edgeworth</w:t>
      </w:r>
      <w:r>
        <w:t xml:space="preserve"> </w:t>
      </w:r>
      <w:r>
        <w:t xml:space="preserve">(1897): con capacidad limitada no hay equilibrio en estrategias puras; ciclos.</w:t>
      </w:r>
    </w:p>
    <w:p>
      <w:pPr>
        <w:numPr>
          <w:ilvl w:val="1"/>
          <w:numId w:val="1100"/>
        </w:numPr>
      </w:pPr>
      <w:r>
        <w:rPr>
          <w:smallCaps/>
        </w:rPr>
        <w:t xml:space="preserve">Kreps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Scheinkman</w:t>
      </w:r>
      <w:r>
        <w:t xml:space="preserve"> </w:t>
      </w:r>
      <w:r>
        <w:t xml:space="preserve">(1983): capacidad y después precios dan</w:t>
      </w:r>
      <w:r>
        <w:t xml:space="preserve"> </w:t>
      </w:r>
      <w:r>
        <w:rPr>
          <w:smallCaps/>
        </w:rPr>
        <w:t xml:space="preserve">Cournot</w:t>
      </w:r>
      <w:r>
        <w:t xml:space="preserve">, con racionamiento eficiente.</w:t>
      </w:r>
    </w:p>
    <w:p>
      <w:pPr>
        <w:numPr>
          <w:ilvl w:val="1"/>
          <w:numId w:val="1100"/>
        </w:numPr>
      </w:pPr>
      <w:r>
        <w:t xml:space="preserve">Gatillo: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C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N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rPr>
          <w:smallCaps/>
        </w:rPr>
        <w:t xml:space="preserve">Bertrand</w:t>
      </w:r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;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lineal,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9</m:t>
        </m:r>
        <m:r>
          <m:rPr>
            <m:sty m:val="p"/>
          </m:rPr>
          <m:t>/</m:t>
        </m:r>
        <m:r>
          <m:t>17</m:t>
        </m:r>
      </m:oMath>
      <w:r>
        <w:t xml:space="preserve">.</w:t>
      </w:r>
    </w:p>
    <w:p>
      <w:pPr>
        <w:numPr>
          <w:ilvl w:val="1"/>
          <w:numId w:val="1100"/>
        </w:numPr>
      </w:pPr>
      <w:r>
        <w:rPr>
          <w:smallCaps/>
        </w:rPr>
        <w:t xml:space="preserve">Stigler</w:t>
      </w:r>
      <w:r>
        <w:t xml:space="preserve"> </w:t>
      </w:r>
      <w:r>
        <w:t xml:space="preserve">(1964), detección de rebajas secretas;</w:t>
      </w:r>
      <w:r>
        <w:t xml:space="preserve"> </w:t>
      </w:r>
      <w:r>
        <w:rPr>
          <w:smallCaps/>
        </w:rPr>
        <w:t xml:space="preserve">Green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Porter</w:t>
      </w:r>
      <w:r>
        <w:t xml:space="preserve"> </w:t>
      </w:r>
      <w:r>
        <w:t xml:space="preserve">(1984), guerras de precios en equilibrio con demanda incierta;</w:t>
      </w:r>
      <w:r>
        <w:t xml:space="preserve"> </w:t>
      </w:r>
      <w:r>
        <w:rPr>
          <w:smallCaps/>
        </w:rPr>
        <w:t xml:space="preserve">Rotemberg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Saloner</w:t>
      </w:r>
      <w:r>
        <w:t xml:space="preserve"> </w:t>
      </w:r>
      <w:r>
        <w:t xml:space="preserve">(1986), guerras de precios en los auges.</w:t>
      </w:r>
    </w:p>
    <w:p>
      <w:pPr>
        <w:numPr>
          <w:ilvl w:val="1"/>
          <w:numId w:val="1100"/>
        </w:numPr>
      </w:pPr>
      <w:r>
        <w:t xml:space="preserve">Cártel: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; paradoja de las fusiones:</w:t>
      </w:r>
      <w:r>
        <w:t xml:space="preserve"> </w:t>
      </w:r>
      <w:r>
        <w:rPr>
          <w:smallCaps/>
        </w:rPr>
        <w:t xml:space="preserve">Salant</w:t>
      </w:r>
      <w:r>
        <w:t xml:space="preserve">,</w:t>
      </w:r>
      <w:r>
        <w:t xml:space="preserve"> </w:t>
      </w:r>
      <w:r>
        <w:rPr>
          <w:smallCaps/>
        </w:rPr>
        <w:t xml:space="preserve">Switzer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Reynolds</w:t>
      </w:r>
      <w:r>
        <w:t xml:space="preserve"> </w:t>
      </w:r>
      <w:r>
        <w:t xml:space="preserve">(1983); estabilidad interna y externa:</w:t>
      </w:r>
      <w:r>
        <w:t xml:space="preserve"> </w:t>
      </w:r>
      <w:r>
        <w:rPr>
          <w:smallCaps/>
        </w:rPr>
        <w:t xml:space="preserve">d’Aspremont</w:t>
      </w:r>
      <w:r>
        <w:t xml:space="preserve"> </w:t>
      </w:r>
      <w:r>
        <w:t xml:space="preserve">y otros (1983).</w:t>
      </w:r>
    </w:p>
    <w:p>
      <w:pPr>
        <w:numPr>
          <w:ilvl w:val="1"/>
          <w:numId w:val="1100"/>
        </w:numPr>
      </w:pPr>
      <w:r>
        <w:t xml:space="preserve">Mercados impugnables: sin costes hundidos, misma tecnología y retardo de reacción de las instaladas (no hace falta que haya rendimientos constantes).</w:t>
      </w:r>
    </w:p>
    <w:p>
      <w:pPr>
        <w:numPr>
          <w:ilvl w:val="1"/>
          <w:numId w:val="1100"/>
        </w:numPr>
      </w:pPr>
      <w:r>
        <w:t xml:space="preserve">Clemencia en España (arts. 65 y 66 de la Ley 15/2007): exención para la primera; reducciones del 30-50 %, del 20-30 % y de hasta el 20 %.</w:t>
      </w:r>
    </w:p>
    <w:p>
      <w:pPr>
        <w:keepNext/>
        <w:numPr>
          <w:ilvl w:val="0"/>
          <w:numId w:val="1099"/>
        </w:numPr>
      </w:pPr>
      <w:r>
        <w:rPr>
          <w:i/>
          <w:iCs/>
        </w:rPr>
        <w:t xml:space="preserve">Preguntas del tribunal en otros exámenes</w:t>
      </w:r>
      <w:r>
        <w:t xml:space="preserve">: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¿Qué sucede cuando compiten más de 2 empresas?</w:t>
      </w:r>
      <w:r>
        <w:t xml:space="preserve"> </w:t>
      </w:r>
      <w:r>
        <w:t xml:space="preserve">En</w:t>
      </w:r>
      <w:r>
        <w:t xml:space="preserve"> </w:t>
      </w:r>
      <w:r>
        <w:rPr>
          <w:smallCaps/>
        </w:rPr>
        <w:t xml:space="preserve">Cournot</w:t>
      </w:r>
      <w:r>
        <w:t xml:space="preserve">, el precio baja hacia el coste marginal y el margen de cada empresa,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ε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sub>
                </m:sSub>
              </m:e>
            </m:d>
          </m:e>
        </m:d>
      </m:oMath>
      <w:r>
        <w:t xml:space="preserve">, tiende a 0 (</w:t>
      </w:r>
      <w:hyperlink w:anchor="sec_cournot">
        <w:r>
          <w:rPr>
            <w:rStyle w:val="Hyperlink"/>
          </w:rPr>
          <w:t xml:space="preserve">I.2</w:t>
        </w:r>
      </w:hyperlink>
      <w:r>
        <w:t xml:space="preserve">); en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ya basta con 2; y la colusión es más difícil,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sec_horizonte_infinito">
        <w:r>
          <w:rPr>
            <w:rStyle w:val="Hyperlink"/>
          </w:rPr>
          <w:t xml:space="preserve">II.2</w:t>
        </w:r>
      </w:hyperlink>
      <w:r>
        <w:t xml:space="preserve">).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¿Sabe lo que es la colusión perfecta?</w:t>
      </w:r>
      <w:r>
        <w:t xml:space="preserve"> </w:t>
      </w:r>
      <w:r>
        <w:t xml:space="preserve">La que alcanza el resultado del monopolio con el reparto que minimiza el coste: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sec_cartel">
        <w:r>
          <w:rPr>
            <w:rStyle w:val="Hyperlink"/>
          </w:rPr>
          <w:t xml:space="preserve">III.1</w:t>
        </w:r>
      </w:hyperlink>
      <w:r>
        <w:t xml:space="preserve">).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Amplíe la idea de las barreras de entrada.</w:t>
      </w:r>
      <w:r>
        <w:t xml:space="preserve"> </w:t>
      </w:r>
      <w:r>
        <w:t xml:space="preserve">Legales, de acceso a los factores, técnicas y estratégicas; precio límite y compromiso de capacidad; mercados impugnables (</w:t>
      </w:r>
      <w:hyperlink w:anchor="sec_limites_cooperacion">
        <w:r>
          <w:rPr>
            <w:rStyle w:val="Hyperlink"/>
          </w:rPr>
          <w:t xml:space="preserve">III.3</w:t>
        </w:r>
      </w:hyperlink>
      <w:r>
        <w:t xml:space="preserve">)</w:t>
      </w:r>
      <w:r>
        <w:t xml:space="preserve"> </w:t>
      </w:r>
      <w:hyperlink r:id="rId47">
        <w:r>
          <w:rPr>
            <w:rStyle w:val="Referenciaatema"/>
          </w:rPr>
          <w:t xml:space="preserve">[ver tema 3.A.15]</w:t>
        </w:r>
      </w:hyperlink>
      <w:r>
        <w:t xml:space="preserve">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Un monopolio natural que se liberaliza (telecomunicaciones, energía): ¿podría haber un equilibrio estable?</w:t>
      </w:r>
      <w:r>
        <w:t xml:space="preserve"> </w:t>
      </w:r>
      <w:r>
        <w:t xml:space="preserve">Sí: quedan pocas empresas, que se encuentran a diario, con precios transparentes y barreras (la red): las condiciones de la colusión tácita (tabla </w:t>
      </w:r>
      <w:hyperlink w:anchor="tab_factores_colusion">
        <w:r>
          <w:rPr>
            <w:rStyle w:val="Hyperlink"/>
          </w:rPr>
          <w:t xml:space="preserve">5</w:t>
        </w:r>
      </w:hyperlink>
      <w:r>
        <w:t xml:space="preserve">). Por eso la liberalización se acompaña de regulación del acceso a la red y de vigilancia de la competencia</w:t>
      </w:r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En el corto plazo, ¿predomina la competencia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Cournot</w:t>
      </w:r>
      <w:r>
        <w:rPr>
          <w:i/>
          <w:iCs/>
        </w:rPr>
        <w:t xml:space="preserve"> </w:t>
      </w:r>
      <w:r>
        <w:rPr>
          <w:i/>
          <w:iCs/>
        </w:rPr>
        <w:t xml:space="preserve">o la de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Bertrand</w:t>
      </w:r>
      <w:r>
        <w:rPr>
          <w:i/>
          <w:iCs/>
        </w:rPr>
        <w:t xml:space="preserve">?</w:t>
      </w:r>
      <w:r>
        <w:t xml:space="preserve"> </w:t>
      </w:r>
      <w:r>
        <w:t xml:space="preserve">Depende de qué está fijo. A corto plazo la capacidad suele estarlo: las empresas compiten en precios, pero con capacidades dadas, y el resultado es el de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</w:t>
      </w:r>
      <w:hyperlink w:anchor="ref_KrepsScheinkman1983Quantity">
        <w:r>
          <w:rPr>
            <w:rStyle w:val="Hyperlink"/>
            <w:smallCaps/>
          </w:rPr>
          <w:t xml:space="preserve">Kreps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Scheinkman</w:t>
        </w:r>
        <w:r>
          <w:rPr>
            <w:rStyle w:val="Hyperlink"/>
          </w:rPr>
          <w:t xml:space="preserve">, 1983</w:t>
        </w:r>
      </w:hyperlink>
      <w:r>
        <w:t xml:space="preserve">)</w:t>
      </w:r>
      <w:r>
        <w:t xml:space="preserve">.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describe mejor los mercados con capacidad sobrante o producción por encargo (</w:t>
      </w:r>
      <w:hyperlink w:anchor="sec_bertrand">
        <w:r>
          <w:rPr>
            <w:rStyle w:val="Hyperlink"/>
          </w:rPr>
          <w:t xml:space="preserve">I.4</w:t>
        </w:r>
      </w:hyperlink>
      <w:r>
        <w:t xml:space="preserve">).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¿En qué modelo se produce más?</w:t>
      </w:r>
      <w:r>
        <w:t xml:space="preserve"> </w:t>
      </w:r>
      <w:r>
        <w:t xml:space="preserve">Con producto homogéneo y costes iguales, en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(la cantidad competitiva), después</w:t>
      </w:r>
      <w:r>
        <w:t xml:space="preserve"> </w:t>
      </w:r>
      <w:r>
        <w:rPr>
          <w:smallCaps/>
        </w:rPr>
        <w:t xml:space="preserve">Stackelberg</w:t>
      </w:r>
      <w:r>
        <w:t xml:space="preserve">,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y el monopolio (tabla </w:t>
      </w:r>
      <w:hyperlink w:anchor="tab_comparacion">
        <w:r>
          <w:rPr>
            <w:rStyle w:val="Hyperlink"/>
          </w:rPr>
          <w:t xml:space="preserve">3</w:t>
        </w:r>
      </w:hyperlink>
      <w:r>
        <w:t xml:space="preserve">); con producto diferenciado,</w:t>
      </w:r>
      <w:r>
        <w:t xml:space="preserve"> </w:t>
      </w:r>
      <w:r>
        <w:rPr>
          <w:smallCaps/>
        </w:rPr>
        <w:t xml:space="preserve">Bertrand</w:t>
      </w:r>
      <w:r>
        <w:t xml:space="preserve"> </w:t>
      </w:r>
      <w:r>
        <w:t xml:space="preserve">sigue produciendo más que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</w:p>
    <w:p>
      <w:pPr>
        <w:numPr>
          <w:ilvl w:val="1"/>
          <w:numId w:val="1101"/>
        </w:numPr>
      </w:pPr>
      <w:r>
        <w:rPr>
          <w:i/>
          <w:iCs/>
        </w:rPr>
        <w:t xml:space="preserve">Diferencie entre horizonte finito e infinito en un cártel.</w:t>
      </w:r>
      <w:r>
        <w:t xml:space="preserve"> </w:t>
      </w:r>
      <w:r>
        <w:t xml:space="preserve">Con final conocido y un único EN en la etapa, la inducción hacia atrás deshace el cártel; sin final conocido, el gatillo lo sostiene si las empresas son pacientes (</w:t>
      </w:r>
      <w:hyperlink w:anchor="sec_analisis_dinamico">
        <w:r>
          <w:rPr>
            <w:rStyle w:val="Hyperlink"/>
          </w:rPr>
          <w:t xml:space="preserve">II</w:t>
        </w:r>
      </w:hyperlink>
      <w:r>
        <w:t xml:space="preserve">).</w:t>
      </w:r>
    </w:p>
    <w:p>
      <w:pPr>
        <w:numPr>
          <w:ilvl w:val="0"/>
          <w:numId w:val="1099"/>
        </w:numPr>
      </w:pPr>
      <w:r>
        <w:t xml:space="preserve">Preguntas de test sobre este tema, en el</w:t>
      </w:r>
      <w:r>
        <w:t xml:space="preserve"> </w:t>
      </w:r>
      <w:hyperlink r:id="rId194">
        <w:r>
          <w:rPr>
            <w:rStyle w:val="Hyperlink"/>
          </w:rPr>
          <w:t xml:space="preserve">simulador de test de la web</w:t>
        </w:r>
      </w:hyperlink>
      <w:r>
        <w:t xml:space="preserve">.</w:t>
      </w:r>
    </w:p>
    <w:p>
      <w:pPr>
        <w:spacing w:before="0" w:after="0" w:line="20" w:lineRule="exact"/>
        <w:sectPr>
          <w:headerReference r:id="rId9" w:type="default"/>
          <w:footerReference r:id="rIdTceeA" w:type="default"/>
          <w:footnotePr>
            <w:numRestart w:val="continuous"/>
          </w:footnotePr>
          <w:pgSz w:h="16838" w:w="11906"/>
          <w:pgMar w:bottom="1361" w:left="1247" w:right="1247" w:top="1474"/>
          <w:pgNumType w:start="1"/>
        </w:sectPr>
      </w:pPr>
    </w:p>
    <w:bookmarkEnd w:id="195"/>
    <w:bookmarkStart w:id="359" w:name="bibliografia"/>
    <w:p>
      <w:pPr>
        <w:pStyle w:val="Heading1"/>
      </w:pPr>
      <w:r>
        <w:t xml:space="preserve">Bibliografía</w:t>
      </w:r>
    </w:p>
    <w:bookmarkStart w:id="358" w:name="refs"/>
    <w:bookmarkStart w:id="197" w:name="ref_Abreu1986Extremal"/>
    <w:p>
      <w:pPr>
        <w:pStyle w:val="Bibliography"/>
      </w:pPr>
      <w:r>
        <w:t xml:space="preserve">Abreu, Dilip (1986).</w:t>
      </w:r>
      <w:r>
        <w:t xml:space="preserve"> </w:t>
      </w:r>
      <w:r>
        <w:t xml:space="preserve">«Extremal Equilibria of Oligopolistic Supergames»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Economic Theory</w:t>
      </w:r>
      <w:r>
        <w:t xml:space="preserve"> </w:t>
      </w:r>
      <w:r>
        <w:t xml:space="preserve">39 (1): 191-225.</w:t>
      </w:r>
      <w:r>
        <w:t xml:space="preserve"> </w:t>
      </w:r>
      <w:hyperlink r:id="rId196">
        <w:r>
          <w:rPr>
            <w:rStyle w:val="Hyperlink"/>
          </w:rPr>
          <w:t xml:space="preserve">https://doi.org/10.1016/0022-0531(86)90025-6</w:t>
        </w:r>
      </w:hyperlink>
      <w:r>
        <w:t xml:space="preserve">.</w:t>
      </w:r>
    </w:p>
    <w:bookmarkEnd w:id="197"/>
    <w:bookmarkStart w:id="199" w:name="ref_Abreu1988Theory"/>
    <w:p>
      <w:pPr>
        <w:pStyle w:val="Bibliography"/>
      </w:pPr>
      <w:r>
        <w:t xml:space="preserve">Abreu, Dilip (1988).</w:t>
      </w:r>
      <w:r>
        <w:t xml:space="preserve"> </w:t>
      </w:r>
      <w:r>
        <w:t xml:space="preserve">«On the Theory of Infinitely Repeated Games with Discounting»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56 (2): 383-96.</w:t>
      </w:r>
      <w:r>
        <w:t xml:space="preserve"> </w:t>
      </w:r>
      <w:hyperlink r:id="rId198">
        <w:r>
          <w:rPr>
            <w:rStyle w:val="Hyperlink"/>
          </w:rPr>
          <w:t xml:space="preserve">https://doi.org/10.2307/1911077</w:t>
        </w:r>
      </w:hyperlink>
      <w:r>
        <w:t xml:space="preserve">.</w:t>
      </w:r>
    </w:p>
    <w:bookmarkEnd w:id="199"/>
    <w:bookmarkStart w:id="200" w:name="ref_Aumann1959Acceptable"/>
    <w:p>
      <w:pPr>
        <w:pStyle w:val="Bibliography"/>
      </w:pPr>
      <w:r>
        <w:t xml:space="preserve">Aumann, Robert J. (1959).</w:t>
      </w:r>
      <w:r>
        <w:t xml:space="preserve"> </w:t>
      </w:r>
      <w:r>
        <w:t xml:space="preserve">«Acceptable Points in General Cooperative n-Person Games»</w:t>
      </w:r>
      <w:r>
        <w:t xml:space="preserve">. En</w:t>
      </w:r>
      <w:r>
        <w:t xml:space="preserve"> </w:t>
      </w:r>
      <w:r>
        <w:rPr>
          <w:i/>
          <w:iCs/>
        </w:rPr>
        <w:t xml:space="preserve">Contributions to the Theory of Games IV</w:t>
      </w:r>
      <w:r>
        <w:t xml:space="preserve">, editado por Albert W. Tucker y R. Duncan Luce, 287-324. Annals of Mathematics Studies 40. Princeton: Princeton University Press.</w:t>
      </w:r>
    </w:p>
    <w:bookmarkEnd w:id="200"/>
    <w:bookmarkStart w:id="202" w:name="ref_Axelrod1980Effective"/>
    <w:p>
      <w:pPr>
        <w:pStyle w:val="Bibliography"/>
      </w:pPr>
      <w:r>
        <w:t xml:space="preserve">Axelrod, Robert (1980a).</w:t>
      </w:r>
      <w:r>
        <w:t xml:space="preserve"> </w:t>
      </w:r>
      <w:r>
        <w:t xml:space="preserve">«Effective Choice in the Prisoner’s Dilemma»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Conflict Resolution</w:t>
      </w:r>
      <w:r>
        <w:t xml:space="preserve"> </w:t>
      </w:r>
      <w:r>
        <w:t xml:space="preserve">24 (1): 3-25.</w:t>
      </w:r>
      <w:r>
        <w:t xml:space="preserve"> </w:t>
      </w:r>
      <w:hyperlink r:id="rId201">
        <w:r>
          <w:rPr>
            <w:rStyle w:val="Hyperlink"/>
          </w:rPr>
          <w:t xml:space="preserve">https://doi.org/10.1177/002200278002400101</w:t>
        </w:r>
      </w:hyperlink>
      <w:r>
        <w:t xml:space="preserve">.</w:t>
      </w:r>
    </w:p>
    <w:bookmarkEnd w:id="202"/>
    <w:bookmarkStart w:id="204" w:name="ref_Axelrod1980More"/>
    <w:p>
      <w:pPr>
        <w:pStyle w:val="Bibliography"/>
      </w:pPr>
      <w:r>
        <w:t xml:space="preserve">Axelrod, Robert (1980b).</w:t>
      </w:r>
      <w:r>
        <w:t xml:space="preserve"> </w:t>
      </w:r>
      <w:r>
        <w:t xml:space="preserve">«More Effective Choice in the Prisoner’s Dilemma»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Conflict Resolution</w:t>
      </w:r>
      <w:r>
        <w:t xml:space="preserve"> </w:t>
      </w:r>
      <w:r>
        <w:t xml:space="preserve">24 (3): 379-403.</w:t>
      </w:r>
      <w:r>
        <w:t xml:space="preserve"> </w:t>
      </w:r>
      <w:hyperlink r:id="rId203">
        <w:r>
          <w:rPr>
            <w:rStyle w:val="Hyperlink"/>
          </w:rPr>
          <w:t xml:space="preserve">https://doi.org/10.1177/002200278002400301</w:t>
        </w:r>
      </w:hyperlink>
      <w:r>
        <w:t xml:space="preserve">.</w:t>
      </w:r>
    </w:p>
    <w:bookmarkEnd w:id="204"/>
    <w:bookmarkStart w:id="205" w:name="ref_Axelrod1984Evolution"/>
    <w:p>
      <w:pPr>
        <w:pStyle w:val="Bibliography"/>
      </w:pPr>
      <w:r>
        <w:t xml:space="preserve">Axelrod, Robert (1984).</w:t>
      </w:r>
      <w:r>
        <w:t xml:space="preserve"> </w:t>
      </w:r>
      <w:r>
        <w:rPr>
          <w:i/>
          <w:iCs/>
        </w:rPr>
        <w:t xml:space="preserve">The Evolution of Cooperation</w:t>
      </w:r>
      <w:r>
        <w:t xml:space="preserve">. Nueva York: Basic Books.</w:t>
      </w:r>
    </w:p>
    <w:bookmarkEnd w:id="205"/>
    <w:bookmarkStart w:id="207" w:name="ref_BaileyBaumol1984Deregulation"/>
    <w:p>
      <w:pPr>
        <w:pStyle w:val="Bibliography"/>
      </w:pPr>
      <w:r>
        <w:t xml:space="preserve">Bailey, Elizabeth E. y William J. Baumol (1984).</w:t>
      </w:r>
      <w:r>
        <w:t xml:space="preserve"> </w:t>
      </w:r>
      <w:r>
        <w:t xml:space="preserve">«Deregulation and the Theory of Contestable Markets»</w:t>
      </w:r>
      <w:r>
        <w:t xml:space="preserve">.</w:t>
      </w:r>
      <w:r>
        <w:t xml:space="preserve"> </w:t>
      </w:r>
      <w:r>
        <w:rPr>
          <w:i/>
          <w:iCs/>
        </w:rPr>
        <w:t xml:space="preserve">Yale Journal on Regulation</w:t>
      </w:r>
      <w:r>
        <w:t xml:space="preserve"> </w:t>
      </w:r>
      <w:r>
        <w:t xml:space="preserve">1 (2): 111-11.</w:t>
      </w:r>
      <w:r>
        <w:t xml:space="preserve"> </w:t>
      </w:r>
      <w:hyperlink r:id="rId206">
        <w:r>
          <w:rPr>
            <w:rStyle w:val="Hyperlink"/>
          </w:rPr>
          <w:t xml:space="preserve">https://openyls.law.yale.edu/entities/publication/394c17da-e37b-4118-a8df-0cb60aebecba</w:t>
        </w:r>
      </w:hyperlink>
      <w:r>
        <w:t xml:space="preserve">.</w:t>
      </w:r>
    </w:p>
    <w:bookmarkEnd w:id="207"/>
    <w:bookmarkStart w:id="209" w:name="ref_Bain1956Barriers"/>
    <w:p>
      <w:pPr>
        <w:pStyle w:val="Bibliography"/>
      </w:pPr>
      <w:r>
        <w:t xml:space="preserve">Bain, Joe S. (1956).</w:t>
      </w:r>
      <w:r>
        <w:t xml:space="preserve"> </w:t>
      </w:r>
      <w:r>
        <w:rPr>
          <w:i/>
          <w:iCs/>
        </w:rPr>
        <w:t xml:space="preserve">Barriers to New Competition</w:t>
      </w:r>
      <w:r>
        <w:t xml:space="preserve">. Cambridge (Massachusetts): Harvard University Press.</w:t>
      </w:r>
      <w:r>
        <w:t xml:space="preserve"> </w:t>
      </w:r>
      <w:hyperlink r:id="rId208">
        <w:r>
          <w:rPr>
            <w:rStyle w:val="Hyperlink"/>
          </w:rPr>
          <w:t xml:space="preserve">https://doi.org/10.4159/harvard.9780674188037</w:t>
        </w:r>
      </w:hyperlink>
      <w:r>
        <w:t xml:space="preserve">.</w:t>
      </w:r>
    </w:p>
    <w:bookmarkEnd w:id="209"/>
    <w:bookmarkStart w:id="211" w:name="ref_Baumol1982Contestable"/>
    <w:p>
      <w:pPr>
        <w:pStyle w:val="Bibliography"/>
      </w:pPr>
      <w:r>
        <w:t xml:space="preserve">Baumol, William J. (1982).</w:t>
      </w:r>
      <w:r>
        <w:t xml:space="preserve"> </w:t>
      </w:r>
      <w:r>
        <w:t xml:space="preserve">«Contestable Markets: An Uprising in the Theory of Industry Structure»</w:t>
      </w:r>
      <w:r>
        <w:t xml:space="preserve">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72 (1): 1-15.</w:t>
      </w:r>
      <w:r>
        <w:t xml:space="preserve"> </w:t>
      </w:r>
      <w:hyperlink r:id="rId210">
        <w:r>
          <w:rPr>
            <w:rStyle w:val="Hyperlink"/>
          </w:rPr>
          <w:t xml:space="preserve">https://ideas.repec.org/a/aea/aecrev/v72y1982i1p1-15.html</w:t>
        </w:r>
      </w:hyperlink>
      <w:r>
        <w:t xml:space="preserve">.</w:t>
      </w:r>
    </w:p>
    <w:bookmarkEnd w:id="211"/>
    <w:bookmarkStart w:id="212" w:name="ref_BaumolPanzarWillig1982Contestable"/>
    <w:p>
      <w:pPr>
        <w:pStyle w:val="Bibliography"/>
      </w:pPr>
      <w:r>
        <w:t xml:space="preserve">Baumol, William J., John C. Panzar y Robert D. Willig (1982).</w:t>
      </w:r>
      <w:r>
        <w:t xml:space="preserve"> </w:t>
      </w:r>
      <w:r>
        <w:rPr>
          <w:i/>
          <w:iCs/>
        </w:rPr>
        <w:t xml:space="preserve">Contestable Markets and the Theory of Industry Structure</w:t>
      </w:r>
      <w:r>
        <w:t xml:space="preserve">. Nueva York: Harcourt Brace Jovanovich.</w:t>
      </w:r>
    </w:p>
    <w:bookmarkEnd w:id="212"/>
    <w:bookmarkStart w:id="214" w:name="ref_BenoitKrishna1985Finitely"/>
    <w:p>
      <w:pPr>
        <w:pStyle w:val="Bibliography"/>
      </w:pPr>
      <w:r>
        <w:t xml:space="preserve">Benoit, Jean-Pierre y Vijay Krishna (1985).</w:t>
      </w:r>
      <w:r>
        <w:t xml:space="preserve"> </w:t>
      </w:r>
      <w:r>
        <w:t xml:space="preserve">«Finitely Repeated Games»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53 (4): 905-22.</w:t>
      </w:r>
      <w:r>
        <w:t xml:space="preserve"> </w:t>
      </w:r>
      <w:hyperlink r:id="rId213">
        <w:r>
          <w:rPr>
            <w:rStyle w:val="Hyperlink"/>
          </w:rPr>
          <w:t xml:space="preserve">https://doi.org/10.2307/1912660</w:t>
        </w:r>
      </w:hyperlink>
      <w:r>
        <w:t xml:space="preserve">.</w:t>
      </w:r>
    </w:p>
    <w:bookmarkEnd w:id="214"/>
    <w:bookmarkStart w:id="216" w:name="ref_BernheimWhinston1990Multimarket"/>
    <w:p>
      <w:pPr>
        <w:pStyle w:val="Bibliography"/>
      </w:pPr>
      <w:r>
        <w:t xml:space="preserve">Bernheim, B. Douglas y Michael D. Whinston (1990).</w:t>
      </w:r>
      <w:r>
        <w:t xml:space="preserve"> </w:t>
      </w:r>
      <w:r>
        <w:t xml:space="preserve">«Multimarket Contact and Collusive Behavior»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21 (1): 1-26.</w:t>
      </w:r>
      <w:r>
        <w:t xml:space="preserve"> </w:t>
      </w:r>
      <w:hyperlink r:id="rId215">
        <w:r>
          <w:rPr>
            <w:rStyle w:val="Hyperlink"/>
          </w:rPr>
          <w:t xml:space="preserve">https://doi.org/10.2307/2555490</w:t>
        </w:r>
      </w:hyperlink>
      <w:r>
        <w:t xml:space="preserve">.</w:t>
      </w:r>
    </w:p>
    <w:bookmarkEnd w:id="216"/>
    <w:bookmarkStart w:id="217" w:name="ref_Bertrand1883Theorie"/>
    <w:p>
      <w:pPr>
        <w:pStyle w:val="Bibliography"/>
      </w:pPr>
      <w:r>
        <w:t xml:space="preserve">Bertrand, Joseph (1883).</w:t>
      </w:r>
      <w:r>
        <w:t xml:space="preserve"> </w:t>
      </w:r>
      <w:r>
        <w:t xml:space="preserve">«Théorie des richesses: revue de «Théorie mathématique de la richesse sociale» par Léon Walras et de «Recherches sur les principes mathématiques de la théorie des richesses» par Augustin Cournot»</w:t>
      </w:r>
      <w:r>
        <w:t xml:space="preserve">.</w:t>
      </w:r>
      <w:r>
        <w:t xml:space="preserve"> </w:t>
      </w:r>
      <w:r>
        <w:rPr>
          <w:i/>
          <w:iCs/>
        </w:rPr>
        <w:t xml:space="preserve">Journal des Savants</w:t>
      </w:r>
      <w:r>
        <w:t xml:space="preserve">, septiembre, 499-508.</w:t>
      </w:r>
    </w:p>
    <w:bookmarkEnd w:id="217"/>
    <w:bookmarkStart w:id="218" w:name="ref_Bowley1924Mathematical"/>
    <w:p>
      <w:pPr>
        <w:pStyle w:val="Bibliography"/>
      </w:pPr>
      <w:r>
        <w:t xml:space="preserve">Bowley, Arthur L. (1924).</w:t>
      </w:r>
      <w:r>
        <w:t xml:space="preserve"> </w:t>
      </w:r>
      <w:r>
        <w:rPr>
          <w:i/>
          <w:iCs/>
        </w:rPr>
        <w:t xml:space="preserve">The Mathematical Groundwork of Economics</w:t>
      </w:r>
      <w:r>
        <w:t xml:space="preserve">. Oxford: Clarendon Press.</w:t>
      </w:r>
    </w:p>
    <w:bookmarkEnd w:id="218"/>
    <w:bookmarkStart w:id="220" w:name="ref_BranderZhang1990Market"/>
    <w:p>
      <w:pPr>
        <w:pStyle w:val="Bibliography"/>
      </w:pPr>
      <w:r>
        <w:t xml:space="preserve">Brander, James A. y Anming Zhang (1990).</w:t>
      </w:r>
      <w:r>
        <w:t xml:space="preserve"> </w:t>
      </w:r>
      <w:r>
        <w:t xml:space="preserve">«Market Conduct in the Airline Industry: An Empirical Investigation»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21 (4): 567-83.</w:t>
      </w:r>
      <w:r>
        <w:t xml:space="preserve"> </w:t>
      </w:r>
      <w:hyperlink r:id="rId219">
        <w:r>
          <w:rPr>
            <w:rStyle w:val="Hyperlink"/>
          </w:rPr>
          <w:t xml:space="preserve">https://doi.org/10.2307/2555469</w:t>
        </w:r>
      </w:hyperlink>
      <w:r>
        <w:t xml:space="preserve">.</w:t>
      </w:r>
    </w:p>
    <w:bookmarkEnd w:id="220"/>
    <w:bookmarkStart w:id="221" w:name="ref_Bresnahan1981Duopoly"/>
    <w:p>
      <w:pPr>
        <w:pStyle w:val="Bibliography"/>
      </w:pPr>
      <w:r>
        <w:t xml:space="preserve">Bresnahan, Timothy F. (1981).</w:t>
      </w:r>
      <w:r>
        <w:t xml:space="preserve"> </w:t>
      </w:r>
      <w:r>
        <w:t xml:space="preserve">«Duopoly Models with Consistent Conjectures»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Economic Review</w:t>
      </w:r>
      <w:r>
        <w:t xml:space="preserve"> </w:t>
      </w:r>
      <w:r>
        <w:t xml:space="preserve">71 (5): 934-45.</w:t>
      </w:r>
    </w:p>
    <w:bookmarkEnd w:id="221"/>
    <w:bookmarkStart w:id="223" w:name="ref_BrockScheinkman1985Price"/>
    <w:p>
      <w:pPr>
        <w:pStyle w:val="Bibliography"/>
      </w:pPr>
      <w:r>
        <w:t xml:space="preserve">Brock, William A. y José A. Scheinkman (1985).</w:t>
      </w:r>
      <w:r>
        <w:t xml:space="preserve"> </w:t>
      </w:r>
      <w:r>
        <w:t xml:space="preserve">«Price Setting Supergames with Capacity Constraints»</w:t>
      </w:r>
      <w:r>
        <w:t xml:space="preserve">.</w:t>
      </w:r>
      <w:r>
        <w:t xml:space="preserve"> </w:t>
      </w:r>
      <w:r>
        <w:rPr>
          <w:i/>
          <w:iCs/>
        </w:rPr>
        <w:t xml:space="preserve">The Review of Economic Studies</w:t>
      </w:r>
      <w:r>
        <w:t xml:space="preserve"> </w:t>
      </w:r>
      <w:r>
        <w:t xml:space="preserve">52 (3): 371-82.</w:t>
      </w:r>
      <w:r>
        <w:t xml:space="preserve"> </w:t>
      </w:r>
      <w:hyperlink r:id="rId222">
        <w:r>
          <w:rPr>
            <w:rStyle w:val="Hyperlink"/>
          </w:rPr>
          <w:t xml:space="preserve">https://doi.org/10.2307/2297659</w:t>
        </w:r>
      </w:hyperlink>
      <w:r>
        <w:t xml:space="preserve">.</w:t>
      </w:r>
    </w:p>
    <w:bookmarkEnd w:id="223"/>
    <w:bookmarkStart w:id="225" w:name="ref_BulowGeanakoplosKlemperer1985M_30256"/>
    <w:p>
      <w:pPr>
        <w:pStyle w:val="Bibliography"/>
      </w:pPr>
      <w:r>
        <w:t xml:space="preserve">Bulow, Jeremy I., John D. Geanakoplos y Paul D. Klemperer (1985).</w:t>
      </w:r>
      <w:r>
        <w:t xml:space="preserve"> </w:t>
      </w:r>
      <w:r>
        <w:t xml:space="preserve">«Multimarket Oligopoly: Strategic Substitutes and Complements»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93 (3): 488-511.</w:t>
      </w:r>
      <w:r>
        <w:t xml:space="preserve"> </w:t>
      </w:r>
      <w:hyperlink r:id="rId224">
        <w:r>
          <w:rPr>
            <w:rStyle w:val="Hyperlink"/>
          </w:rPr>
          <w:t xml:space="preserve">https://doi.org/10.1086/261312</w:t>
        </w:r>
      </w:hyperlink>
      <w:r>
        <w:t xml:space="preserve">.</w:t>
      </w:r>
    </w:p>
    <w:bookmarkEnd w:id="225"/>
    <w:bookmarkStart w:id="227" w:name="ref_ByrneDeRoos2019Learning"/>
    <w:p>
      <w:pPr>
        <w:pStyle w:val="Bibliography"/>
      </w:pPr>
      <w:r>
        <w:t xml:space="preserve">Byrne, David P. y Nicolas de Roos (2019).</w:t>
      </w:r>
      <w:r>
        <w:t xml:space="preserve"> </w:t>
      </w:r>
      <w:r>
        <w:t xml:space="preserve">«Learning to Coordinate: A Study in Retail Gasoline»</w:t>
      </w:r>
      <w:r>
        <w:t xml:space="preserve">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109 (2): 591-619.</w:t>
      </w:r>
      <w:r>
        <w:t xml:space="preserve"> </w:t>
      </w:r>
      <w:hyperlink r:id="rId226">
        <w:r>
          <w:rPr>
            <w:rStyle w:val="Hyperlink"/>
          </w:rPr>
          <w:t xml:space="preserve">https://doi.org/10.1257/aer.20170116</w:t>
        </w:r>
      </w:hyperlink>
      <w:r>
        <w:t xml:space="preserve">.</w:t>
      </w:r>
    </w:p>
    <w:bookmarkEnd w:id="227"/>
    <w:bookmarkStart w:id="229" w:name="ref_CalvanoEtAl2020Artificial"/>
    <w:p>
      <w:pPr>
        <w:pStyle w:val="Bibliography"/>
      </w:pPr>
      <w:r>
        <w:t xml:space="preserve">Calvano, Emilio, Giacomo Calzolari, Vincenzo Denicolò y Sergio Pastorello (2020).</w:t>
      </w:r>
      <w:r>
        <w:t xml:space="preserve"> </w:t>
      </w:r>
      <w:r>
        <w:t xml:space="preserve">«Artificial Intelligence, Algorithmic Pricing, and Collusion»</w:t>
      </w:r>
      <w:r>
        <w:t xml:space="preserve">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110 (10): 3267-97.</w:t>
      </w:r>
      <w:r>
        <w:t xml:space="preserve"> </w:t>
      </w:r>
      <w:hyperlink r:id="rId228">
        <w:r>
          <w:rPr>
            <w:rStyle w:val="Hyperlink"/>
          </w:rPr>
          <w:t xml:space="preserve">https://doi.org/10.1257/aer.20190623</w:t>
        </w:r>
      </w:hyperlink>
      <w:r>
        <w:t xml:space="preserve">.</w:t>
      </w:r>
    </w:p>
    <w:bookmarkEnd w:id="229"/>
    <w:bookmarkStart w:id="230" w:name="ref_CerdaPerezJimeno2004Teoria"/>
    <w:p>
      <w:pPr>
        <w:pStyle w:val="Bibliography"/>
      </w:pPr>
      <w:r>
        <w:t xml:space="preserve">Cerdá Tena, Emilio, Joaquín Pérez Navarro y José Luis Jimeno Pastor (2004).</w:t>
      </w:r>
      <w:r>
        <w:t xml:space="preserve"> </w:t>
      </w:r>
      <w:r>
        <w:rPr>
          <w:i/>
          <w:iCs/>
        </w:rPr>
        <w:t xml:space="preserve">Teoría de juegos</w:t>
      </w:r>
      <w:r>
        <w:t xml:space="preserve">. Madrid: Pearson Educación.</w:t>
      </w:r>
    </w:p>
    <w:bookmarkEnd w:id="230"/>
    <w:bookmarkStart w:id="231" w:name="ref_ChevalierRoignantTrigeorgis201_33809"/>
    <w:p>
      <w:pPr>
        <w:pStyle w:val="Bibliography"/>
      </w:pPr>
      <w:r>
        <w:t xml:space="preserve">Chevalier-Roignant, Benoît y Lenos Trigeorgis (2011).</w:t>
      </w:r>
      <w:r>
        <w:t xml:space="preserve"> </w:t>
      </w:r>
      <w:r>
        <w:rPr>
          <w:i/>
          <w:iCs/>
        </w:rPr>
        <w:t xml:space="preserve">Competitive Strategy: Options and Games</w:t>
      </w:r>
      <w:r>
        <w:t xml:space="preserve">. Cambridge (Massachusetts): MIT Press.</w:t>
      </w:r>
    </w:p>
    <w:bookmarkEnd w:id="231"/>
    <w:bookmarkStart w:id="233" w:name="ref_UE2006Clemencia"/>
    <w:p>
      <w:pPr>
        <w:pStyle w:val="Bibliography"/>
      </w:pPr>
      <w:r>
        <w:t xml:space="preserve">Comisión Europea (2006).</w:t>
      </w:r>
      <w:r>
        <w:t xml:space="preserve"> </w:t>
      </w:r>
      <w:r>
        <w:t xml:space="preserve">«Comunicación de la Comisión relativa a la dispensa del pago de las multas y la reducción de su importe en casos de cártel»</w:t>
      </w:r>
      <w:r>
        <w:t xml:space="preserve">. 8 de diciembre de 2006.</w:t>
      </w:r>
      <w:r>
        <w:t xml:space="preserve"> </w:t>
      </w:r>
      <w:hyperlink r:id="rId232">
        <w:r>
          <w:rPr>
            <w:rStyle w:val="Hyperlink"/>
          </w:rPr>
          <w:t xml:space="preserve">https://eur-lex.europa.eu/legal-content/ES/TXT/?uri=CELEX:52006XC1208(04)</w:t>
        </w:r>
      </w:hyperlink>
      <w:r>
        <w:t xml:space="preserve">.</w:t>
      </w:r>
    </w:p>
    <w:bookmarkEnd w:id="233"/>
    <w:bookmarkStart w:id="235" w:name="ref_CE2016Camiones"/>
    <w:p>
      <w:pPr>
        <w:pStyle w:val="Bibliography"/>
      </w:pPr>
      <w:r>
        <w:t xml:space="preserve">Comisión Europea (2016).</w:t>
      </w:r>
      <w:r>
        <w:t xml:space="preserve"> </w:t>
      </w:r>
      <w:r>
        <w:t xml:space="preserve">«Antitrust: Commission fines truck producers € 2.93 billion for participating in a cartel»</w:t>
      </w:r>
      <w:r>
        <w:t xml:space="preserve">. 19 de julio de 2016.</w:t>
      </w:r>
      <w:r>
        <w:t xml:space="preserve"> </w:t>
      </w:r>
      <w:hyperlink r:id="rId234">
        <w:r>
          <w:rPr>
            <w:rStyle w:val="Hyperlink"/>
          </w:rPr>
          <w:t xml:space="preserve">https://ec.europa.eu/commission/presscorner/detail/en/IP_16_2582</w:t>
        </w:r>
      </w:hyperlink>
      <w:r>
        <w:t xml:space="preserve">.</w:t>
      </w:r>
    </w:p>
    <w:bookmarkEnd w:id="235"/>
    <w:bookmarkStart w:id="237" w:name="ref_CE2025VehiculosFuera"/>
    <w:p>
      <w:pPr>
        <w:pStyle w:val="Bibliography"/>
      </w:pPr>
      <w:r>
        <w:t xml:space="preserve">Comisión Europea (2025a).</w:t>
      </w:r>
      <w:r>
        <w:t xml:space="preserve"> </w:t>
      </w:r>
      <w:r>
        <w:t xml:space="preserve">«Commission fines car manufacturers and association €458 million over end-of-life vehicles recycling cartel»</w:t>
      </w:r>
      <w:r>
        <w:t xml:space="preserve">. 1 de abril de 2025.</w:t>
      </w:r>
      <w:r>
        <w:t xml:space="preserve"> </w:t>
      </w:r>
      <w:hyperlink r:id="rId236">
        <w:r>
          <w:rPr>
            <w:rStyle w:val="Hyperlink"/>
          </w:rPr>
          <w:t xml:space="preserve">https://ec.europa.eu/commission/presscorner/detail/en/ip_25_881</w:t>
        </w:r>
      </w:hyperlink>
      <w:r>
        <w:t xml:space="preserve">.</w:t>
      </w:r>
    </w:p>
    <w:bookmarkEnd w:id="237"/>
    <w:bookmarkStart w:id="239" w:name="ref_CE2025Glovo"/>
    <w:p>
      <w:pPr>
        <w:pStyle w:val="Bibliography"/>
      </w:pPr>
      <w:r>
        <w:t xml:space="preserve">Comisión Europea (2025b).</w:t>
      </w:r>
      <w:r>
        <w:t xml:space="preserve"> </w:t>
      </w:r>
      <w:r>
        <w:t xml:space="preserve">«Commission fines Delivery Hero and Glovo €329 million for participation in online food delivery cartel»</w:t>
      </w:r>
      <w:r>
        <w:t xml:space="preserve">. 2 de junio de 2025.</w:t>
      </w:r>
      <w:r>
        <w:t xml:space="preserve"> </w:t>
      </w:r>
      <w:hyperlink r:id="rId238">
        <w:r>
          <w:rPr>
            <w:rStyle w:val="Hyperlink"/>
          </w:rPr>
          <w:t xml:space="preserve">https://ec.europa.eu/commission/presscorner/detail/en/ip_25_1356</w:t>
        </w:r>
      </w:hyperlink>
      <w:r>
        <w:t xml:space="preserve">.</w:t>
      </w:r>
    </w:p>
    <w:bookmarkEnd w:id="239"/>
    <w:bookmarkStart w:id="241" w:name="ref_CE2026CartelStatistics"/>
    <w:p>
      <w:pPr>
        <w:pStyle w:val="Bibliography"/>
      </w:pPr>
      <w:r>
        <w:t xml:space="preserve">Comisión Europea (2026).</w:t>
      </w:r>
      <w:r>
        <w:t xml:space="preserve"> </w:t>
      </w:r>
      <w:r>
        <w:t xml:space="preserve">«Cartel Statistics»</w:t>
      </w:r>
      <w:r>
        <w:t xml:space="preserve">. 2026.</w:t>
      </w:r>
      <w:r>
        <w:t xml:space="preserve"> </w:t>
      </w:r>
      <w:hyperlink r:id="rId240">
        <w:r>
          <w:rPr>
            <w:rStyle w:val="Hyperlink"/>
          </w:rPr>
          <w:t xml:space="preserve">https://competition-policy.ec.europa.eu/antitrust-and-cartels/cartels-cases-and-statistics_en</w:t>
        </w:r>
      </w:hyperlink>
      <w:r>
        <w:t xml:space="preserve">.</w:t>
      </w:r>
    </w:p>
    <w:bookmarkEnd w:id="241"/>
    <w:bookmarkStart w:id="243" w:name="ref_CNMC2022Constructoras"/>
    <w:p>
      <w:pPr>
        <w:pStyle w:val="Bibliography"/>
      </w:pPr>
      <w:r>
        <w:t xml:space="preserve">Comisión Nacional de los Mercados y la Competencia (2022).</w:t>
      </w:r>
      <w:r>
        <w:t xml:space="preserve"> </w:t>
      </w:r>
      <w:r>
        <w:t xml:space="preserve">«La CNMC multa con 203,6 millones a 6 de las principales constructoras de nuestro país por alterar durante más de 25 años el proceso competitivo en las licitaciones de construcción de infraestructuras»</w:t>
      </w:r>
      <w:r>
        <w:t xml:space="preserve">. 7 de julio de 2022.</w:t>
      </w:r>
      <w:r>
        <w:t xml:space="preserve"> </w:t>
      </w:r>
      <w:hyperlink r:id="rId242">
        <w:r>
          <w:rPr>
            <w:rStyle w:val="Hyperlink"/>
          </w:rPr>
          <w:t xml:space="preserve">https://www.cnmc.es/prensa/sancionador-obra-civil-20220707</w:t>
        </w:r>
      </w:hyperlink>
      <w:r>
        <w:t xml:space="preserve">.</w:t>
      </w:r>
    </w:p>
    <w:bookmarkEnd w:id="243"/>
    <w:bookmarkStart w:id="245" w:name="ref_CNMC2023Clemencia"/>
    <w:p>
      <w:pPr>
        <w:pStyle w:val="Bibliography"/>
      </w:pPr>
      <w:r>
        <w:t xml:space="preserve">Comisión Nacional de los Mercados y la Competencia (2023).</w:t>
      </w:r>
      <w:r>
        <w:t xml:space="preserve"> </w:t>
      </w:r>
      <w:r>
        <w:t xml:space="preserve">«La CNMC publica un cuestionario para evaluar el Programa de Clemencia»</w:t>
      </w:r>
      <w:r>
        <w:t xml:space="preserve">. 11 de julio de 2023.</w:t>
      </w:r>
      <w:r>
        <w:t xml:space="preserve"> </w:t>
      </w:r>
      <w:hyperlink r:id="rId244">
        <w:r>
          <w:rPr>
            <w:rStyle w:val="Hyperlink"/>
          </w:rPr>
          <w:t xml:space="preserve">https://www.cnmc.es/prensa/cuestionario-programa-clemencia-cnmc-20230711</w:t>
        </w:r>
      </w:hyperlink>
      <w:r>
        <w:t xml:space="preserve">.</w:t>
      </w:r>
    </w:p>
    <w:bookmarkEnd w:id="245"/>
    <w:bookmarkStart w:id="247" w:name="ref_CNMC2025AgenciasViajes"/>
    <w:p>
      <w:pPr>
        <w:pStyle w:val="Bibliography"/>
      </w:pPr>
      <w:r>
        <w:t xml:space="preserve">Comisión Nacional de los Mercados y la Competencia (2025).</w:t>
      </w:r>
      <w:r>
        <w:t xml:space="preserve"> </w:t>
      </w:r>
      <w:r>
        <w:t xml:space="preserve">«La CNMC multa con 2,91 millones a cuatro agencias por repartirse contratos de viajes del Banco de España y de la Complutense»</w:t>
      </w:r>
      <w:r>
        <w:t xml:space="preserve">. 29 de diciembre de 2025.</w:t>
      </w:r>
      <w:r>
        <w:t xml:space="preserve"> </w:t>
      </w:r>
      <w:hyperlink r:id="rId246">
        <w:r>
          <w:rPr>
            <w:rStyle w:val="Hyperlink"/>
          </w:rPr>
          <w:t xml:space="preserve">https://www.cnmc.es/prensa/multa-agencias-viajes-20251229</w:t>
        </w:r>
      </w:hyperlink>
      <w:r>
        <w:t xml:space="preserve">.</w:t>
      </w:r>
    </w:p>
    <w:bookmarkEnd w:id="247"/>
    <w:bookmarkStart w:id="249" w:name="ref_CNMC2026Memoria2025"/>
    <w:p>
      <w:pPr>
        <w:pStyle w:val="Bibliography"/>
      </w:pPr>
      <w:r>
        <w:t xml:space="preserve">Comisión Nacional de los Mercados y la Competencia (2026a).</w:t>
      </w:r>
      <w:r>
        <w:t xml:space="preserve"> </w:t>
      </w:r>
      <w:r>
        <w:t xml:space="preserve">«Memoria 2025»</w:t>
      </w:r>
      <w:r>
        <w:t xml:space="preserve">. Madrid: CNMC.</w:t>
      </w:r>
      <w:r>
        <w:t xml:space="preserve"> </w:t>
      </w:r>
      <w:hyperlink r:id="rId248">
        <w:r>
          <w:rPr>
            <w:rStyle w:val="Hyperlink"/>
          </w:rPr>
          <w:t xml:space="preserve">https://www.cnmc.es/sites/default/files/editor_contenidos/CNMC/Memorias/CNMC_Memoria%2025_web.pdf</w:t>
        </w:r>
      </w:hyperlink>
      <w:r>
        <w:t xml:space="preserve">.</w:t>
      </w:r>
    </w:p>
    <w:bookmarkEnd w:id="249"/>
    <w:bookmarkStart w:id="251" w:name="ref_CNMC2026Telecos2T"/>
    <w:p>
      <w:pPr>
        <w:pStyle w:val="Bibliography"/>
      </w:pPr>
      <w:r>
        <w:t xml:space="preserve">Comisión Nacional de los Mercados y la Competencia (2026b).</w:t>
      </w:r>
      <w:r>
        <w:t xml:space="preserve"> </w:t>
      </w:r>
      <w:r>
        <w:t xml:space="preserve">«El tráfico 5G aumentó más de un 60 % en un año y ya representa casi una cuarta parte del tráfico de banda ancha móvil»</w:t>
      </w:r>
      <w:r>
        <w:t xml:space="preserve">. 14 de octubre de 2026.</w:t>
      </w:r>
      <w:r>
        <w:t xml:space="preserve"> </w:t>
      </w:r>
      <w:hyperlink r:id="rId250">
        <w:r>
          <w:rPr>
            <w:rStyle w:val="Hyperlink"/>
          </w:rPr>
          <w:t xml:space="preserve">https://www.cnmc.es/prensa/trimestral/telecos/2T26/20261014</w:t>
        </w:r>
      </w:hyperlink>
      <w:r>
        <w:t xml:space="preserve">.</w:t>
      </w:r>
    </w:p>
    <w:bookmarkEnd w:id="251"/>
    <w:bookmarkStart w:id="253" w:name="ref_EEUU1978AirlineDeregulation"/>
    <w:p>
      <w:pPr>
        <w:pStyle w:val="Bibliography"/>
      </w:pPr>
      <w:r>
        <w:t xml:space="preserve">Congreso de los Estados Unidos (1978).</w:t>
      </w:r>
      <w:r>
        <w:t xml:space="preserve"> </w:t>
      </w:r>
      <w:r>
        <w:t xml:space="preserve">«Airline Deregulation Act of 1978, Public Law 95-504, 92 Stat. 1705»</w:t>
      </w:r>
      <w:r>
        <w:t xml:space="preserve">. 24 de octubre de 1978.</w:t>
      </w:r>
      <w:r>
        <w:t xml:space="preserve"> </w:t>
      </w:r>
      <w:hyperlink r:id="rId252">
        <w:r>
          <w:rPr>
            <w:rStyle w:val="Hyperlink"/>
          </w:rPr>
          <w:t xml:space="preserve">https://www.govinfo.gov/content/pkg/STATUTE-92/pdf/STATUTE-92-Pg1705.pdf</w:t>
        </w:r>
      </w:hyperlink>
      <w:r>
        <w:t xml:space="preserve">.</w:t>
      </w:r>
    </w:p>
    <w:bookmarkEnd w:id="253"/>
    <w:bookmarkStart w:id="255" w:name="ref_UE2004Reglamento139"/>
    <w:p>
      <w:pPr>
        <w:pStyle w:val="Bibliography"/>
      </w:pPr>
      <w:r>
        <w:t xml:space="preserve">Consejo de la Unión Europea (2004).</w:t>
      </w:r>
      <w:r>
        <w:t xml:space="preserve"> </w:t>
      </w:r>
      <w:r>
        <w:t xml:space="preserve">«Reglamento (CE) n.º 139/2004 del Consejo, de 20 de enero de 2004, sobre el control de las concentraciones entre empresas»</w:t>
      </w:r>
      <w:r>
        <w:t xml:space="preserve">. 2004.</w:t>
      </w:r>
      <w:r>
        <w:t xml:space="preserve"> </w:t>
      </w:r>
      <w:hyperlink r:id="rId254">
        <w:r>
          <w:rPr>
            <w:rStyle w:val="Hyperlink"/>
          </w:rPr>
          <w:t xml:space="preserve">https://eur-lex.europa.eu/eli/reg/2004/139/oj?locale=es</w:t>
        </w:r>
      </w:hyperlink>
      <w:r>
        <w:t xml:space="preserve">.</w:t>
      </w:r>
    </w:p>
    <w:bookmarkEnd w:id="255"/>
    <w:bookmarkStart w:id="257" w:name="ref_Cooper1986Most"/>
    <w:p>
      <w:pPr>
        <w:pStyle w:val="Bibliography"/>
      </w:pPr>
      <w:r>
        <w:t xml:space="preserve">Cooper, Thomas E. (1986).</w:t>
      </w:r>
      <w:r>
        <w:t xml:space="preserve"> </w:t>
      </w:r>
      <w:r>
        <w:t xml:space="preserve">«Most-Favored-Customer Pricing and Tacit Collusion»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17 (3): 377-88.</w:t>
      </w:r>
      <w:r>
        <w:t xml:space="preserve"> </w:t>
      </w:r>
      <w:hyperlink r:id="rId256">
        <w:r>
          <w:rPr>
            <w:rStyle w:val="Hyperlink"/>
          </w:rPr>
          <w:t xml:space="preserve">https://doi.org/10.2307/2555718</w:t>
        </w:r>
      </w:hyperlink>
      <w:r>
        <w:t xml:space="preserve">.</w:t>
      </w:r>
    </w:p>
    <w:bookmarkEnd w:id="257"/>
    <w:bookmarkStart w:id="258" w:name="ref_Cournot1838Recherches"/>
    <w:p>
      <w:pPr>
        <w:pStyle w:val="Bibliography"/>
      </w:pPr>
      <w:r>
        <w:t xml:space="preserve">Cournot, Antoine Augustin (1838).</w:t>
      </w:r>
      <w:r>
        <w:t xml:space="preserve"> </w:t>
      </w:r>
      <w:r>
        <w:rPr>
          <w:i/>
          <w:iCs/>
        </w:rPr>
        <w:t xml:space="preserve">Recherches sur les principes mathématiques de la théorie des richesses</w:t>
      </w:r>
      <w:r>
        <w:t xml:space="preserve">. París: Hachette.</w:t>
      </w:r>
    </w:p>
    <w:bookmarkEnd w:id="258"/>
    <w:bookmarkStart w:id="260" w:name="ref_CowlingWaterson1976Price"/>
    <w:p>
      <w:pPr>
        <w:pStyle w:val="Bibliography"/>
      </w:pPr>
      <w:r>
        <w:t xml:space="preserve">Cowling, Keith y Michael Waterson (1976).</w:t>
      </w:r>
      <w:r>
        <w:t xml:space="preserve"> </w:t>
      </w:r>
      <w:r>
        <w:t xml:space="preserve">«Price-Cost Margins and Market Structure»</w:t>
      </w:r>
      <w:r>
        <w:t xml:space="preserve">.</w:t>
      </w:r>
      <w:r>
        <w:t xml:space="preserve"> </w:t>
      </w:r>
      <w:r>
        <w:rPr>
          <w:i/>
          <w:iCs/>
        </w:rPr>
        <w:t xml:space="preserve">Economica</w:t>
      </w:r>
      <w:r>
        <w:t xml:space="preserve"> </w:t>
      </w:r>
      <w:r>
        <w:t xml:space="preserve">43 (171): 267-74.</w:t>
      </w:r>
      <w:r>
        <w:t xml:space="preserve"> </w:t>
      </w:r>
      <w:hyperlink r:id="rId259">
        <w:r>
          <w:rPr>
            <w:rStyle w:val="Hyperlink"/>
          </w:rPr>
          <w:t xml:space="preserve">https://doi.org/10.2307/2553125</w:t>
        </w:r>
      </w:hyperlink>
      <w:r>
        <w:t xml:space="preserve">.</w:t>
      </w:r>
    </w:p>
    <w:bookmarkEnd w:id="260"/>
    <w:bookmarkStart w:id="262" w:name="ref_dAspremontEtAl1983Stability"/>
    <w:p>
      <w:pPr>
        <w:pStyle w:val="Bibliography"/>
      </w:pPr>
      <w:r>
        <w:t xml:space="preserve">d’Aspremont, Claude, Alexis Jacquemin, Jean Jaskold Gabszewicz y John A. Weymark (1983).</w:t>
      </w:r>
      <w:r>
        <w:t xml:space="preserve"> </w:t>
      </w:r>
      <w:r>
        <w:t xml:space="preserve">«On the Stability of Collusive Price Leadership»</w:t>
      </w:r>
      <w:r>
        <w:t xml:space="preserve">.</w:t>
      </w:r>
      <w:r>
        <w:t xml:space="preserve"> </w:t>
      </w:r>
      <w:r>
        <w:rPr>
          <w:i/>
          <w:iCs/>
        </w:rPr>
        <w:t xml:space="preserve">The Canadian Journal of Economics</w:t>
      </w:r>
      <w:r>
        <w:t xml:space="preserve"> </w:t>
      </w:r>
      <w:r>
        <w:t xml:space="preserve">16 (1): 17-25.</w:t>
      </w:r>
      <w:r>
        <w:t xml:space="preserve"> </w:t>
      </w:r>
      <w:hyperlink r:id="rId261">
        <w:r>
          <w:rPr>
            <w:rStyle w:val="Hyperlink"/>
          </w:rPr>
          <w:t xml:space="preserve">https://doi.org/10.2307/134972</w:t>
        </w:r>
      </w:hyperlink>
      <w:r>
        <w:t xml:space="preserve">.</w:t>
      </w:r>
    </w:p>
    <w:bookmarkEnd w:id="262"/>
    <w:bookmarkStart w:id="264" w:name="ref_Dastidar1995Existence"/>
    <w:p>
      <w:pPr>
        <w:pStyle w:val="Bibliography"/>
      </w:pPr>
      <w:r>
        <w:t xml:space="preserve">Dastidar, Krishnendu Ghosh (1995).</w:t>
      </w:r>
      <w:r>
        <w:t xml:space="preserve"> </w:t>
      </w:r>
      <w:r>
        <w:t xml:space="preserve">«On the Existence of Pure Strategy Bertrand Equilibrium»</w:t>
      </w:r>
      <w:r>
        <w:t xml:space="preserve">.</w:t>
      </w:r>
      <w:r>
        <w:t xml:space="preserve"> </w:t>
      </w:r>
      <w:r>
        <w:rPr>
          <w:i/>
          <w:iCs/>
        </w:rPr>
        <w:t xml:space="preserve">Economic Theory</w:t>
      </w:r>
      <w:r>
        <w:t xml:space="preserve"> </w:t>
      </w:r>
      <w:r>
        <w:t xml:space="preserve">5 (1): 19-32.</w:t>
      </w:r>
      <w:r>
        <w:t xml:space="preserve"> </w:t>
      </w:r>
      <w:hyperlink r:id="rId263">
        <w:r>
          <w:rPr>
            <w:rStyle w:val="Hyperlink"/>
          </w:rPr>
          <w:t xml:space="preserve">https://doi.org/10.1007/BF01213642</w:t>
        </w:r>
      </w:hyperlink>
      <w:r>
        <w:t xml:space="preserve">.</w:t>
      </w:r>
    </w:p>
    <w:bookmarkEnd w:id="264"/>
    <w:bookmarkStart w:id="266" w:name="ref_DavidsonDeneckere1986Long"/>
    <w:p>
      <w:pPr>
        <w:pStyle w:val="Bibliography"/>
      </w:pPr>
      <w:r>
        <w:t xml:space="preserve">Davidson, Carl y Raymond Deneckere (1986).</w:t>
      </w:r>
      <w:r>
        <w:t xml:space="preserve"> </w:t>
      </w:r>
      <w:r>
        <w:t xml:space="preserve">«Long-Run Competition in Capacity, Short-Run Competition in Price, and the Cournot Model»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17 (3): 404-15.</w:t>
      </w:r>
      <w:r>
        <w:t xml:space="preserve"> </w:t>
      </w:r>
      <w:hyperlink r:id="rId265">
        <w:r>
          <w:rPr>
            <w:rStyle w:val="Hyperlink"/>
          </w:rPr>
          <w:t xml:space="preserve">https://doi.org/10.2307/2555720</w:t>
        </w:r>
      </w:hyperlink>
      <w:r>
        <w:t xml:space="preserve">.</w:t>
      </w:r>
    </w:p>
    <w:bookmarkEnd w:id="266"/>
    <w:bookmarkStart w:id="268" w:name="ref_DeLoeckerEeckhoutUnger2020Rise"/>
    <w:p>
      <w:pPr>
        <w:pStyle w:val="Bibliography"/>
      </w:pPr>
      <w:r>
        <w:t xml:space="preserve">De Loecker, Jan, Jan Eeckhout y Gabriel Unger (2020).</w:t>
      </w:r>
      <w:r>
        <w:t xml:space="preserve"> </w:t>
      </w:r>
      <w:r>
        <w:t xml:space="preserve">«The Rise of Market Power and the Macroeconomic Implications»</w:t>
      </w:r>
      <w:r>
        <w:t xml:space="preserve">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135 (2): 561-644.</w:t>
      </w:r>
      <w:r>
        <w:t xml:space="preserve"> </w:t>
      </w:r>
      <w:hyperlink r:id="rId267">
        <w:r>
          <w:rPr>
            <w:rStyle w:val="Hyperlink"/>
          </w:rPr>
          <w:t xml:space="preserve">https://doi.org/10.1093/qje/qjz041</w:t>
        </w:r>
      </w:hyperlink>
      <w:r>
        <w:t xml:space="preserve">.</w:t>
      </w:r>
    </w:p>
    <w:bookmarkEnd w:id="268"/>
    <w:bookmarkStart w:id="270" w:name="ref_Dixit1980Role"/>
    <w:p>
      <w:pPr>
        <w:pStyle w:val="Bibliography"/>
      </w:pPr>
      <w:r>
        <w:t xml:space="preserve">Dixit, Avinash (1980).</w:t>
      </w:r>
      <w:r>
        <w:t xml:space="preserve"> </w:t>
      </w:r>
      <w:r>
        <w:t xml:space="preserve">«The Role of Investment in Entry-Deterrence»</w:t>
      </w:r>
      <w:r>
        <w:t xml:space="preserve">.</w:t>
      </w:r>
      <w:r>
        <w:t xml:space="preserve"> </w:t>
      </w:r>
      <w:r>
        <w:rPr>
          <w:i/>
          <w:iCs/>
        </w:rPr>
        <w:t xml:space="preserve">The Economic Journal</w:t>
      </w:r>
      <w:r>
        <w:t xml:space="preserve"> </w:t>
      </w:r>
      <w:r>
        <w:t xml:space="preserve">90 (357): 95-106.</w:t>
      </w:r>
      <w:r>
        <w:t xml:space="preserve"> </w:t>
      </w:r>
      <w:hyperlink r:id="rId269">
        <w:r>
          <w:rPr>
            <w:rStyle w:val="Hyperlink"/>
          </w:rPr>
          <w:t xml:space="preserve">https://doi.org/10.2307/2231658</w:t>
        </w:r>
      </w:hyperlink>
      <w:r>
        <w:t xml:space="preserve">.</w:t>
      </w:r>
    </w:p>
    <w:bookmarkEnd w:id="270"/>
    <w:bookmarkStart w:id="271" w:name="ref_Edgeworth1897Teoria"/>
    <w:p>
      <w:pPr>
        <w:pStyle w:val="Bibliography"/>
      </w:pPr>
      <w:r>
        <w:t xml:space="preserve">Edgeworth, Francis Ysidro (1897).</w:t>
      </w:r>
      <w:r>
        <w:t xml:space="preserve"> </w:t>
      </w:r>
      <w:r>
        <w:t xml:space="preserve">«La teoria pura del monopolio»</w:t>
      </w:r>
      <w:r>
        <w:t xml:space="preserve">.</w:t>
      </w:r>
      <w:r>
        <w:t xml:space="preserve"> </w:t>
      </w:r>
      <w:r>
        <w:rPr>
          <w:i/>
          <w:iCs/>
        </w:rPr>
        <w:t xml:space="preserve">Giornale degli Economisti</w:t>
      </w:r>
      <w:r>
        <w:t xml:space="preserve">, 2.ª época, 15: 13-31, 307-20, 405-14.</w:t>
      </w:r>
    </w:p>
    <w:bookmarkEnd w:id="271"/>
    <w:bookmarkStart w:id="273" w:name="ref_FarrellMaskin1989Renegotiation"/>
    <w:p>
      <w:pPr>
        <w:pStyle w:val="Bibliography"/>
      </w:pPr>
      <w:r>
        <w:t xml:space="preserve">Farrell, Joseph y Eric Maskin (1989).</w:t>
      </w:r>
      <w:r>
        <w:t xml:space="preserve"> </w:t>
      </w:r>
      <w:r>
        <w:t xml:space="preserve">«Renegotiation in Repeated Games»</w:t>
      </w:r>
      <w:r>
        <w:t xml:space="preserve">.</w:t>
      </w:r>
      <w:r>
        <w:t xml:space="preserve"> </w:t>
      </w:r>
      <w:r>
        <w:rPr>
          <w:i/>
          <w:iCs/>
        </w:rPr>
        <w:t xml:space="preserve">Games and Economic Behavior</w:t>
      </w:r>
      <w:r>
        <w:t xml:space="preserve"> </w:t>
      </w:r>
      <w:r>
        <w:t xml:space="preserve">1 (4): 327-60.</w:t>
      </w:r>
      <w:r>
        <w:t xml:space="preserve"> </w:t>
      </w:r>
      <w:hyperlink r:id="rId272">
        <w:r>
          <w:rPr>
            <w:rStyle w:val="Hyperlink"/>
          </w:rPr>
          <w:t xml:space="preserve">https://doi.org/10.1016/0899-8256(89)90021-3</w:t>
        </w:r>
      </w:hyperlink>
      <w:r>
        <w:t xml:space="preserve">.</w:t>
      </w:r>
    </w:p>
    <w:bookmarkEnd w:id="273"/>
    <w:bookmarkStart w:id="274" w:name="ref_Forchheimer1908Theoretisches"/>
    <w:p>
      <w:pPr>
        <w:pStyle w:val="Bibliography"/>
      </w:pPr>
      <w:r>
        <w:t xml:space="preserve">Forchheimer, Karl (1908).</w:t>
      </w:r>
      <w:r>
        <w:t xml:space="preserve"> </w:t>
      </w:r>
      <w:r>
        <w:t xml:space="preserve">«Theoretisches zum unvollständigen Monopole»</w:t>
      </w:r>
      <w:r>
        <w:t xml:space="preserve">.</w:t>
      </w:r>
      <w:r>
        <w:t xml:space="preserve"> </w:t>
      </w:r>
      <w:r>
        <w:rPr>
          <w:i/>
          <w:iCs/>
        </w:rPr>
        <w:t xml:space="preserve">Schmollers Jahrbuch für Gesetzgebung, Verwaltung und Volkswirtschaft</w:t>
      </w:r>
      <w:r>
        <w:t xml:space="preserve">.</w:t>
      </w:r>
    </w:p>
    <w:bookmarkEnd w:id="274"/>
    <w:bookmarkStart w:id="276" w:name="ref_Friedman1971Supergames"/>
    <w:p>
      <w:pPr>
        <w:pStyle w:val="Bibliography"/>
      </w:pPr>
      <w:r>
        <w:t xml:space="preserve">Friedman, James W. (1971).</w:t>
      </w:r>
      <w:r>
        <w:t xml:space="preserve"> </w:t>
      </w:r>
      <w:r>
        <w:t xml:space="preserve">«A Non-cooperative Equilibrium for Supergames»</w:t>
      </w:r>
      <w:r>
        <w:t xml:space="preserve">.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 </w:t>
      </w:r>
      <w:r>
        <w:t xml:space="preserve">38 (1): 1-12.</w:t>
      </w:r>
      <w:r>
        <w:t xml:space="preserve"> </w:t>
      </w:r>
      <w:hyperlink r:id="rId275">
        <w:r>
          <w:rPr>
            <w:rStyle w:val="Hyperlink"/>
          </w:rPr>
          <w:t xml:space="preserve">https://doi.org/10.2307/2296617</w:t>
        </w:r>
      </w:hyperlink>
      <w:r>
        <w:t xml:space="preserve">.</w:t>
      </w:r>
    </w:p>
    <w:bookmarkEnd w:id="276"/>
    <w:bookmarkStart w:id="278" w:name="ref_GalOr1985First"/>
    <w:p>
      <w:pPr>
        <w:pStyle w:val="Bibliography"/>
      </w:pPr>
      <w:r>
        <w:t xml:space="preserve">Gal-Or, Esther (1985).</w:t>
      </w:r>
      <w:r>
        <w:t xml:space="preserve"> </w:t>
      </w:r>
      <w:r>
        <w:t xml:space="preserve">«First Mover and Second Mover Advantages»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 </w:t>
      </w:r>
      <w:r>
        <w:t xml:space="preserve">26 (3): 649-53.</w:t>
      </w:r>
      <w:r>
        <w:t xml:space="preserve"> </w:t>
      </w:r>
      <w:hyperlink r:id="rId277">
        <w:r>
          <w:rPr>
            <w:rStyle w:val="Hyperlink"/>
          </w:rPr>
          <w:t xml:space="preserve">https://doi.org/10.2307/2526710</w:t>
        </w:r>
      </w:hyperlink>
      <w:r>
        <w:t xml:space="preserve">.</w:t>
      </w:r>
    </w:p>
    <w:bookmarkEnd w:id="278"/>
    <w:bookmarkStart w:id="280" w:name="ref_Gibbons1992Game"/>
    <w:p>
      <w:pPr>
        <w:pStyle w:val="Bibliography"/>
      </w:pPr>
      <w:r>
        <w:t xml:space="preserve">Gibbons, Robert (1992).</w:t>
      </w:r>
      <w:r>
        <w:t xml:space="preserve"> </w:t>
      </w:r>
      <w:r>
        <w:rPr>
          <w:i/>
          <w:iCs/>
        </w:rPr>
        <w:t xml:space="preserve">Game Theory for Applied Economists</w:t>
      </w:r>
      <w:r>
        <w:t xml:space="preserve">. Princeton: Princeton University Press.</w:t>
      </w:r>
      <w:r>
        <w:t xml:space="preserve"> </w:t>
      </w:r>
      <w:hyperlink r:id="rId279">
        <w:r>
          <w:rPr>
            <w:rStyle w:val="Hyperlink"/>
          </w:rPr>
          <w:t xml:space="preserve">https://doi.org/10.1515/9781400835881</w:t>
        </w:r>
      </w:hyperlink>
      <w:r>
        <w:t xml:space="preserve">.</w:t>
      </w:r>
    </w:p>
    <w:bookmarkEnd w:id="280"/>
    <w:bookmarkStart w:id="281" w:name="ref_Gillies1959Solutions"/>
    <w:p>
      <w:pPr>
        <w:pStyle w:val="Bibliography"/>
      </w:pPr>
      <w:r>
        <w:t xml:space="preserve">Gillies, Donald B. (1959).</w:t>
      </w:r>
      <w:r>
        <w:t xml:space="preserve"> </w:t>
      </w:r>
      <w:r>
        <w:t xml:space="preserve">«Solutions to General Non-Zero-Sum Games»</w:t>
      </w:r>
      <w:r>
        <w:t xml:space="preserve">. En</w:t>
      </w:r>
      <w:r>
        <w:t xml:space="preserve"> </w:t>
      </w:r>
      <w:r>
        <w:rPr>
          <w:i/>
          <w:iCs/>
        </w:rPr>
        <w:t xml:space="preserve">Contributions to the Theory of Games IV</w:t>
      </w:r>
      <w:r>
        <w:t xml:space="preserve">, editado por Albert W. Tucker y R. Duncan Luce, 47-85. Annals of Mathematics Studies 40. Princeton: Princeton University Press.</w:t>
      </w:r>
    </w:p>
    <w:bookmarkEnd w:id="281"/>
    <w:bookmarkStart w:id="283" w:name="ref_GreenPorter1984Noncooperative"/>
    <w:p>
      <w:pPr>
        <w:pStyle w:val="Bibliography"/>
      </w:pPr>
      <w:r>
        <w:t xml:space="preserve">Green, Edward J. y Robert H. Porter (1984).</w:t>
      </w:r>
      <w:r>
        <w:t xml:space="preserve"> </w:t>
      </w:r>
      <w:r>
        <w:t xml:space="preserve">«Noncooperative Collusion under Imperfect Price Information»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52 (1): 87-100.</w:t>
      </w:r>
      <w:r>
        <w:t xml:space="preserve"> </w:t>
      </w:r>
      <w:hyperlink r:id="rId282">
        <w:r>
          <w:rPr>
            <w:rStyle w:val="Hyperlink"/>
          </w:rPr>
          <w:t xml:space="preserve">https://doi.org/10.2307/1911462</w:t>
        </w:r>
      </w:hyperlink>
      <w:r>
        <w:t xml:space="preserve">.</w:t>
      </w:r>
    </w:p>
    <w:bookmarkEnd w:id="283"/>
    <w:bookmarkStart w:id="285" w:name="ref_Hahn1962Stability"/>
    <w:p>
      <w:pPr>
        <w:pStyle w:val="Bibliography"/>
      </w:pPr>
      <w:r>
        <w:t xml:space="preserve">Hahn, Frank H. (1962).</w:t>
      </w:r>
      <w:r>
        <w:t xml:space="preserve"> </w:t>
      </w:r>
      <w:r>
        <w:t xml:space="preserve">«The Stability of the Cournot Oligopoly Solution»</w:t>
      </w:r>
      <w:r>
        <w:t xml:space="preserve">.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 </w:t>
      </w:r>
      <w:r>
        <w:t xml:space="preserve">29 (4): 329-31.</w:t>
      </w:r>
      <w:r>
        <w:t xml:space="preserve"> </w:t>
      </w:r>
      <w:hyperlink r:id="rId284">
        <w:r>
          <w:rPr>
            <w:rStyle w:val="Hyperlink"/>
          </w:rPr>
          <w:t xml:space="preserve">https://doi.org/10.2307/2296310</w:t>
        </w:r>
      </w:hyperlink>
      <w:r>
        <w:t xml:space="preserve">.</w:t>
      </w:r>
    </w:p>
    <w:bookmarkEnd w:id="285"/>
    <w:bookmarkStart w:id="287" w:name="ref_HaltiwangerHarrington1991Impact"/>
    <w:p>
      <w:pPr>
        <w:pStyle w:val="Bibliography"/>
      </w:pPr>
      <w:r>
        <w:t xml:space="preserve">Haltiwanger, John y Jr. Harrington Joseph E. (1991).</w:t>
      </w:r>
      <w:r>
        <w:t xml:space="preserve"> </w:t>
      </w:r>
      <w:r>
        <w:t xml:space="preserve">«The Impact of Cyclical Demand Movements on Collusive Behavior»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22 (1): 89-106.</w:t>
      </w:r>
      <w:r>
        <w:t xml:space="preserve"> </w:t>
      </w:r>
      <w:hyperlink r:id="rId286">
        <w:r>
          <w:rPr>
            <w:rStyle w:val="Hyperlink"/>
          </w:rPr>
          <w:t xml:space="preserve">https://doi.org/10.2307/2601009</w:t>
        </w:r>
      </w:hyperlink>
      <w:r>
        <w:t xml:space="preserve">.</w:t>
      </w:r>
    </w:p>
    <w:bookmarkEnd w:id="287"/>
    <w:bookmarkStart w:id="288" w:name="ref_Harsanyi1967Games"/>
    <w:p>
      <w:pPr>
        <w:pStyle w:val="Bibliography"/>
      </w:pPr>
      <w:r>
        <w:t xml:space="preserve">Harsanyi, John C. (1967–1968).</w:t>
      </w:r>
      <w:r>
        <w:t xml:space="preserve"> </w:t>
      </w:r>
      <w:r>
        <w:t xml:space="preserve">«Games with Incomplete Information Played by</w:t>
      </w:r>
      <w:r>
        <w:t xml:space="preserve"> </w:t>
      </w:r>
      <w:r>
        <w:t xml:space="preserve">“Bayesian”</w:t>
      </w:r>
      <w:r>
        <w:t xml:space="preserve"> </w:t>
      </w:r>
      <w:r>
        <w:t xml:space="preserve">Players, I–III»</w:t>
      </w:r>
      <w:r>
        <w:t xml:space="preserve">.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 </w:t>
      </w:r>
      <w:r>
        <w:t xml:space="preserve">14 (3, 5 y 7): 159-82, 320-34, 486-502.</w:t>
      </w:r>
    </w:p>
    <w:bookmarkEnd w:id="288"/>
    <w:bookmarkStart w:id="290" w:name="ref_IvaldiEtAl2003Tacit"/>
    <w:p>
      <w:pPr>
        <w:pStyle w:val="Bibliography"/>
      </w:pPr>
      <w:r>
        <w:t xml:space="preserve">Ivaldi, Marc, Bruno Jullien, Patrick Rey, Paul Seabright y Jean Tirole (2003).</w:t>
      </w:r>
      <w:r>
        <w:t xml:space="preserve"> </w:t>
      </w:r>
      <w:r>
        <w:t xml:space="preserve">«The Economics of Tacit Collusion»</w:t>
      </w:r>
      <w:r>
        <w:t xml:space="preserve">. Informe final para la DG Competencia de la Comisión Europea. Toulouse: IDEI.</w:t>
      </w:r>
      <w:r>
        <w:t xml:space="preserve"> </w:t>
      </w:r>
      <w:hyperlink r:id="rId289">
        <w:r>
          <w:rPr>
            <w:rStyle w:val="Hyperlink"/>
          </w:rPr>
          <w:t xml:space="preserve">https://idei.fr/doc/wp/2003/tacit_collusion.pdf</w:t>
        </w:r>
      </w:hyperlink>
      <w:r>
        <w:t xml:space="preserve">.</w:t>
      </w:r>
    </w:p>
    <w:bookmarkEnd w:id="290"/>
    <w:bookmarkStart w:id="292" w:name="ref_BOE2007LDC"/>
    <w:p>
      <w:pPr>
        <w:pStyle w:val="Bibliography"/>
      </w:pPr>
      <w:r>
        <w:t xml:space="preserve">Jefatura del Estado (2007).</w:t>
      </w:r>
      <w:r>
        <w:t xml:space="preserve"> </w:t>
      </w:r>
      <w:r>
        <w:t xml:space="preserve">«Ley 15/2007, de 3 de julio, de Defensa de la Competencia (texto consolidado)»</w:t>
      </w:r>
      <w:r>
        <w:t xml:space="preserve">. 4 de julio de 2007.</w:t>
      </w:r>
      <w:r>
        <w:t xml:space="preserve"> </w:t>
      </w:r>
      <w:hyperlink r:id="rId291">
        <w:r>
          <w:rPr>
            <w:rStyle w:val="Hyperlink"/>
          </w:rPr>
          <w:t xml:space="preserve">https://www.boe.es/buscar/act.php?id=BOE-A-2007-12946</w:t>
        </w:r>
      </w:hyperlink>
      <w:r>
        <w:t xml:space="preserve">.</w:t>
      </w:r>
    </w:p>
    <w:bookmarkEnd w:id="292"/>
    <w:bookmarkStart w:id="294" w:name="ref_KalaiSametStanford1988Note"/>
    <w:p>
      <w:pPr>
        <w:pStyle w:val="Bibliography"/>
      </w:pPr>
      <w:r>
        <w:t xml:space="preserve">Kalai, Ehud, Dov Samet y William Stanford (1988).</w:t>
      </w:r>
      <w:r>
        <w:t xml:space="preserve"> </w:t>
      </w:r>
      <w:r>
        <w:t xml:space="preserve">«A Note on Reactive Equilibria in the Discounted Prisoner’s Dilemma and Associated Games»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Game Theory</w:t>
      </w:r>
      <w:r>
        <w:t xml:space="preserve"> </w:t>
      </w:r>
      <w:r>
        <w:t xml:space="preserve">17 (3): 177-86.</w:t>
      </w:r>
      <w:r>
        <w:t xml:space="preserve"> </w:t>
      </w:r>
      <w:hyperlink r:id="rId293">
        <w:r>
          <w:rPr>
            <w:rStyle w:val="Hyperlink"/>
          </w:rPr>
          <w:t xml:space="preserve">https://doi.org/10.1007/BF01242860</w:t>
        </w:r>
      </w:hyperlink>
      <w:r>
        <w:t xml:space="preserve">.</w:t>
      </w:r>
    </w:p>
    <w:bookmarkEnd w:id="294"/>
    <w:bookmarkStart w:id="296" w:name="ref_KrepsScheinkman1983Quantity"/>
    <w:p>
      <w:pPr>
        <w:pStyle w:val="Bibliography"/>
      </w:pPr>
      <w:r>
        <w:t xml:space="preserve">Kreps, David M. y José A. Scheinkman (1983).</w:t>
      </w:r>
      <w:r>
        <w:t xml:space="preserve"> </w:t>
      </w:r>
      <w:r>
        <w:t xml:space="preserve">«Quantity Precommitment and Bertrand Competition Yield Cournot Outcomes»</w:t>
      </w:r>
      <w:r>
        <w:t xml:space="preserve">.</w:t>
      </w:r>
      <w:r>
        <w:t xml:space="preserve"> </w:t>
      </w:r>
      <w:r>
        <w:rPr>
          <w:i/>
          <w:iCs/>
        </w:rPr>
        <w:t xml:space="preserve">Bell Journal of Economics</w:t>
      </w:r>
      <w:r>
        <w:t xml:space="preserve"> </w:t>
      </w:r>
      <w:r>
        <w:t xml:space="preserve">14 (2): 326-37.</w:t>
      </w:r>
      <w:r>
        <w:t xml:space="preserve"> </w:t>
      </w:r>
      <w:hyperlink r:id="rId295">
        <w:r>
          <w:rPr>
            <w:rStyle w:val="Hyperlink"/>
          </w:rPr>
          <w:t xml:space="preserve">https://doi.org/10.2307/3003636</w:t>
        </w:r>
      </w:hyperlink>
      <w:r>
        <w:t xml:space="preserve">.</w:t>
      </w:r>
    </w:p>
    <w:bookmarkEnd w:id="296"/>
    <w:bookmarkStart w:id="297" w:name="ref_Kuhn1953Extensive"/>
    <w:p>
      <w:pPr>
        <w:pStyle w:val="Bibliography"/>
      </w:pPr>
      <w:r>
        <w:t xml:space="preserve">Kuhn, Harold W. (1953).</w:t>
      </w:r>
      <w:r>
        <w:t xml:space="preserve"> </w:t>
      </w:r>
      <w:r>
        <w:t xml:space="preserve">«Extensive Games and the Problem of Information»</w:t>
      </w:r>
      <w:r>
        <w:t xml:space="preserve">. En</w:t>
      </w:r>
      <w:r>
        <w:t xml:space="preserve"> </w:t>
      </w:r>
      <w:r>
        <w:rPr>
          <w:i/>
          <w:iCs/>
        </w:rPr>
        <w:t xml:space="preserve">Contributions to the Theory of Games, vol. II</w:t>
      </w:r>
      <w:r>
        <w:t xml:space="preserve">, editado por Harold W. Kuhn y Albert W. Tucker, 193-216. Annals of Mathematics Studies 28. Princeton: Princeton University Press.</w:t>
      </w:r>
    </w:p>
    <w:bookmarkEnd w:id="297"/>
    <w:bookmarkStart w:id="299" w:name="ref_LandesPosner1981Market"/>
    <w:p>
      <w:pPr>
        <w:pStyle w:val="Bibliography"/>
      </w:pPr>
      <w:r>
        <w:t xml:space="preserve">Landes, William M. y Richard A. Posner (1981).</w:t>
      </w:r>
      <w:r>
        <w:t xml:space="preserve"> </w:t>
      </w:r>
      <w:r>
        <w:t xml:space="preserve">«Market Power in Antitrust Cases»</w:t>
      </w:r>
      <w:r>
        <w:t xml:space="preserve">.</w:t>
      </w:r>
      <w:r>
        <w:t xml:space="preserve"> </w:t>
      </w:r>
      <w:r>
        <w:rPr>
          <w:i/>
          <w:iCs/>
        </w:rPr>
        <w:t xml:space="preserve">Harvard Law Review</w:t>
      </w:r>
      <w:r>
        <w:t xml:space="preserve"> </w:t>
      </w:r>
      <w:r>
        <w:t xml:space="preserve">94 (5): 937-96.</w:t>
      </w:r>
      <w:r>
        <w:t xml:space="preserve"> </w:t>
      </w:r>
      <w:hyperlink r:id="rId298">
        <w:r>
          <w:rPr>
            <w:rStyle w:val="Hyperlink"/>
          </w:rPr>
          <w:t xml:space="preserve">https://doi.org/10.2307/1340687</w:t>
        </w:r>
      </w:hyperlink>
      <w:r>
        <w:t xml:space="preserve">.</w:t>
      </w:r>
    </w:p>
    <w:bookmarkEnd w:id="299"/>
    <w:bookmarkStart w:id="301" w:name="ref_LevitanShubik1972Price"/>
    <w:p>
      <w:pPr>
        <w:pStyle w:val="Bibliography"/>
      </w:pPr>
      <w:r>
        <w:t xml:space="preserve">Levitan, Richard y Martin Shubik (1972).</w:t>
      </w:r>
      <w:r>
        <w:t xml:space="preserve"> </w:t>
      </w:r>
      <w:r>
        <w:t xml:space="preserve">«Price Duopoly and Capacity Constraints»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 </w:t>
      </w:r>
      <w:r>
        <w:t xml:space="preserve">13 (1): 111-22.</w:t>
      </w:r>
      <w:r>
        <w:t xml:space="preserve"> </w:t>
      </w:r>
      <w:hyperlink r:id="rId300">
        <w:r>
          <w:rPr>
            <w:rStyle w:val="Hyperlink"/>
          </w:rPr>
          <w:t xml:space="preserve">https://doi.org/10.2307/2525908</w:t>
        </w:r>
      </w:hyperlink>
      <w:r>
        <w:t xml:space="preserve">.</w:t>
      </w:r>
    </w:p>
    <w:bookmarkEnd w:id="301"/>
    <w:bookmarkStart w:id="302" w:name="ref_MasColellWhinstonGreen1995"/>
    <w:p>
      <w:pPr>
        <w:pStyle w:val="Bibliography"/>
      </w:pPr>
      <w:r>
        <w:t xml:space="preserve">Mas-Colell, Andreu, Michael D. Whinston y Jerry R. Green (1995).</w:t>
      </w:r>
      <w:r>
        <w:t xml:space="preserve"> </w:t>
      </w:r>
      <w:r>
        <w:rPr>
          <w:i/>
          <w:iCs/>
        </w:rPr>
        <w:t xml:space="preserve">Microeconomic Theory</w:t>
      </w:r>
      <w:r>
        <w:t xml:space="preserve">. Nueva York: Oxford University Press.</w:t>
      </w:r>
    </w:p>
    <w:bookmarkEnd w:id="302"/>
    <w:bookmarkStart w:id="304" w:name="ref_MaskinTirole1988DynamicII"/>
    <w:p>
      <w:pPr>
        <w:pStyle w:val="Bibliography"/>
      </w:pPr>
      <w:r>
        <w:t xml:space="preserve">Maskin, Eric y Jean Tirole (1988).</w:t>
      </w:r>
      <w:r>
        <w:t xml:space="preserve"> </w:t>
      </w:r>
      <w:r>
        <w:t xml:space="preserve">«A Theory of Dynamic Oligopoly, II: Price Competition, Kinked Demand Curves, and Edgeworth Cycles»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56 (3): 571-99.</w:t>
      </w:r>
      <w:r>
        <w:t xml:space="preserve"> </w:t>
      </w:r>
      <w:hyperlink r:id="rId303">
        <w:r>
          <w:rPr>
            <w:rStyle w:val="Hyperlink"/>
          </w:rPr>
          <w:t xml:space="preserve">https://doi.org/10.2307/1911701</w:t>
        </w:r>
      </w:hyperlink>
      <w:r>
        <w:t xml:space="preserve">.</w:t>
      </w:r>
    </w:p>
    <w:bookmarkEnd w:id="304"/>
    <w:bookmarkStart w:id="306" w:name="ref_Modigliani1958New"/>
    <w:p>
      <w:pPr>
        <w:pStyle w:val="Bibliography"/>
      </w:pPr>
      <w:r>
        <w:t xml:space="preserve">Modigliani, Franco (1958).</w:t>
      </w:r>
      <w:r>
        <w:t xml:space="preserve"> </w:t>
      </w:r>
      <w:r>
        <w:t xml:space="preserve">«New Developments on the Oligopoly Front»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66 (3): 215-32.</w:t>
      </w:r>
      <w:r>
        <w:t xml:space="preserve"> </w:t>
      </w:r>
      <w:hyperlink r:id="rId305">
        <w:r>
          <w:rPr>
            <w:rStyle w:val="Hyperlink"/>
          </w:rPr>
          <w:t xml:space="preserve">https://doi.org/10.1086/258035</w:t>
        </w:r>
      </w:hyperlink>
      <w:r>
        <w:t xml:space="preserve">.</w:t>
      </w:r>
    </w:p>
    <w:bookmarkEnd w:id="306"/>
    <w:bookmarkStart w:id="308" w:name="ref_Motta2004Competition"/>
    <w:p>
      <w:pPr>
        <w:pStyle w:val="Bibliography"/>
      </w:pPr>
      <w:r>
        <w:t xml:space="preserve">Motta, Massimo (2004).</w:t>
      </w:r>
      <w:r>
        <w:t xml:space="preserve"> </w:t>
      </w:r>
      <w:r>
        <w:rPr>
          <w:i/>
          <w:iCs/>
        </w:rPr>
        <w:t xml:space="preserve">Competition Policy: Theory and Practice</w:t>
      </w:r>
      <w:r>
        <w:t xml:space="preserve">. Cambridge: Cambridge University Press.</w:t>
      </w:r>
      <w:r>
        <w:t xml:space="preserve"> </w:t>
      </w:r>
      <w:hyperlink r:id="rId307">
        <w:r>
          <w:rPr>
            <w:rStyle w:val="Hyperlink"/>
          </w:rPr>
          <w:t xml:space="preserve">https://doi.org/10.1017/CBO9780511804038</w:t>
        </w:r>
      </w:hyperlink>
      <w:r>
        <w:t xml:space="preserve">.</w:t>
      </w:r>
    </w:p>
    <w:bookmarkEnd w:id="308"/>
    <w:bookmarkStart w:id="310" w:name="ref_MottaPolo2003Leniency"/>
    <w:p>
      <w:pPr>
        <w:pStyle w:val="Bibliography"/>
      </w:pPr>
      <w:r>
        <w:t xml:space="preserve">Motta, Massimo y Michele Polo (2003).</w:t>
      </w:r>
      <w:r>
        <w:t xml:space="preserve"> </w:t>
      </w:r>
      <w:r>
        <w:t xml:space="preserve">«Leniency Programs and Cartel Prosecution»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Industrial Organization</w:t>
      </w:r>
      <w:r>
        <w:t xml:space="preserve"> </w:t>
      </w:r>
      <w:r>
        <w:t xml:space="preserve">21 (3): 347-79.</w:t>
      </w:r>
      <w:r>
        <w:t xml:space="preserve"> </w:t>
      </w:r>
      <w:hyperlink r:id="rId309">
        <w:r>
          <w:rPr>
            <w:rStyle w:val="Hyperlink"/>
          </w:rPr>
          <w:t xml:space="preserve">https://doi.org/10.1016/S0167-7187(02)00057-7</w:t>
        </w:r>
      </w:hyperlink>
      <w:r>
        <w:t xml:space="preserve">.</w:t>
      </w:r>
    </w:p>
    <w:bookmarkEnd w:id="310"/>
    <w:bookmarkStart w:id="312" w:name="ref_Nash1950Equilibrium"/>
    <w:p>
      <w:pPr>
        <w:pStyle w:val="Bibliography"/>
      </w:pPr>
      <w:r>
        <w:t xml:space="preserve">Nash, John F. (1950a).</w:t>
      </w:r>
      <w:r>
        <w:t xml:space="preserve"> </w:t>
      </w:r>
      <w:r>
        <w:t xml:space="preserve">«Equilibrium Points in n-Person Games»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36 (1): 48-49.</w:t>
      </w:r>
      <w:r>
        <w:t xml:space="preserve"> </w:t>
      </w:r>
      <w:hyperlink r:id="rId311">
        <w:r>
          <w:rPr>
            <w:rStyle w:val="Hyperlink"/>
          </w:rPr>
          <w:t xml:space="preserve">https://doi.org/10.1073/pnas.36.1.48</w:t>
        </w:r>
      </w:hyperlink>
      <w:r>
        <w:t xml:space="preserve">.</w:t>
      </w:r>
    </w:p>
    <w:bookmarkEnd w:id="312"/>
    <w:bookmarkStart w:id="314" w:name="ref_Nash1950Bargaining"/>
    <w:p>
      <w:pPr>
        <w:pStyle w:val="Bibliography"/>
      </w:pPr>
      <w:r>
        <w:t xml:space="preserve">Nash, John F. (1950b).</w:t>
      </w:r>
      <w:r>
        <w:t xml:space="preserve"> </w:t>
      </w:r>
      <w:r>
        <w:t xml:space="preserve">«The Bargaining Problem»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18 (2): 155-62.</w:t>
      </w:r>
      <w:r>
        <w:t xml:space="preserve"> </w:t>
      </w:r>
      <w:hyperlink r:id="rId313">
        <w:r>
          <w:rPr>
            <w:rStyle w:val="Hyperlink"/>
          </w:rPr>
          <w:t xml:space="preserve">https://doi.org/10.2307/1907266</w:t>
        </w:r>
      </w:hyperlink>
      <w:r>
        <w:t xml:space="preserve">.</w:t>
      </w:r>
    </w:p>
    <w:bookmarkEnd w:id="314"/>
    <w:bookmarkStart w:id="315" w:name="ref_VonNeumannMorgenstern1944Theory"/>
    <w:p>
      <w:pPr>
        <w:pStyle w:val="Bibliography"/>
      </w:pPr>
      <w:r>
        <w:t xml:space="preserve">Neumann, John von y Oskar Morgenstern (1944).</w:t>
      </w:r>
      <w:r>
        <w:t xml:space="preserve"> </w:t>
      </w:r>
      <w:r>
        <w:rPr>
          <w:i/>
          <w:iCs/>
        </w:rPr>
        <w:t xml:space="preserve">Theory of Games and Economic Behavior</w:t>
      </w:r>
      <w:r>
        <w:t xml:space="preserve">. Princeton: Princeton University Press.</w:t>
      </w:r>
    </w:p>
    <w:bookmarkEnd w:id="315"/>
    <w:bookmarkStart w:id="317" w:name="ref_Novshek1985Existence"/>
    <w:p>
      <w:pPr>
        <w:pStyle w:val="Bibliography"/>
      </w:pPr>
      <w:r>
        <w:t xml:space="preserve">Novshek, William (1985).</w:t>
      </w:r>
      <w:r>
        <w:t xml:space="preserve"> </w:t>
      </w:r>
      <w:r>
        <w:t xml:space="preserve">«On the Existence of Cournot Equilibrium»</w:t>
      </w:r>
      <w:r>
        <w:t xml:space="preserve">.</w:t>
      </w:r>
      <w:r>
        <w:t xml:space="preserve"> </w:t>
      </w:r>
      <w:r>
        <w:rPr>
          <w:i/>
          <w:iCs/>
        </w:rPr>
        <w:t xml:space="preserve">The Review of Economic Studies</w:t>
      </w:r>
      <w:r>
        <w:t xml:space="preserve"> </w:t>
      </w:r>
      <w:r>
        <w:t xml:space="preserve">52 (1): 85-98.</w:t>
      </w:r>
      <w:r>
        <w:t xml:space="preserve"> </w:t>
      </w:r>
      <w:hyperlink r:id="rId316">
        <w:r>
          <w:rPr>
            <w:rStyle w:val="Hyperlink"/>
          </w:rPr>
          <w:t xml:space="preserve">https://doi.org/10.2307/2297471</w:t>
        </w:r>
      </w:hyperlink>
      <w:r>
        <w:t xml:space="preserve">.</w:t>
      </w:r>
    </w:p>
    <w:bookmarkEnd w:id="317"/>
    <w:bookmarkStart w:id="319" w:name="ref_NowakSigmund1993Strategy"/>
    <w:p>
      <w:pPr>
        <w:pStyle w:val="Bibliography"/>
      </w:pPr>
      <w:r>
        <w:t xml:space="preserve">Nowak, Martin y Karl Sigmund (1993).</w:t>
      </w:r>
      <w:r>
        <w:t xml:space="preserve"> </w:t>
      </w:r>
      <w:r>
        <w:t xml:space="preserve">«A Strategy of Win-Stay, Lose-Shift that Outperforms Tit-for-Tat in the Prisoner’s Dilemma Game»</w:t>
      </w:r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364 (6432): 56-58.</w:t>
      </w:r>
      <w:r>
        <w:t xml:space="preserve"> </w:t>
      </w:r>
      <w:hyperlink r:id="rId318">
        <w:r>
          <w:rPr>
            <w:rStyle w:val="Hyperlink"/>
          </w:rPr>
          <w:t xml:space="preserve">https://doi.org/10.1038/364056a0</w:t>
        </w:r>
      </w:hyperlink>
      <w:r>
        <w:t xml:space="preserve">.</w:t>
      </w:r>
    </w:p>
    <w:bookmarkEnd w:id="319"/>
    <w:bookmarkStart w:id="320" w:name="ref_PindyckRubinfeld2009Microeconomia"/>
    <w:p>
      <w:pPr>
        <w:pStyle w:val="Bibliography"/>
      </w:pPr>
      <w:r>
        <w:t xml:space="preserve">Pindyck, Robert S. y Daniel L. Rubinfeld (2009).</w:t>
      </w:r>
      <w:r>
        <w:t xml:space="preserve"> </w:t>
      </w:r>
      <w:r>
        <w:rPr>
          <w:i/>
          <w:iCs/>
        </w:rPr>
        <w:t xml:space="preserve">Microeconomía</w:t>
      </w:r>
      <w:r>
        <w:t xml:space="preserve">. Traducido por Esther Rabasco y Luis Toharia. 7.ª ed. Madrid: Pearson Prentice Hall.</w:t>
      </w:r>
    </w:p>
    <w:bookmarkEnd w:id="320"/>
    <w:bookmarkStart w:id="322" w:name="ref_Porter1983Study"/>
    <w:p>
      <w:pPr>
        <w:pStyle w:val="Bibliography"/>
      </w:pPr>
      <w:r>
        <w:t xml:space="preserve">Porter, Robert H. (1983).</w:t>
      </w:r>
      <w:r>
        <w:t xml:space="preserve"> </w:t>
      </w:r>
      <w:r>
        <w:t xml:space="preserve">«A Study of Cartel Stability: The Joint Executive Committee, 1880-1886»</w:t>
      </w:r>
      <w:r>
        <w:t xml:space="preserve">.</w:t>
      </w:r>
      <w:r>
        <w:t xml:space="preserve"> </w:t>
      </w:r>
      <w:r>
        <w:rPr>
          <w:i/>
          <w:iCs/>
        </w:rPr>
        <w:t xml:space="preserve">The Bell Journal of Economics</w:t>
      </w:r>
      <w:r>
        <w:t xml:space="preserve"> </w:t>
      </w:r>
      <w:r>
        <w:t xml:space="preserve">14 (2): 301-14.</w:t>
      </w:r>
      <w:r>
        <w:t xml:space="preserve"> </w:t>
      </w:r>
      <w:hyperlink r:id="rId321">
        <w:r>
          <w:rPr>
            <w:rStyle w:val="Hyperlink"/>
          </w:rPr>
          <w:t xml:space="preserve">https://doi.org/10.2307/3003634</w:t>
        </w:r>
      </w:hyperlink>
      <w:r>
        <w:t xml:space="preserve">.</w:t>
      </w:r>
    </w:p>
    <w:bookmarkEnd w:id="322"/>
    <w:bookmarkStart w:id="324" w:name="ref_Ross1992Cartel"/>
    <w:p>
      <w:pPr>
        <w:pStyle w:val="Bibliography"/>
      </w:pPr>
      <w:r>
        <w:t xml:space="preserve">Ross, Thomas W. (1992).</w:t>
      </w:r>
      <w:r>
        <w:t xml:space="preserve"> </w:t>
      </w:r>
      <w:r>
        <w:t xml:space="preserve">«Cartel Stability and Product Differentiation»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Industrial Organization</w:t>
      </w:r>
      <w:r>
        <w:t xml:space="preserve"> </w:t>
      </w:r>
      <w:r>
        <w:t xml:space="preserve">10 (1): 1-13.</w:t>
      </w:r>
      <w:r>
        <w:t xml:space="preserve"> </w:t>
      </w:r>
      <w:hyperlink r:id="rId323">
        <w:r>
          <w:rPr>
            <w:rStyle w:val="Hyperlink"/>
          </w:rPr>
          <w:t xml:space="preserve">https://doi.org/10.1016/0167-7187(92)90043-X</w:t>
        </w:r>
      </w:hyperlink>
      <w:r>
        <w:t xml:space="preserve">.</w:t>
      </w:r>
    </w:p>
    <w:bookmarkEnd w:id="324"/>
    <w:bookmarkStart w:id="326" w:name="ref_RotembergSaloner1986Supergame"/>
    <w:p>
      <w:pPr>
        <w:pStyle w:val="Bibliography"/>
      </w:pPr>
      <w:r>
        <w:t xml:space="preserve">Rotemberg, Julio J. y Garth Saloner (1986).</w:t>
      </w:r>
      <w:r>
        <w:t xml:space="preserve"> </w:t>
      </w:r>
      <w:r>
        <w:t xml:space="preserve">«A Supergame-Theoretic Model of Price Wars during Booms»</w:t>
      </w:r>
      <w:r>
        <w:t xml:space="preserve">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76 (3): 390-407.</w:t>
      </w:r>
      <w:r>
        <w:t xml:space="preserve"> </w:t>
      </w:r>
      <w:hyperlink r:id="rId325">
        <w:r>
          <w:rPr>
            <w:rStyle w:val="Hyperlink"/>
          </w:rPr>
          <w:t xml:space="preserve">https://ideas.repec.org/a/aea/aecrev/v76y1986i3p390-407.html</w:t>
        </w:r>
      </w:hyperlink>
      <w:r>
        <w:t xml:space="preserve">.</w:t>
      </w:r>
    </w:p>
    <w:bookmarkEnd w:id="326"/>
    <w:bookmarkStart w:id="328" w:name="ref_SalantSwitzerReynolds1983Losses"/>
    <w:p>
      <w:pPr>
        <w:pStyle w:val="Bibliography"/>
      </w:pPr>
      <w:r>
        <w:t xml:space="preserve">Salant, Stephen W., Sheldon Switzer y Robert J. Reynolds (1983).</w:t>
      </w:r>
      <w:r>
        <w:t xml:space="preserve"> </w:t>
      </w:r>
      <w:r>
        <w:t xml:space="preserve">«Losses from Horizontal Merger: The Effects of an Exogenous Change in Industry Structure on Cournot-Nash Equilibrium»</w:t>
      </w:r>
      <w:r>
        <w:t xml:space="preserve">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98 (2): 185-99.</w:t>
      </w:r>
      <w:r>
        <w:t xml:space="preserve"> </w:t>
      </w:r>
      <w:hyperlink r:id="rId327">
        <w:r>
          <w:rPr>
            <w:rStyle w:val="Hyperlink"/>
          </w:rPr>
          <w:t xml:space="preserve">https://doi.org/10.2307/1885620</w:t>
        </w:r>
      </w:hyperlink>
      <w:r>
        <w:t xml:space="preserve">.</w:t>
      </w:r>
    </w:p>
    <w:bookmarkEnd w:id="328"/>
    <w:bookmarkStart w:id="329" w:name="ref_Selten1965Spieltheoretische"/>
    <w:p>
      <w:pPr>
        <w:pStyle w:val="Bibliography"/>
      </w:pPr>
      <w:r>
        <w:t xml:space="preserve">Selten, Reinhard (1965).</w:t>
      </w:r>
      <w:r>
        <w:t xml:space="preserve"> </w:t>
      </w:r>
      <w:r>
        <w:t xml:space="preserve">«Spieltheoretische Behandlung eines Oligopolmodells mit Nachfrageträgheit. Teil I: Bestimmung des dynamischen Preisgleichgewichts»</w:t>
      </w:r>
      <w:r>
        <w:t xml:space="preserve">.</w:t>
      </w:r>
      <w:r>
        <w:t xml:space="preserve"> </w:t>
      </w:r>
      <w:r>
        <w:rPr>
          <w:i/>
          <w:iCs/>
        </w:rPr>
        <w:t xml:space="preserve">Zeitschrift für die gesamte Staatswissenschaft</w:t>
      </w:r>
      <w:r>
        <w:t xml:space="preserve"> </w:t>
      </w:r>
      <w:r>
        <w:t xml:space="preserve">121: 301-24.</w:t>
      </w:r>
    </w:p>
    <w:bookmarkEnd w:id="329"/>
    <w:bookmarkStart w:id="331" w:name="ref_Selten1973Simple"/>
    <w:p>
      <w:pPr>
        <w:pStyle w:val="Bibliography"/>
      </w:pPr>
      <w:r>
        <w:t xml:space="preserve">Selten, Reinhard (1973).</w:t>
      </w:r>
      <w:r>
        <w:t xml:space="preserve"> </w:t>
      </w:r>
      <w:r>
        <w:t xml:space="preserve">«A Simple Model of Imperfect Competition, where 4 Are Few and 6 Are Many»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Game Theory</w:t>
      </w:r>
      <w:r>
        <w:t xml:space="preserve"> </w:t>
      </w:r>
      <w:r>
        <w:t xml:space="preserve">2 (1): 141-201.</w:t>
      </w:r>
      <w:r>
        <w:t xml:space="preserve"> </w:t>
      </w:r>
      <w:hyperlink r:id="rId330">
        <w:r>
          <w:rPr>
            <w:rStyle w:val="Hyperlink"/>
          </w:rPr>
          <w:t xml:space="preserve">https://doi.org/10.1007/BF01737566</w:t>
        </w:r>
      </w:hyperlink>
      <w:r>
        <w:t xml:space="preserve">.</w:t>
      </w:r>
    </w:p>
    <w:bookmarkEnd w:id="331"/>
    <w:bookmarkStart w:id="333" w:name="ref_ShakedSutton1983Natural"/>
    <w:p>
      <w:pPr>
        <w:pStyle w:val="Bibliography"/>
      </w:pPr>
      <w:r>
        <w:t xml:space="preserve">Shaked, Avner y John Sutton (1983).</w:t>
      </w:r>
      <w:r>
        <w:t xml:space="preserve"> </w:t>
      </w:r>
      <w:r>
        <w:t xml:space="preserve">«Natural Oligopolies»</w:t>
      </w:r>
      <w:r>
        <w:t xml:space="preserve">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51 (5): 1469-83.</w:t>
      </w:r>
      <w:r>
        <w:t xml:space="preserve"> </w:t>
      </w:r>
      <w:hyperlink r:id="rId332">
        <w:r>
          <w:rPr>
            <w:rStyle w:val="Hyperlink"/>
          </w:rPr>
          <w:t xml:space="preserve">https://doi.org/10.2307/1912285</w:t>
        </w:r>
      </w:hyperlink>
      <w:r>
        <w:t xml:space="preserve">.</w:t>
      </w:r>
    </w:p>
    <w:bookmarkEnd w:id="333"/>
    <w:bookmarkStart w:id="335" w:name="ref_Shapley1953Value"/>
    <w:p>
      <w:pPr>
        <w:pStyle w:val="Bibliography"/>
      </w:pPr>
      <w:r>
        <w:t xml:space="preserve">Shapley, Lloyd S. (1953).</w:t>
      </w:r>
      <w:r>
        <w:t xml:space="preserve"> </w:t>
      </w:r>
      <w:r>
        <w:t xml:space="preserve">«A Value for n-Person Games»</w:t>
      </w:r>
      <w:r>
        <w:t xml:space="preserve">. En</w:t>
      </w:r>
      <w:r>
        <w:t xml:space="preserve"> </w:t>
      </w:r>
      <w:r>
        <w:rPr>
          <w:i/>
          <w:iCs/>
        </w:rPr>
        <w:t xml:space="preserve">Contributions to the Theory of Games II</w:t>
      </w:r>
      <w:r>
        <w:t xml:space="preserve">, editado por Harold W. Kuhn y Albert W. Tucker, 307-17. Annals of Mathematics Studies 28. Princeton: Princeton University Press.</w:t>
      </w:r>
      <w:r>
        <w:t xml:space="preserve"> </w:t>
      </w:r>
      <w:hyperlink r:id="rId334">
        <w:r>
          <w:rPr>
            <w:rStyle w:val="Hyperlink"/>
          </w:rPr>
          <w:t xml:space="preserve">https://doi.org/10.1515/9781400881970-018</w:t>
        </w:r>
      </w:hyperlink>
      <w:r>
        <w:t xml:space="preserve">.</w:t>
      </w:r>
    </w:p>
    <w:bookmarkEnd w:id="335"/>
    <w:bookmarkStart w:id="337" w:name="ref_SinghVives1984Price"/>
    <w:p>
      <w:pPr>
        <w:pStyle w:val="Bibliography"/>
      </w:pPr>
      <w:r>
        <w:t xml:space="preserve">Singh, Nirvikar y Xavier Vives (1984).</w:t>
      </w:r>
      <w:r>
        <w:t xml:space="preserve"> </w:t>
      </w:r>
      <w:r>
        <w:t xml:space="preserve">«Price and Quantity Competition in a Differentiated Duopoly»</w:t>
      </w:r>
      <w:r>
        <w:t xml:space="preserve">.</w:t>
      </w:r>
      <w:r>
        <w:t xml:space="preserve"> </w:t>
      </w:r>
      <w:r>
        <w:rPr>
          <w:i/>
          <w:iCs/>
        </w:rPr>
        <w:t xml:space="preserve">RAND Journal of Economics</w:t>
      </w:r>
      <w:r>
        <w:t xml:space="preserve"> </w:t>
      </w:r>
      <w:r>
        <w:t xml:space="preserve">15 (4): 546-54.</w:t>
      </w:r>
      <w:r>
        <w:t xml:space="preserve"> </w:t>
      </w:r>
      <w:hyperlink r:id="rId336">
        <w:r>
          <w:rPr>
            <w:rStyle w:val="Hyperlink"/>
          </w:rPr>
          <w:t xml:space="preserve">https://doi.org/10.2307/2555525</w:t>
        </w:r>
      </w:hyperlink>
      <w:r>
        <w:t xml:space="preserve">.</w:t>
      </w:r>
    </w:p>
    <w:bookmarkEnd w:id="337"/>
    <w:bookmarkStart w:id="339" w:name="ref_Smith1776Wealth"/>
    <w:p>
      <w:pPr>
        <w:pStyle w:val="Bibliography"/>
      </w:pPr>
      <w:r>
        <w:t xml:space="preserve">Smith, Adam (1776).</w:t>
      </w:r>
      <w:r>
        <w:t xml:space="preserve"> </w:t>
      </w:r>
      <w:r>
        <w:rPr>
          <w:i/>
          <w:iCs/>
        </w:rPr>
        <w:t xml:space="preserve">An Inquiry into the Nature and Causes of the Wealth of Nations</w:t>
      </w:r>
      <w:r>
        <w:t xml:space="preserve">. Londres: W. Strahan y T. Cadell.</w:t>
      </w:r>
      <w:r>
        <w:t xml:space="preserve"> </w:t>
      </w:r>
      <w:hyperlink r:id="rId338">
        <w:r>
          <w:rPr>
            <w:rStyle w:val="Hyperlink"/>
          </w:rPr>
          <w:t xml:space="preserve">https://www.gutenberg.org/cache/epub/3300/pg3300.txt</w:t>
        </w:r>
      </w:hyperlink>
      <w:r>
        <w:t xml:space="preserve">.</w:t>
      </w:r>
    </w:p>
    <w:bookmarkEnd w:id="339"/>
    <w:bookmarkStart w:id="341" w:name="ref_Snyder1996Dynamic"/>
    <w:p>
      <w:pPr>
        <w:pStyle w:val="Bibliography"/>
      </w:pPr>
      <w:r>
        <w:t xml:space="preserve">Snyder, Christopher M. (1996).</w:t>
      </w:r>
      <w:r>
        <w:t xml:space="preserve"> </w:t>
      </w:r>
      <w:r>
        <w:t xml:space="preserve">«A Dynamic Theory of Countervailing Power»</w:t>
      </w:r>
      <w:r>
        <w:t xml:space="preserve">.</w:t>
      </w:r>
      <w:r>
        <w:t xml:space="preserve"> </w:t>
      </w:r>
      <w:r>
        <w:rPr>
          <w:i/>
          <w:iCs/>
        </w:rPr>
        <w:t xml:space="preserve">The RAND Journal of Economics</w:t>
      </w:r>
      <w:r>
        <w:t xml:space="preserve"> </w:t>
      </w:r>
      <w:r>
        <w:t xml:space="preserve">27 (4): 747-69.</w:t>
      </w:r>
      <w:r>
        <w:t xml:space="preserve"> </w:t>
      </w:r>
      <w:hyperlink r:id="rId340">
        <w:r>
          <w:rPr>
            <w:rStyle w:val="Hyperlink"/>
          </w:rPr>
          <w:t xml:space="preserve">https://doi.org/10.2307/2555880</w:t>
        </w:r>
      </w:hyperlink>
      <w:r>
        <w:t xml:space="preserve">.</w:t>
      </w:r>
    </w:p>
    <w:bookmarkEnd w:id="341"/>
    <w:bookmarkStart w:id="342" w:name="ref_Stackelberg1934Marktform"/>
    <w:p>
      <w:pPr>
        <w:pStyle w:val="Bibliography"/>
      </w:pPr>
      <w:r>
        <w:t xml:space="preserve">Stackelberg, Heinrich von (1934).</w:t>
      </w:r>
      <w:r>
        <w:t xml:space="preserve"> </w:t>
      </w:r>
      <w:r>
        <w:rPr>
          <w:i/>
          <w:iCs/>
        </w:rPr>
        <w:t xml:space="preserve">Marktform und Gleichgewicht</w:t>
      </w:r>
      <w:r>
        <w:t xml:space="preserve">. Viena: Julius Springer.</w:t>
      </w:r>
    </w:p>
    <w:bookmarkEnd w:id="342"/>
    <w:bookmarkStart w:id="343" w:name="ref_Stigler1950Monopoly"/>
    <w:p>
      <w:pPr>
        <w:pStyle w:val="Bibliography"/>
      </w:pPr>
      <w:r>
        <w:t xml:space="preserve">Stigler, George J. (1950).</w:t>
      </w:r>
      <w:r>
        <w:t xml:space="preserve"> </w:t>
      </w:r>
      <w:r>
        <w:t xml:space="preserve">«Monopoly and Oligopoly by Merger»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Economic Review</w:t>
      </w:r>
      <w:r>
        <w:t xml:space="preserve"> </w:t>
      </w:r>
      <w:r>
        <w:t xml:space="preserve">40 (2): 23-34.</w:t>
      </w:r>
    </w:p>
    <w:bookmarkEnd w:id="343"/>
    <w:bookmarkStart w:id="345" w:name="ref_Stigler1964Theory"/>
    <w:p>
      <w:pPr>
        <w:pStyle w:val="Bibliography"/>
      </w:pPr>
      <w:r>
        <w:t xml:space="preserve">Stigler, George J. (1964).</w:t>
      </w:r>
      <w:r>
        <w:t xml:space="preserve"> </w:t>
      </w:r>
      <w:r>
        <w:t xml:space="preserve">«A Theory of Oligopoly»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72 (1): 44-61.</w:t>
      </w:r>
      <w:r>
        <w:t xml:space="preserve"> </w:t>
      </w:r>
      <w:hyperlink r:id="rId344">
        <w:r>
          <w:rPr>
            <w:rStyle w:val="Hyperlink"/>
          </w:rPr>
          <w:t xml:space="preserve">https://doi.org/10.1086/258853</w:t>
        </w:r>
      </w:hyperlink>
      <w:r>
        <w:t xml:space="preserve">.</w:t>
      </w:r>
    </w:p>
    <w:bookmarkEnd w:id="345"/>
    <w:bookmarkStart w:id="347" w:name="ref_Nobel1994Nash"/>
    <w:p>
      <w:pPr>
        <w:pStyle w:val="Bibliography"/>
      </w:pPr>
      <w:r>
        <w:t xml:space="preserve">The Nobel Prize (1994).</w:t>
      </w:r>
      <w:r>
        <w:t xml:space="preserve"> </w:t>
      </w:r>
      <w:r>
        <w:t xml:space="preserve">«The Sveriges Riksbank Prize in Economic Sciences in Memory of Alfred Nobel 1994: John C. Harsanyi, John F. Nash Jr. and Reinhard Selten»</w:t>
      </w:r>
      <w:r>
        <w:t xml:space="preserve">. 1994.</w:t>
      </w:r>
      <w:r>
        <w:t xml:space="preserve"> </w:t>
      </w:r>
      <w:hyperlink r:id="rId346">
        <w:r>
          <w:rPr>
            <w:rStyle w:val="Hyperlink"/>
          </w:rPr>
          <w:t xml:space="preserve">https://www.nobelprize.org/prizes/economic-sciences/1994/summary/</w:t>
        </w:r>
      </w:hyperlink>
      <w:r>
        <w:t xml:space="preserve">.</w:t>
      </w:r>
    </w:p>
    <w:bookmarkEnd w:id="347"/>
    <w:bookmarkStart w:id="349" w:name="ref_Nobel2005AumannSchelling"/>
    <w:p>
      <w:pPr>
        <w:pStyle w:val="Bibliography"/>
      </w:pPr>
      <w:r>
        <w:t xml:space="preserve">The Nobel Prize (2005).</w:t>
      </w:r>
      <w:r>
        <w:t xml:space="preserve"> </w:t>
      </w:r>
      <w:r>
        <w:t xml:space="preserve">«The Sveriges Riksbank Prize in Economic Sciences in Memory of Alfred Nobel 2005: Robert J. Aumann and Thomas C. Schelling»</w:t>
      </w:r>
      <w:r>
        <w:t xml:space="preserve">. 2005.</w:t>
      </w:r>
      <w:r>
        <w:t xml:space="preserve"> </w:t>
      </w:r>
      <w:hyperlink r:id="rId348">
        <w:r>
          <w:rPr>
            <w:rStyle w:val="Hyperlink"/>
          </w:rPr>
          <w:t xml:space="preserve">https://www.nobelprize.org/prizes/economic-sciences/2005/summary/</w:t>
        </w:r>
      </w:hyperlink>
      <w:r>
        <w:t xml:space="preserve">.</w:t>
      </w:r>
    </w:p>
    <w:bookmarkEnd w:id="349"/>
    <w:bookmarkStart w:id="351" w:name="ref_Theocharis1960Stability"/>
    <w:p>
      <w:pPr>
        <w:pStyle w:val="Bibliography"/>
      </w:pPr>
      <w:r>
        <w:t xml:space="preserve">Theocharis, Reghinos D. (1960).</w:t>
      </w:r>
      <w:r>
        <w:t xml:space="preserve"> </w:t>
      </w:r>
      <w:r>
        <w:t xml:space="preserve">«On the Stability of the Cournot Solution on the Oligopoly Problem»</w:t>
      </w:r>
      <w:r>
        <w:t xml:space="preserve">.</w:t>
      </w:r>
      <w:r>
        <w:t xml:space="preserve"> </w:t>
      </w:r>
      <w:r>
        <w:rPr>
          <w:i/>
          <w:iCs/>
        </w:rPr>
        <w:t xml:space="preserve">The Review of Economic Studies</w:t>
      </w:r>
      <w:r>
        <w:t xml:space="preserve"> </w:t>
      </w:r>
      <w:r>
        <w:t xml:space="preserve">27 (2): 133-34.</w:t>
      </w:r>
      <w:r>
        <w:t xml:space="preserve"> </w:t>
      </w:r>
      <w:hyperlink r:id="rId350">
        <w:r>
          <w:rPr>
            <w:rStyle w:val="Hyperlink"/>
          </w:rPr>
          <w:t xml:space="preserve">https://doi.org/10.2307/2296135</w:t>
        </w:r>
      </w:hyperlink>
      <w:r>
        <w:t xml:space="preserve">.</w:t>
      </w:r>
    </w:p>
    <w:bookmarkEnd w:id="351"/>
    <w:bookmarkStart w:id="352" w:name="ref_Tirole1988Theory"/>
    <w:p>
      <w:pPr>
        <w:pStyle w:val="Bibliography"/>
      </w:pPr>
      <w:r>
        <w:t xml:space="preserve">Tirole, Jean (1988).</w:t>
      </w:r>
      <w:r>
        <w:t xml:space="preserve"> </w:t>
      </w:r>
      <w:r>
        <w:rPr>
          <w:i/>
          <w:iCs/>
        </w:rPr>
        <w:t xml:space="preserve">The Theory of Industrial Organization</w:t>
      </w:r>
      <w:r>
        <w:t xml:space="preserve">. Cambridge (Massachusetts): MIT Press.</w:t>
      </w:r>
    </w:p>
    <w:bookmarkEnd w:id="352"/>
    <w:bookmarkStart w:id="354" w:name="ref_TJUE1993PastaPapel"/>
    <w:p>
      <w:pPr>
        <w:pStyle w:val="Bibliography"/>
      </w:pPr>
      <w:r>
        <w:t xml:space="preserve">Tribunal de Justicia de las Comunidades Europeas (1993).</w:t>
      </w:r>
      <w:r>
        <w:t xml:space="preserve"> </w:t>
      </w:r>
      <w:r>
        <w:t xml:space="preserve">«Sentencia de 31 de marzo de 1993, Ahlström Osakeyhtiö y otros contra Comisión (pasta de papel), asuntos acumulados C-89/85, C-104/85, C-114/85, C-116/85, C-117/85 y C-125/85 a C-129/85»</w:t>
      </w:r>
      <w:r>
        <w:t xml:space="preserve">. 31 de marzo de 1993.</w:t>
      </w:r>
      <w:r>
        <w:t xml:space="preserve"> </w:t>
      </w:r>
      <w:hyperlink r:id="rId353">
        <w:r>
          <w:rPr>
            <w:rStyle w:val="Hyperlink"/>
          </w:rPr>
          <w:t xml:space="preserve">https://eur-lex.europa.eu/legal-content/ES/TXT/?uri=CELEX:61985CJ0089</w:t>
        </w:r>
      </w:hyperlink>
      <w:r>
        <w:t xml:space="preserve">.</w:t>
      </w:r>
    </w:p>
    <w:bookmarkEnd w:id="354"/>
    <w:bookmarkStart w:id="356" w:name="ref_UE2016TFUE"/>
    <w:p>
      <w:pPr>
        <w:pStyle w:val="Bibliography"/>
      </w:pPr>
      <w:r>
        <w:t xml:space="preserve">Unión Europea (2016).</w:t>
      </w:r>
      <w:r>
        <w:t xml:space="preserve"> </w:t>
      </w:r>
      <w:r>
        <w:t xml:space="preserve">«Tratado de Funcionamiento de la Unión Europea (versión consolidada), arts. 3, 101, 102 y 107-109»</w:t>
      </w:r>
      <w:r>
        <w:t xml:space="preserve">. 2016.</w:t>
      </w:r>
      <w:r>
        <w:t xml:space="preserve"> </w:t>
      </w:r>
      <w:hyperlink r:id="rId355">
        <w:r>
          <w:rPr>
            <w:rStyle w:val="Hyperlink"/>
          </w:rPr>
          <w:t xml:space="preserve">https://www.boe.es/buscar/doc.php?id=DOUE-Z-2010-70002</w:t>
        </w:r>
      </w:hyperlink>
      <w:r>
        <w:t xml:space="preserve">.</w:t>
      </w:r>
    </w:p>
    <w:bookmarkEnd w:id="356"/>
    <w:bookmarkStart w:id="357" w:name="ref_Vives1999Oligopoly"/>
    <w:p>
      <w:pPr>
        <w:pStyle w:val="Bibliography"/>
      </w:pPr>
      <w:r>
        <w:t xml:space="preserve">Vives, Xavier (1999).</w:t>
      </w:r>
      <w:r>
        <w:t xml:space="preserve"> </w:t>
      </w:r>
      <w:r>
        <w:rPr>
          <w:i/>
          <w:iCs/>
        </w:rPr>
        <w:t xml:space="preserve">Oligopoly Pricing: Old Ideas and New Tools</w:t>
      </w:r>
      <w:r>
        <w:t xml:space="preserve">. Cambridge (Massachusetts): MIT Press.</w:t>
      </w:r>
    </w:p>
    <w:bookmarkEnd w:id="357"/>
    <w:bookmarkEnd w:id="358"/>
    <w:bookmarkEnd w:id="359"/>
    <w:sectPr>
      <w:headerReference r:id="rId9" w:type="default"/>
      <w:footerReference r:id="rIdTceeB" w:type="default"/>
      <w:footnotePr>
        <w:numRestart w:val="continuous"/>
      </w:footnotePr>
      <w:pgSz w:h="16838" w:w="11906"/>
      <w:pgMar w:bottom="1361" w:left="1247" w:right="1247" w:top="1474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eX Gyre Pagella">
    <w:altName w:val="Palatino Linotype"/>
    <w:panose1 w:val="02040502050505030304"/>
    <w:charset w:val="0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412"/>
      </w:tabs>
      <w:jc w:val="left"/>
    </w:pPr>
    <w:r>
      <w:rPr>
        <w:i/>
        <w:color w:val="767171"/>
        <w:sz w:val="14"/>
      </w:rPr>
      <w:t xml:space="preserve">© 2026 Víctor Gutiérrez Marcos · CC BY-NC-ND 4.0</w:t>
    </w:r>
    <w:r>
      <w:tab/>
    </w:r>
    <w:r/>
    <w:r>
      <w:rPr>
        <w:b/>
        <w:color w:val="5F2987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b/>
        <w:color w:val="5F2987"/>
        <w:sz w:val="18"/>
      </w:rPr>
      <w:t>/</w:t>
    </w:r>
    <w:r>
      <w:rPr>
        <w:b/>
        <w:color w:val="5F2987"/>
        <w:sz w:val="18"/>
      </w:rPr>
      <w:fldChar w:fldCharType="begin"/>
      <w:instrText xml:space="preserve"> SECTIONPAGES </w:instrText>
      <w:fldChar w:fldCharType="separate"/>
      <w:t>1</w:t>
      <w:fldChar w:fldCharType="end"/>
    </w:r>
  </w:p>
</w:ftr>
</file>

<file path=word/footerTceeA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412"/>
      </w:tabs>
      <w:jc w:val="left"/>
    </w:pPr>
    <w:r>
      <w:rPr>
        <w:i/>
        <w:color w:val="767171"/>
        <w:sz w:val="14"/>
      </w:rPr>
      <w:t xml:space="preserve">© 2026 Víctor Gutiérrez Marcos · CC BY-NC-ND 4.0</w:t>
    </w:r>
    <w:r>
      <w:tab/>
    </w:r>
    <w:r/>
    <w:r>
      <w:rPr>
        <w:b/>
        <w:color w:val="5F2987"/>
        <w:sz w:val="18"/>
      </w:rPr>
      <w:t>A-</w:t>
    </w:r>
    <w:r>
      <w:rPr>
        <w:b/>
        <w:color w:val="5F2987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b/>
        <w:color w:val="5F2987"/>
        <w:sz w:val="18"/>
      </w:rPr>
      <w:t>/</w:t>
    </w:r>
    <w:r>
      <w:rPr>
        <w:b/>
        <w:color w:val="5F2987"/>
        <w:sz w:val="18"/>
      </w:rPr>
      <w:fldChar w:fldCharType="begin"/>
      <w:instrText xml:space="preserve"> SECTIONPAGES </w:instrText>
      <w:fldChar w:fldCharType="separate"/>
      <w:t>1</w:t>
      <w:fldChar w:fldCharType="end"/>
    </w:r>
  </w:p>
</w:ftr>
</file>

<file path=word/footerTceeB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412"/>
      </w:tabs>
      <w:jc w:val="left"/>
    </w:pPr>
    <w:r>
      <w:rPr>
        <w:i/>
        <w:color w:val="767171"/>
        <w:sz w:val="14"/>
      </w:rPr>
      <w:t xml:space="preserve">© 2026 Víctor Gutiérrez Marcos · CC BY-NC-ND 4.0</w:t>
    </w:r>
    <w:r>
      <w:tab/>
    </w:r>
    <w:r/>
    <w:r>
      <w:rPr>
        <w:b/>
        <w:color w:val="5F2987"/>
        <w:sz w:val="18"/>
      </w:rPr>
      <w:t>B-</w:t>
    </w:r>
    <w:r>
      <w:rPr>
        <w:b/>
        <w:color w:val="5F2987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b/>
        <w:color w:val="5F2987"/>
        <w:sz w:val="18"/>
      </w:rPr>
      <w:t>/</w:t>
    </w:r>
    <w:r>
      <w:rPr>
        <w:b/>
        <w:color w:val="5F2987"/>
        <w:sz w:val="18"/>
      </w:rPr>
      <w:fldChar w:fldCharType="begin"/>
      <w:instrText xml:space="preserve"> SECTIONPAGES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el original: «People of the same trade seldom meet together, even for merriment and diversion, but the conversation ends in a conspiracy against the public, or in some contrivance to raise prices».</w:t>
      </w:r>
      <w:r>
        <w:t xml:space="preserve"> </w:t>
      </w:r>
      <w:r>
        <w:rPr>
          <w:smallCaps/>
        </w:rPr>
        <w:t xml:space="preserve">Smith</w:t>
      </w:r>
      <w:r>
        <w:t xml:space="preserve"> </w:t>
      </w:r>
      <w:r>
        <w:t xml:space="preserve">añade que esas reuniones no pueden prohibirse sin atentar contra la libertad, pero que la ley no debe hacer nada para facilitarlas.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 un método muy extendido en las ciencias sociales: sostiene que los fenómenos sociales, su estructura y sus cambios, se explican en principio a partir de los individuos, de sus metas, sus creencias y sus acciones, y ve la evolución de la sociedad como el agregado de las decisiones de los particulares. Es, por tanto, un reduccionismo: explica las entidades grandes a partir de las pequeñas.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realidad no puede afirmarse que existan solo 4 estructuras de mercado: la clasificación facilita la exposición, y cada una tiene su tema</w:t>
      </w:r>
      <w:r>
        <w:t xml:space="preserve"> </w:t>
      </w:r>
      <w:hyperlink r:id="rId28">
        <w:r>
          <w:rPr>
            <w:rStyle w:val="Referenciaatema"/>
          </w:rPr>
          <w:t xml:space="preserve">[ver tema 3.A.16]</w:t>
        </w:r>
      </w:hyperlink>
      <w:r>
        <w:t xml:space="preserve"> </w:t>
      </w:r>
      <w:hyperlink r:id="rId29">
        <w:r>
          <w:rPr>
            <w:rStyle w:val="Referenciaatema"/>
          </w:rPr>
          <w:t xml:space="preserve">[ver tema 3.A.17]</w:t>
        </w:r>
      </w:hyperlink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 En la práctica pueden mencionarse otras, como las</w:t>
      </w:r>
      <w:r>
        <w:t xml:space="preserve"> </w:t>
      </w:r>
      <w:r>
        <w:rPr>
          <w:i/>
          <w:iCs/>
        </w:rPr>
        <w:t xml:space="preserve">plataformas</w:t>
      </w:r>
      <w:r>
        <w:t xml:space="preserve">, que incorporan las economías de red: la utilidad de cada usuario aumenta con el número de usuarios.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la competencia perfecta cada empresa es tan pequeña que su decisión no mueve el precio: vende al de mercado y no tiene por qué pensar en las demás. En el monopolio no hay rivales. En la competencia monopolística hay muchas empresas y cada una apenas afecta a las demás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 Solo en el oligopolio lo que hace una empresa cambia el beneficio de las otras de forma apreciable.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teoría de juegos extiende la teoría de la decisión con riesgo e incertidumbre</w:t>
      </w:r>
      <w:r>
        <w:t xml:space="preserve"> </w:t>
      </w:r>
      <w:hyperlink r:id="rId35">
        <w:r>
          <w:rPr>
            <w:rStyle w:val="Referenciaatema"/>
          </w:rPr>
          <w:t xml:space="preserve">[ver tema 3.A.10]</w:t>
        </w:r>
      </w:hyperlink>
      <w:r>
        <w:t xml:space="preserve"> </w:t>
      </w:r>
      <w:r>
        <w:t xml:space="preserve">a los casos en que la incertidumbre procede de lo que harán otros decisores.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smallCaps/>
        </w:rPr>
        <w:t xml:space="preserve">Nash</w:t>
      </w:r>
      <w:r>
        <w:t xml:space="preserve">,</w:t>
      </w:r>
      <w:r>
        <w:t xml:space="preserve"> </w:t>
      </w:r>
      <w:r>
        <w:rPr>
          <w:smallCaps/>
        </w:rPr>
        <w:t xml:space="preserve">Harsanyi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Selten</w:t>
      </w:r>
      <w:r>
        <w:t xml:space="preserve"> </w:t>
      </w:r>
      <w:r>
        <w:t xml:space="preserve">recibieron el Premio Nobel de Economía de 1994 «por su análisis pionero de los equilibrios en la teoría de los juegos no cooperativos»</w:t>
      </w:r>
      <w:r>
        <w:t xml:space="preserve"> </w:t>
      </w:r>
      <w:r>
        <w:t xml:space="preserve">(</w:t>
      </w:r>
      <w:hyperlink w:anchor="ref_Nobel1994Nash">
        <w:r>
          <w:rPr>
            <w:rStyle w:val="Hyperlink"/>
            <w:smallCaps/>
          </w:rPr>
          <w:t xml:space="preserve">The Nobel Prize</w:t>
        </w:r>
        <w:r>
          <w:rPr>
            <w:rStyle w:val="Hyperlink"/>
          </w:rPr>
          <w:t xml:space="preserve">, 1994</w:t>
        </w:r>
      </w:hyperlink>
      <w:r>
        <w:t xml:space="preserve">)</w:t>
      </w:r>
      <w:r>
        <w:t xml:space="preserve">; Robert</w:t>
      </w:r>
      <w:r>
        <w:t xml:space="preserve"> </w:t>
      </w:r>
      <w:r>
        <w:rPr>
          <w:smallCaps/>
        </w:rPr>
        <w:t xml:space="preserve">Aumann</w:t>
      </w:r>
      <w:r>
        <w:t xml:space="preserve"> </w:t>
      </w:r>
      <w:r>
        <w:t xml:space="preserve">y Thomas</w:t>
      </w:r>
      <w:r>
        <w:t xml:space="preserve"> </w:t>
      </w:r>
      <w:r>
        <w:rPr>
          <w:smallCaps/>
        </w:rPr>
        <w:t xml:space="preserve">Schelling</w:t>
      </w:r>
      <w:r>
        <w:t xml:space="preserve">, el de 2005, «por haber mejorado nuestra comprensión del conflicto y la cooperación mediante el análisis de la teoría de juegos»</w:t>
      </w:r>
      <w:r>
        <w:t xml:space="preserve"> </w:t>
      </w:r>
      <w:r>
        <w:t xml:space="preserve">(</w:t>
      </w:r>
      <w:hyperlink w:anchor="ref_Nobel2005AumannSchelling">
        <w:r>
          <w:rPr>
            <w:rStyle w:val="Hyperlink"/>
            <w:smallCaps/>
          </w:rPr>
          <w:t xml:space="preserve">The Nobel Prize</w:t>
        </w:r>
        <w:r>
          <w:rPr>
            <w:rStyle w:val="Hyperlink"/>
          </w:rPr>
          <w:t xml:space="preserve">, 2005</w:t>
        </w:r>
      </w:hyperlink>
      <w:r>
        <w:t xml:space="preserve">)</w:t>
      </w:r>
      <w:r>
        <w:t xml:space="preserve">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 un error frecuente pensar que, como hay colusión, el juego es cooperativo. La colusión de</w:t>
      </w:r>
      <w:r>
        <w:t xml:space="preserve"> </w:t>
      </w:r>
      <w:r>
        <w:rPr>
          <w:smallCaps/>
        </w:rPr>
        <w:t xml:space="preserve">Friedman</w:t>
      </w:r>
      <w:r>
        <w:t xml:space="preserve"> </w:t>
      </w:r>
      <w:r>
        <w:t xml:space="preserve">es un equilibrio no cooperativo: nadie puede obligar a nadie, y cada empresa cumple porque le conviene. La teoría de juegos cooperativa entra cuando el acuerdo puede hacerse cumplir y hay que decidir cómo se reparte lo ganado.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estudio del oligopolio se divide según el bien sea homogéneo o diferenciado. Esta exposición mantiene el bien homogéneo: los productos de las empresas son sustitutivos perfectos en la función de utilidad de los consumidores.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poder de mercado del oligopolista no es total: elige el precio o la cantidad, no los 2, sujeto a la demanda y a lo que hagan las demás.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También hay oligopolio natural con diferenciación vertical y libre entrada: si los consumidores difieren en su renta y las empresas compiten en calidad y precio, solo un número finito de empresas puede tener cuota positiva, aunque la entrada sea libre (</w:t>
      </w:r>
      <w:r>
        <w:rPr>
          <w:i/>
          <w:iCs/>
        </w:rPr>
        <w:t xml:space="preserve">propiedad de finitud</w:t>
      </w:r>
      <w:r>
        <w:t xml:space="preserve">)</w:t>
      </w:r>
      <w:r>
        <w:t xml:space="preserve"> </w:t>
      </w:r>
      <w:r>
        <w:t xml:space="preserve">(</w:t>
      </w:r>
      <w:hyperlink w:anchor="ref_ShakedSutton1983Natural">
        <w:r>
          <w:rPr>
            <w:rStyle w:val="Hyperlink"/>
            <w:smallCaps/>
          </w:rPr>
          <w:t xml:space="preserve">Shaked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Sutton</w:t>
        </w:r>
        <w:r>
          <w:rPr>
            <w:rStyle w:val="Hyperlink"/>
          </w:rPr>
          <w:t xml:space="preserve">, 1983</w:t>
        </w:r>
      </w:hyperlink>
      <w:r>
        <w:t xml:space="preserve">)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Formalmente, son sustitutos estratégicos si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y complementos si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con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 variable de la empresa</w:t>
      </w:r>
      <w:r>
        <w:t xml:space="preserve"> </w:t>
      </w:r>
      <m:oMath>
        <m:r>
          <m:t>i</m:t>
        </m:r>
      </m:oMath>
      <w:r>
        <w:t xml:space="preserve">. A la izquierda, reacciones decrecientes (cantidades); a la derecha, crecientes (precios). Elaboración propia a partir de</w:t>
      </w:r>
      <w:r>
        <w:t xml:space="preserve"> </w:t>
      </w:r>
      <w:r>
        <w:rPr>
          <w:smallCaps/>
        </w:rPr>
        <w:t xml:space="preserve">Chevalier-Roignant</w:t>
      </w:r>
      <w:r>
        <w:t xml:space="preserve"> </w:t>
      </w:r>
      <w:r>
        <w:t xml:space="preserve">y</w:t>
      </w:r>
      <w:r>
        <w:t xml:space="preserve"> </w:t>
      </w:r>
      <w:r>
        <w:rPr>
          <w:smallCaps/>
        </w:rPr>
        <w:t xml:space="preserve">Trigeorgis</w:t>
      </w:r>
      <w:r>
        <w:t xml:space="preserve"> </w:t>
      </w:r>
      <w:r>
        <w:t xml:space="preserve">(</w:t>
      </w:r>
      <w:hyperlink w:anchor="ref_ChevalierRoignantTrigeorgis201_33809">
        <w:r>
          <w:rPr>
            <w:rStyle w:val="Hyperlink"/>
          </w:rPr>
          <w:t xml:space="preserve">2011, cap. 3</w:t>
        </w:r>
      </w:hyperlink>
      <w:r>
        <w:t xml:space="preserve">)</w:t>
      </w:r>
      <w:r>
        <w:t xml:space="preserve">.</w:t>
      </w:r>
    </w:p>
    <w:p>
      <w:pPr>
        <w:pStyle w:val="Graficonota"/>
      </w:pPr>
      <w:r>
        <w:drawing>
          <wp:inline>
            <wp:extent cx="2686050" cy="134600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vgutierrez\Documents\src\victorgutierrezmarcos.github.io-revision\oposicion\temario\fuentes\3A19\graficos/sustitutos-complemento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4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fue condiscípulo de Auguste</w:t>
      </w:r>
      <w:r>
        <w:t xml:space="preserve"> </w:t>
      </w:r>
      <w:r>
        <w:rPr>
          <w:smallCaps/>
        </w:rPr>
        <w:t xml:space="preserve">Walras</w:t>
      </w:r>
      <w:r>
        <w:t xml:space="preserve"> </w:t>
      </w:r>
      <w:r>
        <w:t xml:space="preserve">en la Escuela Normal de París, y el hijo de este, Léon</w:t>
      </w:r>
      <w:r>
        <w:t xml:space="preserve"> </w:t>
      </w:r>
      <w:r>
        <w:rPr>
          <w:smallCaps/>
        </w:rPr>
        <w:t xml:space="preserve">Walras</w:t>
      </w:r>
      <w:r>
        <w:t xml:space="preserve">, lo tuvo por precursor de la economía matemática.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condición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 </w:t>
      </w:r>
      <w:r>
        <w:t xml:space="preserve">sirve para todas las estructuras de mercado;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(1838) fue el primero en escribirla, para el monopolio.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la pizarra, este gráfico se deja: el de</w:t>
      </w:r>
      <w:r>
        <w:t xml:space="preserve"> </w:t>
      </w:r>
      <w:r>
        <w:rPr>
          <w:smallCaps/>
        </w:rPr>
        <w:t xml:space="preserve">Stackelberg</w:t>
      </w:r>
      <w:r>
        <w:t xml:space="preserve"> </w:t>
      </w:r>
      <w:r>
        <w:t xml:space="preserve">(gráfico </w:t>
      </w:r>
      <w:hyperlink w:anchor="fig_stackelberg">
        <w:r>
          <w:rPr>
            <w:rStyle w:val="Hyperlink"/>
          </w:rPr>
          <w:t xml:space="preserve">3</w:t>
        </w:r>
      </w:hyperlink>
      <w:r>
        <w:t xml:space="preserve">) parte de él.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aquí la cuota de mercado, no una estrategia; y la elasticidad lleva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porque es la de la demanda de toda la industria, no la de cada empresa. La derivación está en el anexo </w:t>
      </w:r>
      <w:hyperlink w:anchor="anexo_cournot_lineal">
        <w:r>
          <w:rPr>
            <w:rStyle w:val="Hyperlink"/>
          </w:rPr>
          <w:t xml:space="preserve">A</w:t>
        </w:r>
      </w:hyperlink>
      <w:r>
        <w:t xml:space="preserve">.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 la misma lista que en el tema de diferenciación de productos</w:t>
      </w:r>
      <w:r>
        <w:t xml:space="preserve"> </w:t>
      </w:r>
      <w:hyperlink r:id="rId30">
        <w:r>
          <w:rPr>
            <w:rStyle w:val="Referenciaatema"/>
          </w:rPr>
          <w:t xml:space="preserve">[ver tema 3.A.18]</w:t>
        </w:r>
      </w:hyperlink>
      <w:r>
        <w:t xml:space="preserve">, que levanta el segundo.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aquí la capacidad de cada empresa, una letra local de este apartado: no es el capital.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algunos mercados la estructura dicta la variable: en ciertos mercados agrícolas o en la lonja, los productores deciden cuánto producir o pescar y llevan al mercado lo que tienen, donde se forma un precio que lo vacía (</w:t>
      </w:r>
      <w:r>
        <w:rPr>
          <w:smallCaps/>
        </w:rPr>
        <w:t xml:space="preserve">Cournot</w:t>
      </w:r>
      <w:r>
        <w:t xml:space="preserve">); en la producción por encargo, primero se fija el precio, se aceptan pedidos y después se produce (</w:t>
      </w:r>
      <w:r>
        <w:rPr>
          <w:smallCaps/>
        </w:rPr>
        <w:t xml:space="preserve">Bertrand</w:t>
      </w:r>
      <w:r>
        <w:t xml:space="preserve">).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 el juego de etapa tiene varios EN, la amenaza de pasar en el último periodo al EN peor para el que se desvíe puede sostener la cooperación en los anteriores</w:t>
      </w:r>
      <w:r>
        <w:t xml:space="preserve"> </w:t>
      </w:r>
      <w:r>
        <w:t xml:space="preserve">(</w:t>
      </w:r>
      <w:hyperlink w:anchor="ref_BenoitKrishna1985Finitely">
        <w:r>
          <w:rPr>
            <w:rStyle w:val="Hyperlink"/>
            <w:smallCaps/>
          </w:rPr>
          <w:t xml:space="preserve">Benoit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Krishna</w:t>
        </w:r>
        <w:r>
          <w:rPr>
            <w:rStyle w:val="Hyperlink"/>
          </w:rPr>
          <w:t xml:space="preserve">, 1985</w:t>
        </w:r>
      </w:hyperlink>
      <w:r>
        <w:t xml:space="preserve">)</w:t>
      </w:r>
      <w:r>
        <w:t xml:space="preserve">.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 en cada periodo hay una probabilidad de que el juego continúe, todo vale igual multiplicando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por esa probabilidad: cuanto más probable es que la relación termine, más difícil es coludir.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C, D y N, en redonda, son coludir (cooperar), desviarse y el equilibrio de</w:t>
      </w:r>
      <w:r>
        <w:t xml:space="preserve"> </w:t>
      </w:r>
      <w:r>
        <w:rPr>
          <w:smallCaps/>
        </w:rPr>
        <w:t xml:space="preserve">Nash</w:t>
      </w:r>
      <w:r>
        <w:t xml:space="preserve"> </w:t>
      </w:r>
      <w:r>
        <w:t xml:space="preserve">de la etapa, como en el juego repetido general</w:t>
      </w:r>
      <w:r>
        <w:t xml:space="preserve"> </w:t>
      </w:r>
      <w:hyperlink r:id="rId33">
        <w:r>
          <w:rPr>
            <w:rStyle w:val="Referenciaatema"/>
          </w:rPr>
          <w:t xml:space="preserve">[ver tema 3.A.14]</w:t>
        </w:r>
      </w:hyperlink>
      <w:r>
        <w:t xml:space="preserve">; no hay que confundirlos con el superíndice de</w:t>
      </w:r>
      <w:r>
        <w:t xml:space="preserve"> </w:t>
      </w:r>
      <w:r>
        <w:rPr>
          <w:smallCaps/>
        </w:rPr>
        <w:t xml:space="preserve">Cournot</w:t>
      </w:r>
      <w:r>
        <w:t xml:space="preserve">, en cursiva, de</w:t>
      </w:r>
      <w:r>
        <w:t xml:space="preserve"> </w:t>
      </w:r>
      <w:hyperlink w:anchor="sec_cournot">
        <w:r>
          <w:rPr>
            <w:rStyle w:val="Hyperlink"/>
          </w:rPr>
          <w:t xml:space="preserve">I.2</w:t>
        </w:r>
      </w:hyperlink>
      <w:r>
        <w:t xml:space="preserve">.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 el primer torneo, de 200 jugadas por partida, se presentaron 14 estrategias; «donde las dan, las toman», enviada por Anatol</w:t>
      </w:r>
      <w:r>
        <w:t xml:space="preserve"> </w:t>
      </w:r>
      <w:r>
        <w:rPr>
          <w:smallCaps/>
        </w:rPr>
        <w:t xml:space="preserve">Rapoport</w:t>
      </w:r>
      <w:r>
        <w:t xml:space="preserve">, era la más sencilla y ganó. En el segundo, con un número de jugadas aleatorio para que no hubiera una última jugada especial, se presentaron 62, y volvió a ganar</w:t>
      </w:r>
      <w:r>
        <w:t xml:space="preserve"> </w:t>
      </w:r>
      <w:r>
        <w:t xml:space="preserve">(</w:t>
      </w:r>
      <w:hyperlink w:anchor="ref_Axelrod1980Effective">
        <w:r>
          <w:rPr>
            <w:rStyle w:val="Hyperlink"/>
            <w:smallCaps/>
          </w:rPr>
          <w:t xml:space="preserve">Axelrod</w:t>
        </w:r>
        <w:r>
          <w:rPr>
            <w:rStyle w:val="Hyperlink"/>
          </w:rPr>
          <w:t xml:space="preserve">, 1980a</w:t>
        </w:r>
      </w:hyperlink>
      <w:r>
        <w:t xml:space="preserve">,</w:t>
      </w:r>
      <w:r>
        <w:t xml:space="preserve"> </w:t>
      </w:r>
      <w:hyperlink w:anchor="ref_Axelrod1980More">
        <w:r>
          <w:rPr>
            <w:rStyle w:val="Hyperlink"/>
          </w:rPr>
          <w:t xml:space="preserve">1980b</w:t>
        </w:r>
      </w:hyperlink>
      <w:r>
        <w:t xml:space="preserve">)</w:t>
      </w:r>
      <w:r>
        <w:t xml:space="preserve">.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 demanda lineal y 2 empresas iguales, la cuota da a cada una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, y la mejor desviación,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/</m:t>
            </m:r>
            <m:r>
              <m:t>4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8</m:t>
        </m:r>
        <m:r>
          <m:t>b</m:t>
        </m:r>
      </m:oMath>
      <w:r>
        <w:t xml:space="preserve">, le da</w:t>
      </w:r>
      <w:r>
        <w:t xml:space="preserve"> </w:t>
      </w:r>
      <m:oMath>
        <m:r>
          <m:t>9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64</m:t>
        </m:r>
        <m:r>
          <m:t>b</m:t>
        </m:r>
      </m:oMath>
      <w:r>
        <w:t xml:space="preserve">: son los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del gatillo con</w:t>
      </w:r>
      <w:r>
        <w:t xml:space="preserve"> </w:t>
      </w:r>
      <w:r>
        <w:rPr>
          <w:smallCaps/>
        </w:rPr>
        <w:t xml:space="preserve">Cournot</w:t>
      </w:r>
      <w:r>
        <w:t xml:space="preserve"> </w:t>
      </w:r>
      <w:r>
        <w:t xml:space="preserve">(anexo </w:t>
      </w:r>
      <w:hyperlink w:anchor="anexo_gatillo">
        <w:r>
          <w:rPr>
            <w:rStyle w:val="Hyperlink"/>
          </w:rPr>
          <w:t xml:space="preserve">D</w:t>
        </w:r>
      </w:hyperlink>
      <w:r>
        <w:t xml:space="preserve">).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Lectura complementaria: E.</w:t>
      </w:r>
      <w:r>
        <w:t xml:space="preserve"> </w:t>
      </w:r>
      <w:r>
        <w:rPr>
          <w:smallCaps/>
        </w:rPr>
        <w:t xml:space="preserve">Feás</w:t>
      </w:r>
      <w:r>
        <w:t xml:space="preserve">, «Oligopolios en el comercio mundial»,</w:t>
      </w:r>
      <w:r>
        <w:t xml:space="preserve"> </w:t>
      </w:r>
      <w:hyperlink r:id="rId168">
        <w:r>
          <w:rPr>
            <w:rStyle w:val="Hyperlink"/>
          </w:rPr>
          <w:t xml:space="preserve">https://blognewdeal.com/enrique-feas/oligopolios-en-el-comercio-mundial/</w:t>
        </w:r>
      </w:hyperlink>
      <w:r>
        <w:t xml:space="preserve"> </w:t>
      </w:r>
      <w:r>
        <w:t xml:space="preserve">(consultado el 20/10/2026).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teoría sirvió para defender la desregulación del transporte aéreo de Estados Unidos, que había empezado con la</w:t>
      </w:r>
      <w:r>
        <w:t xml:space="preserve"> </w:t>
      </w:r>
      <w:r>
        <w:rPr>
          <w:i/>
          <w:iCs/>
        </w:rPr>
        <w:t xml:space="preserve">Airline Deregulation Act</w:t>
      </w:r>
      <w:r>
        <w:t xml:space="preserve"> </w:t>
      </w:r>
      <w:r>
        <w:t xml:space="preserve">de 1978</w:t>
      </w:r>
      <w:r>
        <w:t xml:space="preserve"> </w:t>
      </w:r>
      <w:r>
        <w:t xml:space="preserve">(</w:t>
      </w:r>
      <w:hyperlink w:anchor="ref_EEUU1978AirlineDeregulation">
        <w:r>
          <w:rPr>
            <w:rStyle w:val="Hyperlink"/>
            <w:smallCaps/>
          </w:rPr>
          <w:t xml:space="preserve">Congreso de los Estados Unidos</w:t>
        </w:r>
        <w:r>
          <w:rPr>
            <w:rStyle w:val="Hyperlink"/>
          </w:rPr>
          <w:t xml:space="preserve">, 1978</w:t>
        </w:r>
      </w:hyperlink>
      <w:r>
        <w:t xml:space="preserve">;</w:t>
      </w:r>
      <w:r>
        <w:t xml:space="preserve"> </w:t>
      </w:r>
      <w:hyperlink w:anchor="ref_BaileyBaumol1984Deregulation">
        <w:r>
          <w:rPr>
            <w:rStyle w:val="Hyperlink"/>
            <w:smallCaps/>
          </w:rPr>
          <w:t xml:space="preserve">Bailey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  <w:smallCaps/>
          </w:rPr>
          <w:t xml:space="preserve">Baumol</w:t>
        </w:r>
        <w:r>
          <w:rPr>
            <w:rStyle w:val="Hyperlink"/>
          </w:rPr>
          <w:t xml:space="preserve">, 1984</w:t>
        </w:r>
      </w:hyperlink>
      <w:r>
        <w:t xml:space="preserve">)</w:t>
      </w:r>
      <w:r>
        <w:t xml:space="preserve">. Los aviones se pueden llevar de una ruta a otra: era el ejemplo de mercado con pocos costes hundidos.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política de competencia de la UE se apoya en 4 pilares: los acuerdos entre empresas (art. 101 TFUE), el abuso de posición dominante (art. 102), el control de concentraciones</w:t>
      </w:r>
      <w:r>
        <w:t xml:space="preserve"> </w:t>
      </w:r>
      <w:r>
        <w:t xml:space="preserve">(</w:t>
      </w:r>
      <w:hyperlink w:anchor="ref_UE2004Reglamento139">
        <w:r>
          <w:rPr>
            <w:rStyle w:val="Hyperlink"/>
            <w:smallCaps/>
          </w:rPr>
          <w:t xml:space="preserve">Consejo de la Unión Europea</w:t>
        </w:r>
        <w:r>
          <w:rPr>
            <w:rStyle w:val="Hyperlink"/>
          </w:rPr>
          <w:t xml:space="preserve">, 2004</w:t>
        </w:r>
      </w:hyperlink>
      <w:r>
        <w:t xml:space="preserve">)</w:t>
      </w:r>
      <w:r>
        <w:t xml:space="preserve"> </w:t>
      </w:r>
      <w:r>
        <w:t xml:space="preserve">y las ayudas de Estado (arts. 107-109)</w:t>
      </w:r>
      <w:r>
        <w:t xml:space="preserve"> </w:t>
      </w:r>
      <w:hyperlink r:id="rId26">
        <w:r>
          <w:rPr>
            <w:rStyle w:val="Referenciaatema"/>
          </w:rPr>
          <w:t xml:space="preserve">[ver tema 3.B.39]</w:t>
        </w:r>
      </w:hyperlink>
      <w:r>
        <w:t xml:space="preserve">. Las normas sobre competencia necesarias para el funcionamiento del mercado interior son una de las 5 competencias exclusivas de la Unión (art. 3 TFUE).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F2987"/>
        <w:sz w:val="18"/>
      </w:rPr>
      <w:t>Oposición a Técnico Comercial y Economista del Estado · Víctor Gutiérrez Marcos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/>
      <w:jc w:val="both"/>
    </w:pPr>
    <w:rPr>
      <w:rFonts w:ascii="TeX Gyre Pagella" w:cs="TeX Gyre Pagella" w:eastAsia="TeX Gyre Pagella" w:hAnsi="TeX Gyre Pagella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180"/>
      <w:jc w:val="both"/>
    </w:pPr>
    <w:rPr>
      <w:rFonts w:ascii="TeX Gyre Pagella" w:cs="TeX Gyre Pagella" w:eastAsia="TeX Gyre Pagella" w:hAnsi="TeX Gyre Pagella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/>
      <w:jc w:val="both"/>
    </w:pPr>
    <w:rPr>
      <w:rFonts w:ascii="TeX Gyre Pagella" w:cs="TeX Gyre Pagella" w:eastAsia="TeX Gyre Pagella" w:hAnsi="TeX Gyre Pagella"/>
      <w:sz w:val="22"/>
    </w:rPr>
  </w:style>
  <w:style w:customStyle="1" w:styleId="Compact" w:type="paragraph">
    <w:name w:val="Compact"/>
    <w:basedOn w:val="BodyText"/>
    <w:qFormat/>
    <w:pPr>
      <w:widowControl/>
      <w:spacing w:after="40" w:before="36"/>
      <w:jc w:val="both"/>
    </w:pPr>
    <w:rPr>
      <w:rFonts w:ascii="TeX Gyre Pagella" w:cs="TeX Gyre Pagella" w:eastAsia="TeX Gyre Pagella" w:hAnsi="TeX Gyre Pagell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keepLines/>
      <w:spacing w:after="80" w:line="240" w:lineRule="auto"/>
      <w:contextualSpacing/>
      <w:jc w:val="center"/>
    </w:pPr>
    <w:rPr>
      <w:rFonts w:ascii="TeX Gyre Pagella" w:cs="TeX Gyre Pagella" w:eastAsia="TeX Gyre Pagella" w:hAnsi="TeX Gyre Pagella"/>
      <w:b/>
      <w:caps/>
      <w:color w:val="5F2987"/>
      <w:sz w:val="2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eX Gyre Pagella" w:cs="TeX Gyre Pagella" w:eastAsia="TeX Gyre Pagella" w:hAnsi="TeX Gyre Pagella"/>
      <w:b w:val="0"/>
      <w:i/>
      <w:caps w:val="0"/>
      <w:color w:val="5F2987"/>
      <w:spacing w:val="15"/>
      <w:sz w:val="1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eX Gyre Pagella" w:cs="TeX Gyre Pagella" w:eastAsia="TeX Gyre Pagella" w:hAnsi="TeX Gyre Pagella"/>
      <w:b w:val="0"/>
      <w:i/>
      <w:caps w:val="0"/>
      <w:color w:val="5F2987"/>
      <w:sz w:val="18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600"/>
      <w:jc w:val="center"/>
    </w:pPr>
    <w:rPr>
      <w:rFonts w:ascii="TeX Gyre Pagella" w:cs="TeX Gyre Pagella" w:eastAsia="TeX Gyre Pagella" w:hAnsi="TeX Gyre Pagella"/>
      <w:b w:val="0"/>
      <w:i/>
      <w:caps w:val="0"/>
      <w:color w:val="5F2987"/>
      <w:sz w:val="1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eX Gyre Pagella" w:cs="TeX Gyre Pagella" w:eastAsia="TeX Gyre Pagella" w:hAnsi="TeX Gyre Pagella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jc w:val="left"/>
      <w:outlineLvl w:val="0"/>
      <w:shd w:color="auto" w:fill="5F2987" w:val="clear"/>
    </w:pPr>
    <w:rPr>
      <w:rFonts w:ascii="TeX Gyre Pagella" w:cs="TeX Gyre Pagella" w:eastAsia="TeX Gyre Pagella" w:hAnsi="TeX Gyre Pagella"/>
      <w:b/>
      <w:caps/>
      <w:color w:val="FFFFFF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jc w:val="left"/>
      <w:outlineLvl w:val="1"/>
      <w:pBdr>
        <w:bottom w:color="5F2987" w:space="1" w:sz="4" w:val="single"/>
      </w:pBdr>
    </w:pPr>
    <w:rPr>
      <w:rFonts w:ascii="TeX Gyre Pagella" w:cs="TeX Gyre Pagella" w:eastAsia="TeX Gyre Pagella" w:hAnsi="TeX Gyre Pagella"/>
      <w:b/>
      <w:caps w:val="0"/>
      <w:color w:val="5F2987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ind w:left="283"/>
      <w:jc w:val="left"/>
      <w:outlineLvl w:val="2"/>
    </w:pPr>
    <w:rPr>
      <w:rFonts w:ascii="TeX Gyre Pagella" w:cs="TeX Gyre Pagella" w:eastAsia="TeX Gyre Pagella" w:hAnsi="TeX Gyre Pagella"/>
      <w:b w:val="0"/>
      <w:i/>
      <w:color w:val="5F2987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ind w:left="567"/>
      <w:jc w:val="left"/>
      <w:outlineLvl w:val="3"/>
    </w:pPr>
    <w:rPr>
      <w:rFonts w:ascii="TeX Gyre Pagella" w:cs="TeX Gyre Pagella" w:eastAsia="TeX Gyre Pagella" w:hAnsi="TeX Gyre Pagella"/>
      <w:b w:val="0"/>
      <w:i/>
      <w:iCs/>
      <w:color w:val="4A1F6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ind w:left="567"/>
      <w:jc w:val="left"/>
      <w:outlineLvl w:val="4"/>
    </w:pPr>
    <w:rPr>
      <w:rFonts w:ascii="TeX Gyre Pagella" w:cs="TeX Gyre Pagella" w:eastAsia="TeX Gyre Pagella" w:hAnsi="TeX Gyre Pagella"/>
      <w:b w:val="0"/>
      <w:i/>
      <w:color w:val="4A1F6B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ind w:left="567"/>
      <w:jc w:val="left"/>
      <w:outlineLvl w:val="5"/>
    </w:pPr>
    <w:rPr>
      <w:rFonts w:ascii="TeX Gyre Pagella" w:cs="TeX Gyre Pagella" w:eastAsia="TeX Gyre Pagella" w:hAnsi="TeX Gyre Pagella"/>
      <w:b w:val="0"/>
      <w:i/>
      <w:iCs/>
      <w:color w:val="4A1F6B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eX Gyre Pagella" w:cs="TeX Gyre Pagella" w:eastAsia="TeX Gyre Pagella" w:hAnsi="TeX Gyre Pagella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0"/>
      <w:jc w:val="center"/>
    </w:pPr>
    <w:rPr>
      <w:rFonts w:ascii="TeX Gyre Pagella" w:cs="TeX Gyre Pagella" w:eastAsia="TeX Gyre Pagella" w:hAnsi="TeX Gyre Pagella"/>
      <w:b w:val="0"/>
      <w:i w:val="0"/>
      <w:color w:val="5F2987"/>
      <w:sz w:val="20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eX Gyre Pagella" w:cs="TeX Gyre Pagella" w:eastAsia="TeX Gyre Pagella" w:hAnsi="TeX Gyre Pagella"/>
      <w:b w:val="0"/>
      <w:i w:val="0"/>
      <w:color w:val="5F2987"/>
      <w:sz w:val="20"/>
    </w:rPr>
  </w:style>
  <w:style w:customStyle="1" w:styleId="ImageCaption" w:type="paragraph">
    <w:name w:val="Image Caption"/>
    <w:basedOn w:val="Caption"/>
    <w:pPr>
      <w:keepNext/>
      <w:jc w:val="center"/>
    </w:pPr>
    <w:rPr>
      <w:rFonts w:ascii="TeX Gyre Pagella" w:cs="TeX Gyre Pagella" w:eastAsia="TeX Gyre Pagella" w:hAnsi="TeX Gyre Pagella"/>
      <w:b w:val="0"/>
      <w:i w:val="0"/>
      <w:color w:val="5F2987"/>
      <w:sz w:val="20"/>
    </w:rPr>
  </w:style>
  <w:style w:customStyle="1" w:styleId="Figure" w:type="paragraph">
    <w:name w:val="Figure"/>
    <w:basedOn w:val="Normal"/>
    <w:pPr>
      <w:keepNext/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Notaalopositor" w:type="paragraph">
    <w:name w:val="Nota al opositor"/>
    <w:basedOn w:val="Normal"/>
    <w:qFormat/>
    <w:pPr>
      <w:pBdr>
        <w:left w:color="5F2987" w:space="8" w:sz="24" w:val="single"/>
      </w:pBdr>
      <w:shd w:color="auto" w:fill="F3EEF7" w:val="clear"/>
      <w:jc w:val="left"/>
    </w:pPr>
    <w:rPr>
      <w:rFonts w:ascii="TeX Gyre Pagella" w:cs="TeX Gyre Pagella" w:eastAsia="TeX Gyre Pagella" w:hAnsi="TeX Gyre Pagella"/>
      <w:sz w:val="19"/>
    </w:rPr>
  </w:style>
  <w:style w:customStyle="1" w:styleId="Cajadeanotaciones" w:type="paragraph">
    <w:name w:val="Caja de anotaciones"/>
    <w:basedOn w:val="Normal"/>
    <w:qFormat/>
    <w:pPr>
      <w:pBdr>
        <w:top w:color="767171" w:space="4" w:sz="4" w:val="single"/>
        <w:left w:color="767171" w:space="4" w:sz="4" w:val="single"/>
        <w:bottom w:color="767171" w:space="4" w:sz="4" w:val="single"/>
        <w:right w:color="767171" w:space="4" w:sz="4" w:val="single"/>
      </w:pBdr>
      <w:shd w:color="auto" w:fill="E7E6E6" w:val="clear"/>
      <w:jc w:val="left"/>
    </w:pPr>
    <w:rPr>
      <w:rFonts w:ascii="TeX Gyre Pagella" w:cs="TeX Gyre Pagella" w:eastAsia="TeX Gyre Pagella" w:hAnsi="TeX Gyre Pagella"/>
      <w:sz w:val="18"/>
    </w:rPr>
  </w:style>
  <w:style w:customStyle="1" w:styleId="Ideaclave" w:type="paragraph">
    <w:name w:val="Idea clave"/>
    <w:basedOn w:val="Normal"/>
    <w:qFormat/>
    <w:pPr>
      <w:pBdr>
        <w:top w:color="C8D8C0" w:space="4" w:sz="4" w:val="single"/>
        <w:left w:color="C8D8C0" w:space="4" w:sz="4" w:val="single"/>
        <w:bottom w:color="C8D8C0" w:space="4" w:sz="4" w:val="single"/>
        <w:right w:color="C8D8C0" w:space="4" w:sz="4" w:val="single"/>
      </w:pBdr>
      <w:shd w:color="auto" w:fill="E2EFD9" w:val="clear"/>
      <w:jc w:val="left"/>
    </w:pPr>
    <w:rPr>
      <w:rFonts w:ascii="TeX Gyre Pagella" w:cs="TeX Gyre Pagella" w:eastAsia="TeX Gyre Pagella" w:hAnsi="TeX Gyre Pagella"/>
      <w:i/>
      <w:sz w:val="22"/>
    </w:rPr>
  </w:style>
  <w:style w:customStyle="1" w:styleId="Esquema" w:type="paragraph">
    <w:name w:val="Esquema"/>
    <w:basedOn w:val="Normal"/>
    <w:qFormat/>
    <w:pPr>
      <w:pBdr>
        <w:top w:color="5F2987" w:space="4" w:sz="4" w:val="single"/>
        <w:left w:color="5F2987" w:space="4" w:sz="4" w:val="single"/>
        <w:bottom w:color="5F2987" w:space="4" w:sz="4" w:val="single"/>
        <w:right w:color="5F2987" w:space="4" w:sz="4" w:val="single"/>
      </w:pBdr>
      <w:shd w:color="auto" w:fill="FAF9F6" w:val="clear"/>
      <w:jc w:val="left"/>
    </w:pPr>
    <w:rPr>
      <w:rFonts w:ascii="TeX Gyre Pagella" w:cs="TeX Gyre Pagella" w:eastAsia="TeX Gyre Pagella" w:hAnsi="TeX Gyre Pagella"/>
      <w:sz w:val="20"/>
    </w:rPr>
  </w:style>
  <w:style w:customStyle="1" w:styleId="Piedeimagen" w:type="paragraph">
    <w:name w:val="Pie de imagen"/>
    <w:basedOn w:val="Normal"/>
    <w:qFormat/>
    <w:pPr>
      <w:jc w:val="center"/>
    </w:pPr>
    <w:rPr>
      <w:rFonts w:ascii="TeX Gyre Pagella" w:cs="TeX Gyre Pagella" w:eastAsia="TeX Gyre Pagella" w:hAnsi="TeX Gyre Pagella"/>
      <w:i/>
      <w:color w:val="3B3838"/>
      <w:sz w:val="16"/>
    </w:rPr>
  </w:style>
  <w:style w:customStyle="1" w:styleId="Funcionclave" w:type="paragraph">
    <w:name w:val="Funcion clave"/>
    <w:basedOn w:val="Normal"/>
    <w:qFormat/>
    <w:pPr>
      <w:spacing w:after="120" w:before="120"/>
      <w:ind w:left="1417" w:right="1417"/>
      <w:jc w:val="center"/>
      <w:pBdr>
        <w:top w:color="5F2987" w:space="4" w:sz="8" w:val="single"/>
        <w:left w:color="5F2987" w:space="4" w:sz="8" w:val="single"/>
        <w:bottom w:color="5F2987" w:space="4" w:sz="8" w:val="single"/>
        <w:right w:color="5F2987" w:space="4" w:sz="8" w:val="single"/>
      </w:pBdr>
      <w:shd w:color="auto" w:fill="F7F3FA" w:val="clear"/>
    </w:pPr>
    <w:rPr>
      <w:rFonts w:ascii="TeX Gyre Pagella" w:cs="TeX Gyre Pagella" w:eastAsia="TeX Gyre Pagella" w:hAnsi="TeX Gyre Pagella"/>
      <w:color w:val="5F2987"/>
      <w:sz w:val="22"/>
    </w:rPr>
  </w:style>
  <w:style w:customStyle="1" w:styleId="Graficonota" w:type="paragraph">
    <w:name w:val="Grafico nota"/>
    <w:basedOn w:val="FootnoteText"/>
    <w:qFormat/>
    <w:pPr>
      <w:jc w:val="center"/>
    </w:pPr>
  </w:style>
  <w:style w:customStyle="1" w:styleId="Paginasdeltema" w:type="paragraph">
    <w:name w:val="Paginas del tema"/>
    <w:basedOn w:val="Normal"/>
    <w:qFormat/>
    <w:pPr>
      <w:spacing w:after="360"/>
      <w:jc w:val="center"/>
    </w:pPr>
    <w:rPr>
      <w:rFonts w:ascii="TeX Gyre Pagella" w:cs="TeX Gyre Pagella" w:eastAsia="TeX Gyre Pagella" w:hAnsi="TeX Gyre Pagella"/>
      <w:i/>
      <w:color w:val="767171"/>
      <w:sz w:val="18"/>
    </w:rPr>
  </w:style>
  <w:style w:customStyle="1" w:styleId="Minutos" w:type="character">
    <w:name w:val="Minutos"/>
    <w:rPr>
      <w:b w:val="0"/>
      <w:i/>
      <w:caps w:val="0"/>
      <w:sz w:val="16"/>
    </w:rPr>
  </w:style>
  <w:style w:customStyle="1" w:styleId="Referenciaatema" w:type="character">
    <w:name w:val="Referencia a tema"/>
    <w:rPr>
      <w:color w:val="767171"/>
    </w:rPr>
  </w:style>
  <w:style w:customStyle="1" w:styleId="Celdatceesalvia" w:type="paragraph">
    <w:name w:val="Celda tceesalvia"/>
    <w:basedOn w:val="Normal"/>
    <w:qFormat/>
    <w:pPr>
      <w:spacing w:after="0"/>
      <w:jc w:val="center"/>
      <w:shd w:color="auto" w:fill="E2EFD9" w:val="clear"/>
    </w:pPr>
    <w:rPr>
      <w:rFonts w:ascii="TeX Gyre Pagella" w:cs="TeX Gyre Pagella" w:eastAsia="TeX Gyre Pagella" w:hAnsi="TeX Gyre Pagella"/>
      <w:sz w:val="20"/>
    </w:rPr>
  </w:style>
  <w:style w:customStyle="1" w:styleId="Celdatceeazulpalido" w:type="paragraph">
    <w:name w:val="Celda tceeazulpalido"/>
    <w:basedOn w:val="Normal"/>
    <w:qFormat/>
    <w:pPr>
      <w:spacing w:after="0"/>
      <w:jc w:val="center"/>
      <w:shd w:color="auto" w:fill="DDEBF7" w:val="clear"/>
    </w:pPr>
    <w:rPr>
      <w:rFonts w:ascii="TeX Gyre Pagella" w:cs="TeX Gyre Pagella" w:eastAsia="TeX Gyre Pagella" w:hAnsi="TeX Gyre Pagella"/>
      <w:sz w:val="20"/>
    </w:rPr>
  </w:style>
  <w:style w:customStyle="1" w:styleId="Celdatceesalmon" w:type="paragraph">
    <w:name w:val="Celda tceesalmon"/>
    <w:basedOn w:val="Normal"/>
    <w:qFormat/>
    <w:pPr>
      <w:spacing w:after="0"/>
      <w:jc w:val="center"/>
      <w:shd w:color="auto" w:fill="FBE4D5" w:val="clear"/>
    </w:pPr>
    <w:rPr>
      <w:rFonts w:ascii="TeX Gyre Pagella" w:cs="TeX Gyre Pagella" w:eastAsia="TeX Gyre Pagella" w:hAnsi="TeX Gyre Pagella"/>
      <w:sz w:val="20"/>
    </w:rPr>
  </w:style>
  <w:style w:customStyle="1" w:styleId="Celdatceemoradopalido" w:type="paragraph">
    <w:name w:val="Celda tceemoradopalido"/>
    <w:basedOn w:val="Normal"/>
    <w:qFormat/>
    <w:pPr>
      <w:spacing w:after="0"/>
      <w:jc w:val="center"/>
      <w:shd w:color="auto" w:fill="F3EEF7" w:val="clear"/>
    </w:pPr>
    <w:rPr>
      <w:rFonts w:ascii="TeX Gyre Pagella" w:cs="TeX Gyre Pagella" w:eastAsia="TeX Gyre Pagella" w:hAnsi="TeX Gyre Pagella"/>
      <w:sz w:val="20"/>
    </w:rPr>
  </w:style>
  <w:style w:customStyle="1" w:styleId="Celdatceegrisclaro" w:type="paragraph">
    <w:name w:val="Celda tceegrisclaro"/>
    <w:basedOn w:val="Normal"/>
    <w:qFormat/>
    <w:pPr>
      <w:spacing w:after="0"/>
      <w:jc w:val="center"/>
      <w:shd w:color="auto" w:fill="E7E6E6" w:val="clear"/>
    </w:pPr>
    <w:rPr>
      <w:rFonts w:ascii="TeX Gyre Pagella" w:cs="TeX Gyre Pagella" w:eastAsia="TeX Gyre Pagella" w:hAnsi="TeX Gyre Pagella"/>
      <w:sz w:val="20"/>
    </w:rPr>
  </w:style>
  <w:style w:customStyle="1" w:styleId="Celdatceecrema" w:type="paragraph">
    <w:name w:val="Celda tceecrema"/>
    <w:basedOn w:val="Normal"/>
    <w:qFormat/>
    <w:pPr>
      <w:spacing w:after="0"/>
      <w:jc w:val="center"/>
      <w:shd w:color="auto" w:fill="FAF9F6" w:val="clear"/>
    </w:pPr>
    <w:rPr>
      <w:rFonts w:ascii="TeX Gyre Pagella" w:cs="TeX Gyre Pagella" w:eastAsia="TeX Gyre Pagella" w:hAnsi="TeX Gyre Pagella"/>
      <w:sz w:val="20"/>
    </w:rPr>
  </w:style>
  <w:style w:customStyle="1" w:styleId="Celdatceemorado" w:type="paragraph">
    <w:name w:val="Celda tceemorado"/>
    <w:basedOn w:val="Normal"/>
    <w:qFormat/>
    <w:pPr>
      <w:spacing w:after="0"/>
      <w:jc w:val="center"/>
      <w:shd w:color="auto" w:fill="5F2987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verde" w:type="paragraph">
    <w:name w:val="Celda tceeverde"/>
    <w:basedOn w:val="Normal"/>
    <w:qFormat/>
    <w:pPr>
      <w:spacing w:after="0"/>
      <w:jc w:val="center"/>
      <w:shd w:color="auto" w:fill="3C7D3A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azul" w:type="paragraph">
    <w:name w:val="Celda tceeazul"/>
    <w:basedOn w:val="Normal"/>
    <w:qFormat/>
    <w:pPr>
      <w:spacing w:after="0"/>
      <w:jc w:val="center"/>
      <w:shd w:color="auto" w:fill="1F5F99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rojo" w:type="paragraph">
    <w:name w:val="Celda tceerojo"/>
    <w:basedOn w:val="Normal"/>
    <w:qFormat/>
    <w:pPr>
      <w:spacing w:after="0"/>
      <w:jc w:val="center"/>
      <w:shd w:color="auto" w:fill="B22222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dorado" w:type="paragraph">
    <w:name w:val="Celda tceedorado"/>
    <w:basedOn w:val="Normal"/>
    <w:qFormat/>
    <w:pPr>
      <w:spacing w:after="0"/>
      <w:jc w:val="center"/>
      <w:shd w:color="auto" w:fill="B8860B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naranja" w:type="paragraph">
    <w:name w:val="Celda tceenaranja"/>
    <w:basedOn w:val="Normal"/>
    <w:qFormat/>
    <w:pPr>
      <w:spacing w:after="0"/>
      <w:jc w:val="center"/>
      <w:shd w:color="auto" w:fill="E07B28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Celdatceegris" w:type="paragraph">
    <w:name w:val="Celda tceegris"/>
    <w:basedOn w:val="Normal"/>
    <w:qFormat/>
    <w:pPr>
      <w:spacing w:after="0"/>
      <w:jc w:val="center"/>
      <w:shd w:color="auto" w:fill="767171" w:val="clear"/>
    </w:pPr>
    <w:rPr>
      <w:rFonts w:ascii="TeX Gyre Pagella" w:cs="TeX Gyre Pagella" w:eastAsia="TeX Gyre Pagella" w:hAnsi="TeX Gyre Pagella"/>
      <w:color w:val="FFFFFF"/>
      <w:sz w:val="20"/>
    </w:rPr>
  </w:style>
  <w:style w:customStyle="1" w:styleId="Textomorado" w:type="character">
    <w:name w:val="Texto morado"/>
    <w:rPr>
      <w:color w:val="5F2987"/>
    </w:rPr>
  </w:style>
  <w:style w:customStyle="1" w:styleId="Textoverde" w:type="character">
    <w:name w:val="Texto verde"/>
    <w:rPr>
      <w:color w:val="3C7D3A"/>
    </w:rPr>
  </w:style>
  <w:style w:customStyle="1" w:styleId="Textoazul" w:type="character">
    <w:name w:val="Texto azul"/>
    <w:rPr>
      <w:color w:val="1F5F99"/>
    </w:rPr>
  </w:style>
  <w:style w:customStyle="1" w:styleId="Textonaranja" w:type="character">
    <w:name w:val="Texto naranja"/>
    <w:rPr>
      <w:color w:val="E07B28"/>
    </w:rPr>
  </w:style>
  <w:style w:customStyle="1" w:styleId="Textorojo" w:type="character">
    <w:name w:val="Texto rojo"/>
    <w:rPr>
      <w:color w:val="B22222"/>
    </w:rPr>
  </w:style>
  <w:style w:customStyle="1" w:styleId="Textodorado" w:type="character">
    <w:name w:val="Texto dorado"/>
    <w:rPr>
      <w:color w:val="B8860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7" Target="media/rId87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34" Target="media/rId134.png" /><Relationship Type="http://schemas.openxmlformats.org/officeDocument/2006/relationships/image" Id="rId61" Target="media/rId61.png" /><Relationship Type="http://schemas.openxmlformats.org/officeDocument/2006/relationships/image" Id="rId96" Target="media/rId96.png" /><Relationship Type="http://schemas.openxmlformats.org/officeDocument/2006/relationships/image" Id="rId39" Target="media/rId39.png" /><Relationship Type="http://schemas.openxmlformats.org/officeDocument/2006/relationships/image" Id="rId141" Target="media/rId141.png" /><Relationship Type="http://schemas.openxmlformats.org/officeDocument/2006/relationships/image" Id="rId114" Target="media/rId114.png" /><Relationship Type="http://schemas.openxmlformats.org/officeDocument/2006/relationships/image" Id="rId107" Target="media/rId107.png" /><Relationship Type="http://schemas.openxmlformats.org/officeDocument/2006/relationships/image" Id="rId76" Target="media/rId76.png" /><Relationship Type="http://schemas.openxmlformats.org/officeDocument/2006/relationships/image" Id="rId50" Target="media/rId50.png" /><Relationship Type="http://schemas.openxmlformats.org/officeDocument/2006/relationships/hyperlink" Id="rId168" Target="https://blognewdeal.com/enrique-feas/oligopolios-en-el-comercio-mundial/" TargetMode="External" /><Relationship Type="http://schemas.openxmlformats.org/officeDocument/2006/relationships/hyperlink" Id="rId240" Target="https://competition-policy.ec.europa.eu/antitrust-and-cartels/cartels-cases-and-statistics_en" TargetMode="External" /><Relationship Type="http://schemas.openxmlformats.org/officeDocument/2006/relationships/hyperlink" Id="rId263" Target="https://doi.org/10.1007/BF01213642" TargetMode="External" /><Relationship Type="http://schemas.openxmlformats.org/officeDocument/2006/relationships/hyperlink" Id="rId293" Target="https://doi.org/10.1007/BF01242860" TargetMode="External" /><Relationship Type="http://schemas.openxmlformats.org/officeDocument/2006/relationships/hyperlink" Id="rId330" Target="https://doi.org/10.1007/BF01737566" TargetMode="External" /><Relationship Type="http://schemas.openxmlformats.org/officeDocument/2006/relationships/hyperlink" Id="rId196" Target="https://doi.org/10.1016/0022-0531(86)90025-6" TargetMode="External" /><Relationship Type="http://schemas.openxmlformats.org/officeDocument/2006/relationships/hyperlink" Id="rId323" Target="https://doi.org/10.1016/0167-7187(92)90043-X" TargetMode="External" /><Relationship Type="http://schemas.openxmlformats.org/officeDocument/2006/relationships/hyperlink" Id="rId272" Target="https://doi.org/10.1016/0899-8256(89)90021-3" TargetMode="External" /><Relationship Type="http://schemas.openxmlformats.org/officeDocument/2006/relationships/hyperlink" Id="rId309" Target="https://doi.org/10.1016/S0167-7187(02)00057-7" TargetMode="External" /><Relationship Type="http://schemas.openxmlformats.org/officeDocument/2006/relationships/hyperlink" Id="rId307" Target="https://doi.org/10.1017/CBO9780511804038" TargetMode="External" /><Relationship Type="http://schemas.openxmlformats.org/officeDocument/2006/relationships/hyperlink" Id="rId318" Target="https://doi.org/10.1038/364056a0" TargetMode="External" /><Relationship Type="http://schemas.openxmlformats.org/officeDocument/2006/relationships/hyperlink" Id="rId311" Target="https://doi.org/10.1073/pnas.36.1.48" TargetMode="External" /><Relationship Type="http://schemas.openxmlformats.org/officeDocument/2006/relationships/hyperlink" Id="rId305" Target="https://doi.org/10.1086/258035" TargetMode="External" /><Relationship Type="http://schemas.openxmlformats.org/officeDocument/2006/relationships/hyperlink" Id="rId344" Target="https://doi.org/10.1086/258853" TargetMode="External" /><Relationship Type="http://schemas.openxmlformats.org/officeDocument/2006/relationships/hyperlink" Id="rId224" Target="https://doi.org/10.1086/261312" TargetMode="External" /><Relationship Type="http://schemas.openxmlformats.org/officeDocument/2006/relationships/hyperlink" Id="rId267" Target="https://doi.org/10.1093/qje/qjz041" TargetMode="External" /><Relationship Type="http://schemas.openxmlformats.org/officeDocument/2006/relationships/hyperlink" Id="rId201" Target="https://doi.org/10.1177/002200278002400101" TargetMode="External" /><Relationship Type="http://schemas.openxmlformats.org/officeDocument/2006/relationships/hyperlink" Id="rId203" Target="https://doi.org/10.1177/002200278002400301" TargetMode="External" /><Relationship Type="http://schemas.openxmlformats.org/officeDocument/2006/relationships/hyperlink" Id="rId226" Target="https://doi.org/10.1257/aer.20170116" TargetMode="External" /><Relationship Type="http://schemas.openxmlformats.org/officeDocument/2006/relationships/hyperlink" Id="rId228" Target="https://doi.org/10.1257/aer.20190623" TargetMode="External" /><Relationship Type="http://schemas.openxmlformats.org/officeDocument/2006/relationships/hyperlink" Id="rId279" Target="https://doi.org/10.1515/9781400835881" TargetMode="External" /><Relationship Type="http://schemas.openxmlformats.org/officeDocument/2006/relationships/hyperlink" Id="rId334" Target="https://doi.org/10.1515/9781400881970-018" TargetMode="External" /><Relationship Type="http://schemas.openxmlformats.org/officeDocument/2006/relationships/hyperlink" Id="rId298" Target="https://doi.org/10.2307/1340687" TargetMode="External" /><Relationship Type="http://schemas.openxmlformats.org/officeDocument/2006/relationships/hyperlink" Id="rId261" Target="https://doi.org/10.2307/134972" TargetMode="External" /><Relationship Type="http://schemas.openxmlformats.org/officeDocument/2006/relationships/hyperlink" Id="rId327" Target="https://doi.org/10.2307/1885620" TargetMode="External" /><Relationship Type="http://schemas.openxmlformats.org/officeDocument/2006/relationships/hyperlink" Id="rId313" Target="https://doi.org/10.2307/1907266" TargetMode="External" /><Relationship Type="http://schemas.openxmlformats.org/officeDocument/2006/relationships/hyperlink" Id="rId198" Target="https://doi.org/10.2307/1911077" TargetMode="External" /><Relationship Type="http://schemas.openxmlformats.org/officeDocument/2006/relationships/hyperlink" Id="rId282" Target="https://doi.org/10.2307/1911462" TargetMode="External" /><Relationship Type="http://schemas.openxmlformats.org/officeDocument/2006/relationships/hyperlink" Id="rId303" Target="https://doi.org/10.2307/1911701" TargetMode="External" /><Relationship Type="http://schemas.openxmlformats.org/officeDocument/2006/relationships/hyperlink" Id="rId332" Target="https://doi.org/10.2307/1912285" TargetMode="External" /><Relationship Type="http://schemas.openxmlformats.org/officeDocument/2006/relationships/hyperlink" Id="rId213" Target="https://doi.org/10.2307/1912660" TargetMode="External" /><Relationship Type="http://schemas.openxmlformats.org/officeDocument/2006/relationships/hyperlink" Id="rId269" Target="https://doi.org/10.2307/2231658" TargetMode="External" /><Relationship Type="http://schemas.openxmlformats.org/officeDocument/2006/relationships/hyperlink" Id="rId350" Target="https://doi.org/10.2307/2296135" TargetMode="External" /><Relationship Type="http://schemas.openxmlformats.org/officeDocument/2006/relationships/hyperlink" Id="rId284" Target="https://doi.org/10.2307/2296310" TargetMode="External" /><Relationship Type="http://schemas.openxmlformats.org/officeDocument/2006/relationships/hyperlink" Id="rId275" Target="https://doi.org/10.2307/2296617" TargetMode="External" /><Relationship Type="http://schemas.openxmlformats.org/officeDocument/2006/relationships/hyperlink" Id="rId316" Target="https://doi.org/10.2307/2297471" TargetMode="External" /><Relationship Type="http://schemas.openxmlformats.org/officeDocument/2006/relationships/hyperlink" Id="rId222" Target="https://doi.org/10.2307/2297659" TargetMode="External" /><Relationship Type="http://schemas.openxmlformats.org/officeDocument/2006/relationships/hyperlink" Id="rId300" Target="https://doi.org/10.2307/2525908" TargetMode="External" /><Relationship Type="http://schemas.openxmlformats.org/officeDocument/2006/relationships/hyperlink" Id="rId277" Target="https://doi.org/10.2307/2526710" TargetMode="External" /><Relationship Type="http://schemas.openxmlformats.org/officeDocument/2006/relationships/hyperlink" Id="rId259" Target="https://doi.org/10.2307/2553125" TargetMode="External" /><Relationship Type="http://schemas.openxmlformats.org/officeDocument/2006/relationships/hyperlink" Id="rId219" Target="https://doi.org/10.2307/2555469" TargetMode="External" /><Relationship Type="http://schemas.openxmlformats.org/officeDocument/2006/relationships/hyperlink" Id="rId215" Target="https://doi.org/10.2307/2555490" TargetMode="External" /><Relationship Type="http://schemas.openxmlformats.org/officeDocument/2006/relationships/hyperlink" Id="rId336" Target="https://doi.org/10.2307/2555525" TargetMode="External" /><Relationship Type="http://schemas.openxmlformats.org/officeDocument/2006/relationships/hyperlink" Id="rId256" Target="https://doi.org/10.2307/2555718" TargetMode="External" /><Relationship Type="http://schemas.openxmlformats.org/officeDocument/2006/relationships/hyperlink" Id="rId265" Target="https://doi.org/10.2307/2555720" TargetMode="External" /><Relationship Type="http://schemas.openxmlformats.org/officeDocument/2006/relationships/hyperlink" Id="rId340" Target="https://doi.org/10.2307/2555880" TargetMode="External" /><Relationship Type="http://schemas.openxmlformats.org/officeDocument/2006/relationships/hyperlink" Id="rId286" Target="https://doi.org/10.2307/2601009" TargetMode="External" /><Relationship Type="http://schemas.openxmlformats.org/officeDocument/2006/relationships/hyperlink" Id="rId321" Target="https://doi.org/10.2307/3003634" TargetMode="External" /><Relationship Type="http://schemas.openxmlformats.org/officeDocument/2006/relationships/hyperlink" Id="rId295" Target="https://doi.org/10.2307/3003636" TargetMode="External" /><Relationship Type="http://schemas.openxmlformats.org/officeDocument/2006/relationships/hyperlink" Id="rId208" Target="https://doi.org/10.4159/harvard.9780674188037" TargetMode="External" /><Relationship Type="http://schemas.openxmlformats.org/officeDocument/2006/relationships/hyperlink" Id="rId234" Target="https://ec.europa.eu/commission/presscorner/detail/en/IP_16_2582" TargetMode="External" /><Relationship Type="http://schemas.openxmlformats.org/officeDocument/2006/relationships/hyperlink" Id="rId238" Target="https://ec.europa.eu/commission/presscorner/detail/en/ip_25_1356" TargetMode="External" /><Relationship Type="http://schemas.openxmlformats.org/officeDocument/2006/relationships/hyperlink" Id="rId236" Target="https://ec.europa.eu/commission/presscorner/detail/en/ip_25_881" TargetMode="External" /><Relationship Type="http://schemas.openxmlformats.org/officeDocument/2006/relationships/hyperlink" Id="rId254" Target="https://eur-lex.europa.eu/eli/reg/2004/139/oj?locale=es" TargetMode="External" /><Relationship Type="http://schemas.openxmlformats.org/officeDocument/2006/relationships/hyperlink" Id="rId232" Target="https://eur-lex.europa.eu/legal-content/ES/TXT/?uri=CELEX:52006XC1208(04)" TargetMode="External" /><Relationship Type="http://schemas.openxmlformats.org/officeDocument/2006/relationships/hyperlink" Id="rId353" Target="https://eur-lex.europa.eu/legal-content/ES/TXT/?uri=CELEX:61985CJ0089" TargetMode="External" /><Relationship Type="http://schemas.openxmlformats.org/officeDocument/2006/relationships/hyperlink" Id="rId210" Target="https://ideas.repec.org/a/aea/aecrev/v72y1982i1p1-15.html" TargetMode="External" /><Relationship Type="http://schemas.openxmlformats.org/officeDocument/2006/relationships/hyperlink" Id="rId325" Target="https://ideas.repec.org/a/aea/aecrev/v76y1986i3p390-407.html" TargetMode="External" /><Relationship Type="http://schemas.openxmlformats.org/officeDocument/2006/relationships/hyperlink" Id="rId289" Target="https://idei.fr/doc/wp/2003/tacit_collusion.pdf" TargetMode="External" /><Relationship Type="http://schemas.openxmlformats.org/officeDocument/2006/relationships/hyperlink" Id="rId206" Target="https://openyls.law.yale.edu/entities/publication/394c17da-e37b-4118-a8df-0cb60aebecba" TargetMode="External" /><Relationship Type="http://schemas.openxmlformats.org/officeDocument/2006/relationships/hyperlink" Id="rId291" Target="https://www.boe.es/buscar/act.php?id=BOE-A-2007-12946" TargetMode="External" /><Relationship Type="http://schemas.openxmlformats.org/officeDocument/2006/relationships/hyperlink" Id="rId355" Target="https://www.boe.es/buscar/doc.php?id=DOUE-Z-2010-70002" TargetMode="External" /><Relationship Type="http://schemas.openxmlformats.org/officeDocument/2006/relationships/hyperlink" Id="rId244" Target="https://www.cnmc.es/prensa/cuestionario-programa-clemencia-cnmc-20230711" TargetMode="External" /><Relationship Type="http://schemas.openxmlformats.org/officeDocument/2006/relationships/hyperlink" Id="rId246" Target="https://www.cnmc.es/prensa/multa-agencias-viajes-20251229" TargetMode="External" /><Relationship Type="http://schemas.openxmlformats.org/officeDocument/2006/relationships/hyperlink" Id="rId242" Target="https://www.cnmc.es/prensa/sancionador-obra-civil-20220707" TargetMode="External" /><Relationship Type="http://schemas.openxmlformats.org/officeDocument/2006/relationships/hyperlink" Id="rId250" Target="https://www.cnmc.es/prensa/trimestral/telecos/2T26/20261014" TargetMode="External" /><Relationship Type="http://schemas.openxmlformats.org/officeDocument/2006/relationships/hyperlink" Id="rId248" Target="https://www.cnmc.es/sites/default/files/editor_contenidos/CNMC/Memorias/CNMC_Memoria%2025_web.pdf" TargetMode="External" /><Relationship Type="http://schemas.openxmlformats.org/officeDocument/2006/relationships/hyperlink" Id="rId252" Target="https://www.govinfo.gov/content/pkg/STATUTE-92/pdf/STATUTE-92-Pg1705.pdf" TargetMode="External" /><Relationship Type="http://schemas.openxmlformats.org/officeDocument/2006/relationships/hyperlink" Id="rId338" Target="https://www.gutenberg.org/cache/epub/3300/pg3300.txt" TargetMode="External" /><Relationship Type="http://schemas.openxmlformats.org/officeDocument/2006/relationships/hyperlink" Id="rId346" Target="https://www.nobelprize.org/prizes/economic-sciences/1994/summary/" TargetMode="External" /><Relationship Type="http://schemas.openxmlformats.org/officeDocument/2006/relationships/hyperlink" Id="rId348" Target="https://www.nobelprize.org/prizes/economic-sciences/2005/summary/" TargetMode="External" /><Relationship Type="http://schemas.openxmlformats.org/officeDocument/2006/relationships/hyperlink" Id="rId184" Target="https://www.victorgutierrezmarcos.es/oposicion/temario/cuarto-ejercicio/4A15.pdf" TargetMode="External" /><Relationship Type="http://schemas.openxmlformats.org/officeDocument/2006/relationships/hyperlink" Id="rId194" Target="https://www.victorgutierrezmarcos.es/oposicion/temario/primer-ejercicio/test/simulador.html" TargetMode="External" /><Relationship Type="http://schemas.openxmlformats.org/officeDocument/2006/relationships/hyperlink" Id="rId25" Target="https://www.victorgutierrezmarcos.es/oposicion/temario/tema-no-disponible.html?tema=3.A.20" TargetMode="External" /><Relationship Type="http://schemas.openxmlformats.org/officeDocument/2006/relationships/hyperlink" Id="rId35" Target="https://www.victorgutierrezmarcos.es/oposicion/temario/tercer-ejercicio/3A10.pdf" TargetMode="External" /><Relationship Type="http://schemas.openxmlformats.org/officeDocument/2006/relationships/hyperlink" Id="rId44" Target="https://www.victorgutierrezmarcos.es/oposicion/temario/tercer-ejercicio/3A13.pdf" TargetMode="External" /><Relationship Type="http://schemas.openxmlformats.org/officeDocument/2006/relationships/hyperlink" Id="rId33" Target="https://www.victorgutierrezmarcos.es/oposicion/temario/tercer-ejercicio/3A14.pdf" TargetMode="External" /><Relationship Type="http://schemas.openxmlformats.org/officeDocument/2006/relationships/hyperlink" Id="rId47" Target="https://www.victorgutierrezmarcos.es/oposicion/temario/tercer-ejercicio/3A15.pdf" TargetMode="External" /><Relationship Type="http://schemas.openxmlformats.org/officeDocument/2006/relationships/hyperlink" Id="rId28" Target="https://www.victorgutierrezmarcos.es/oposicion/temario/tercer-ejercicio/3A16.pdf" TargetMode="External" /><Relationship Type="http://schemas.openxmlformats.org/officeDocument/2006/relationships/hyperlink" Id="rId29" Target="https://www.victorgutierrezmarcos.es/oposicion/temario/tercer-ejercicio/3A17.pdf" TargetMode="External" /><Relationship Type="http://schemas.openxmlformats.org/officeDocument/2006/relationships/hyperlink" Id="rId30" Target="https://www.victorgutierrezmarcos.es/oposicion/temario/tercer-ejercicio/3A18.pdf" TargetMode="External" /><Relationship Type="http://schemas.openxmlformats.org/officeDocument/2006/relationships/hyperlink" Id="rId24" Target="https://www.victorgutierrezmarcos.es/oposicion/temario/tercer-ejercicio/3A22.pdf" TargetMode="External" /><Relationship Type="http://schemas.openxmlformats.org/officeDocument/2006/relationships/hyperlink" Id="rId22" Target="https://www.victorgutierrezmarcos.es/oposicion/temario/tercer-ejercicio/3B06.pdf" TargetMode="External" /><Relationship Type="http://schemas.openxmlformats.org/officeDocument/2006/relationships/hyperlink" Id="rId21" Target="https://www.victorgutierrezmarcos.es/oposicion/temario/tercer-ejercicio/3B08.pdf" TargetMode="External" /><Relationship Type="http://schemas.openxmlformats.org/officeDocument/2006/relationships/hyperlink" Id="rId23" Target="https://www.victorgutierrezmarcos.es/oposicion/temario/tercer-ejercicio/3B27.pdf" TargetMode="External" /><Relationship Type="http://schemas.openxmlformats.org/officeDocument/2006/relationships/hyperlink" Id="rId26" Target="https://www.victorgutierrezmarcos.es/oposicion/temario/tercer-ejercicio/3B39.pdf" TargetMode="External" /><Relationship Type="http://schemas.openxmlformats.org/officeDocument/2006/relationships/hyperlink" Id="rId100" Target="https://youtu.be/6Pf8VI4cXLI" TargetMode="External" /><Relationship Id="rIdTceeA" Target="footerTceeA.xml" Type="http://schemas.openxmlformats.org/officeDocument/2006/relationships/footer" /><Relationship Id="rIdTceeB" Target="footerTceeB.xml" Type="http://schemas.openxmlformats.org/officeDocument/2006/relationships/footer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8" Target="https://blognewdeal.com/enrique-feas/oligopolios-en-el-comercio-mundial/" TargetMode="External" /><Relationship Type="http://schemas.openxmlformats.org/officeDocument/2006/relationships/hyperlink" Id="rId240" Target="https://competition-policy.ec.europa.eu/antitrust-and-cartels/cartels-cases-and-statistics_en" TargetMode="External" /><Relationship Type="http://schemas.openxmlformats.org/officeDocument/2006/relationships/hyperlink" Id="rId263" Target="https://doi.org/10.1007/BF01213642" TargetMode="External" /><Relationship Type="http://schemas.openxmlformats.org/officeDocument/2006/relationships/hyperlink" Id="rId293" Target="https://doi.org/10.1007/BF01242860" TargetMode="External" /><Relationship Type="http://schemas.openxmlformats.org/officeDocument/2006/relationships/hyperlink" Id="rId330" Target="https://doi.org/10.1007/BF01737566" TargetMode="External" /><Relationship Type="http://schemas.openxmlformats.org/officeDocument/2006/relationships/hyperlink" Id="rId196" Target="https://doi.org/10.1016/0022-0531(86)90025-6" TargetMode="External" /><Relationship Type="http://schemas.openxmlformats.org/officeDocument/2006/relationships/hyperlink" Id="rId323" Target="https://doi.org/10.1016/0167-7187(92)90043-X" TargetMode="External" /><Relationship Type="http://schemas.openxmlformats.org/officeDocument/2006/relationships/hyperlink" Id="rId272" Target="https://doi.org/10.1016/0899-8256(89)90021-3" TargetMode="External" /><Relationship Type="http://schemas.openxmlformats.org/officeDocument/2006/relationships/hyperlink" Id="rId309" Target="https://doi.org/10.1016/S0167-7187(02)00057-7" TargetMode="External" /><Relationship Type="http://schemas.openxmlformats.org/officeDocument/2006/relationships/hyperlink" Id="rId307" Target="https://doi.org/10.1017/CBO9780511804038" TargetMode="External" /><Relationship Type="http://schemas.openxmlformats.org/officeDocument/2006/relationships/hyperlink" Id="rId318" Target="https://doi.org/10.1038/364056a0" TargetMode="External" /><Relationship Type="http://schemas.openxmlformats.org/officeDocument/2006/relationships/hyperlink" Id="rId311" Target="https://doi.org/10.1073/pnas.36.1.48" TargetMode="External" /><Relationship Type="http://schemas.openxmlformats.org/officeDocument/2006/relationships/hyperlink" Id="rId305" Target="https://doi.org/10.1086/258035" TargetMode="External" /><Relationship Type="http://schemas.openxmlformats.org/officeDocument/2006/relationships/hyperlink" Id="rId344" Target="https://doi.org/10.1086/258853" TargetMode="External" /><Relationship Type="http://schemas.openxmlformats.org/officeDocument/2006/relationships/hyperlink" Id="rId224" Target="https://doi.org/10.1086/261312" TargetMode="External" /><Relationship Type="http://schemas.openxmlformats.org/officeDocument/2006/relationships/hyperlink" Id="rId267" Target="https://doi.org/10.1093/qje/qjz041" TargetMode="External" /><Relationship Type="http://schemas.openxmlformats.org/officeDocument/2006/relationships/hyperlink" Id="rId201" Target="https://doi.org/10.1177/002200278002400101" TargetMode="External" /><Relationship Type="http://schemas.openxmlformats.org/officeDocument/2006/relationships/hyperlink" Id="rId203" Target="https://doi.org/10.1177/002200278002400301" TargetMode="External" /><Relationship Type="http://schemas.openxmlformats.org/officeDocument/2006/relationships/hyperlink" Id="rId226" Target="https://doi.org/10.1257/aer.20170116" TargetMode="External" /><Relationship Type="http://schemas.openxmlformats.org/officeDocument/2006/relationships/hyperlink" Id="rId228" Target="https://doi.org/10.1257/aer.20190623" TargetMode="External" /><Relationship Type="http://schemas.openxmlformats.org/officeDocument/2006/relationships/hyperlink" Id="rId279" Target="https://doi.org/10.1515/9781400835881" TargetMode="External" /><Relationship Type="http://schemas.openxmlformats.org/officeDocument/2006/relationships/hyperlink" Id="rId334" Target="https://doi.org/10.1515/9781400881970-018" TargetMode="External" /><Relationship Type="http://schemas.openxmlformats.org/officeDocument/2006/relationships/hyperlink" Id="rId298" Target="https://doi.org/10.2307/1340687" TargetMode="External" /><Relationship Type="http://schemas.openxmlformats.org/officeDocument/2006/relationships/hyperlink" Id="rId261" Target="https://doi.org/10.2307/134972" TargetMode="External" /><Relationship Type="http://schemas.openxmlformats.org/officeDocument/2006/relationships/hyperlink" Id="rId327" Target="https://doi.org/10.2307/1885620" TargetMode="External" /><Relationship Type="http://schemas.openxmlformats.org/officeDocument/2006/relationships/hyperlink" Id="rId313" Target="https://doi.org/10.2307/1907266" TargetMode="External" /><Relationship Type="http://schemas.openxmlformats.org/officeDocument/2006/relationships/hyperlink" Id="rId198" Target="https://doi.org/10.2307/1911077" TargetMode="External" /><Relationship Type="http://schemas.openxmlformats.org/officeDocument/2006/relationships/hyperlink" Id="rId282" Target="https://doi.org/10.2307/1911462" TargetMode="External" /><Relationship Type="http://schemas.openxmlformats.org/officeDocument/2006/relationships/hyperlink" Id="rId303" Target="https://doi.org/10.2307/1911701" TargetMode="External" /><Relationship Type="http://schemas.openxmlformats.org/officeDocument/2006/relationships/hyperlink" Id="rId332" Target="https://doi.org/10.2307/1912285" TargetMode="External" /><Relationship Type="http://schemas.openxmlformats.org/officeDocument/2006/relationships/hyperlink" Id="rId213" Target="https://doi.org/10.2307/1912660" TargetMode="External" /><Relationship Type="http://schemas.openxmlformats.org/officeDocument/2006/relationships/hyperlink" Id="rId269" Target="https://doi.org/10.2307/2231658" TargetMode="External" /><Relationship Type="http://schemas.openxmlformats.org/officeDocument/2006/relationships/hyperlink" Id="rId350" Target="https://doi.org/10.2307/2296135" TargetMode="External" /><Relationship Type="http://schemas.openxmlformats.org/officeDocument/2006/relationships/hyperlink" Id="rId284" Target="https://doi.org/10.2307/2296310" TargetMode="External" /><Relationship Type="http://schemas.openxmlformats.org/officeDocument/2006/relationships/hyperlink" Id="rId275" Target="https://doi.org/10.2307/2296617" TargetMode="External" /><Relationship Type="http://schemas.openxmlformats.org/officeDocument/2006/relationships/hyperlink" Id="rId316" Target="https://doi.org/10.2307/2297471" TargetMode="External" /><Relationship Type="http://schemas.openxmlformats.org/officeDocument/2006/relationships/hyperlink" Id="rId222" Target="https://doi.org/10.2307/2297659" TargetMode="External" /><Relationship Type="http://schemas.openxmlformats.org/officeDocument/2006/relationships/hyperlink" Id="rId300" Target="https://doi.org/10.2307/2525908" TargetMode="External" /><Relationship Type="http://schemas.openxmlformats.org/officeDocument/2006/relationships/hyperlink" Id="rId277" Target="https://doi.org/10.2307/2526710" TargetMode="External" /><Relationship Type="http://schemas.openxmlformats.org/officeDocument/2006/relationships/hyperlink" Id="rId259" Target="https://doi.org/10.2307/2553125" TargetMode="External" /><Relationship Type="http://schemas.openxmlformats.org/officeDocument/2006/relationships/hyperlink" Id="rId219" Target="https://doi.org/10.2307/2555469" TargetMode="External" /><Relationship Type="http://schemas.openxmlformats.org/officeDocument/2006/relationships/hyperlink" Id="rId215" Target="https://doi.org/10.2307/2555490" TargetMode="External" /><Relationship Type="http://schemas.openxmlformats.org/officeDocument/2006/relationships/hyperlink" Id="rId336" Target="https://doi.org/10.2307/2555525" TargetMode="External" /><Relationship Type="http://schemas.openxmlformats.org/officeDocument/2006/relationships/hyperlink" Id="rId256" Target="https://doi.org/10.2307/2555718" TargetMode="External" /><Relationship Type="http://schemas.openxmlformats.org/officeDocument/2006/relationships/hyperlink" Id="rId265" Target="https://doi.org/10.2307/2555720" TargetMode="External" /><Relationship Type="http://schemas.openxmlformats.org/officeDocument/2006/relationships/hyperlink" Id="rId340" Target="https://doi.org/10.2307/2555880" TargetMode="External" /><Relationship Type="http://schemas.openxmlformats.org/officeDocument/2006/relationships/hyperlink" Id="rId286" Target="https://doi.org/10.2307/2601009" TargetMode="External" /><Relationship Type="http://schemas.openxmlformats.org/officeDocument/2006/relationships/hyperlink" Id="rId321" Target="https://doi.org/10.2307/3003634" TargetMode="External" /><Relationship Type="http://schemas.openxmlformats.org/officeDocument/2006/relationships/hyperlink" Id="rId295" Target="https://doi.org/10.2307/3003636" TargetMode="External" /><Relationship Type="http://schemas.openxmlformats.org/officeDocument/2006/relationships/hyperlink" Id="rId208" Target="https://doi.org/10.4159/harvard.9780674188037" TargetMode="External" /><Relationship Type="http://schemas.openxmlformats.org/officeDocument/2006/relationships/hyperlink" Id="rId234" Target="https://ec.europa.eu/commission/presscorner/detail/en/IP_16_2582" TargetMode="External" /><Relationship Type="http://schemas.openxmlformats.org/officeDocument/2006/relationships/hyperlink" Id="rId238" Target="https://ec.europa.eu/commission/presscorner/detail/en/ip_25_1356" TargetMode="External" /><Relationship Type="http://schemas.openxmlformats.org/officeDocument/2006/relationships/hyperlink" Id="rId236" Target="https://ec.europa.eu/commission/presscorner/detail/en/ip_25_881" TargetMode="External" /><Relationship Type="http://schemas.openxmlformats.org/officeDocument/2006/relationships/hyperlink" Id="rId254" Target="https://eur-lex.europa.eu/eli/reg/2004/139/oj?locale=es" TargetMode="External" /><Relationship Type="http://schemas.openxmlformats.org/officeDocument/2006/relationships/hyperlink" Id="rId232" Target="https://eur-lex.europa.eu/legal-content/ES/TXT/?uri=CELEX:52006XC1208(04)" TargetMode="External" /><Relationship Type="http://schemas.openxmlformats.org/officeDocument/2006/relationships/hyperlink" Id="rId353" Target="https://eur-lex.europa.eu/legal-content/ES/TXT/?uri=CELEX:61985CJ0089" TargetMode="External" /><Relationship Type="http://schemas.openxmlformats.org/officeDocument/2006/relationships/hyperlink" Id="rId210" Target="https://ideas.repec.org/a/aea/aecrev/v72y1982i1p1-15.html" TargetMode="External" /><Relationship Type="http://schemas.openxmlformats.org/officeDocument/2006/relationships/hyperlink" Id="rId325" Target="https://ideas.repec.org/a/aea/aecrev/v76y1986i3p390-407.html" TargetMode="External" /><Relationship Type="http://schemas.openxmlformats.org/officeDocument/2006/relationships/hyperlink" Id="rId289" Target="https://idei.fr/doc/wp/2003/tacit_collusion.pdf" TargetMode="External" /><Relationship Type="http://schemas.openxmlformats.org/officeDocument/2006/relationships/hyperlink" Id="rId206" Target="https://openyls.law.yale.edu/entities/publication/394c17da-e37b-4118-a8df-0cb60aebecba" TargetMode="External" /><Relationship Type="http://schemas.openxmlformats.org/officeDocument/2006/relationships/hyperlink" Id="rId291" Target="https://www.boe.es/buscar/act.php?id=BOE-A-2007-12946" TargetMode="External" /><Relationship Type="http://schemas.openxmlformats.org/officeDocument/2006/relationships/hyperlink" Id="rId355" Target="https://www.boe.es/buscar/doc.php?id=DOUE-Z-2010-70002" TargetMode="External" /><Relationship Type="http://schemas.openxmlformats.org/officeDocument/2006/relationships/hyperlink" Id="rId244" Target="https://www.cnmc.es/prensa/cuestionario-programa-clemencia-cnmc-20230711" TargetMode="External" /><Relationship Type="http://schemas.openxmlformats.org/officeDocument/2006/relationships/hyperlink" Id="rId246" Target="https://www.cnmc.es/prensa/multa-agencias-viajes-20251229" TargetMode="External" /><Relationship Type="http://schemas.openxmlformats.org/officeDocument/2006/relationships/hyperlink" Id="rId242" Target="https://www.cnmc.es/prensa/sancionador-obra-civil-20220707" TargetMode="External" /><Relationship Type="http://schemas.openxmlformats.org/officeDocument/2006/relationships/hyperlink" Id="rId250" Target="https://www.cnmc.es/prensa/trimestral/telecos/2T26/20261014" TargetMode="External" /><Relationship Type="http://schemas.openxmlformats.org/officeDocument/2006/relationships/hyperlink" Id="rId248" Target="https://www.cnmc.es/sites/default/files/editor_contenidos/CNMC/Memorias/CNMC_Memoria%2025_web.pdf" TargetMode="External" /><Relationship Type="http://schemas.openxmlformats.org/officeDocument/2006/relationships/hyperlink" Id="rId252" Target="https://www.govinfo.gov/content/pkg/STATUTE-92/pdf/STATUTE-92-Pg1705.pdf" TargetMode="External" /><Relationship Type="http://schemas.openxmlformats.org/officeDocument/2006/relationships/hyperlink" Id="rId338" Target="https://www.gutenberg.org/cache/epub/3300/pg3300.txt" TargetMode="External" /><Relationship Type="http://schemas.openxmlformats.org/officeDocument/2006/relationships/hyperlink" Id="rId346" Target="https://www.nobelprize.org/prizes/economic-sciences/1994/summary/" TargetMode="External" /><Relationship Type="http://schemas.openxmlformats.org/officeDocument/2006/relationships/hyperlink" Id="rId348" Target="https://www.nobelprize.org/prizes/economic-sciences/2005/summary/" TargetMode="External" /><Relationship Type="http://schemas.openxmlformats.org/officeDocument/2006/relationships/hyperlink" Id="rId184" Target="https://www.victorgutierrezmarcos.es/oposicion/temario/cuarto-ejercicio/4A15.pdf" TargetMode="External" /><Relationship Type="http://schemas.openxmlformats.org/officeDocument/2006/relationships/hyperlink" Id="rId194" Target="https://www.victorgutierrezmarcos.es/oposicion/temario/primer-ejercicio/test/simulador.html" TargetMode="External" /><Relationship Type="http://schemas.openxmlformats.org/officeDocument/2006/relationships/hyperlink" Id="rId25" Target="https://www.victorgutierrezmarcos.es/oposicion/temario/tema-no-disponible.html?tema=3.A.20" TargetMode="External" /><Relationship Type="http://schemas.openxmlformats.org/officeDocument/2006/relationships/hyperlink" Id="rId35" Target="https://www.victorgutierrezmarcos.es/oposicion/temario/tercer-ejercicio/3A10.pdf" TargetMode="External" /><Relationship Type="http://schemas.openxmlformats.org/officeDocument/2006/relationships/hyperlink" Id="rId44" Target="https://www.victorgutierrezmarcos.es/oposicion/temario/tercer-ejercicio/3A13.pdf" TargetMode="External" /><Relationship Type="http://schemas.openxmlformats.org/officeDocument/2006/relationships/hyperlink" Id="rId33" Target="https://www.victorgutierrezmarcos.es/oposicion/temario/tercer-ejercicio/3A14.pdf" TargetMode="External" /><Relationship Type="http://schemas.openxmlformats.org/officeDocument/2006/relationships/hyperlink" Id="rId47" Target="https://www.victorgutierrezmarcos.es/oposicion/temario/tercer-ejercicio/3A15.pdf" TargetMode="External" /><Relationship Type="http://schemas.openxmlformats.org/officeDocument/2006/relationships/hyperlink" Id="rId28" Target="https://www.victorgutierrezmarcos.es/oposicion/temario/tercer-ejercicio/3A16.pdf" TargetMode="External" /><Relationship Type="http://schemas.openxmlformats.org/officeDocument/2006/relationships/hyperlink" Id="rId29" Target="https://www.victorgutierrezmarcos.es/oposicion/temario/tercer-ejercicio/3A17.pdf" TargetMode="External" /><Relationship Type="http://schemas.openxmlformats.org/officeDocument/2006/relationships/hyperlink" Id="rId30" Target="https://www.victorgutierrezmarcos.es/oposicion/temario/tercer-ejercicio/3A18.pdf" TargetMode="External" /><Relationship Type="http://schemas.openxmlformats.org/officeDocument/2006/relationships/hyperlink" Id="rId24" Target="https://www.victorgutierrezmarcos.es/oposicion/temario/tercer-ejercicio/3A22.pdf" TargetMode="External" /><Relationship Type="http://schemas.openxmlformats.org/officeDocument/2006/relationships/hyperlink" Id="rId22" Target="https://www.victorgutierrezmarcos.es/oposicion/temario/tercer-ejercicio/3B06.pdf" TargetMode="External" /><Relationship Type="http://schemas.openxmlformats.org/officeDocument/2006/relationships/hyperlink" Id="rId21" Target="https://www.victorgutierrezmarcos.es/oposicion/temario/tercer-ejercicio/3B08.pdf" TargetMode="External" /><Relationship Type="http://schemas.openxmlformats.org/officeDocument/2006/relationships/hyperlink" Id="rId23" Target="https://www.victorgutierrezmarcos.es/oposicion/temario/tercer-ejercicio/3B27.pdf" TargetMode="External" /><Relationship Type="http://schemas.openxmlformats.org/officeDocument/2006/relationships/hyperlink" Id="rId26" Target="https://www.victorgutierrezmarcos.es/oposicion/temario/tercer-ejercicio/3B39.pdf" TargetMode="External" /><Relationship Type="http://schemas.openxmlformats.org/officeDocument/2006/relationships/hyperlink" Id="rId100" Target="https://youtu.be/6Pf8VI4cXLI" TargetMode="External" /><Relationship Type="http://schemas.openxmlformats.org/officeDocument/2006/relationships/image" Id="rId50" Target="media/rId5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3.A.19: Análisis de mercados (IV). Teoría del oligopolio: soluciones no cooperativas y soluciones cooperativas.</dc:title>
  <dc:creator>Víctor Gutiérrez Marcos</dc:creator>
  <dc:description>© 2026 Víctor Gutiérrez Marcos · Licencia CC BY-NC-ND 4.0 (https://creativecommons.org/licenses/by-nc-nd/4.0/deed.es): puedes compartirlo citando al autor, sin fines comerciales y sin modificarlo.</dc:description>
  <dc:language>es-ES</dc:language>
  <cp:keywords/>
  <dcterms:created xsi:type="dcterms:W3CDTF">2026-10-20T21:18:52Z</dcterms:created>
  <dcterms:modified xsi:type="dcterms:W3CDTF">2026-10-20T21:18:52Z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cia">
    <vt:lpwstr>© 2026 Víctor Gutiérrez Marcos · CC BY-NC-ND 4.0</vt:lpwstr>
  </property>
  <property fmtid="{D5CDD505-2E9C-101B-9397-08002B2CF9AE}" pid="3" name="URL de la licencia">
    <vt:lpwstr>https://creativecommons.org/licenses/by-nc-nd/4.0/</vt:lpwstr>
  </property>
  <property fmtid="{D5CDD505-2E9C-101B-9397-08002B2CF9AE}" pid="4" name="anio">
    <vt:lpwstr>2026</vt:lpwstr>
  </property>
  <property fmtid="{D5CDD505-2E9C-101B-9397-08002B2CF9AE}" pid="5" name="archivo">
    <vt:lpwstr>3A19</vt:lpwstr>
  </property>
  <property fmtid="{D5CDD505-2E9C-101B-9397-08002B2CF9AE}" pid="6" name="bibliography">
    <vt:lpwstr>C:\Users\vgutierrez\Documents\src\victorgutierrezmarcos.github.io-revision\oposicion\temario\fuentes\3A19\3A19.bib</vt:lpwstr>
  </property>
  <property fmtid="{D5CDD505-2E9C-101B-9397-08002B2CF9AE}" pid="7" name="carpeta">
    <vt:lpwstr>tercer-ejercicio</vt:lpwstr>
  </property>
  <property fmtid="{D5CDD505-2E9C-101B-9397-08002B2CF9AE}" pid="8" name="codigo">
    <vt:lpwstr>3.A.19</vt:lpwstr>
  </property>
  <property fmtid="{D5CDD505-2E9C-101B-9397-08002B2CF9AE}" pid="9" name="csl">
    <vt:lpwstr>C:\Users\vgutierrez\Documents\src\victorgutierrezmarcos.github.io-revision\oposicion\temario\latex\tcee.csl</vt:lpwstr>
  </property>
  <property fmtid="{D5CDD505-2E9C-101B-9397-08002B2CF9AE}" pid="10" name="date">
    <vt:lpwstr>Última actualización: 20/10/2026</vt:lpwstr>
  </property>
  <property fmtid="{D5CDD505-2E9C-101B-9397-08002B2CF9AE}" pid="11" name="ejercicio">
    <vt:lpwstr>Tercer ejercicio</vt:lpwstr>
  </property>
  <property fmtid="{D5CDD505-2E9C-101B-9397-08002B2CF9AE}" pid="12" name="fecha">
    <vt:lpwstr>20/10/2026</vt:lpwstr>
  </property>
  <property fmtid="{D5CDD505-2E9C-101B-9397-08002B2CF9AE}" pid="13" name="fecha-cita">
    <vt:lpwstr>2026/10/20</vt:lpwstr>
  </property>
  <property fmtid="{D5CDD505-2E9C-101B-9397-08002B2CF9AE}" pid="14" name="fecha-iso">
    <vt:lpwstr>2026-10-20</vt:lpwstr>
  </property>
  <property fmtid="{D5CDD505-2E9C-101B-9397-08002B2CF9AE}" pid="15" name="graficos-docx">
    <vt:lpwstr>C:\Users\vgutierrez\Documents\src\victorgutierrezmarcos.github.io-revision\oposicion\temario\fuentes\3A19\graficos</vt:lpwstr>
  </property>
  <property fmtid="{D5CDD505-2E9C-101B-9397-08002B2CF9AE}" pid="16" name="link-citations">
    <vt:lpwstr>True</vt:lpwstr>
  </property>
  <property fmtid="{D5CDD505-2E9C-101B-9397-08002B2CF9AE}" pid="17" name="materia">
    <vt:lpwstr>Microeconomía</vt:lpwstr>
  </property>
  <property fmtid="{D5CDD505-2E9C-101B-9397-08002B2CF9AE}" pid="18" name="paginas">
    <vt:lpwstr>Tema: 35 págs. · Anexos: 4 · Bibliografía: 5</vt:lpwstr>
  </property>
  <property fmtid="{D5CDD505-2E9C-101B-9397-08002B2CF9AE}" pid="19" name="palabras-clave">
    <vt:lpwstr>teoría del oligopolio, modelo de Cournot, índice de Lerner e IHH, modelo de Stackelberg, paradoja de Bertrand, ciclos de Edgeworth, Kreps y Scheinkman, liderazgo en precios, colusión tácita, estrategia del gatillo, folk theorem, Green y Porter, cártel, paradoja de las fusiones, núcleo y valor de Shapley, programas de clemencia, defensa de la competencia, microeconomía</vt:lpwstr>
  </property>
  <property fmtid="{D5CDD505-2E9C-101B-9397-08002B2CF9AE}" pid="20" name="reference-section-title">
    <vt:lpwstr>Bibliografía</vt:lpwstr>
  </property>
  <property fmtid="{D5CDD505-2E9C-101B-9397-08002B2CF9AE}" pid="21" name="resumen">
    <vt:lpwstr>Cournot, Stackelberg, Bertrand y sus salidas, liderazgo en precios, colusión tácita con el gatillo, el cártel y su reparto (Nash, núcleo, Shapley), clemencia.</vt:lpwstr>
  </property>
  <property fmtid="{D5CDD505-2E9C-101B-9397-08002B2CF9AE}" pid="22" name="titulo">
    <vt:lpwstr>Análisis de mercados (IV). Teoría del oligopolio: soluciones no cooperativas y soluciones cooperativas.</vt:lpwstr>
  </property>
  <property fmtid="{D5CDD505-2E9C-101B-9397-08002B2CF9AE}" pid="23" name="titulo-cita">
    <vt:lpwstr>Análisis de mercados (IV). Teoría del oligopolio: soluciones no cooperativas y soluciones cooperativas</vt:lpwstr>
  </property>
  <property fmtid="{D5CDD505-2E9C-101B-9397-08002B2CF9AE}" pid="24" name="titulo-seo">
    <vt:lpwstr>Teoría del oligopolio: Cournot, Bertrand y cártel</vt:lpwstr>
  </property>
</Properties>
</file>