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9.png" ContentType="image/png"/>
  <Override PartName="/word/media/rId186.png" ContentType="image/png"/>
  <Override PartName="/word/media/rId61.png" ContentType="image/png"/>
  <Override PartName="/word/media/rId86.png" ContentType="image/png"/>
  <Override PartName="/word/media/rId95.png" ContentType="image/png"/>
  <Override PartName="/word/media/rId40.png" ContentType="image/png"/>
  <Override PartName="/word/media/rId76.png" ContentType="image/png"/>
  <Override PartName="/word/media/rId215.png" ContentType="image/png"/>
  <Override PartName="/word/media/rId157.png" ContentType="image/png"/>
  <Override PartName="/word/media/rId153.png" ContentType="image/png"/>
  <Override PartName="/word/media/rId118.png" ContentType="image/png"/>
  <Override PartName="/word/media/rId133.png" ContentType="image/png"/>
  <Override PartName="/word/media/rId45.png" ContentType="image/png"/>
  <Override PartName="/word/media/rId29.png" ContentType="image/png"/>
  <Override PartName="/word/media/rId200.png" ContentType="image/png"/>
  <Override PartName="/word/media/rId140.png" ContentType="image/png"/>
  <Override PartName="/word/media/rId191.png" ContentType="image/png"/>
  <Override PartName="/word/media/rId36.png" ContentType="image/png"/>
  <Override PartName="/word/media/rId81.png" ContentType="image/png"/>
  <Override PartName="/word/media/rId127.png" ContentType="image/png"/>
  <Override PartName="/word/media/rId102.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A).</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La función de demanda</w:t>
      </w:r>
      <w:r>
        <w:t xml:space="preserve">: a partir de las preferencias y su representación mediante una función de utilidad (I.1) y de la restricción presupuestaria, obtendremos la demanda marshalliana individual (I.2) y estudiaremos en qué condiciones puede agregarse en una demanda de mercado (I.3).</w:t>
      </w:r>
    </w:p>
    <w:p>
      <w:pPr>
        <w:numPr>
          <w:ilvl w:val="1"/>
          <w:numId w:val="1010"/>
        </w:numPr>
      </w:pPr>
      <w:r>
        <w:rPr>
          <w:b/>
          <w:bCs/>
        </w:rPr>
        <w:t xml:space="preserve">II. Estática comparativa</w:t>
      </w:r>
      <w:r>
        <w:t xml:space="preserve">: analizaremos cómo responde la demanda a cambios en la renta (II.1), en el precio del propio bien (II.2) y en el de otros bienes (II.3), con la ecuación de</w:t>
      </w:r>
      <w:r>
        <w:t xml:space="preserve"> </w:t>
      </w:r>
      <w:r>
        <w:rPr>
          <w:smallCaps/>
        </w:rPr>
        <w:t xml:space="preserve">Slutsky</w:t>
      </w:r>
      <w:r>
        <w:t xml:space="preserve">.</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La función de demanda</w:t>
      </w:r>
      <w:r>
        <w:br/>
      </w:r>
      <w:r>
        <w:t xml:space="preserve">1. Preferencias y función de utilidad (axiomas, Debreu, RMS)</w:t>
      </w:r>
      <w:r>
        <w:br/>
      </w:r>
      <w:r>
        <w:t xml:space="preserve">2. Restricción presupuestaria y demanda individual</w:t>
      </w:r>
      <w:r>
        <w:t xml:space="preserve"> </w:t>
      </w:r>
      <m:oMath>
        <m:r>
          <m:t>x</m:t>
        </m:r>
        <m:d>
          <m:dPr>
            <m:begChr m:val="("/>
            <m:sepChr m:val=""/>
            <m:endChr m:val=")"/>
            <m:grow/>
          </m:dPr>
          <m:e>
            <m:r>
              <m:t>p</m:t>
            </m:r>
            <m:r>
              <m:rPr>
                <m:sty m:val="p"/>
              </m:rPr>
              <m:t>,</m:t>
            </m:r>
            <m:bar>
              <m:barPr>
                <m:pos m:val="top"/>
              </m:barPr>
              <m:e>
                <m:r>
                  <m:t>W</m:t>
                </m:r>
              </m:e>
            </m:bar>
          </m:e>
        </m:d>
      </m:oMath>
      <w:r>
        <w:br/>
      </w:r>
      <w:r>
        <w:t xml:space="preserve">3. Agregación: Gorman y efecto renta nulo</w:t>
      </w:r>
      <w:r>
        <w:br/>
      </w:r>
      <w:r>
        <w:t xml:space="preserve">II. Estática comparativa</w:t>
      </w:r>
      <w:r>
        <w:br/>
      </w:r>
      <w:r>
        <w:t xml:space="preserve">1. Efecto renta (Engel)</w:t>
      </w:r>
      <w:r>
        <w:br/>
      </w:r>
      <w:r>
        <w:t xml:space="preserve">2. Efecto precio propio (Slutsky: ES + ER)</w:t>
      </w:r>
      <w:r>
        <w:br/>
      </w:r>
      <w:r>
        <w:t xml:space="preserve">3. Efecto precio cruzado (brutos y netos, Cournot)</w:t>
      </w:r>
      <w:r>
        <w:br/>
      </w:r>
      <w:r>
        <w:t xml:space="preserve">III. Otros desarrollos</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estructura sigue la propuesta que acompañó al cambio de título del tema en el temario de 2023: I. La función de demanda (preferencias y utilidad; restricción presupuestaria y demanda individual; agregación y efecto renta nulo); II. Estática comparativa (efecto renta, precio propio y precio cruzado); III. Otros desarrollos (preferencia revelada, producción doméstica y precios hedónicos). Conviene escribir este esquema en la pizarra al empezar.</w:t>
      </w:r>
    </w:p>
    <w:p>
      <w:r>
        <w:br w:type="page"/>
      </w:r>
    </w:p>
    <w:bookmarkEnd w:id="27"/>
    <w:bookmarkStart w:id="123" w:name="la-función-de-demanda"/>
    <w:p>
      <w:pPr>
        <w:pStyle w:val="Heading1"/>
      </w:pPr>
      <w:r>
        <w:t xml:space="preserve">I.</w:t>
      </w:r>
      <w:r>
        <w:t xml:space="preserve"> </w:t>
      </w:r>
      <w:r>
        <w:t xml:space="preserve">La función de demanda</w:t>
      </w:r>
    </w:p>
    <w:p>
      <w:pPr>
        <w:numPr>
          <w:ilvl w:val="0"/>
          <w:numId w:val="1011"/>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2"/>
        </w:numPr>
      </w:pPr>
      <w:r>
        <w:t xml:space="preserve">El análisis se apoya en estos</w:t>
      </w:r>
      <w:r>
        <w:t xml:space="preserve"> </w:t>
      </w:r>
      <w:r>
        <w:rPr>
          <w:b/>
          <w:bCs/>
        </w:rPr>
        <w:t xml:space="preserve">supuestos</w:t>
      </w:r>
      <w:r>
        <w:t xml:space="preserve">:</w:t>
      </w:r>
    </w:p>
    <w:p>
      <w:pPr>
        <w:numPr>
          <w:ilvl w:val="1"/>
          <w:numId w:val="1013"/>
        </w:numPr>
      </w:pPr>
      <w:r>
        <w:t xml:space="preserve">contexto estático y sin incertidumbre</w:t>
      </w:r>
      <w:r>
        <w:t xml:space="preserve"> </w:t>
      </w:r>
      <w:r>
        <w:rPr>
          <w:rStyle w:val="Referenciaatema"/>
        </w:rPr>
        <w:t xml:space="preserve">[ver tema 3.A.10]</w:t>
      </w:r>
      <w:r>
        <w:t xml:space="preserve">;</w:t>
      </w:r>
    </w:p>
    <w:p>
      <w:pPr>
        <w:numPr>
          <w:ilvl w:val="1"/>
          <w:numId w:val="1013"/>
        </w:numPr>
      </w:pPr>
      <w:r>
        <w:t xml:space="preserve">información perfecta sobre bienes y precios;</w:t>
      </w:r>
    </w:p>
    <w:p>
      <w:pPr>
        <w:numPr>
          <w:ilvl w:val="1"/>
          <w:numId w:val="1013"/>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3"/>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3"/>
        </w:numPr>
      </w:pPr>
      <w:r>
        <w:t xml:space="preserve">los bienes son homogéneos: la utilidad depende solo de las cantidades consumidas de cada bien.</w:t>
      </w:r>
    </w:p>
    <w:bookmarkStart w:id="91" w:name="preferencias-y-funciones-de-utilidad"/>
    <w:p>
      <w:pPr>
        <w:pStyle w:val="Heading2"/>
      </w:pPr>
      <w:r>
        <w:t xml:space="preserve">I.1.</w:t>
      </w:r>
      <w:r>
        <w:t xml:space="preserve"> </w:t>
      </w:r>
      <w:r>
        <w:t xml:space="preserve">Preferencias y funciones de utilidad</w:t>
      </w:r>
    </w:p>
    <w:p>
      <w:pPr>
        <w:pStyle w:val="Notaalopositor"/>
      </w:pPr>
      <w:r>
        <w:rPr>
          <w:b/>
          <w:bCs/>
        </w:rPr>
        <w:t xml:space="preserve">Nota al opositor. </w:t>
      </w:r>
      <w:r>
        <w:t xml:space="preserve">En el cante: conjunto de elección, relación de preferencia y conjuntos «al menos tan bueno como» y «no mejor que» (gráfico 3), los siete axiomas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Los cuatro casos de la relación binaria, las propiedades del conjunto de elección, la cuasiconcavidad en tres dimensiones y el detalle de la CES son de profundización.</w:t>
      </w:r>
    </w:p>
    <w:bookmarkStart w:id="35" w:name="conjunto-de-elección"/>
    <w:p>
      <w:pPr>
        <w:pStyle w:val="Heading3"/>
      </w:pPr>
      <w:r>
        <w:t xml:space="preserve">I.1.1.</w:t>
      </w:r>
      <w:r>
        <w:t xml:space="preserve"> </w:t>
      </w:r>
      <w:r>
        <w:t xml:space="preserve">Conjunto de elección</w:t>
      </w:r>
    </w:p>
    <w:p>
      <w:pPr>
        <w:numPr>
          <w:ilvl w:val="0"/>
          <w:numId w:val="1014"/>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5"/>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6"/>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6"/>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6"/>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6"/>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3"/>
      </w:pPr>
      <w:r>
        <w:t xml:space="preserve">I.1.2.</w:t>
      </w:r>
      <w:r>
        <w:t xml:space="preserve"> </w:t>
      </w:r>
      <w:r>
        <w:t xml:space="preserve">Preferencias</w:t>
      </w:r>
    </w:p>
    <w:p>
      <w:pPr>
        <w:numPr>
          <w:ilvl w:val="0"/>
          <w:numId w:val="1017"/>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8"/>
        </w:numPr>
      </w:pPr>
      <w:r>
        <w:t xml:space="preserve">De ella se derivan las otras dos:</w:t>
      </w:r>
    </w:p>
    <w:p>
      <w:pPr>
        <w:numPr>
          <w:ilvl w:val="2"/>
          <w:numId w:val="1019"/>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19"/>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8"/>
        </w:numPr>
      </w:pPr>
      <w:r>
        <w:t xml:space="preserve">Entre dos cestas cualesquiera caben cuatro casos lógicos (gráfico 2):</w:t>
      </w:r>
    </w:p>
    <w:p>
      <w:pPr>
        <w:numPr>
          <w:ilvl w:val="2"/>
          <w:numId w:val="1020"/>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0"/>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0"/>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0"/>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8"/>
        </w:numPr>
      </w:pPr>
      <w:r>
        <w:t xml:space="preserve">Para cada cesta</w:t>
      </w:r>
      <w:r>
        <w:t xml:space="preserve"> </w:t>
      </w:r>
      <m:oMath>
        <m:sSup>
          <m:e>
            <m:r>
              <m:t>x</m:t>
            </m:r>
          </m:e>
          <m:sup>
            <m:r>
              <m:t>0</m:t>
            </m:r>
          </m:sup>
        </m:sSup>
      </m:oMath>
      <w:r>
        <w:t xml:space="preserve">, la relación define tres conjuntos (gráfico 3):</w:t>
      </w:r>
    </w:p>
    <w:p>
      <w:pPr>
        <w:numPr>
          <w:ilvl w:val="2"/>
          <w:numId w:val="1021"/>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1"/>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1"/>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66" w:name="axiomas-sobre-las-preferencias"/>
    <w:p>
      <w:pPr>
        <w:pStyle w:val="Heading3"/>
      </w:pPr>
      <w:r>
        <w:t xml:space="preserve">I.1.3.</w:t>
      </w:r>
      <w:r>
        <w:t xml:space="preserve"> </w:t>
      </w:r>
      <w:r>
        <w:t xml:space="preserve">Axiomas sobre las preferencias</w:t>
      </w:r>
    </w:p>
    <w:p>
      <w:pPr>
        <w:numPr>
          <w:ilvl w:val="0"/>
          <w:numId w:val="1022"/>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y tabla 1):</w:t>
      </w:r>
    </w:p>
    <w:p>
      <w:pPr>
        <w:numPr>
          <w:ilvl w:val="1"/>
          <w:numId w:val="1023"/>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3"/>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3"/>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3"/>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Los siete axiomas sobre las preferencias, agrupados según su papel</w:t>
      </w:r>
    </w:p>
    <w:p>
      <w:pPr>
        <w:pStyle w:val="CaptionedFigure"/>
      </w:pPr>
      <w:r>
        <w:drawing>
          <wp:inline>
            <wp:extent cx="5969000" cy="1813751"/>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13751"/>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Start w:id="49" w:name="tab:axiomas"/>
    <w:p>
      <w:pPr>
        <w:pStyle w:val="TableCaption"/>
      </w:pPr>
      <w:r>
        <w:t xml:space="preserve">Axiomas sobre las preferencias y qué garantiza cada uno</w:t>
      </w:r>
    </w:p>
    <w:tbl>
      <w:tblPr>
        <w:tblStyle w:val="Table"/>
        <w:tblW w:type="auto" w:w="0"/>
        <w:tblLook w:firstRow="1" w:lastRow="0" w:firstColumn="0" w:lastColumn="0" w:noHBand="0" w:noVBand="0" w:val="0020"/>
        <w:tblCaption w:val="Axiomas sobre las preferencias y qué garantiza cada uno"/>
      </w:tblPr>
      <w:tblGrid>
        <w:gridCol w:w="2640"/>
        <w:gridCol w:w="2640"/>
        <w:gridCol w:w="2640"/>
      </w:tblGrid>
      <w:tr>
        <w:trPr>
          <w:tblHeader w:val="on"/>
        </w:trPr>
        <w:tc>
          <w:tcPr/>
          <w:p>
            <w:pPr>
              <w:pStyle w:val="Compact"/>
              <w:jc w:val="left"/>
            </w:pPr>
            <w:r>
              <w:rPr>
                <w:b/>
                <w:bCs/>
              </w:rPr>
              <w:t xml:space="preserve">Papel</w:t>
            </w:r>
          </w:p>
        </w:tc>
        <w:tc>
          <w:tcPr/>
          <w:p>
            <w:pPr>
              <w:pStyle w:val="Compact"/>
              <w:jc w:val="left"/>
            </w:pPr>
            <w:r>
              <w:rPr>
                <w:b/>
                <w:bCs/>
              </w:rPr>
              <w:t xml:space="preserve">Axioma</w:t>
            </w:r>
          </w:p>
        </w:tc>
        <w:tc>
          <w:tcPr/>
          <w:p>
            <w:pPr>
              <w:pStyle w:val="Compact"/>
              <w:jc w:val="left"/>
            </w:pPr>
            <w:r>
              <w:rPr>
                <w:b/>
                <w:bCs/>
              </w:rPr>
              <w:t xml:space="preserve">Qué garantiza</w:t>
            </w:r>
          </w:p>
        </w:tc>
      </w:tr>
      <w:tr>
        <w:tc>
          <w:tcPr/>
          <w:p>
            <w:pPr>
              <w:pStyle w:val="Compact"/>
              <w:jc w:val="left"/>
            </w:pPr>
            <w:r>
              <w:t xml:space="preserve">Racionalidad</w:t>
            </w:r>
          </w:p>
        </w:tc>
        <w:tc>
          <w:tcPr/>
          <w:p>
            <w:pPr>
              <w:pStyle w:val="Compact"/>
              <w:jc w:val="left"/>
            </w:pPr>
            <w:r>
              <w:t xml:space="preserve">1. Completitud</w:t>
            </w:r>
          </w:p>
        </w:tc>
        <w:tc>
          <w:tcPr/>
          <w:p>
            <w:pPr>
              <w:pStyle w:val="Compact"/>
              <w:jc w:val="left"/>
            </w:pPr>
            <w:r>
              <w:t xml:space="preserve">Toda cesta es comparable con cualquier otra</w:t>
            </w:r>
          </w:p>
        </w:tc>
      </w:tr>
      <w:tr>
        <w:tc>
          <w:tcPr/>
          <w:p>
            <w:pPr>
              <w:pStyle w:val="Compact"/>
              <w:jc w:val="left"/>
            </w:pPr>
            <w:r>
              <w:t xml:space="preserve">(preorden completo)</w:t>
            </w:r>
          </w:p>
        </w:tc>
        <w:tc>
          <w:tcPr/>
          <w:p>
            <w:pPr>
              <w:pStyle w:val="Compact"/>
              <w:jc w:val="left"/>
            </w:pPr>
            <w:r>
              <w:t xml:space="preserve">2. Reflexividad</w:t>
            </w:r>
          </w:p>
        </w:tc>
        <w:tc>
          <w:tcPr/>
          <w:p>
            <w:pPr>
              <w:pStyle w:val="Compact"/>
              <w:jc w:val="left"/>
            </w:pPr>
            <w:r>
              <w:t xml:space="preserve">Cada cesta está en un conjunto de indiferencia</w:t>
            </w:r>
          </w:p>
        </w:tc>
      </w:tr>
      <w:tr>
        <w:tc>
          <w:tcPr/>
          <w:p>
            <w:pPr>
              <w:pStyle w:val="Compact"/>
            </w:pPr>
          </w:p>
        </w:tc>
        <w:tc>
          <w:tcPr/>
          <w:p>
            <w:pPr>
              <w:pStyle w:val="Compact"/>
              <w:jc w:val="left"/>
            </w:pPr>
            <w:r>
              <w:t xml:space="preserve">3. Transitividad</w:t>
            </w:r>
          </w:p>
        </w:tc>
        <w:tc>
          <w:tcPr/>
          <w:p>
            <w:pPr>
              <w:pStyle w:val="Compact"/>
              <w:jc w:val="left"/>
            </w:pPr>
            <w:r>
              <w:t xml:space="preserve">Los conjuntos de indiferencia no se cortan</w:t>
            </w:r>
          </w:p>
        </w:tc>
      </w:tr>
      <w:tr>
        <w:tc>
          <w:tcPr/>
          <w:p>
            <w:pPr>
              <w:pStyle w:val="Compact"/>
              <w:jc w:val="left"/>
            </w:pPr>
            <w:r>
              <w:t xml:space="preserve">Existencia de</w:t>
            </w:r>
            <w:r>
              <w:t xml:space="preserve"> </w:t>
            </w:r>
            <m:oMath>
              <m:r>
                <m:t>U</m:t>
              </m:r>
            </m:oMath>
          </w:p>
        </w:tc>
        <w:tc>
          <w:tcPr/>
          <w:p>
            <w:pPr>
              <w:pStyle w:val="Compact"/>
              <w:jc w:val="left"/>
            </w:pPr>
            <w:r>
              <w:t xml:space="preserve">4. Continuidad</w:t>
            </w:r>
          </w:p>
        </w:tc>
        <w:tc>
          <w:tcPr/>
          <w:p>
            <w:pPr>
              <w:pStyle w:val="Compact"/>
              <w:jc w:val="left"/>
            </w:pPr>
            <w:r>
              <w:t xml:space="preserve">Con 1-3, existe una función de utilidad continua (</w:t>
            </w:r>
            <w:r>
              <w:rPr>
                <w:smallCaps/>
              </w:rPr>
              <w:t xml:space="preserve">Debreu</w:t>
            </w:r>
            <w:r>
              <w:t xml:space="preserve">)</w:t>
            </w:r>
          </w:p>
        </w:tc>
      </w:tr>
      <w:tr>
        <w:tc>
          <w:tcPr/>
          <w:p>
            <w:pPr>
              <w:pStyle w:val="Compact"/>
              <w:jc w:val="left"/>
            </w:pPr>
            <w:r>
              <w:t xml:space="preserve">Propiedades de</w:t>
            </w:r>
            <w:r>
              <w:t xml:space="preserve"> </w:t>
            </w:r>
            <m:oMath>
              <m:r>
                <m:t>U</m:t>
              </m:r>
            </m:oMath>
          </w:p>
        </w:tc>
        <w:tc>
          <w:tcPr/>
          <w:p>
            <w:pPr>
              <w:pStyle w:val="Compact"/>
              <w:jc w:val="left"/>
            </w:pPr>
            <w:r>
              <w:t xml:space="preserve">5. Deseabilidad</w:t>
            </w:r>
          </w:p>
        </w:tc>
        <w:tc>
          <w:tcPr/>
          <w:p>
            <w:pPr>
              <w:pStyle w:val="Compact"/>
              <w:jc w:val="left"/>
            </w:pPr>
            <m:oMath>
              <m:r>
                <m:t>U</m:t>
              </m:r>
            </m:oMath>
            <w:r>
              <w:t xml:space="preserve"> </w:t>
            </w:r>
            <w:r>
              <w:t xml:space="preserve">creciente; curvas «finas» y decrecientes; se agota la renta</w:t>
            </w:r>
          </w:p>
        </w:tc>
      </w:tr>
      <w:tr>
        <w:tc>
          <w:tcPr/>
          <w:p>
            <w:pPr>
              <w:pStyle w:val="Compact"/>
              <w:jc w:val="left"/>
            </w:pPr>
            <w:r>
              <w:t xml:space="preserve">y dualidad</w:t>
            </w:r>
          </w:p>
        </w:tc>
        <w:tc>
          <w:tcPr/>
          <w:p>
            <w:pPr>
              <w:pStyle w:val="Compact"/>
              <w:jc w:val="left"/>
            </w:pPr>
            <w:r>
              <w:t xml:space="preserve">6. Convexidad</w:t>
            </w:r>
          </w:p>
        </w:tc>
        <w:tc>
          <w:tcPr/>
          <w:p>
            <w:pPr>
              <w:pStyle w:val="Compact"/>
              <w:jc w:val="left"/>
            </w:pPr>
            <m:oMath>
              <m:r>
                <m:t>U</m:t>
              </m:r>
            </m:oMath>
            <w:r>
              <w:t xml:space="preserve"> </w:t>
            </w:r>
            <w:r>
              <w:t xml:space="preserve">cuasicóncava; las condiciones de primer orden son suficientes</w:t>
            </w:r>
          </w:p>
        </w:tc>
      </w:tr>
      <w:tr>
        <w:tc>
          <w:tcPr/>
          <w:p>
            <w:pPr>
              <w:pStyle w:val="Compact"/>
              <w:jc w:val="left"/>
            </w:pPr>
            <w:r>
              <w:t xml:space="preserve">Simplificación</w:t>
            </w:r>
          </w:p>
        </w:tc>
        <w:tc>
          <w:tcPr/>
          <w:p>
            <w:pPr>
              <w:pStyle w:val="Compact"/>
              <w:jc w:val="left"/>
            </w:pPr>
            <w:r>
              <w:t xml:space="preserve">6</w:t>
            </w:r>
            <m:oMath>
              <m:r>
                <m:rPr>
                  <m:sty m:val="p"/>
                </m:rPr>
                <m:t>′</m:t>
              </m:r>
            </m:oMath>
            <w:r>
              <w:t xml:space="preserve">. Convexidad estricta</w:t>
            </w:r>
          </w:p>
        </w:tc>
        <w:tc>
          <w:tcPr/>
          <w:p>
            <w:pPr>
              <w:pStyle w:val="Compact"/>
              <w:jc w:val="left"/>
            </w:pPr>
            <m:oMath>
              <m:r>
                <m:t>U</m:t>
              </m:r>
            </m:oMath>
            <w:r>
              <w:t xml:space="preserve"> </w:t>
            </w:r>
            <w:r>
              <w:t xml:space="preserve">estrictamente cuasicóncava; demanda única</w:t>
            </w:r>
          </w:p>
        </w:tc>
      </w:tr>
      <w:tr>
        <w:tc>
          <w:tcPr/>
          <w:p>
            <w:pPr>
              <w:pStyle w:val="Compact"/>
            </w:pPr>
          </w:p>
        </w:tc>
        <w:tc>
          <w:tcPr/>
          <w:p>
            <w:pPr>
              <w:pStyle w:val="Compact"/>
              <w:jc w:val="left"/>
            </w:pPr>
            <w:r>
              <w:t xml:space="preserve">7. Diferenciabilidad</w:t>
            </w:r>
          </w:p>
        </w:tc>
        <w:tc>
          <w:tcPr/>
          <w:p>
            <w:pPr>
              <w:pStyle w:val="Compact"/>
              <w:jc w:val="left"/>
            </w:pPr>
            <w:r>
              <w:t xml:space="preserve">Curvas de indiferencia sin vértices; uso del cálculo</w:t>
            </w:r>
          </w:p>
        </w:tc>
      </w:tr>
    </w:tbl>
    <w:bookmarkEnd w:id="49"/>
    <w:p>
      <w:pPr>
        <w:pStyle w:val="BodyText"/>
      </w:pP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rPr>
        <w:t xml:space="preserve">Debreu (</w:t>
      </w:r>
      <w:hyperlink w:anchor="ref-Debreu1959Theory">
        <w:r>
          <w:rPr>
            <w:rStyle w:val="Hyperlink"/>
            <w:i/>
            <w:iCs/>
          </w:rPr>
          <w:t xml:space="preserve">1959, cap. 4</w:t>
        </w:r>
      </w:hyperlink>
      <w:r>
        <w:rPr>
          <w:i/>
          <w:iCs/>
        </w:rPr>
        <w:t xml:space="preserve">)</w:t>
      </w:r>
      <w:r>
        <w:rPr>
          <w:i/>
          <w:iCs/>
        </w:rPr>
        <w:t xml:space="preserve">.</w:t>
      </w:r>
    </w:p>
    <w:bookmarkStart w:id="55" w:name="Xcef9b0c685a4a43c1b959531edfc3d133a00dcb"/>
    <w:p>
      <w:pPr>
        <w:pStyle w:val="Heading4"/>
      </w:pPr>
      <w:r>
        <w:t xml:space="preserve">Axiomas de preorden completo (racionalidad)</w:t>
      </w:r>
    </w:p>
    <w:p>
      <w:pPr>
        <w:numPr>
          <w:ilvl w:val="0"/>
          <w:numId w:val="1024"/>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4"/>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4"/>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6"/>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7"/>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7"/>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8"/>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29"/>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0"/>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29"/>
        </w:numPr>
      </w:pPr>
      <w:r>
        <w:rPr>
          <w:b/>
          <w:bCs/>
        </w:rPr>
        <w:t xml:space="preserve">Deseabilidad</w:t>
      </w:r>
      <w:r>
        <w:t xml:space="preserve">: expresa la preferencia del consumidor por la cantidad. Tiene varios grados; de más general a más exigente:</w:t>
      </w:r>
    </w:p>
    <w:p>
      <w:pPr>
        <w:numPr>
          <w:ilvl w:val="1"/>
          <w:numId w:val="1031"/>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1"/>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1"/>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1"/>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29"/>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29"/>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2"/>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End w:id="66"/>
    <w:bookmarkStart w:id="80" w:name="función-de-utilidad"/>
    <w:p>
      <w:pPr>
        <w:pStyle w:val="Heading3"/>
      </w:pPr>
      <w:r>
        <w:t xml:space="preserve">I.1.4.</w:t>
      </w:r>
      <w:r>
        <w:t xml:space="preserve"> </w:t>
      </w:r>
      <w:r>
        <w:t xml:space="preserve">Función de utilidad</w:t>
      </w:r>
    </w:p>
    <w:p>
      <w:pPr>
        <w:numPr>
          <w:ilvl w:val="0"/>
          <w:numId w:val="1033"/>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7"/>
      </w:r>
    </w:p>
    <w:p>
      <w:pPr>
        <w:numPr>
          <w:ilvl w:val="1"/>
          <w:numId w:val="1034"/>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4"/>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3"/>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8"/>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5"/>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5"/>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5"/>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2"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385391"/>
            <wp:effectExtent b="0" l="0" r="0" t="0"/>
            <wp:docPr descr="" title="" id="70" name="Picture"/>
            <a:graphic>
              <a:graphicData uri="http://schemas.openxmlformats.org/drawingml/2006/picture">
                <pic:pic>
                  <pic:nvPicPr>
                    <pic:cNvPr descr="C:\Users\vgutierrez\Documents\src\victorgutierrezmarcos.github.io-revision\oposicion\temario\fuentes\3A08\graficos/superficie-utilidad.png" id="71" name="Picture"/>
                    <pic:cNvPicPr>
                      <a:picLocks noChangeArrowheads="1" noChangeAspect="1"/>
                    </pic:cNvPicPr>
                  </pic:nvPicPr>
                  <pic:blipFill>
                    <a:blip r:embed="rId69"/>
                    <a:stretch>
                      <a:fillRect/>
                    </a:stretch>
                  </pic:blipFill>
                  <pic:spPr bwMode="auto">
                    <a:xfrm>
                      <a:off x="0" y="0"/>
                      <a:ext cx="5168347" cy="2385391"/>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6"/>
        </w:numPr>
      </w:pPr>
      <w:r>
        <w:t xml:space="preserve">Con preferencias regulares, la función de utilidad tiene estas</w:t>
      </w:r>
      <w:r>
        <w:t xml:space="preserve"> </w:t>
      </w:r>
      <w:r>
        <w:rPr>
          <w:b/>
          <w:bCs/>
        </w:rPr>
        <w:t xml:space="preserve">propiedades</w:t>
      </w:r>
      <w:r>
        <w:t xml:space="preserve">:</w:t>
      </w:r>
    </w:p>
    <w:p>
      <w:pPr>
        <w:numPr>
          <w:ilvl w:val="1"/>
          <w:numId w:val="1037"/>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7"/>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7"/>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3"/>
      </w:r>
    </w:p>
    <w:p>
      <w:pPr>
        <w:numPr>
          <w:ilvl w:val="1"/>
          <w:numId w:val="1037"/>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4"/>
      </w:r>
      <w:r>
        <w:rPr>
          <w:vertAlign w:val="superscript"/>
        </w:rPr>
        <w:t xml:space="preserve">,</w:t>
      </w:r>
      <w:r>
        <w:rPr>
          <w:rStyle w:val="FootnoteReference"/>
        </w:rPr>
        <w:footnoteReference w:id="75"/>
      </w:r>
    </w:p>
    <w:bookmarkStart w:id="79"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925666"/>
            <wp:effectExtent b="0" l="0" r="0" t="0"/>
            <wp:docPr descr="" title="" id="77" name="Picture"/>
            <a:graphic>
              <a:graphicData uri="http://schemas.openxmlformats.org/drawingml/2006/picture">
                <pic:pic>
                  <pic:nvPicPr>
                    <pic:cNvPr descr="C:\Users\vgutierrez\Documents\src\victorgutierrezmarcos.github.io-revision\oposicion\temario\fuentes\3A08\graficos/cuasiconcavidad.png" id="78" name="Picture"/>
                    <pic:cNvPicPr>
                      <a:picLocks noChangeArrowheads="1" noChangeAspect="1"/>
                    </pic:cNvPicPr>
                  </pic:nvPicPr>
                  <pic:blipFill>
                    <a:blip r:embed="rId76"/>
                    <a:stretch>
                      <a:fillRect/>
                    </a:stretch>
                  </pic:blipFill>
                  <pic:spPr bwMode="auto">
                    <a:xfrm>
                      <a:off x="0" y="0"/>
                      <a:ext cx="5969000" cy="1925666"/>
                    </a:xfrm>
                    <a:prstGeom prst="rect">
                      <a:avLst/>
                    </a:prstGeom>
                    <a:noFill/>
                    <a:ln w="9525">
                      <a:noFill/>
                      <a:headEnd/>
                      <a:tailEnd/>
                    </a:ln>
                  </pic:spPr>
                </pic:pic>
              </a:graphicData>
            </a:graphic>
          </wp:inline>
        </w:drawing>
      </w:r>
    </w:p>
    <w:bookmarkEnd w:id="79"/>
    <w:p>
      <w:pPr>
        <w:pStyle w:val="Piedeimagen"/>
      </w:pPr>
      <w:r>
        <w:t xml:space="preserve">Fuente: elaboración propia a partir de</w:t>
      </w:r>
      <w:r>
        <w:t xml:space="preserve"> </w:t>
      </w:r>
      <w:r>
        <w:t xml:space="preserve">Pérez Domínguez (</w:t>
      </w:r>
      <w:hyperlink w:anchor="ref-Perez2004Microeconomia">
        <w:r>
          <w:rPr>
            <w:rStyle w:val="Hyperlink"/>
          </w:rPr>
          <w:t xml:space="preserve">2004</w:t>
        </w:r>
      </w:hyperlink>
      <w:r>
        <w:t xml:space="preserve">)</w:t>
      </w:r>
      <w:r>
        <w:t xml:space="preserve">.</w:t>
      </w:r>
    </w:p>
    <w:bookmarkEnd w:id="80"/>
    <w:bookmarkStart w:id="90" w:name="Xe5a477787d3dbfed86cfaa7121490e73d4fd14e"/>
    <w:p>
      <w:pPr>
        <w:pStyle w:val="Heading3"/>
      </w:pPr>
      <w:r>
        <w:t xml:space="preserve">I.1.5.</w:t>
      </w:r>
      <w:r>
        <w:t xml:space="preserve"> </w:t>
      </w:r>
      <w:r>
        <w:t xml:space="preserve">Curvas de indiferencia, relación marginal de sustitución y elasticidad de sustitución</w:t>
      </w:r>
    </w:p>
    <w:p>
      <w:pPr>
        <w:numPr>
          <w:ilvl w:val="0"/>
          <w:numId w:val="1038"/>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8"/>
        </w:numPr>
      </w:pPr>
      <w:r>
        <w:rPr>
          <w:b/>
          <w:bCs/>
        </w:rPr>
        <w:t xml:space="preserve">Propiedades</w:t>
      </w:r>
      <w:r>
        <w:t xml:space="preserve"> </w:t>
      </w:r>
      <w:r>
        <w:t xml:space="preserve">de las curvas de indiferencia (con preferencias regulares), cada una con el axioma que la garantiza (gráfico 8):</w:t>
      </w:r>
    </w:p>
    <w:p>
      <w:pPr>
        <w:numPr>
          <w:ilvl w:val="1"/>
          <w:numId w:val="1039"/>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39"/>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39"/>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39"/>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39"/>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39"/>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39"/>
        </w:numPr>
      </w:pPr>
      <w:r>
        <w:t xml:space="preserve">no tienen vértices, por la diferenciabilidad (axioma 7): la pendiente es única en cada punto.</w:t>
      </w:r>
    </w:p>
    <w:bookmarkStart w:id="84"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2" name="Picture"/>
            <a:graphic>
              <a:graphicData uri="http://schemas.openxmlformats.org/drawingml/2006/picture">
                <pic:pic>
                  <pic:nvPicPr>
                    <pic:cNvPr descr="C:\Users\vgutierrez\Documents\src\victorgutierrezmarcos.github.io-revision\oposicion\temario\fuentes\3A08\graficos/propiedades-curvas-indiferencia.png" id="83" name="Picture"/>
                    <pic:cNvPicPr>
                      <a:picLocks noChangeArrowheads="1" noChangeAspect="1"/>
                    </pic:cNvPicPr>
                  </pic:nvPicPr>
                  <pic:blipFill>
                    <a:blip r:embed="rId81"/>
                    <a:stretch>
                      <a:fillRect/>
                    </a:stretch>
                  </pic:blipFill>
                  <pic:spPr bwMode="auto">
                    <a:xfrm>
                      <a:off x="0" y="0"/>
                      <a:ext cx="4761608" cy="5027670"/>
                    </a:xfrm>
                    <a:prstGeom prst="rect">
                      <a:avLst/>
                    </a:prstGeom>
                    <a:noFill/>
                    <a:ln w="9525">
                      <a:noFill/>
                      <a:headEnd/>
                      <a:tailEnd/>
                    </a:ln>
                  </pic:spPr>
                </pic:pic>
              </a:graphicData>
            </a:graphic>
          </wp:inline>
        </w:drawing>
      </w:r>
    </w:p>
    <w:bookmarkEnd w:id="84"/>
    <w:p>
      <w:pPr>
        <w:pStyle w:val="Piedeimagen"/>
      </w:pPr>
      <w:r>
        <w:t xml:space="preserve">Fuente: elaboración propia a partir de</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0"/>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5"/>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1"/>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1"/>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2"/>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0"/>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3"/>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3"/>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3"/>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9"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7" name="Picture"/>
            <a:graphic>
              <a:graphicData uri="http://schemas.openxmlformats.org/drawingml/2006/picture">
                <pic:pic>
                  <pic:nvPicPr>
                    <pic:cNvPr descr="C:\Users\vgutierrez\Documents\src\victorgutierrezmarcos.github.io-revision\oposicion\temario\fuentes\3A08\graficos/ces-curvas-indiferencia.png" id="88" name="Picture"/>
                    <pic:cNvPicPr>
                      <a:picLocks noChangeArrowheads="1" noChangeAspect="1"/>
                    </pic:cNvPicPr>
                  </pic:nvPicPr>
                  <pic:blipFill>
                    <a:blip r:embed="rId86"/>
                    <a:stretch>
                      <a:fillRect/>
                    </a:stretch>
                  </pic:blipFill>
                  <pic:spPr bwMode="auto">
                    <a:xfrm>
                      <a:off x="0" y="0"/>
                      <a:ext cx="2568882" cy="2471020"/>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90"/>
    <w:bookmarkEnd w:id="91"/>
    <w:bookmarkStart w:id="115" w:name="X3467abfb5769f94e6b6a9dc5ec38ead2791c388"/>
    <w:p>
      <w:pPr>
        <w:pStyle w:val="Heading2"/>
      </w:pPr>
      <w:r>
        <w:t xml:space="preserve">I.2.</w:t>
      </w:r>
      <w:r>
        <w:t xml:space="preserve"> </w:t>
      </w:r>
      <w:r>
        <w:t xml:space="preserve">Restricción presupuestaria y función de demanda individual</w:t>
      </w:r>
    </w:p>
    <w:p>
      <w:pPr>
        <w:pStyle w:val="Notaalopositor"/>
      </w:pPr>
      <w:r>
        <w:rPr>
          <w:b/>
          <w:bCs/>
        </w:rPr>
        <w:t xml:space="preserve">Nota al opositor. </w:t>
      </w:r>
      <w:r>
        <w:t xml:space="preserve">En el cante: el conjunto presupuestario y la recta de balance,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y las propiedades de la demanda marshalliana (homogeneidad de grado cero, ley de</w:t>
      </w:r>
      <w:r>
        <w:t xml:space="preserve"> </w:t>
      </w:r>
      <w:r>
        <w:rPr>
          <w:smallCaps/>
        </w:rPr>
        <w:t xml:space="preserve">Walras</w:t>
      </w:r>
      <w:r>
        <w:t xml:space="preserve">, continuidad). De la función indirecta de utilidad basta la definición y la identidad de</w:t>
      </w:r>
      <w:r>
        <w:t xml:space="preserve"> </w:t>
      </w:r>
      <w:r>
        <w:rPr>
          <w:smallCaps/>
        </w:rPr>
        <w:t xml:space="preserve">Roy</w:t>
      </w:r>
      <w:r>
        <w:t xml:space="preserve">. Los teoremas de optimización y las propiedades de la FIU son de profundización.</w:t>
      </w:r>
    </w:p>
    <w:bookmarkStart w:id="99" w:name="Xf3dd9b918f5bef50d80ccdf364a7637a67502ce"/>
    <w:p>
      <w:pPr>
        <w:pStyle w:val="Heading3"/>
      </w:pPr>
      <w:r>
        <w:t xml:space="preserve">I.2.1.</w:t>
      </w:r>
      <w:r>
        <w:t xml:space="preserve"> </w:t>
      </w:r>
      <w:r>
        <w:t xml:space="preserve">Conjunto presupuestario y recta de balance</w:t>
      </w:r>
    </w:p>
    <w:p>
      <w:pPr>
        <w:numPr>
          <w:ilvl w:val="0"/>
          <w:numId w:val="1044"/>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5"/>
        </w:numPr>
      </w:pPr>
      <w:r>
        <w:t xml:space="preserve">los bienes se intercambian en el mercado a precios positivos y conocidos por todos los consumidores;</w:t>
      </w:r>
    </w:p>
    <w:p>
      <w:pPr>
        <w:numPr>
          <w:ilvl w:val="1"/>
          <w:numId w:val="1045"/>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4"/>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2"/>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6"/>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6"/>
        </w:numPr>
      </w:pPr>
      <w:r>
        <w:t xml:space="preserve">Sus</w:t>
      </w:r>
      <w:r>
        <w:t xml:space="preserve"> </w:t>
      </w:r>
      <w:r>
        <w:rPr>
          <w:b/>
          <w:bCs/>
        </w:rPr>
        <w:t xml:space="preserve">propiedades</w:t>
      </w:r>
      <w:r>
        <w:t xml:space="preserve">:</w:t>
      </w:r>
      <w:r>
        <w:rPr>
          <w:rStyle w:val="FootnoteReference"/>
        </w:rPr>
        <w:footnoteReference w:id="93"/>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4"/>
      </w:r>
      <w:r>
        <w:t xml:space="preserve"> </w:t>
      </w:r>
      <w:r>
        <w:t xml:space="preserve">(iv) es</w:t>
      </w:r>
      <w:r>
        <w:t xml:space="preserve"> </w:t>
      </w:r>
      <w:r>
        <w:rPr>
          <w:i/>
          <w:iCs/>
        </w:rPr>
        <w:t xml:space="preserve">convexo</w:t>
      </w:r>
      <w:r>
        <w:t xml:space="preserve">: contiene toda combinación convexa de dos de sus cestas.</w:t>
      </w:r>
    </w:p>
    <w:p>
      <w:pPr>
        <w:numPr>
          <w:ilvl w:val="0"/>
          <w:numId w:val="1044"/>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8"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700444" cy="1877731"/>
            <wp:effectExtent b="0" l="0" r="0" t="0"/>
            <wp:docPr descr="" title="" id="96" name="Picture"/>
            <a:graphic>
              <a:graphicData uri="http://schemas.openxmlformats.org/drawingml/2006/picture">
                <pic:pic>
                  <pic:nvPicPr>
                    <pic:cNvPr descr="C:\Users\vgutierrez\Documents\src\victorgutierrezmarcos.github.io-revision\oposicion\temario\fuentes\3A08\graficos/conjunto-presupuestario.png" id="97" name="Picture"/>
                    <pic:cNvPicPr>
                      <a:picLocks noChangeArrowheads="1" noChangeAspect="1"/>
                    </pic:cNvPicPr>
                  </pic:nvPicPr>
                  <pic:blipFill>
                    <a:blip r:embed="rId95"/>
                    <a:stretch>
                      <a:fillRect/>
                    </a:stretch>
                  </pic:blipFill>
                  <pic:spPr bwMode="auto">
                    <a:xfrm>
                      <a:off x="0" y="0"/>
                      <a:ext cx="4700444" cy="1877731"/>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w:t>
        </w:r>
      </w:hyperlink>
      <w:r>
        <w:t xml:space="preserve">)</w:t>
      </w:r>
      <w:r>
        <w:t xml:space="preserve">.</w:t>
      </w:r>
    </w:p>
    <w:bookmarkEnd w:id="99"/>
    <w:bookmarkStart w:id="101" w:name="X235e2ad3125740864893995629b02e387be581b"/>
    <w:p>
      <w:pPr>
        <w:pStyle w:val="Heading3"/>
      </w:pPr>
      <w:r>
        <w:t xml:space="preserve">I.2.2.</w:t>
      </w:r>
      <w:r>
        <w:t xml:space="preserve"> </w:t>
      </w:r>
      <w:r>
        <w:t xml:space="preserve">El problema de maximización de la utilidad</w:t>
      </w:r>
    </w:p>
    <w:p>
      <w:pPr>
        <w:numPr>
          <w:ilvl w:val="0"/>
          <w:numId w:val="1047"/>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7"/>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48"/>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48"/>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48"/>
        </w:numPr>
      </w:pPr>
      <w:r>
        <w:rPr>
          <w:i/>
          <w:iCs/>
        </w:rPr>
        <w:t xml:space="preserve">Unicidad</w:t>
      </w:r>
      <w:r>
        <w:t xml:space="preserve">: en esas mismas condiciones (estricta cuasiconcavidad y conjunto convexo), el máximo es único.</w:t>
      </w:r>
    </w:p>
    <w:p>
      <w:pPr>
        <w:pStyle w:val="Cajadeanotaciones"/>
        <w:numPr>
          <w:ilvl w:val="0"/>
          <w:numId w:val="1048"/>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49"/>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0"/>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49"/>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1"/>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1"/>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1"/>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w:t>
      </w:r>
    </w:p>
    <w:p>
      <w:pPr>
        <w:numPr>
          <w:ilvl w:val="1"/>
          <w:numId w:val="1051"/>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6" w:name="solución-interior-y-solución-de-esquina"/>
    <w:p>
      <w:pPr>
        <w:pStyle w:val="Heading3"/>
      </w:pPr>
      <w:r>
        <w:t xml:space="preserve">I.2.3.</w:t>
      </w:r>
      <w:r>
        <w:t xml:space="preserve"> </w:t>
      </w:r>
      <w:r>
        <w:t xml:space="preserve">Solución interior y solución de esquina</w:t>
      </w:r>
    </w:p>
    <w:p>
      <w:pPr>
        <w:numPr>
          <w:ilvl w:val="0"/>
          <w:numId w:val="1052"/>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3"/>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0"/>
          <w:numId w:val="1052"/>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5"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3" name="Picture"/>
            <a:graphic>
              <a:graphicData uri="http://schemas.openxmlformats.org/drawingml/2006/picture">
                <pic:pic>
                  <pic:nvPicPr>
                    <pic:cNvPr descr="C:\Users\vgutierrez\Documents\src\victorgutierrezmarcos.github.io-revision\oposicion\temario\fuentes\3A08\graficos/solucion-interior-esquina.png" id="104" name="Picture"/>
                    <pic:cNvPicPr>
                      <a:picLocks noChangeArrowheads="1" noChangeAspect="1"/>
                    </pic:cNvPicPr>
                  </pic:nvPicPr>
                  <pic:blipFill>
                    <a:blip r:embed="rId102"/>
                    <a:stretch>
                      <a:fillRect/>
                    </a:stretch>
                  </pic:blipFill>
                  <pic:spPr bwMode="auto">
                    <a:xfrm>
                      <a:off x="0" y="0"/>
                      <a:ext cx="5021554" cy="1877731"/>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6"/>
    <w:bookmarkStart w:id="113" w:name="la-función-de-demanda-marshalliana"/>
    <w:p>
      <w:pPr>
        <w:pStyle w:val="Heading3"/>
      </w:pPr>
      <w:r>
        <w:t xml:space="preserve">I.2.4.</w:t>
      </w:r>
      <w:r>
        <w:t xml:space="preserve"> </w:t>
      </w:r>
      <w:r>
        <w:t xml:space="preserve">La función de demanda marshalliana</w:t>
      </w:r>
    </w:p>
    <w:p>
      <w:pPr>
        <w:numPr>
          <w:ilvl w:val="0"/>
          <w:numId w:val="1054"/>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7"/>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4"/>
        </w:numPr>
      </w:pPr>
      <w:r>
        <w:t xml:space="preserve">Sus</w:t>
      </w:r>
      <w:r>
        <w:t xml:space="preserve"> </w:t>
      </w:r>
      <w:r>
        <w:rPr>
          <w:b/>
          <w:bCs/>
        </w:rPr>
        <w:t xml:space="preserve">propiedades</w:t>
      </w:r>
      <w:r>
        <w:t xml:space="preserve">:</w:t>
      </w:r>
    </w:p>
    <w:p>
      <w:pPr>
        <w:numPr>
          <w:ilvl w:val="1"/>
          <w:numId w:val="1055"/>
        </w:numPr>
      </w:pPr>
      <w:r>
        <w:rPr>
          <w:i/>
          <w:iCs/>
        </w:rPr>
        <w:t xml:space="preserve">Existe y es única</w:t>
      </w:r>
      <w:r>
        <w:t xml:space="preserve">.</w:t>
      </w:r>
      <w:r>
        <w:rPr>
          <w:rStyle w:val="FootnoteReference"/>
        </w:rPr>
        <w:footnoteReference w:id="108"/>
      </w:r>
    </w:p>
    <w:p>
      <w:pPr>
        <w:numPr>
          <w:ilvl w:val="1"/>
          <w:numId w:val="1055"/>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09"/>
      </w:r>
    </w:p>
    <w:p>
      <w:pPr>
        <w:numPr>
          <w:ilvl w:val="1"/>
          <w:numId w:val="1055"/>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0"/>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5"/>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1"/>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5"/>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2"/>
      </w:r>
    </w:p>
    <w:bookmarkEnd w:id="113"/>
    <w:bookmarkStart w:id="114" w:name="la-función-indirecta-de-utilidad"/>
    <w:p>
      <w:pPr>
        <w:pStyle w:val="Heading3"/>
      </w:pPr>
      <w:r>
        <w:t xml:space="preserve">I.2.5.</w:t>
      </w:r>
      <w:r>
        <w:t xml:space="preserve"> </w:t>
      </w:r>
      <w:r>
        <w:t xml:space="preserve">La función indirecta de utilidad</w:t>
      </w:r>
    </w:p>
    <w:p>
      <w:pPr>
        <w:numPr>
          <w:ilvl w:val="0"/>
          <w:numId w:val="1056"/>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6"/>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57"/>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57"/>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57"/>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57"/>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57"/>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6"/>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4"/>
    <w:bookmarkEnd w:id="115"/>
    <w:bookmarkStart w:id="122" w:name="X7c35e5c2b8762d45b0200683099fe88917bd9d8"/>
    <w:p>
      <w:pPr>
        <w:pStyle w:val="Heading2"/>
      </w:pPr>
      <w:r>
        <w:t xml:space="preserve">I.3.</w:t>
      </w:r>
      <w:r>
        <w:t xml:space="preserve"> </w:t>
      </w:r>
      <w:r>
        <w:t xml:space="preserve">Agregación: condiciones y problemas asociados al efecto renta nulo</w:t>
      </w:r>
    </w:p>
    <w:p>
      <w:pPr>
        <w:pStyle w:val="Notaalopositor"/>
      </w:pPr>
      <w:r>
        <w:rPr>
          <w:b/>
          <w:bCs/>
        </w:rPr>
        <w:t xml:space="preserve">Nota al opositor. </w:t>
      </w:r>
      <w:r>
        <w:t xml:space="preserve">En el cante: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w:t>
      </w:r>
    </w:p>
    <w:p>
      <w:pPr>
        <w:numPr>
          <w:ilvl w:val="0"/>
          <w:numId w:val="1058"/>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58"/>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59"/>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6"/>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7"/>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59"/>
        </w:numPr>
      </w:pPr>
      <w:r>
        <w:t xml:space="preserve">Casos particulares:</w:t>
      </w:r>
    </w:p>
    <w:p>
      <w:pPr>
        <w:numPr>
          <w:ilvl w:val="2"/>
          <w:numId w:val="1060"/>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0"/>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59"/>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1"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19" name="Picture"/>
            <a:graphic>
              <a:graphicData uri="http://schemas.openxmlformats.org/drawingml/2006/picture">
                <pic:pic>
                  <pic:nvPicPr>
                    <pic:cNvPr descr="C:\Users\vgutierrez\Documents\src\victorgutierrezmarcos.github.io-revision\oposicion\temario\fuentes\3A08\graficos/engel-gorman.png" id="120" name="Picture"/>
                    <pic:cNvPicPr>
                      <a:picLocks noChangeArrowheads="1" noChangeAspect="1"/>
                    </pic:cNvPicPr>
                  </pic:nvPicPr>
                  <pic:blipFill>
                    <a:blip r:embed="rId118"/>
                    <a:stretch>
                      <a:fillRect/>
                    </a:stretch>
                  </pic:blipFill>
                  <pic:spPr bwMode="auto">
                    <a:xfrm>
                      <a:off x="0" y="0"/>
                      <a:ext cx="2483253" cy="188384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1"/>
        </w:numPr>
      </w:pPr>
      <w:r>
        <w:rPr>
          <w:b/>
          <w:bCs/>
        </w:rPr>
        <w:t xml:space="preserve">El efecto renta nulo</w:t>
      </w:r>
      <w:r>
        <w:t xml:space="preserve"> </w:t>
      </w:r>
      <w:r>
        <w:t xml:space="preserve">(preferencias cuasilineales) es el caso más usado en equilibrio parcial porque:</w:t>
      </w:r>
    </w:p>
    <w:p>
      <w:pPr>
        <w:numPr>
          <w:ilvl w:val="1"/>
          <w:numId w:val="1062"/>
        </w:numPr>
      </w:pPr>
      <w:r>
        <w:t xml:space="preserve">la demanda de cada bien depende solo de los precios, y la agregación es inmediata;</w:t>
      </w:r>
    </w:p>
    <w:p>
      <w:pPr>
        <w:numPr>
          <w:ilvl w:val="1"/>
          <w:numId w:val="1062"/>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1"/>
        </w:numPr>
      </w:pPr>
      <w:r>
        <w:rPr>
          <w:b/>
          <w:bCs/>
        </w:rPr>
        <w:t xml:space="preserve">Problemas del efecto renta nulo</w:t>
      </w:r>
      <w:r>
        <w:t xml:space="preserve">:</w:t>
      </w:r>
    </w:p>
    <w:p>
      <w:pPr>
        <w:numPr>
          <w:ilvl w:val="1"/>
          <w:numId w:val="1063"/>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3"/>
        </w:numPr>
      </w:pPr>
      <w:r>
        <w:t xml:space="preserve">exige que toda la renta adicional vaya al numerario, lo que solo es razonable para bienes que pesan poco en el gasto;</w:t>
      </w:r>
    </w:p>
    <w:p>
      <w:pPr>
        <w:numPr>
          <w:ilvl w:val="1"/>
          <w:numId w:val="1063"/>
        </w:numPr>
      </w:pPr>
      <w:r>
        <w:t xml:space="preserve">si la renta de algún consumidor es baja, aparecen soluciones de esquina en el numerario y la forma deja de valer;</w:t>
      </w:r>
    </w:p>
    <w:p>
      <w:pPr>
        <w:numPr>
          <w:ilvl w:val="1"/>
          <w:numId w:val="1063"/>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1"/>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bookmarkEnd w:id="122"/>
    <w:bookmarkEnd w:id="123"/>
    <w:bookmarkStart w:id="172" w:name="estática-comparativa"/>
    <w:p>
      <w:pPr>
        <w:pStyle w:val="Heading1"/>
      </w:pPr>
      <w:r>
        <w:t xml:space="preserve">II.</w:t>
      </w:r>
      <w:r>
        <w:t xml:space="preserve"> </w:t>
      </w:r>
      <w:r>
        <w:t xml:space="preserve">Estática comparativa</w:t>
      </w:r>
    </w:p>
    <w:p>
      <w:pPr>
        <w:pStyle w:val="Notaalopositor"/>
      </w:pPr>
      <w:r>
        <w:rPr>
          <w:b/>
          <w:bCs/>
        </w:rPr>
        <w:t xml:space="preserve">Nota al opositor. </w:t>
      </w:r>
      <w:r>
        <w:t xml:space="preserve">En el cante: efecto renta (unos 2 minutos), efecto precio propio (3) y efecto precio cruzado (2).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4"/>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5"/>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I.2),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4"/>
      </w:r>
    </w:p>
    <w:p>
      <w:pPr>
        <w:numPr>
          <w:ilvl w:val="1"/>
          <w:numId w:val="1065"/>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39" w:name="efecto-renta"/>
    <w:p>
      <w:pPr>
        <w:pStyle w:val="Heading2"/>
      </w:pPr>
      <w:r>
        <w:t xml:space="preserve">II.1.</w:t>
      </w:r>
      <w:r>
        <w:t xml:space="preserve"> </w:t>
      </w:r>
      <w:r>
        <w:t xml:space="preserve">Efecto renta</w:t>
      </w:r>
    </w:p>
    <w:bookmarkStart w:id="131" w:name="curva-de-renta-consumo-y-curva-de-engel"/>
    <w:p>
      <w:pPr>
        <w:pStyle w:val="Heading3"/>
      </w:pPr>
      <w:r>
        <w:t xml:space="preserve">II.1.1.</w:t>
      </w:r>
      <w:r>
        <w:t xml:space="preserve"> </w:t>
      </w:r>
      <w:r>
        <w:t xml:space="preserve">Curva de renta-consumo y curva de Engel</w:t>
      </w:r>
    </w:p>
    <w:p>
      <w:pPr>
        <w:numPr>
          <w:ilvl w:val="0"/>
          <w:numId w:val="1066"/>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67"/>
        </w:numPr>
      </w:pPr>
      <w:r>
        <w:t xml:space="preserve">Si los dos bienes son normales, tiene pendiente positiva; en el tramo en que uno de ellos es inferior, la pendiente es negativa.</w:t>
      </w:r>
    </w:p>
    <w:p>
      <w:pPr>
        <w:numPr>
          <w:ilvl w:val="1"/>
          <w:numId w:val="1067"/>
        </w:numPr>
      </w:pPr>
      <w:r>
        <w:t xml:space="preserve">Con preferencias homotéticas, la CRC es una semirrecta que parte del origen: la proporción en que se consumen los bienes no depende de la renta.</w:t>
      </w:r>
      <w:r>
        <w:rPr>
          <w:rStyle w:val="FootnoteReference"/>
        </w:rPr>
        <w:footnoteReference w:id="125"/>
      </w:r>
    </w:p>
    <w:p>
      <w:pPr>
        <w:numPr>
          <w:ilvl w:val="0"/>
          <w:numId w:val="1066"/>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6"/>
      </w:r>
    </w:p>
    <w:p>
      <w:pPr>
        <w:numPr>
          <w:ilvl w:val="1"/>
          <w:numId w:val="1068"/>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68"/>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0"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28" name="Picture"/>
            <a:graphic>
              <a:graphicData uri="http://schemas.openxmlformats.org/drawingml/2006/picture">
                <pic:pic>
                  <pic:nvPicPr>
                    <pic:cNvPr descr="C:\Users\vgutierrez\Documents\src\victorgutierrezmarcos.github.io-revision\oposicion\temario\fuentes\3A08\graficos/renta-consumo-engel.png" id="129" name="Picture"/>
                    <pic:cNvPicPr>
                      <a:picLocks noChangeArrowheads="1" noChangeAspect="1"/>
                    </pic:cNvPicPr>
                  </pic:nvPicPr>
                  <pic:blipFill>
                    <a:blip r:embed="rId127"/>
                    <a:stretch>
                      <a:fillRect/>
                    </a:stretch>
                  </pic:blipFill>
                  <pic:spPr bwMode="auto">
                    <a:xfrm>
                      <a:off x="0" y="0"/>
                      <a:ext cx="4948157" cy="2208016"/>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1"/>
    <w:bookmarkStart w:id="137" w:name="elasticidad-renta"/>
    <w:p>
      <w:pPr>
        <w:pStyle w:val="Heading3"/>
      </w:pPr>
      <w:r>
        <w:t xml:space="preserve">II.1.2.</w:t>
      </w:r>
      <w:r>
        <w:t xml:space="preserve"> </w:t>
      </w:r>
      <w:r>
        <w:t xml:space="preserve">Elasticidad-renta</w:t>
      </w:r>
    </w:p>
    <w:p>
      <w:pPr>
        <w:numPr>
          <w:ilvl w:val="0"/>
          <w:numId w:val="1069"/>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69"/>
        </w:numPr>
      </w:pPr>
      <w:r>
        <w:t xml:space="preserve">Según su valor, los bienes se clasifican (tabla 2) en:</w:t>
      </w:r>
    </w:p>
    <w:p>
      <w:pPr>
        <w:numPr>
          <w:ilvl w:val="1"/>
          <w:numId w:val="1070"/>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0"/>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0"/>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1"/>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1"/>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69"/>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2"/>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2"/>
      </w:r>
    </w:p>
    <w:bookmarkStart w:id="136"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4" name="Picture"/>
            <a:graphic>
              <a:graphicData uri="http://schemas.openxmlformats.org/drawingml/2006/picture">
                <pic:pic>
                  <pic:nvPicPr>
                    <pic:cNvPr descr="C:\Users\vgutierrez\Documents\src\victorgutierrezmarcos.github.io-revision\oposicion\temario\fuentes\3A08\graficos/epf-alimentos-quintil.png" id="135" name="Picture"/>
                    <pic:cNvPicPr>
                      <a:picLocks noChangeArrowheads="1" noChangeAspect="1"/>
                    </pic:cNvPicPr>
                  </pic:nvPicPr>
                  <pic:blipFill>
                    <a:blip r:embed="rId133"/>
                    <a:stretch>
                      <a:fillRect/>
                    </a:stretch>
                  </pic:blipFill>
                  <pic:spPr bwMode="auto">
                    <a:xfrm>
                      <a:off x="0" y="0"/>
                      <a:ext cx="3669832" cy="2373158"/>
                    </a:xfrm>
                    <a:prstGeom prst="rect">
                      <a:avLst/>
                    </a:prstGeom>
                    <a:noFill/>
                    <a:ln w="9525">
                      <a:noFill/>
                      <a:headEnd/>
                      <a:tailEnd/>
                    </a:ln>
                  </pic:spPr>
                </pic:pic>
              </a:graphicData>
            </a:graphic>
          </wp:inline>
        </w:drawing>
      </w:r>
    </w:p>
    <w:bookmarkEnd w:id="136"/>
    <w:p>
      <w:pPr>
        <w:pStyle w:val="Piedeimagen"/>
      </w:pPr>
      <w:r>
        <w:t xml:space="preserve">Fuente: INE, Encuesta de Presupuestos Familiares 2025, tabla 73828 (consulta: 10/10/2026).</w:t>
      </w:r>
    </w:p>
    <w:bookmarkEnd w:id="137"/>
    <w:bookmarkStart w:id="138" w:name="agregación-de-engel"/>
    <w:p>
      <w:pPr>
        <w:pStyle w:val="Heading3"/>
      </w:pPr>
      <w:r>
        <w:t xml:space="preserve">II.1.3.</w:t>
      </w:r>
      <w:r>
        <w:t xml:space="preserve"> </w:t>
      </w:r>
      <w:r>
        <w:t xml:space="preserve">Agregación de Engel</w:t>
      </w:r>
    </w:p>
    <w:p>
      <w:pPr>
        <w:numPr>
          <w:ilvl w:val="0"/>
          <w:numId w:val="1073"/>
        </w:numPr>
      </w:pPr>
      <w:r>
        <w:t xml:space="preserve">Además de ser continua, homogénea de grado cero y cumplir la ley de</w:t>
      </w:r>
      <w:r>
        <w:t xml:space="preserve"> </w:t>
      </w:r>
      <w:r>
        <w:rPr>
          <w:smallCaps/>
        </w:rPr>
        <w:t xml:space="preserve">Walras</w:t>
      </w:r>
      <w:r>
        <w:t xml:space="preserve"> </w:t>
      </w:r>
      <w:r>
        <w:t xml:space="preserve">(apartado I.2),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4"/>
        </w:numPr>
      </w:pPr>
      <w:r>
        <w:t xml:space="preserve">La media de las elasticidades-renta, ponderada por las participaciones en el gasto, es igual a uno: cuando aumenta la renta, el gasto total aumenta en la misma cuantía.</w:t>
      </w:r>
    </w:p>
    <w:p>
      <w:pPr>
        <w:numPr>
          <w:ilvl w:val="1"/>
          <w:numId w:val="1074"/>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38"/>
    <w:bookmarkEnd w:id="139"/>
    <w:bookmarkStart w:id="164" w:name="efecto-precio-propio"/>
    <w:p>
      <w:pPr>
        <w:pStyle w:val="Heading2"/>
      </w:pPr>
      <w:r>
        <w:t xml:space="preserve">II.2.</w:t>
      </w:r>
      <w:r>
        <w:t xml:space="preserve"> </w:t>
      </w:r>
      <w:r>
        <w:t xml:space="preserve">Efecto precio propio</w:t>
      </w:r>
    </w:p>
    <w:bookmarkStart w:id="144" w:name="Xb47a4b0a6e8b08e22695f5fb89367fdf437f85e"/>
    <w:p>
      <w:pPr>
        <w:pStyle w:val="Heading3"/>
      </w:pPr>
      <w:r>
        <w:t xml:space="preserve">II.2.1.</w:t>
      </w:r>
      <w:r>
        <w:t xml:space="preserve"> </w:t>
      </w:r>
      <w:r>
        <w:t xml:space="preserve">Curva de precio-consumo y curva de demanda</w:t>
      </w:r>
    </w:p>
    <w:p>
      <w:pPr>
        <w:numPr>
          <w:ilvl w:val="0"/>
          <w:numId w:val="1075"/>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5"/>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3"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1" name="Picture"/>
            <a:graphic>
              <a:graphicData uri="http://schemas.openxmlformats.org/drawingml/2006/picture">
                <pic:pic>
                  <pic:nvPicPr>
                    <pic:cNvPr descr="C:\Users\vgutierrez\Documents\src\victorgutierrezmarcos.github.io-revision\oposicion\temario\fuentes\3A08\graficos/precio-consumo-demanda.png" id="142" name="Picture"/>
                    <pic:cNvPicPr>
                      <a:picLocks noChangeArrowheads="1" noChangeAspect="1"/>
                    </pic:cNvPicPr>
                  </pic:nvPicPr>
                  <pic:blipFill>
                    <a:blip r:embed="rId140"/>
                    <a:stretch>
                      <a:fillRect/>
                    </a:stretch>
                  </pic:blipFill>
                  <pic:spPr bwMode="auto">
                    <a:xfrm>
                      <a:off x="0" y="0"/>
                      <a:ext cx="2920575" cy="4397682"/>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t xml:space="preserve">Varian (</w:t>
      </w:r>
      <w:hyperlink w:anchor="ref-Varian2016Intermedia">
        <w:r>
          <w:rPr>
            <w:rStyle w:val="Hyperlink"/>
          </w:rPr>
          <w:t xml:space="preserve">2016, cap. 6</w:t>
        </w:r>
      </w:hyperlink>
      <w:r>
        <w:t xml:space="preserve">)</w:t>
      </w:r>
      <w:r>
        <w:t xml:space="preserve">.</w:t>
      </w:r>
    </w:p>
    <w:bookmarkEnd w:id="144"/>
    <w:bookmarkStart w:id="146" w:name="elasticidad-precio-propio"/>
    <w:p>
      <w:pPr>
        <w:pStyle w:val="Heading3"/>
      </w:pPr>
      <w:r>
        <w:t xml:space="preserve">II.2.2.</w:t>
      </w:r>
      <w:r>
        <w:t xml:space="preserve"> </w:t>
      </w:r>
      <w:r>
        <w:t xml:space="preserve">Elasticidad-precio propio</w:t>
      </w:r>
    </w:p>
    <w:p>
      <w:pPr>
        <w:numPr>
          <w:ilvl w:val="0"/>
          <w:numId w:val="1076"/>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77"/>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77"/>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5"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5"/>
    <w:p>
      <w:pPr>
        <w:pStyle w:val="BodyText"/>
      </w:pPr>
      <w:r>
        <w:rPr>
          <w:i/>
          <w:iCs/>
        </w:rPr>
        <w:t xml:space="preserve">Fuente: elaboración propia.</w:t>
      </w:r>
    </w:p>
    <w:bookmarkEnd w:id="146"/>
    <w:bookmarkStart w:id="163" w:name="X2ce968bbc432d9621a4da70dadda0d4375adcab"/>
    <w:p>
      <w:pPr>
        <w:pStyle w:val="Heading3"/>
      </w:pPr>
      <w:r>
        <w:t xml:space="preserve">II.2.3.</w:t>
      </w:r>
      <w:r>
        <w:t xml:space="preserve"> </w:t>
      </w:r>
      <w:r>
        <w:t xml:space="preserve">Efecto sustitución y efecto renta: la ecuación de Slutsky</w:t>
      </w:r>
    </w:p>
    <w:p>
      <w:pPr>
        <w:numPr>
          <w:ilvl w:val="0"/>
          <w:numId w:val="1078"/>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7"/>
      </w:r>
    </w:p>
    <w:p>
      <w:pPr>
        <w:numPr>
          <w:ilvl w:val="0"/>
          <w:numId w:val="1078"/>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78"/>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48"/>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79"/>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49"/>
      </w:r>
    </w:p>
    <w:p>
      <w:pPr>
        <w:numPr>
          <w:ilvl w:val="1"/>
          <w:numId w:val="1079"/>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0"/>
      </w:r>
    </w:p>
    <w:p>
      <w:pPr>
        <w:numPr>
          <w:ilvl w:val="0"/>
          <w:numId w:val="1078"/>
        </w:numPr>
      </w:pPr>
      <w:r>
        <w:t xml:space="preserve">De la combinación de ambos efectos sale la</w:t>
      </w:r>
      <w:r>
        <w:t xml:space="preserve"> </w:t>
      </w:r>
      <w:r>
        <w:rPr>
          <w:b/>
          <w:bCs/>
        </w:rPr>
        <w:t xml:space="preserve">clasificación de los bienes</w:t>
      </w:r>
      <w:r>
        <w:t xml:space="preserve"> </w:t>
      </w:r>
      <w:r>
        <w:t xml:space="preserve">(tabla 3):</w:t>
      </w:r>
    </w:p>
    <w:p>
      <w:pPr>
        <w:numPr>
          <w:ilvl w:val="1"/>
          <w:numId w:val="1080"/>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0"/>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1"/>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2" w:name="tab:slutsky-propio"/>
    <w:p>
      <w:pPr>
        <w:pStyle w:val="TableCaption"/>
      </w:pPr>
      <w:r>
        <w:t xml:space="preserve">Ecuación de Slutsky para el precio propio:</w:t>
      </w:r>
      <w:r>
        <w:t xml:space="preserve"> </w:t>
      </w:r>
      <m:oMath>
        <m:f>
          <m:fPr>
            <m:type m:val="bar"/>
          </m:fPr>
          <m:num>
            <m:r>
              <m:rPr>
                <m:sty m:val="p"/>
              </m:rPr>
              <m:t>∂</m:t>
            </m:r>
            <m:sSub>
              <m:e>
                <m:r>
                  <m:t>x</m:t>
                </m:r>
              </m:e>
              <m:sub>
                <m:r>
                  <m:t>i</m:t>
                </m:r>
              </m:sub>
            </m:sSub>
          </m:num>
          <m:den>
            <m:r>
              <m:rPr>
                <m:sty m:val="p"/>
              </m:rPr>
              <m:t>∂</m:t>
            </m:r>
            <m:sSub>
              <m:e>
                <m:r>
                  <m:t>p</m:t>
                </m:r>
              </m:e>
              <m:sub>
                <m:r>
                  <m:t>i</m:t>
                </m:r>
              </m:sub>
            </m:sSub>
          </m:den>
        </m:f>
        <m:r>
          <m:rPr>
            <m:sty m:val="p"/>
          </m:rPr>
          <m:t>=</m:t>
        </m:r>
        <m:f>
          <m:fPr>
            <m:type m:val="bar"/>
          </m:fPr>
          <m:num>
            <m:r>
              <m:rPr>
                <m:sty m:val="p"/>
              </m:rPr>
              <m:t>∂</m:t>
            </m:r>
            <m:sSub>
              <m:e>
                <m:r>
                  <m:t>h</m:t>
                </m:r>
              </m:e>
              <m:sub>
                <m:r>
                  <m:t>i</m:t>
                </m:r>
              </m:sub>
            </m:sSub>
          </m:num>
          <m:den>
            <m:r>
              <m:rPr>
                <m:sty m:val="p"/>
              </m:rPr>
              <m:t>∂</m:t>
            </m:r>
            <m:sSub>
              <m:e>
                <m:r>
                  <m:t>p</m:t>
                </m:r>
              </m:e>
              <m:sub>
                <m:r>
                  <m:t>i</m:t>
                </m:r>
              </m:sub>
            </m:sSub>
          </m:den>
        </m:f>
        <m:r>
          <m:rPr>
            <m:sty m:val="p"/>
          </m:rPr>
          <m:t>−</m:t>
        </m:r>
        <m:sSub>
          <m:e>
            <m:r>
              <m:t>x</m:t>
            </m:r>
          </m:e>
          <m:sub>
            <m:r>
              <m:t>i</m:t>
            </m:r>
          </m:sub>
        </m:sSub>
        <m:f>
          <m:fPr>
            <m:type m:val="bar"/>
          </m:fPr>
          <m:num>
            <m:r>
              <m:rPr>
                <m:sty m:val="p"/>
              </m:rPr>
              <m:t>∂</m:t>
            </m:r>
            <m:sSub>
              <m:e>
                <m:r>
                  <m:t>x</m:t>
                </m:r>
              </m:e>
              <m:sub>
                <m:r>
                  <m:t>i</m:t>
                </m:r>
              </m:sub>
            </m:sSub>
          </m:num>
          <m:den>
            <m:r>
              <m:rPr>
                <m:sty m:val="p"/>
              </m:rPr>
              <m:t>∂</m:t>
            </m:r>
            <m:bar>
              <m:barPr>
                <m:pos m:val="top"/>
              </m:barPr>
              <m:e>
                <m:r>
                  <m:t>W</m:t>
                </m:r>
              </m:e>
            </m:bar>
          </m:den>
        </m:f>
      </m:oMath>
      <w:r>
        <w:t xml:space="preserve"> </w:t>
      </w:r>
      <w:r>
        <w:t xml:space="preserve">(ET = ES + ER)</w:t>
      </w:r>
    </w:p>
    <w:tbl>
      <w:tblPr>
        <w:tblStyle w:val="Table"/>
        <w:tblW w:type="auto" w:w="0"/>
        <w:tblLook w:firstRow="1" w:lastRow="0" w:firstColumn="0" w:lastColumn="0" w:noHBand="0" w:noVBand="0" w:val="0020"/>
        <w:tblCaption w:val="Ecuación de Slutsky para el precio propio: \frac{\partial x_i}{\partial p_i}=\frac{\partial h_i}{\partial p_i}-x_i\frac{\partial x_i}{\partial\overline{W}} (ET = ES + ER)"/>
      </w:tblPr>
      <w:tblGrid>
        <w:gridCol w:w="2640"/>
        <w:gridCol w:w="2640"/>
        <w:gridCol w:w="2640"/>
      </w:tblGrid>
      <w:tr>
        <w:trPr>
          <w:tblHeader w:val="on"/>
        </w:trPr>
        <w:tc>
          <w:tcPr/>
          <w:p>
            <w:pPr>
              <w:pStyle w:val="Compact"/>
              <w:jc w:val="center"/>
            </w:pPr>
            <w:r>
              <w:rPr>
                <w:b/>
                <w:bCs/>
              </w:rPr>
              <w:t xml:space="preserve">Efecto sustitución</w:t>
            </w:r>
          </w:p>
        </w:tc>
        <w:tc>
          <w:tcPr/>
          <w:p>
            <w:pPr>
              <w:pStyle w:val="Compact"/>
              <w:jc w:val="left"/>
            </w:pPr>
            <w:r>
              <w:rPr>
                <w:b/>
                <w:bCs/>
              </w:rPr>
              <w:t xml:space="preserve">Efecto renta</w:t>
            </w:r>
            <w:r>
              <w:t xml:space="preserve"> </w:t>
            </w:r>
            <w:r>
              <w:t xml:space="preserve">(según la renta)</w:t>
            </w:r>
          </w:p>
        </w:tc>
        <w:tc>
          <w:tcPr/>
          <w:p>
            <w:pPr>
              <w:pStyle w:val="Compact"/>
              <w:jc w:val="left"/>
            </w:pPr>
            <w:r>
              <w:rPr>
                <w:b/>
                <w:bCs/>
              </w:rPr>
              <w:t xml:space="preserve">Efecto total</w:t>
            </w:r>
            <w:r>
              <w:t xml:space="preserve"> </w:t>
            </w:r>
            <w:r>
              <w:t xml:space="preserve">(según el precio)</w:t>
            </w:r>
          </w:p>
        </w:tc>
      </w:tr>
      <w:tr>
        <w:tc>
          <w:tcPr/>
          <w:p>
            <w:pPr>
              <w:pStyle w:val="Compact"/>
              <w:jc w:val="center"/>
            </w:pPr>
            <m:oMath>
              <m:r>
                <m:rPr>
                  <m:sty m:val="p"/>
                </m:rPr>
                <m:t>≤</m:t>
              </m:r>
              <m:r>
                <m:t>0</m:t>
              </m:r>
            </m:oMath>
          </w:p>
        </w:tc>
        <w:tc>
          <w:tcPr/>
          <w:p>
            <w:pPr>
              <w:pStyle w:val="Compact"/>
              <w:jc w:val="left"/>
            </w:pPr>
            <m:oMath>
              <m:r>
                <m:rPr>
                  <m:sty m:val="p"/>
                </m:rPr>
                <m:t>&lt;</m:t>
              </m:r>
              <m:r>
                <m:t>0</m:t>
              </m:r>
            </m:oMath>
            <w:r>
              <w:t xml:space="preserve">: bien</w:t>
            </w:r>
            <w:r>
              <w:t xml:space="preserve"> </w:t>
            </w:r>
            <w:r>
              <w:rPr>
                <w:i/>
                <w:iCs/>
              </w:rPr>
              <w:t xml:space="preserve">normal</w:t>
            </w:r>
          </w:p>
        </w:tc>
        <w:tc>
          <w:tcPr/>
          <w:p>
            <w:pPr>
              <w:pStyle w:val="Compact"/>
              <w:jc w:val="left"/>
            </w:pPr>
            <m:oMath>
              <m:r>
                <m:rPr>
                  <m:sty m:val="p"/>
                </m:rPr>
                <m:t>&lt;</m:t>
              </m:r>
              <m:r>
                <m:t>0</m:t>
              </m:r>
            </m:oMath>
            <w:r>
              <w:t xml:space="preserve">: bien</w:t>
            </w:r>
            <w:r>
              <w:t xml:space="preserve"> </w:t>
            </w:r>
            <w:r>
              <w:rPr>
                <w:i/>
                <w:iCs/>
              </w:rPr>
              <w:t xml:space="preserve">ordinario</w:t>
            </w:r>
          </w:p>
        </w:tc>
      </w:tr>
      <w:tr>
        <w:tc>
          <w:tcPr/>
          <w:p>
            <w:pPr>
              <w:pStyle w:val="Compact"/>
              <w:jc w:val="center"/>
            </w:pPr>
            <m:oMath>
              <m:r>
                <m:rPr>
                  <m:sty m:val="p"/>
                </m:rPr>
                <m:t>≤</m:t>
              </m:r>
              <m:r>
                <m:t>0</m:t>
              </m:r>
            </m:oMath>
          </w:p>
        </w:tc>
        <w:tc>
          <w:tcPr/>
          <w:p>
            <w:pPr>
              <w:pStyle w:val="Compact"/>
              <w:jc w:val="left"/>
            </w:pPr>
            <m:oMath>
              <m:r>
                <m:rPr>
                  <m:sty m:val="p"/>
                </m:rPr>
                <m:t>=</m:t>
              </m:r>
              <m:r>
                <m:t>0</m:t>
              </m:r>
            </m:oMath>
            <w:r>
              <w:t xml:space="preserve">: bien</w:t>
            </w:r>
            <w:r>
              <w:t xml:space="preserve"> </w:t>
            </w:r>
            <w:r>
              <w:rPr>
                <w:i/>
                <w:iCs/>
              </w:rPr>
              <w:t xml:space="preserve">frontera</w:t>
            </w:r>
            <w:r>
              <w:t xml:space="preserve"> </w:t>
            </w:r>
            <w:r>
              <w:t xml:space="preserve">(independiente de la renta)</w:t>
            </w:r>
          </w:p>
        </w:tc>
        <w:tc>
          <w:tcPr/>
          <w:p>
            <w:pPr>
              <w:pStyle w:val="Compact"/>
              <w:jc w:val="left"/>
            </w:pPr>
            <m:oMath>
              <m:r>
                <m:rPr>
                  <m:sty m:val="p"/>
                </m:rPr>
                <m:t>≤</m:t>
              </m:r>
              <m:r>
                <m:t>0</m:t>
              </m:r>
            </m:oMath>
            <w:r>
              <w:t xml:space="preserve">: bien</w:t>
            </w:r>
            <w:r>
              <w:t xml:space="preserve"> </w:t>
            </w:r>
            <w:r>
              <w:rPr>
                <w:i/>
                <w:iCs/>
              </w:rPr>
              <w:t xml:space="preserve">ordinario</w:t>
            </w:r>
            <w:r>
              <w:t xml:space="preserve"> </w:t>
            </w:r>
            <w:r>
              <w:t xml:space="preserve">(o demanda rígida si ES</w:t>
            </w:r>
            <w:r>
              <w:t xml:space="preserve"> </w:t>
            </w:r>
            <m:oMath>
              <m:r>
                <m:rPr>
                  <m:sty m:val="p"/>
                </m:rPr>
                <m:t>=</m:t>
              </m:r>
              <m:r>
                <m:t>0</m:t>
              </m:r>
            </m:oMath>
            <w:r>
              <w:t xml:space="preserve">)</w:t>
            </w:r>
          </w:p>
        </w:tc>
      </w:tr>
      <w:tr>
        <w:tc>
          <w:tcPr/>
          <w:p>
            <w:pPr>
              <w:pStyle w:val="Compact"/>
              <w:jc w:val="center"/>
            </w:pPr>
            <m:oMath>
              <m:r>
                <m:rPr>
                  <m:sty m:val="p"/>
                </m:rPr>
                <m:t>≤</m:t>
              </m:r>
              <m:r>
                <m:t>0</m:t>
              </m:r>
            </m:oMath>
          </w:p>
        </w:tc>
        <w:tc>
          <w:tcPr/>
          <w:p>
            <w:pPr>
              <w:pStyle w:val="Compact"/>
              <w:jc w:val="left"/>
            </w:pPr>
            <m:oMath>
              <m:r>
                <m:rPr>
                  <m:sty m:val="p"/>
                </m:rPr>
                <m:t>&gt;</m:t>
              </m:r>
              <m:r>
                <m:t>0</m:t>
              </m:r>
            </m:oMath>
            <w:r>
              <w:t xml:space="preserve">: bien</w:t>
            </w:r>
            <w:r>
              <w:t xml:space="preserve"> </w:t>
            </w:r>
            <w:r>
              <w:rPr>
                <w:i/>
                <w:iCs/>
              </w:rPr>
              <w:t xml:space="preserve">inferior</w:t>
            </w:r>
            <w:r>
              <w:t xml:space="preserve">, con ER</w:t>
            </w:r>
            <w:r>
              <w:t xml:space="preserve"> </w:t>
            </w:r>
            <m:oMath>
              <m:r>
                <m:rPr>
                  <m:sty m:val="p"/>
                </m:rPr>
                <m:t>&lt;</m:t>
              </m:r>
              <m:r>
                <m:rPr>
                  <m:sty m:val="p"/>
                </m:rPr>
                <m:t>|</m:t>
              </m:r>
            </m:oMath>
            <w:r>
              <w:t xml:space="preserve">ES</w:t>
            </w:r>
            <m:oMath>
              <m:r>
                <m:rPr>
                  <m:sty m:val="p"/>
                </m:rPr>
                <m:t>|</m:t>
              </m:r>
            </m:oMath>
          </w:p>
        </w:tc>
        <w:tc>
          <w:tcPr/>
          <w:p>
            <w:pPr>
              <w:pStyle w:val="Compact"/>
              <w:jc w:val="left"/>
            </w:pPr>
            <m:oMath>
              <m:r>
                <m:rPr>
                  <m:sty m:val="p"/>
                </m:rPr>
                <m:t>&lt;</m:t>
              </m:r>
              <m:r>
                <m:t>0</m:t>
              </m:r>
            </m:oMath>
            <w:r>
              <w:t xml:space="preserve">: bien</w:t>
            </w:r>
            <w:r>
              <w:t xml:space="preserve"> </w:t>
            </w:r>
            <w:r>
              <w:rPr>
                <w:i/>
                <w:iCs/>
              </w:rPr>
              <w:t xml:space="preserve">ordinario</w:t>
            </w:r>
          </w:p>
        </w:tc>
      </w:tr>
      <w:tr>
        <w:tc>
          <w:tcPr/>
          <w:p>
            <w:pPr>
              <w:pStyle w:val="Compact"/>
              <w:jc w:val="center"/>
            </w:pPr>
            <m:oMath>
              <m:r>
                <m:rPr>
                  <m:sty m:val="p"/>
                </m:rPr>
                <m:t>≤</m:t>
              </m:r>
              <m:r>
                <m:t>0</m:t>
              </m:r>
            </m:oMath>
          </w:p>
        </w:tc>
        <w:tc>
          <w:tcPr/>
          <w:p>
            <w:pPr>
              <w:pStyle w:val="Compact"/>
              <w:jc w:val="left"/>
            </w:pPr>
            <m:oMath>
              <m:r>
                <m:rPr>
                  <m:sty m:val="p"/>
                </m:rPr>
                <m:t>&gt;</m:t>
              </m:r>
              <m:r>
                <m:t>0</m:t>
              </m:r>
            </m:oMath>
            <w:r>
              <w:t xml:space="preserve">: bien</w:t>
            </w:r>
            <w:r>
              <w:t xml:space="preserve"> </w:t>
            </w:r>
            <w:r>
              <w:rPr>
                <w:i/>
                <w:iCs/>
              </w:rPr>
              <w:t xml:space="preserve">inferior</w:t>
            </w:r>
            <w:r>
              <w:t xml:space="preserve">, con ER</w:t>
            </w:r>
            <w:r>
              <w:t xml:space="preserve"> </w:t>
            </w:r>
            <m:oMath>
              <m:r>
                <m:rPr>
                  <m:sty m:val="p"/>
                </m:rPr>
                <m:t>&gt;</m:t>
              </m:r>
              <m:r>
                <m:rPr>
                  <m:sty m:val="p"/>
                </m:rPr>
                <m:t>|</m:t>
              </m:r>
            </m:oMath>
            <w:r>
              <w:t xml:space="preserve">ES</w:t>
            </w:r>
            <m:oMath>
              <m:r>
                <m:rPr>
                  <m:sty m:val="p"/>
                </m:rPr>
                <m:t>|</m:t>
              </m:r>
            </m:oMath>
          </w:p>
        </w:tc>
        <w:tc>
          <w:tcPr/>
          <w:p>
            <w:pPr>
              <w:pStyle w:val="Compact"/>
              <w:jc w:val="left"/>
            </w:pPr>
            <m:oMath>
              <m:r>
                <m:rPr>
                  <m:sty m:val="p"/>
                </m:rPr>
                <m:t>&gt;</m:t>
              </m:r>
              <m:r>
                <m:t>0</m:t>
              </m:r>
            </m:oMath>
            <w:r>
              <w:t xml:space="preserve">: bien</w:t>
            </w:r>
            <w:r>
              <w:t xml:space="preserve"> </w:t>
            </w:r>
            <w:r>
              <w:rPr>
                <w:i/>
                <w:iCs/>
                <w:smallCaps/>
              </w:rPr>
              <w:t xml:space="preserve">Giffen</w:t>
            </w:r>
          </w:p>
        </w:tc>
      </w:tr>
    </w:tbl>
    <w:bookmarkEnd w:id="152"/>
    <w:p>
      <w:pPr>
        <w:pStyle w:val="BodyText"/>
      </w:pP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6"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4" name="Picture"/>
            <a:graphic>
              <a:graphicData uri="http://schemas.openxmlformats.org/drawingml/2006/picture">
                <pic:pic>
                  <pic:nvPicPr>
                    <pic:cNvPr descr="C:\Users\vgutierrez\Documents\src\victorgutierrezmarcos.github.io-revision\oposicion\temario\fuentes\3A08\graficos/elasticidades-renta-precio.png" id="155" name="Picture"/>
                    <pic:cNvPicPr>
                      <a:picLocks noChangeArrowheads="1" noChangeAspect="1"/>
                    </pic:cNvPicPr>
                  </pic:nvPicPr>
                  <pic:blipFill>
                    <a:blip r:embed="rId153"/>
                    <a:stretch>
                      <a:fillRect/>
                    </a:stretch>
                  </pic:blipFill>
                  <pic:spPr bwMode="auto">
                    <a:xfrm>
                      <a:off x="0" y="0"/>
                      <a:ext cx="4890052" cy="1905254"/>
                    </a:xfrm>
                    <a:prstGeom prst="rect">
                      <a:avLst/>
                    </a:prstGeom>
                    <a:noFill/>
                    <a:ln w="9525">
                      <a:noFill/>
                      <a:headEnd/>
                      <a:tailEnd/>
                    </a:ln>
                  </pic:spPr>
                </pic:pic>
              </a:graphicData>
            </a:graphic>
          </wp:inline>
        </w:drawing>
      </w:r>
    </w:p>
    <w:bookmarkEnd w:id="156"/>
    <w:p>
      <w:pPr>
        <w:pStyle w:val="Piedeimagen"/>
      </w:pPr>
      <w:r>
        <w:t xml:space="preserve">Fuente: elaboración propia.</w:t>
      </w:r>
    </w:p>
    <w:p>
      <w:pPr>
        <w:numPr>
          <w:ilvl w:val="0"/>
          <w:numId w:val="1081"/>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2"/>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2"/>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1"/>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0"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58" name="Picture"/>
            <a:graphic>
              <a:graphicData uri="http://schemas.openxmlformats.org/drawingml/2006/picture">
                <pic:pic>
                  <pic:nvPicPr>
                    <pic:cNvPr descr="C:\Users\vgutierrez\Documents\src\victorgutierrezmarcos.github.io-revision\oposicion\temario\fuentes\3A08\graficos/efecto-sustitucion-renta.png" id="159" name="Picture"/>
                    <pic:cNvPicPr>
                      <a:picLocks noChangeArrowheads="1" noChangeAspect="1"/>
                    </pic:cNvPicPr>
                  </pic:nvPicPr>
                  <pic:blipFill>
                    <a:blip r:embed="rId157"/>
                    <a:stretch>
                      <a:fillRect/>
                    </a:stretch>
                  </pic:blipFill>
                  <pic:spPr bwMode="auto">
                    <a:xfrm>
                      <a:off x="0" y="0"/>
                      <a:ext cx="2724850" cy="442826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3"/>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4"/>
        </w:numPr>
      </w:pPr>
      <w:r>
        <w:t xml:space="preserve">«A.9 Efectos de renta y sustitución»:</w:t>
      </w:r>
      <w:r>
        <w:t xml:space="preserve"> </w:t>
      </w:r>
      <w:hyperlink r:id="rId161">
        <w:r>
          <w:rPr>
            <w:rStyle w:val="Hyperlink"/>
          </w:rPr>
          <w:t xml:space="preserve">https://www.youtube.com/watch?v=J0PSPX2B5FI</w:t>
        </w:r>
      </w:hyperlink>
    </w:p>
    <w:p>
      <w:pPr>
        <w:pStyle w:val="Cajadeanotaciones"/>
        <w:numPr>
          <w:ilvl w:val="0"/>
          <w:numId w:val="1084"/>
        </w:numPr>
      </w:pPr>
      <w:r>
        <w:t xml:space="preserve">«A.10 Demandas marshalliana y hicksiana»:</w:t>
      </w:r>
      <w:r>
        <w:t xml:space="preserve"> </w:t>
      </w:r>
      <w:hyperlink r:id="rId162">
        <w:r>
          <w:rPr>
            <w:rStyle w:val="Hyperlink"/>
          </w:rPr>
          <w:t xml:space="preserve">https://policonomics.com/es/video-a10-demandas-marshalliana-hicksiana/</w:t>
        </w:r>
      </w:hyperlink>
    </w:p>
    <w:bookmarkEnd w:id="163"/>
    <w:bookmarkEnd w:id="164"/>
    <w:bookmarkStart w:id="171" w:name="efecto-precio-cruzado"/>
    <w:p>
      <w:pPr>
        <w:pStyle w:val="Heading2"/>
      </w:pPr>
      <w:r>
        <w:t xml:space="preserve">II.3.</w:t>
      </w:r>
      <w:r>
        <w:t xml:space="preserve"> </w:t>
      </w:r>
      <w:r>
        <w:t xml:space="preserve">Efecto precio cruzado</w:t>
      </w:r>
    </w:p>
    <w:bookmarkStart w:id="165" w:name="Xaaa1e4df7044140dee48bca4ee19ec63f092a77"/>
    <w:p>
      <w:pPr>
        <w:pStyle w:val="Heading3"/>
      </w:pPr>
      <w:r>
        <w:t xml:space="preserve">II.3.1.</w:t>
      </w:r>
      <w:r>
        <w:t xml:space="preserve"> </w:t>
      </w:r>
      <w:r>
        <w:t xml:space="preserve">Elasticidad-precio cruzada: sustitutivos y complementarios brutos</w:t>
      </w:r>
    </w:p>
    <w:p>
      <w:pPr>
        <w:numPr>
          <w:ilvl w:val="0"/>
          <w:numId w:val="1085"/>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86"/>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86"/>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86"/>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5"/>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5"/>
    <w:bookmarkStart w:id="167" w:name="X750b0549ecc3894067bb333880520a31a3cbf76"/>
    <w:p>
      <w:pPr>
        <w:pStyle w:val="Heading3"/>
      </w:pPr>
      <w:r>
        <w:t xml:space="preserve">II.3.2.</w:t>
      </w:r>
      <w:r>
        <w:t xml:space="preserve"> </w:t>
      </w:r>
      <w:r>
        <w:t xml:space="preserve">Ecuación de Slutsky cruzada: sustitutivos y complementarios netos</w:t>
      </w:r>
    </w:p>
    <w:p>
      <w:pPr>
        <w:numPr>
          <w:ilvl w:val="0"/>
          <w:numId w:val="1087"/>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87"/>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88"/>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88"/>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87"/>
        </w:numPr>
      </w:pPr>
      <w:r>
        <w:t xml:space="preserve">No todas las combinaciones de relaciones netas y brutas son posibles (tabla 4):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slutsky-cruzado"/>
    <w:p>
      <w:pPr>
        <w:pStyle w:val="TableCaption"/>
      </w:pPr>
      <w:r>
        <w:t xml:space="preserve">Ecuación de Slutsky cruzada:</w:t>
      </w:r>
      <w:r>
        <w:t xml:space="preserve"> </w:t>
      </w:r>
      <m:oMath>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sSub>
          <m:e>
            <m:r>
              <m:t>x</m:t>
            </m:r>
          </m:e>
          <m:sub>
            <m:r>
              <m:t>j</m:t>
            </m:r>
          </m:sub>
        </m:sSub>
        <m:f>
          <m:fPr>
            <m:type m:val="bar"/>
          </m:fPr>
          <m:num>
            <m:r>
              <m:rPr>
                <m:sty m:val="p"/>
              </m:rPr>
              <m:t>∂</m:t>
            </m:r>
            <m:sSub>
              <m:e>
                <m:r>
                  <m:t>x</m:t>
                </m:r>
              </m:e>
              <m:sub>
                <m:r>
                  <m:t>i</m:t>
                </m:r>
              </m:sub>
            </m:sSub>
          </m:num>
          <m:den>
            <m:r>
              <m:rPr>
                <m:sty m:val="p"/>
              </m:rPr>
              <m:t>∂</m:t>
            </m:r>
            <m:bar>
              <m:barPr>
                <m:pos m:val="top"/>
              </m:barPr>
              <m:e>
                <m:r>
                  <m:t>W</m:t>
                </m:r>
              </m:e>
            </m:bar>
          </m:den>
        </m:f>
      </m:oMath>
      <w:r>
        <w:t xml:space="preserve"> </w:t>
      </w:r>
      <w:r>
        <w:t xml:space="preserve">(ET = ES + ER)</w:t>
      </w:r>
    </w:p>
    <w:tbl>
      <w:tblPr>
        <w:tblStyle w:val="Table"/>
        <w:tblW w:type="auto" w:w="0"/>
        <w:tblLook w:firstRow="1" w:lastRow="0" w:firstColumn="0" w:lastColumn="0" w:noHBand="0" w:noVBand="0" w:val="0020"/>
        <w:tblCaption w:val="Ecuación de Slutsky cruzada: \frac{\partial x_i}{\partial p_j}=\frac{\partial h_i}{\partial p_j}-x_j\frac{\partial x_i}{\partial\overline{W}} (ET = ES + ER)"/>
      </w:tblPr>
      <w:tblGrid>
        <w:gridCol w:w="2640"/>
        <w:gridCol w:w="2640"/>
        <w:gridCol w:w="2640"/>
      </w:tblGrid>
      <w:tr>
        <w:trPr>
          <w:tblHeader w:val="on"/>
        </w:trPr>
        <w:tc>
          <w:tcPr/>
          <w:p>
            <w:pPr>
              <w:pStyle w:val="Compact"/>
              <w:jc w:val="left"/>
            </w:pPr>
            <w:r>
              <w:rPr>
                <w:b/>
                <w:bCs/>
              </w:rPr>
              <w:t xml:space="preserve">Efecto sustitución</w:t>
            </w:r>
            <w:r>
              <w:t xml:space="preserve"> </w:t>
            </w:r>
            <w:r>
              <w:t xml:space="preserve">(relación neta)</w:t>
            </w:r>
          </w:p>
        </w:tc>
        <w:tc>
          <w:tcPr/>
          <w:p>
            <w:pPr>
              <w:pStyle w:val="Compact"/>
              <w:jc w:val="left"/>
            </w:pPr>
            <w:r>
              <w:rPr>
                <w:b/>
                <w:bCs/>
              </w:rPr>
              <w:t xml:space="preserve">Efecto renta</w:t>
            </w:r>
            <w:r>
              <w:t xml:space="preserve"> </w:t>
            </w:r>
            <w:r>
              <w:t xml:space="preserve">(según el bien</w:t>
            </w:r>
            <w:r>
              <w:t xml:space="preserve"> </w:t>
            </w:r>
            <m:oMath>
              <m:r>
                <m:t>i</m:t>
              </m:r>
            </m:oMath>
            <w:r>
              <w:t xml:space="preserve">)</w:t>
            </w:r>
          </w:p>
        </w:tc>
        <w:tc>
          <w:tcPr/>
          <w:p>
            <w:pPr>
              <w:pStyle w:val="Compact"/>
              <w:jc w:val="left"/>
            </w:pPr>
            <w:r>
              <w:rPr>
                <w:b/>
                <w:bCs/>
              </w:rPr>
              <w:t xml:space="preserve">Efecto total</w:t>
            </w:r>
            <w:r>
              <w:t xml:space="preserve"> </w:t>
            </w:r>
            <w:r>
              <w:t xml:space="preserve">(relación bruta)</w:t>
            </w:r>
          </w:p>
        </w:tc>
      </w:tr>
      <w:tr>
        <w:tc>
          <w:tcPr/>
          <w:p>
            <w:pPr>
              <w:pStyle w:val="Compact"/>
              <w:jc w:val="left"/>
            </w:pPr>
            <m:oMath>
              <m:r>
                <m:rPr>
                  <m:sty m:val="p"/>
                </m:rPr>
                <m:t>&gt;</m:t>
              </m:r>
              <m:r>
                <m:t>0</m:t>
              </m:r>
            </m:oMath>
            <w:r>
              <w:t xml:space="preserve">: sustitutivos netos</w:t>
            </w:r>
          </w:p>
        </w:tc>
        <w:tc>
          <w:tcPr/>
          <w:p>
            <w:pPr>
              <w:pStyle w:val="Compact"/>
              <w:jc w:val="left"/>
            </w:pPr>
            <m:oMath>
              <m:r>
                <m:rPr>
                  <m:sty m:val="p"/>
                </m:rPr>
                <m:t>&lt;</m:t>
              </m:r>
              <m:r>
                <m:t>0</m:t>
              </m:r>
            </m:oMath>
            <w:r>
              <w:t xml:space="preserve">:</w:t>
            </w:r>
            <w:r>
              <w:t xml:space="preserve"> </w:t>
            </w:r>
            <m:oMath>
              <m:r>
                <m:t>i</m:t>
              </m:r>
            </m:oMath>
            <w:r>
              <w:t xml:space="preserve"> </w:t>
            </w:r>
            <w:r>
              <w:t xml:space="preserve">normal</w:t>
            </w:r>
          </w:p>
        </w:tc>
        <w:tc>
          <w:tcPr/>
          <w:p>
            <w:pPr>
              <w:pStyle w:val="Compact"/>
              <w:jc w:val="left"/>
            </w:pPr>
            <w:r>
              <w:t xml:space="preserve">ambiguo: sustitutivos brutos si ES</w:t>
            </w:r>
            <w:r>
              <w:t xml:space="preserve"> </w:t>
            </w:r>
            <m:oMath>
              <m:r>
                <m:rPr>
                  <m:sty m:val="p"/>
                </m:rPr>
                <m:t>&gt;</m:t>
              </m:r>
              <m:r>
                <m:rPr>
                  <m:sty m:val="p"/>
                </m:rPr>
                <m:t>|</m:t>
              </m:r>
            </m:oMath>
            <w:r>
              <w:t xml:space="preserve">ER</w:t>
            </w:r>
            <m:oMath>
              <m:r>
                <m:rPr>
                  <m:sty m:val="p"/>
                </m:rPr>
                <m:t>|</m:t>
              </m:r>
            </m:oMath>
            <w:r>
              <w:t xml:space="preserve">, complementarios brutos si ES</w:t>
            </w:r>
            <w:r>
              <w:t xml:space="preserve"> </w:t>
            </w:r>
            <m:oMath>
              <m:r>
                <m:rPr>
                  <m:sty m:val="p"/>
                </m:rPr>
                <m:t>&lt;</m:t>
              </m:r>
              <m:r>
                <m:rPr>
                  <m:sty m:val="p"/>
                </m:rPr>
                <m:t>|</m:t>
              </m:r>
            </m:oMath>
            <w:r>
              <w:t xml:space="preserve">ER</w:t>
            </w:r>
            <m:oMath>
              <m:r>
                <m:rPr>
                  <m:sty m:val="p"/>
                </m:rPr>
                <m:t>|</m:t>
              </m:r>
            </m:oMath>
          </w:p>
        </w:tc>
      </w:tr>
      <w:tr>
        <w:tc>
          <w:tcPr/>
          <w:p>
            <w:pPr>
              <w:pStyle w:val="Compact"/>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t xml:space="preserve">: sustitutivos brutos</w:t>
            </w:r>
          </w:p>
        </w:tc>
      </w:tr>
      <w:tr>
        <w:tc>
          <w:tcPr/>
          <w:p>
            <w:pPr>
              <w:pStyle w:val="Compact"/>
            </w:pPr>
          </w:p>
        </w:tc>
        <w:tc>
          <w:tcPr/>
          <w:p>
            <w:pPr>
              <w:pStyle w:val="Compact"/>
              <w:jc w:val="left"/>
            </w:pPr>
            <m:oMath>
              <m:r>
                <m:rPr>
                  <m:sty m:val="p"/>
                </m:rPr>
                <m:t>&gt;</m:t>
              </m:r>
              <m:r>
                <m:t>0</m:t>
              </m:r>
            </m:oMath>
            <w:r>
              <w:t xml:space="preserve">:</w:t>
            </w:r>
            <w:r>
              <w:t xml:space="preserve"> </w:t>
            </w:r>
            <m:oMath>
              <m:r>
                <m:t>i</m:t>
              </m:r>
            </m:oMath>
            <w:r>
              <w:t xml:space="preserve"> </w:t>
            </w:r>
            <w:r>
              <w:t xml:space="preserve">inferior</w:t>
            </w:r>
          </w:p>
        </w:tc>
        <w:tc>
          <w:tcPr/>
          <w:p>
            <w:pPr>
              <w:pStyle w:val="Compact"/>
              <w:jc w:val="left"/>
            </w:pPr>
            <m:oMath>
              <m:r>
                <m:rPr>
                  <m:sty m:val="p"/>
                </m:rPr>
                <m:t>&gt;</m:t>
              </m:r>
              <m:r>
                <m:t>0</m:t>
              </m:r>
            </m:oMath>
            <w:r>
              <w:t xml:space="preserve">: sustitutivos brutos</w:t>
            </w:r>
          </w:p>
        </w:tc>
      </w:tr>
      <w:tr>
        <w:tc>
          <w:tcPr/>
          <w:p>
            <w:pPr>
              <w:pStyle w:val="Compact"/>
              <w:jc w:val="left"/>
            </w:pPr>
            <m:oMath>
              <m:r>
                <m:rPr>
                  <m:sty m:val="p"/>
                </m:rPr>
                <m:t>=</m:t>
              </m:r>
              <m:r>
                <m:t>0</m:t>
              </m:r>
            </m:oMath>
            <w:r>
              <w:t xml:space="preserve">: independientes netos</w:t>
            </w:r>
          </w:p>
        </w:tc>
        <w:tc>
          <w:tcPr/>
          <w:p>
            <w:pPr>
              <w:pStyle w:val="Compact"/>
              <w:jc w:val="left"/>
            </w:pPr>
            <m:oMath>
              <m:r>
                <m:rPr>
                  <m:sty m:val="p"/>
                </m:rPr>
                <m:t>&lt;</m:t>
              </m:r>
              <m:r>
                <m:t>0</m:t>
              </m:r>
            </m:oMath>
            <w:r>
              <w:t xml:space="preserve">:</w:t>
            </w:r>
            <w:r>
              <w:t xml:space="preserve"> </w:t>
            </w:r>
            <m:oMath>
              <m:r>
                <m:t>i</m:t>
              </m:r>
            </m:oMath>
            <w:r>
              <w:t xml:space="preserve"> </w:t>
            </w:r>
            <w:r>
              <w:t xml:space="preserve">normal</w:t>
            </w:r>
          </w:p>
        </w:tc>
        <w:tc>
          <w:tcPr/>
          <w:p>
            <w:pPr>
              <w:pStyle w:val="Compact"/>
              <w:jc w:val="left"/>
            </w:pPr>
            <m:oMath>
              <m:r>
                <m:rPr>
                  <m:sty m:val="p"/>
                </m:rPr>
                <m:t>&lt;</m:t>
              </m:r>
              <m:r>
                <m:t>0</m:t>
              </m:r>
            </m:oMath>
            <w:r>
              <w:t xml:space="preserve">: complementarios brutos</w:t>
            </w:r>
          </w:p>
        </w:tc>
      </w:tr>
      <w:tr>
        <w:tc>
          <w:tcPr/>
          <w:p>
            <w:pPr>
              <w:pStyle w:val="Compact"/>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p>
            <w:pPr>
              <w:pStyle w:val="Compact"/>
            </w:pPr>
          </w:p>
        </w:tc>
        <w:tc>
          <w:tcPr/>
          <w:p>
            <w:pPr>
              <w:pStyle w:val="Compact"/>
              <w:jc w:val="left"/>
            </w:pPr>
            <m:oMath>
              <m:r>
                <m:rPr>
                  <m:sty m:val="p"/>
                </m:rPr>
                <m:t>&gt;</m:t>
              </m:r>
              <m:r>
                <m:t>0</m:t>
              </m:r>
            </m:oMath>
            <w:r>
              <w:t xml:space="preserve">:</w:t>
            </w:r>
            <w:r>
              <w:t xml:space="preserve"> </w:t>
            </w:r>
            <m:oMath>
              <m:r>
                <m:t>i</m:t>
              </m:r>
            </m:oMath>
            <w:r>
              <w:t xml:space="preserve"> </w:t>
            </w:r>
            <w:r>
              <w:t xml:space="preserve">inferior</w:t>
            </w:r>
          </w:p>
        </w:tc>
        <w:tc>
          <w:tcPr/>
          <w:p>
            <w:pPr>
              <w:pStyle w:val="Compact"/>
              <w:jc w:val="left"/>
            </w:pPr>
            <m:oMath>
              <m:r>
                <m:rPr>
                  <m:sty m:val="p"/>
                </m:rPr>
                <m:t>&gt;</m:t>
              </m:r>
              <m:r>
                <m:t>0</m:t>
              </m:r>
            </m:oMath>
            <w:r>
              <w:t xml:space="preserve">: sustitutivos brutos</w:t>
            </w:r>
          </w:p>
        </w:tc>
      </w:tr>
      <w:tr>
        <w:tc>
          <w:tcPr/>
          <w:p>
            <w:pPr>
              <w:pStyle w:val="Compact"/>
              <w:jc w:val="left"/>
            </w:pPr>
            <m:oMath>
              <m:r>
                <m:rPr>
                  <m:sty m:val="p"/>
                </m:rPr>
                <m:t>&lt;</m:t>
              </m:r>
              <m:r>
                <m:t>0</m:t>
              </m:r>
            </m:oMath>
            <w:r>
              <w:t xml:space="preserve">: complementarios netos</w:t>
            </w:r>
          </w:p>
        </w:tc>
        <w:tc>
          <w:tcPr/>
          <w:p>
            <w:pPr>
              <w:pStyle w:val="Compact"/>
              <w:jc w:val="left"/>
            </w:pPr>
            <m:oMath>
              <m:r>
                <m:rPr>
                  <m:sty m:val="p"/>
                </m:rPr>
                <m:t>&lt;</m:t>
              </m:r>
              <m:r>
                <m:t>0</m:t>
              </m:r>
            </m:oMath>
            <w:r>
              <w:t xml:space="preserve">:</w:t>
            </w:r>
            <w:r>
              <w:t xml:space="preserve"> </w:t>
            </w:r>
            <m:oMath>
              <m:r>
                <m:t>i</m:t>
              </m:r>
            </m:oMath>
            <w:r>
              <w:t xml:space="preserve"> </w:t>
            </w:r>
            <w:r>
              <w:t xml:space="preserve">normal</w:t>
            </w:r>
          </w:p>
        </w:tc>
        <w:tc>
          <w:tcPr/>
          <w:p>
            <w:pPr>
              <w:pStyle w:val="Compact"/>
              <w:jc w:val="left"/>
            </w:pPr>
            <m:oMath>
              <m:r>
                <m:rPr>
                  <m:sty m:val="p"/>
                </m:rPr>
                <m:t>&lt;</m:t>
              </m:r>
              <m:r>
                <m:t>0</m:t>
              </m:r>
            </m:oMath>
            <w:r>
              <w:t xml:space="preserve">: complementarios brutos</w:t>
            </w:r>
          </w:p>
        </w:tc>
      </w:tr>
      <w:tr>
        <w:tc>
          <w:tcPr/>
          <w:p>
            <w:pPr>
              <w:pStyle w:val="Compact"/>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t xml:space="preserve">: complementarios brutos</w:t>
            </w:r>
          </w:p>
        </w:tc>
      </w:tr>
      <w:tr>
        <w:tc>
          <w:tcPr/>
          <w:p>
            <w:pPr>
              <w:pStyle w:val="Compact"/>
            </w:pPr>
          </w:p>
        </w:tc>
        <w:tc>
          <w:tcPr/>
          <w:p>
            <w:pPr>
              <w:pStyle w:val="Compact"/>
              <w:jc w:val="left"/>
            </w:pPr>
            <m:oMath>
              <m:r>
                <m:rPr>
                  <m:sty m:val="p"/>
                </m:rPr>
                <m:t>&gt;</m:t>
              </m:r>
              <m:r>
                <m:t>0</m:t>
              </m:r>
            </m:oMath>
            <w:r>
              <w:t xml:space="preserve">:</w:t>
            </w:r>
            <w:r>
              <w:t xml:space="preserve"> </w:t>
            </w:r>
            <m:oMath>
              <m:r>
                <m:t>i</m:t>
              </m:r>
            </m:oMath>
            <w:r>
              <w:t xml:space="preserve"> </w:t>
            </w:r>
            <w:r>
              <w:t xml:space="preserve">inferior</w:t>
            </w:r>
          </w:p>
        </w:tc>
        <w:tc>
          <w:tcPr/>
          <w:p>
            <w:pPr>
              <w:pStyle w:val="Compact"/>
              <w:jc w:val="left"/>
            </w:pPr>
            <w:r>
              <w:t xml:space="preserve">ambiguo: complementarios brutos si</w:t>
            </w:r>
            <w:r>
              <w:t xml:space="preserve"> </w:t>
            </w:r>
            <m:oMath>
              <m:r>
                <m:rPr>
                  <m:sty m:val="p"/>
                </m:rPr>
                <m:t>|</m:t>
              </m:r>
            </m:oMath>
            <w:r>
              <w:t xml:space="preserve">ES</w:t>
            </w:r>
            <m:oMath>
              <m:r>
                <m:rPr>
                  <m:sty m:val="p"/>
                </m:rPr>
                <m:t>|</m:t>
              </m:r>
              <m:r>
                <m:rPr>
                  <m:sty m:val="p"/>
                </m:rPr>
                <m:t>&gt;</m:t>
              </m:r>
            </m:oMath>
            <w:r>
              <w:t xml:space="preserve">ER, sustitutivos brutos si</w:t>
            </w:r>
            <w:r>
              <w:t xml:space="preserve"> </w:t>
            </w:r>
            <m:oMath>
              <m:r>
                <m:rPr>
                  <m:sty m:val="p"/>
                </m:rPr>
                <m:t>|</m:t>
              </m:r>
            </m:oMath>
            <w:r>
              <w:t xml:space="preserve">ES</w:t>
            </w:r>
            <m:oMath>
              <m:r>
                <m:rPr>
                  <m:sty m:val="p"/>
                </m:rPr>
                <m:t>|</m:t>
              </m:r>
              <m:r>
                <m:rPr>
                  <m:sty m:val="p"/>
                </m:rPr>
                <m:t>&lt;</m:t>
              </m:r>
            </m:oMath>
            <w:r>
              <w:t xml:space="preserve">ER</w:t>
            </w:r>
          </w:p>
        </w:tc>
      </w:tr>
    </w:tbl>
    <w:bookmarkEnd w:id="166"/>
    <w:p>
      <w:pPr>
        <w:pStyle w:val="BodyText"/>
      </w:pP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7"/>
    <w:bookmarkStart w:id="169" w:name="Xd418e15a2044822659669a5bd0d925fdc3e987e"/>
    <w:p>
      <w:pPr>
        <w:pStyle w:val="Heading3"/>
      </w:pPr>
      <w:r>
        <w:t xml:space="preserve">II.3.3.</w:t>
      </w:r>
      <w:r>
        <w:t xml:space="preserve"> </w:t>
      </w:r>
      <w:r>
        <w:t xml:space="preserve">Agregación de Cournot y restricciones de la demanda</w:t>
      </w:r>
    </w:p>
    <w:p>
      <w:pPr>
        <w:numPr>
          <w:ilvl w:val="0"/>
          <w:numId w:val="1089"/>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0"/>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68"/>
      </w:r>
    </w:p>
    <w:p>
      <w:pPr>
        <w:numPr>
          <w:ilvl w:val="0"/>
          <w:numId w:val="1089"/>
        </w:numPr>
      </w:pPr>
      <w:r>
        <w:t xml:space="preserve">Con la restricción de homogeneidad en elasticidades (apartado I.2),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w:r>
        <w:t xml:space="preserve">$$\underbrace{\sum_{j=1}^{n}\varepsilon_{x_i,p_j}+\varepsilon_{x_i,\overline{W}}=0}_{\text{homogeneidad}},\qquad\underbrace{\sum_{i=1}^{n}s_i\,\varepsilon_{x_i,\overline{W}}=1}_{\text{agregación de \textsc{Engel}}},\qquad\underbrace{\sum_{i=1}^{n}s_i\,\varepsilon_{x_i,p_j}=-s_j}_{\text{agregación de \textsc{Cournot}}}.$$</w:t>
      </w:r>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69"/>
    <w:bookmarkStart w:id="170" w:name="valoración"/>
    <w:p>
      <w:pPr>
        <w:pStyle w:val="Heading3"/>
      </w:pPr>
      <w:r>
        <w:t xml:space="preserve">II.3.4.</w:t>
      </w:r>
      <w:r>
        <w:t xml:space="preserve"> </w:t>
      </w:r>
      <w:r>
        <w:t xml:space="preserve">Valoración</w:t>
      </w:r>
    </w:p>
    <w:p>
      <w:pPr>
        <w:numPr>
          <w:ilvl w:val="0"/>
          <w:numId w:val="1091"/>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2"/>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2"/>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2"/>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2"/>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0"/>
    <w:bookmarkEnd w:id="171"/>
    <w:bookmarkEnd w:id="172"/>
    <w:bookmarkStart w:id="210" w:name="otros-desarrollos"/>
    <w:p>
      <w:pPr>
        <w:pStyle w:val="Heading1"/>
      </w:pPr>
      <w:r>
        <w:t xml:space="preserve">III.</w:t>
      </w:r>
      <w:r>
        <w:t xml:space="preserve"> </w:t>
      </w:r>
      <w:r>
        <w:t xml:space="preserve">Otros desarrollos</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6" w:name="la-teoría-de-la-preferencia-revelada"/>
    <w:p>
      <w:pPr>
        <w:pStyle w:val="Heading2"/>
      </w:pPr>
      <w:r>
        <w:t xml:space="preserve">III.1.</w:t>
      </w:r>
      <w:r>
        <w:t xml:space="preserve"> </w:t>
      </w:r>
      <w:r>
        <w:t xml:space="preserve">La teoría de la preferencia revelada</w:t>
      </w:r>
    </w:p>
    <w:bookmarkStart w:id="175" w:name="idea"/>
    <w:p>
      <w:pPr>
        <w:pStyle w:val="Heading3"/>
      </w:pPr>
      <w:r>
        <w:t xml:space="preserve">III.1.1.</w:t>
      </w:r>
      <w:r>
        <w:t xml:space="preserve"> </w:t>
      </w:r>
      <w:r>
        <w:t xml:space="preserve">Idea</w:t>
      </w:r>
    </w:p>
    <w:p>
      <w:pPr>
        <w:numPr>
          <w:ilvl w:val="0"/>
          <w:numId w:val="1093"/>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3"/>
      </w:r>
      <w:r>
        <w:rPr>
          <w:vertAlign w:val="superscript"/>
        </w:rPr>
        <w:t xml:space="preserve">,</w:t>
      </w:r>
      <w:r>
        <w:rPr>
          <w:rStyle w:val="FootnoteReference"/>
        </w:rPr>
        <w:footnoteReference w:id="174"/>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4"/>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5"/>
    <w:bookmarkStart w:id="177" w:name="supuestos"/>
    <w:p>
      <w:pPr>
        <w:pStyle w:val="Heading3"/>
      </w:pPr>
      <w:r>
        <w:t xml:space="preserve">III.1.2.</w:t>
      </w:r>
      <w:r>
        <w:t xml:space="preserve"> </w:t>
      </w:r>
      <w:r>
        <w:t xml:space="preserve">Supuestos</w:t>
      </w:r>
    </w:p>
    <w:p>
      <w:pPr>
        <w:numPr>
          <w:ilvl w:val="0"/>
          <w:numId w:val="1095"/>
        </w:numPr>
      </w:pPr>
      <w:r>
        <w:t xml:space="preserve">Se parte de un consumidor</w:t>
      </w:r>
      <w:r>
        <w:t xml:space="preserve"> </w:t>
      </w:r>
      <w:r>
        <w:rPr>
          <w:i/>
          <w:iCs/>
        </w:rPr>
        <w:t xml:space="preserve">individual</w:t>
      </w:r>
      <w:r>
        <w:rPr>
          <w:rStyle w:val="FootnoteReference"/>
        </w:rPr>
        <w:footnoteReference w:id="176"/>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7"/>
    <w:bookmarkStart w:id="184" w:name="X585d9060e5ec9b3bc8e06e3a6fd5afea7373538"/>
    <w:p>
      <w:pPr>
        <w:pStyle w:val="Heading3"/>
      </w:pPr>
      <w:r>
        <w:t xml:space="preserve">III.1.3.</w:t>
      </w:r>
      <w:r>
        <w:t xml:space="preserve"> </w:t>
      </w:r>
      <w:r>
        <w:t xml:space="preserve">El axioma débil de la preferencia revelada</w:t>
      </w:r>
    </w:p>
    <w:p>
      <w:pPr>
        <w:numPr>
          <w:ilvl w:val="0"/>
          <w:numId w:val="1096"/>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096"/>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78"/>
      </w:r>
    </w:p>
    <w:bookmarkStart w:id="182"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0" name="Picture"/>
            <a:graphic>
              <a:graphicData uri="http://schemas.openxmlformats.org/drawingml/2006/picture">
                <pic:pic>
                  <pic:nvPicPr>
                    <pic:cNvPr descr="C:\Users\vgutierrez\Documents\src\victorgutierrezmarcos.github.io-revision\oposicion\temario\fuentes\3A08\graficos/adpr-efecto-sustitucion.png" id="181" name="Picture"/>
                    <pic:cNvPicPr>
                      <a:picLocks noChangeArrowheads="1" noChangeAspect="1"/>
                    </pic:cNvPicPr>
                  </pic:nvPicPr>
                  <pic:blipFill>
                    <a:blip r:embed="rId179"/>
                    <a:stretch>
                      <a:fillRect/>
                    </a:stretch>
                  </pic:blipFill>
                  <pic:spPr bwMode="auto">
                    <a:xfrm>
                      <a:off x="0" y="0"/>
                      <a:ext cx="5370188" cy="2088746"/>
                    </a:xfrm>
                    <a:prstGeom prst="rect">
                      <a:avLst/>
                    </a:prstGeom>
                    <a:noFill/>
                    <a:ln w="9525">
                      <a:noFill/>
                      <a:headEnd/>
                      <a:tailEnd/>
                    </a:ln>
                  </pic:spPr>
                </pic:pic>
              </a:graphicData>
            </a:graphic>
          </wp:inline>
        </w:drawing>
      </w:r>
    </w:p>
    <w:bookmarkEnd w:id="182"/>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097"/>
        </w:numPr>
      </w:pPr>
      <w:r>
        <w:rPr>
          <w:b/>
          <w:bCs/>
        </w:rPr>
        <w:t xml:space="preserve">Implicaciones</w:t>
      </w:r>
      <w:r>
        <w:t xml:space="preserve"> </w:t>
      </w:r>
      <w:r>
        <w:t xml:space="preserve">del ADPR:</w:t>
      </w:r>
    </w:p>
    <w:p>
      <w:pPr>
        <w:numPr>
          <w:ilvl w:val="1"/>
          <w:numId w:val="109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3"/>
      </w:r>
    </w:p>
    <w:p>
      <w:pPr>
        <w:numPr>
          <w:ilvl w:val="1"/>
          <w:numId w:val="109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r>
          <m:t>p</m:t>
        </m:r>
      </m:oMath>
      <w:r>
        <w:t xml:space="preserve"> </w:t>
      </w:r>
      <w:r>
        <w:t xml:space="preserve">a</w:t>
      </w:r>
      <w:r>
        <w:t xml:space="preserve"> </w:t>
      </w:r>
      <m:oMath>
        <m:r>
          <m:t>p</m:t>
        </m:r>
        <m:r>
          <m:rPr>
            <m:sty m:val="p"/>
          </m:rPr>
          <m:t>′</m:t>
        </m:r>
      </m:oMath>
      <w:r>
        <w:t xml:space="preserve"> </w:t>
      </w:r>
      <w:r>
        <w:t xml:space="preserve">y se compensa la renta para que el consumidor pueda seguir comprando la cesta inicial,</w:t>
      </w:r>
      <w:r>
        <w:t xml:space="preserve"> </w:t>
      </w:r>
      <m:oMath>
        <m:bar>
          <m:barPr>
            <m:pos m:val="top"/>
          </m:barPr>
          <m:e>
            <m:r>
              <m:t>W</m:t>
            </m:r>
          </m:e>
        </m:bar>
        <m:r>
          <m:rPr>
            <m:sty m:val="p"/>
          </m:rPr>
          <m:t>′</m:t>
        </m:r>
        <m:r>
          <m:rPr>
            <m:sty m:val="p"/>
          </m:rPr>
          <m:t>=</m:t>
        </m:r>
        <m:r>
          <m:t>p</m:t>
        </m:r>
        <m:r>
          <m:rPr>
            <m:sty m:val="p"/>
          </m:rPr>
          <m:t>′</m:t>
        </m:r>
        <m:r>
          <m:rPr>
            <m:sty m:val="p"/>
          </m:rPr>
          <m:t>⋅</m:t>
        </m:r>
        <m:r>
          <m:t>x</m:t>
        </m:r>
        <m:d>
          <m:dPr>
            <m:begChr m:val="("/>
            <m:sepChr m:val=""/>
            <m:endChr m:val=")"/>
            <m:grow/>
          </m:dPr>
          <m:e>
            <m:r>
              <m:t>p</m:t>
            </m:r>
            <m:r>
              <m:rPr>
                <m:sty m:val="p"/>
              </m:rPr>
              <m:t>,</m:t>
            </m:r>
            <m:bar>
              <m:barPr>
                <m:pos m:val="top"/>
              </m:barPr>
              <m:e>
                <m:r>
                  <m:t>W</m:t>
                </m:r>
              </m:e>
            </m:bar>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d>
                <m:dPr>
                  <m:begChr m:val="("/>
                  <m:sepChr m:val=""/>
                  <m:endChr m:val=")"/>
                  <m:grow/>
                </m:dPr>
                <m:e>
                  <m:r>
                    <m:t>p</m:t>
                  </m:r>
                  <m:r>
                    <m:rPr>
                      <m:sty m:val="p"/>
                    </m:rPr>
                    <m:t>′</m:t>
                  </m:r>
                  <m:r>
                    <m:rPr>
                      <m:sty m:val="p"/>
                    </m:rPr>
                    <m:t>,</m:t>
                  </m:r>
                  <m:bar>
                    <m:barPr>
                      <m:pos m:val="top"/>
                    </m:barPr>
                    <m:e>
                      <m:r>
                        <m:t>W</m:t>
                      </m:r>
                    </m:e>
                  </m:bar>
                  <m:r>
                    <m:rPr>
                      <m:sty m:val="p"/>
                    </m:rPr>
                    <m:t>′</m:t>
                  </m:r>
                </m:e>
              </m:d>
              <m:r>
                <m:rPr>
                  <m:sty m:val="p"/>
                </m:rPr>
                <m:t>−</m:t>
              </m:r>
              <m:r>
                <m:t>x</m:t>
              </m:r>
              <m:d>
                <m:dPr>
                  <m:begChr m:val="("/>
                  <m:sepChr m:val=""/>
                  <m:endChr m:val=")"/>
                  <m:grow/>
                </m:dPr>
                <m:e>
                  <m:r>
                    <m:t>p</m:t>
                  </m:r>
                  <m:r>
                    <m:rPr>
                      <m:sty m:val="p"/>
                    </m:rPr>
                    <m:t>,</m:t>
                  </m:r>
                  <m:bar>
                    <m:barPr>
                      <m:pos m:val="top"/>
                    </m:barPr>
                    <m:e>
                      <m:r>
                        <m:t>W</m:t>
                      </m:r>
                    </m:e>
                  </m:bar>
                </m:e>
              </m:d>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09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4"/>
    <w:bookmarkStart w:id="190" w:name="X03ad5a7673dae3e81b501ae31e239104d667e31"/>
    <w:p>
      <w:pPr>
        <w:pStyle w:val="Heading3"/>
      </w:pPr>
      <w:r>
        <w:t xml:space="preserve">III.1.4.</w:t>
      </w:r>
      <w:r>
        <w:t xml:space="preserve"> </w:t>
      </w:r>
      <w:r>
        <w:t xml:space="preserve">El axioma fuerte de la preferencia revelada</w:t>
      </w:r>
    </w:p>
    <w:p>
      <w:pPr>
        <w:numPr>
          <w:ilvl w:val="0"/>
          <w:numId w:val="1099"/>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099"/>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09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5"/>
      </w:r>
    </w:p>
    <w:p>
      <w:pPr>
        <w:numPr>
          <w:ilvl w:val="0"/>
          <w:numId w:val="1099"/>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89"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7" name="Picture"/>
            <a:graphic>
              <a:graphicData uri="http://schemas.openxmlformats.org/drawingml/2006/picture">
                <pic:pic>
                  <pic:nvPicPr>
                    <pic:cNvPr descr="C:\Users\vgutierrez\Documents\src\victorgutierrezmarcos.github.io-revision\oposicion\temario\fuentes\3A08\graficos/afpr.png" id="188" name="Picture"/>
                    <pic:cNvPicPr>
                      <a:picLocks noChangeArrowheads="1" noChangeAspect="1"/>
                    </pic:cNvPicPr>
                  </pic:nvPicPr>
                  <pic:blipFill>
                    <a:blip r:embed="rId186"/>
                    <a:stretch>
                      <a:fillRect/>
                    </a:stretch>
                  </pic:blipFill>
                  <pic:spPr bwMode="auto">
                    <a:xfrm>
                      <a:off x="0" y="0"/>
                      <a:ext cx="3682065" cy="2113212"/>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t xml:space="preserve">Varian (</w:t>
      </w:r>
      <w:hyperlink w:anchor="ref-Varian2016Intermedia">
        <w:r>
          <w:rPr>
            <w:rStyle w:val="Hyperlink"/>
          </w:rPr>
          <w:t xml:space="preserve">2016, cap. 7</w:t>
        </w:r>
      </w:hyperlink>
      <w:r>
        <w:t xml:space="preserve">)</w:t>
      </w:r>
      <w:r>
        <w:t xml:space="preserve">.</w:t>
      </w:r>
    </w:p>
    <w:bookmarkEnd w:id="190"/>
    <w:bookmarkStart w:id="195" w:name="aplicaciones-y-valoración"/>
    <w:p>
      <w:pPr>
        <w:pStyle w:val="Heading3"/>
      </w:pPr>
      <w:r>
        <w:t xml:space="preserve">III.1.5.</w:t>
      </w:r>
      <w:r>
        <w:t xml:space="preserve"> </w:t>
      </w:r>
      <w:r>
        <w:t xml:space="preserve">Aplicaciones y valoración</w:t>
      </w:r>
    </w:p>
    <w:p>
      <w:pPr>
        <w:numPr>
          <w:ilvl w:val="0"/>
          <w:numId w:val="1100"/>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0"/>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0"/>
        </w:numPr>
      </w:pPr>
      <w:r>
        <w:rPr>
          <w:b/>
          <w:bCs/>
        </w:rPr>
        <w:t xml:space="preserve">Valoración</w:t>
      </w:r>
      <w:r>
        <w:t xml:space="preserve">:</w:t>
      </w:r>
    </w:p>
    <w:p>
      <w:pPr>
        <w:numPr>
          <w:ilvl w:val="1"/>
          <w:numId w:val="1101"/>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1"/>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1"/>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4"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2" name="Picture"/>
            <a:graphic>
              <a:graphicData uri="http://schemas.openxmlformats.org/drawingml/2006/picture">
                <pic:pic>
                  <pic:nvPicPr>
                    <pic:cNvPr descr="C:\Users\vgutierrez\Documents\src\victorgutierrezmarcos.github.io-revision\oposicion\temario\fuentes\3A08\graficos/preferencia-revelada-indiferencia.png" id="193" name="Picture"/>
                    <pic:cNvPicPr>
                      <a:picLocks noChangeArrowheads="1" noChangeAspect="1"/>
                    </pic:cNvPicPr>
                  </pic:nvPicPr>
                  <pic:blipFill>
                    <a:blip r:embed="rId191"/>
                    <a:stretch>
                      <a:fillRect/>
                    </a:stretch>
                  </pic:blipFill>
                  <pic:spPr bwMode="auto">
                    <a:xfrm>
                      <a:off x="0" y="0"/>
                      <a:ext cx="2798247" cy="2055106"/>
                    </a:xfrm>
                    <a:prstGeom prst="rect">
                      <a:avLst/>
                    </a:prstGeom>
                    <a:noFill/>
                    <a:ln w="9525">
                      <a:noFill/>
                      <a:headEnd/>
                      <a:tailEnd/>
                    </a:ln>
                  </pic:spPr>
                </pic:pic>
              </a:graphicData>
            </a:graphic>
          </wp:inline>
        </w:drawing>
      </w:r>
    </w:p>
    <w:bookmarkEnd w:id="194"/>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5"/>
    <w:bookmarkEnd w:id="196"/>
    <w:bookmarkStart w:id="198" w:name="la-producción-doméstica"/>
    <w:p>
      <w:pPr>
        <w:pStyle w:val="Heading2"/>
      </w:pPr>
      <w:r>
        <w:t xml:space="preserve">III.2.</w:t>
      </w:r>
      <w:r>
        <w:t xml:space="preserve"> </w:t>
      </w:r>
      <w:r>
        <w:t xml:space="preserve">La producción doméstica</w:t>
      </w:r>
    </w:p>
    <w:p>
      <w:pPr>
        <w:numPr>
          <w:ilvl w:val="0"/>
          <w:numId w:val="1102"/>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3"/>
        </w:numPr>
      </w:pPr>
      <w:r>
        <w:t xml:space="preserve">Becker (</w:t>
      </w:r>
      <w:hyperlink w:anchor="ref-Becker1965Allocation">
        <w:r>
          <w:rPr>
            <w:rStyle w:val="Hyperlink"/>
          </w:rPr>
          <w:t xml:space="preserve">1965</w:t>
        </w:r>
      </w:hyperlink>
      <w:r>
        <w:t xml:space="preserve">)</w:t>
      </w:r>
      <w:r>
        <w:rPr>
          <w:rStyle w:val="FootnoteReference"/>
        </w:rPr>
        <w:footnoteReference w:id="197"/>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3"/>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completo y su papel en la diferenciación de productos se estudian en</w:t>
      </w:r>
      <w:r>
        <w:t xml:space="preserve"> </w:t>
      </w:r>
      <w:r>
        <w:rPr>
          <w:rStyle w:val="Referenciaatema"/>
        </w:rPr>
        <w:t xml:space="preserve">[ver tema 3.A.18]</w:t>
      </w:r>
      <w:r>
        <w:t xml:space="preserve">; aquí es el antecedente de los precios hedónicos (III.3).</w:t>
      </w:r>
    </w:p>
    <w:p>
      <w:pPr>
        <w:numPr>
          <w:ilvl w:val="0"/>
          <w:numId w:val="1102"/>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r>
            <m:t>V</m:t>
          </m: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r>
          <m:t>V</m:t>
        </m:r>
      </m:oMath>
      <w:r>
        <w:t xml:space="preserve"> </w:t>
      </w:r>
      <w:r>
        <w:t xml:space="preserve">la renta no laboral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r>
            <m:t>V</m:t>
          </m:r>
          <m:r>
            <m:rPr>
              <m:sty m:val="p"/>
            </m:rPr>
            <m:t>.</m:t>
          </m:r>
        </m:oMath>
      </m:oMathPara>
    </w:p>
    <w:p>
      <w:pPr>
        <w:numPr>
          <w:ilvl w:val="1"/>
          <w:numId w:val="1104"/>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2"/>
        </w:numPr>
      </w:pPr>
      <w:r>
        <w:rPr>
          <w:b/>
          <w:bCs/>
          <w:i/>
          <w:iCs/>
        </w:rPr>
        <w:t xml:space="preserve">Implicaciones</w:t>
      </w:r>
      <w:r>
        <w:t xml:space="preserve">:</w:t>
      </w:r>
    </w:p>
    <w:p>
      <w:pPr>
        <w:numPr>
          <w:ilvl w:val="1"/>
          <w:numId w:val="1105"/>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5"/>
        </w:numPr>
      </w:pPr>
      <w:r>
        <w:t xml:space="preserve">Un cambio de precios afecta a la demanda de bienes también a través de la tecnología del hogar, lo que da lugar a nuevos efectos sustitución.</w:t>
      </w:r>
    </w:p>
    <w:p>
      <w:pPr>
        <w:numPr>
          <w:ilvl w:val="1"/>
          <w:numId w:val="1105"/>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2"/>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198"/>
    <w:bookmarkStart w:id="209" w:name="precios-hedónicos"/>
    <w:p>
      <w:pPr>
        <w:pStyle w:val="Heading2"/>
      </w:pPr>
      <w:r>
        <w:t xml:space="preserve">III.3.</w:t>
      </w:r>
      <w:r>
        <w:t xml:space="preserve"> </w:t>
      </w:r>
      <w:r>
        <w:t xml:space="preserve">Precios hedónicos</w:t>
      </w:r>
    </w:p>
    <w:bookmarkStart w:id="199" w:name="idea-y-origen"/>
    <w:p>
      <w:pPr>
        <w:pStyle w:val="Heading3"/>
      </w:pPr>
      <w:r>
        <w:t xml:space="preserve">III.3.1.</w:t>
      </w:r>
      <w:r>
        <w:t xml:space="preserve"> </w:t>
      </w:r>
      <w:r>
        <w:t xml:space="preserve">Idea y origen</w:t>
      </w:r>
    </w:p>
    <w:p>
      <w:pPr>
        <w:numPr>
          <w:ilvl w:val="0"/>
          <w:numId w:val="1106"/>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07"/>
        </w:numPr>
      </w:pPr>
      <w:r>
        <w:t xml:space="preserve">Su fundamento es el enfoque de características de</w:t>
      </w:r>
      <w:r>
        <w:t xml:space="preserve"> </w:t>
      </w:r>
      <w:r>
        <w:rPr>
          <w:smallCaps/>
        </w:rPr>
        <w:t xml:space="preserve">Lancaster</w:t>
      </w:r>
      <w:r>
        <w:t xml:space="preserve"> </w:t>
      </w:r>
      <w:r>
        <w:t xml:space="preserve">(III.2):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07"/>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07"/>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199"/>
    <w:bookmarkStart w:id="204" w:name="la-función-hedónica-y-el-modelo-de-rosen"/>
    <w:p>
      <w:pPr>
        <w:pStyle w:val="Heading3"/>
      </w:pPr>
      <w:r>
        <w:t xml:space="preserve">III.3.2.</w:t>
      </w:r>
      <w:r>
        <w:t xml:space="preserve"> </w:t>
      </w:r>
      <w:r>
        <w:t xml:space="preserve">La función hedónica y el modelo de Rosen</w:t>
      </w:r>
    </w:p>
    <w:p>
      <w:pPr>
        <w:numPr>
          <w:ilvl w:val="0"/>
          <w:numId w:val="1108"/>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3"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08342" cy="2455729"/>
            <wp:effectExtent b="0" l="0" r="0" t="0"/>
            <wp:docPr descr="" title="" id="201" name="Picture"/>
            <a:graphic>
              <a:graphicData uri="http://schemas.openxmlformats.org/drawingml/2006/picture">
                <pic:pic>
                  <pic:nvPicPr>
                    <pic:cNvPr descr="C:\Users\vgutierrez\Documents\src\victorgutierrezmarcos.github.io-revision\oposicion\temario\fuentes\3A08\graficos/funcion-hedonica-rosen.png" id="202" name="Picture"/>
                    <pic:cNvPicPr>
                      <a:picLocks noChangeArrowheads="1" noChangeAspect="1"/>
                    </pic:cNvPicPr>
                  </pic:nvPicPr>
                  <pic:blipFill>
                    <a:blip r:embed="rId200"/>
                    <a:stretch>
                      <a:fillRect/>
                    </a:stretch>
                  </pic:blipFill>
                  <pic:spPr bwMode="auto">
                    <a:xfrm>
                      <a:off x="0" y="0"/>
                      <a:ext cx="2908342" cy="2455729"/>
                    </a:xfrm>
                    <a:prstGeom prst="rect">
                      <a:avLst/>
                    </a:prstGeom>
                    <a:noFill/>
                    <a:ln w="9525">
                      <a:noFill/>
                      <a:headEnd/>
                      <a:tailEnd/>
                    </a:ln>
                  </pic:spPr>
                </pic:pic>
              </a:graphicData>
            </a:graphic>
          </wp:inline>
        </w:drawing>
      </w:r>
    </w:p>
    <w:bookmarkEnd w:id="203"/>
    <w:p>
      <w:pPr>
        <w:pStyle w:val="Piedeimagen"/>
      </w:pPr>
      <w:r>
        <w:t xml:space="preserve">Fuente: elaboración propia a partir de</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09"/>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0"/>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0"/>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π</m:t>
            </m:r>
          </m:e>
        </m:d>
      </m:oMath>
      <w:r>
        <w:t xml:space="preserve">, lo mínimo que aceptaría por cada</w:t>
      </w:r>
      <w:r>
        <w:t xml:space="preserve"> </w:t>
      </w:r>
      <m:oMath>
        <m:r>
          <m:t>z</m:t>
        </m:r>
      </m:oMath>
      <w:r>
        <w:t xml:space="preserve"> </w:t>
      </w:r>
      <w:r>
        <w:t xml:space="preserve">obteniendo un beneficio</w:t>
      </w:r>
      <w:r>
        <w:t xml:space="preserve"> </w:t>
      </w:r>
      <m:oMath>
        <m:r>
          <m:t>π</m:t>
        </m:r>
      </m:oMath>
      <w:r>
        <w:t xml:space="preserve">.</w:t>
      </w:r>
    </w:p>
    <w:p>
      <w:pPr>
        <w:numPr>
          <w:ilvl w:val="1"/>
          <w:numId w:val="1110"/>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4"/>
    <w:bookmarkStart w:id="205" w:name="estimación"/>
    <w:p>
      <w:pPr>
        <w:pStyle w:val="Heading3"/>
      </w:pPr>
      <w:r>
        <w:t xml:space="preserve">III.3.3.</w:t>
      </w:r>
      <w:r>
        <w:t xml:space="preserve"> </w:t>
      </w:r>
      <w:r>
        <w:t xml:space="preserve">Estimación</w:t>
      </w:r>
    </w:p>
    <w:p>
      <w:pPr>
        <w:numPr>
          <w:ilvl w:val="0"/>
          <w:numId w:val="1111"/>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1"/>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5"/>
    <w:bookmarkStart w:id="207" w:name="aplicaciones"/>
    <w:p>
      <w:pPr>
        <w:pStyle w:val="Heading3"/>
      </w:pPr>
      <w:r>
        <w:t xml:space="preserve">III.3.4.</w:t>
      </w:r>
      <w:r>
        <w:t xml:space="preserve"> </w:t>
      </w:r>
      <w:r>
        <w:t xml:space="preserve">Aplicaciones</w:t>
      </w:r>
    </w:p>
    <w:p>
      <w:pPr>
        <w:numPr>
          <w:ilvl w:val="0"/>
          <w:numId w:val="1112"/>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3"/>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3"/>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3"/>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2"/>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6"/>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2"/>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7"/>
    <w:bookmarkStart w:id="208" w:name="limitaciones"/>
    <w:p>
      <w:pPr>
        <w:pStyle w:val="Heading3"/>
      </w:pPr>
      <w:r>
        <w:t xml:space="preserve">III.3.5.</w:t>
      </w:r>
      <w:r>
        <w:t xml:space="preserve"> </w:t>
      </w:r>
      <w:r>
        <w:t xml:space="preserve">Limitaciones</w:t>
      </w:r>
    </w:p>
    <w:p>
      <w:pPr>
        <w:numPr>
          <w:ilvl w:val="0"/>
          <w:numId w:val="1114"/>
        </w:numPr>
      </w:pPr>
      <w:r>
        <w:t xml:space="preserve">El resultado depende de la forma funcional y de las características que se incluyan (sesgo por variables omitidas, multicolinealidad entre características).</w:t>
      </w:r>
    </w:p>
    <w:p>
      <w:pPr>
        <w:numPr>
          <w:ilvl w:val="0"/>
          <w:numId w:val="1114"/>
        </w:numPr>
      </w:pPr>
      <w:r>
        <w:t xml:space="preserve">La segunda etapa está mal identificada.</w:t>
      </w:r>
    </w:p>
    <w:p>
      <w:pPr>
        <w:numPr>
          <w:ilvl w:val="0"/>
          <w:numId w:val="1114"/>
        </w:numPr>
      </w:pPr>
      <w:r>
        <w:t xml:space="preserve">Supone un mercado en equilibrio, competitivo y con información perfecta sobre las características, algo dudoso, por ejemplo, en la vivienda.</w:t>
      </w:r>
    </w:p>
    <w:p>
      <w:pPr>
        <w:numPr>
          <w:ilvl w:val="0"/>
          <w:numId w:val="1114"/>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08"/>
    <w:bookmarkEnd w:id="209"/>
    <w:bookmarkEnd w:id="210"/>
    <w:bookmarkStart w:id="213" w:name="conclusión"/>
    <w:p>
      <w:pPr>
        <w:pStyle w:val="Heading1"/>
      </w:pPr>
      <w:r>
        <w:t xml:space="preserve">Conclusión</w:t>
      </w:r>
    </w:p>
    <w:p>
      <w:pPr>
        <w:numPr>
          <w:ilvl w:val="0"/>
          <w:numId w:val="1115"/>
        </w:numPr>
      </w:pPr>
      <w:r>
        <w:rPr>
          <w:b/>
          <w:bCs/>
          <w:i/>
          <w:iCs/>
        </w:rPr>
        <w:t xml:space="preserve">Recapitulación</w:t>
      </w:r>
      <w:r>
        <w:t xml:space="preserve">:</w:t>
      </w:r>
    </w:p>
    <w:p>
      <w:pPr>
        <w:numPr>
          <w:ilvl w:val="1"/>
          <w:numId w:val="1116"/>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16"/>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16"/>
        </w:numPr>
      </w:pPr>
      <w:r>
        <w:t xml:space="preserve">Y hemos visto tres desarrollos que acercan la teoría a lo observable: la preferencia revelada, la producción doméstica y los precios hedónicos (III).</w:t>
      </w:r>
    </w:p>
    <w:p>
      <w:pPr>
        <w:numPr>
          <w:ilvl w:val="0"/>
          <w:numId w:val="1115"/>
        </w:numPr>
      </w:pPr>
      <w:r>
        <w:rPr>
          <w:b/>
          <w:bCs/>
          <w:i/>
          <w:iCs/>
        </w:rPr>
        <w:t xml:space="preserve">Valoración</w:t>
      </w:r>
      <w:r>
        <w:t xml:space="preserve">:</w:t>
      </w:r>
    </w:p>
    <w:p>
      <w:pPr>
        <w:numPr>
          <w:ilvl w:val="1"/>
          <w:numId w:val="1117"/>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17"/>
        </w:numPr>
      </w:pPr>
      <w:r>
        <w:t xml:space="preserve">Su estatus empírico es más discutible:</w:t>
      </w:r>
    </w:p>
    <w:p>
      <w:pPr>
        <w:numPr>
          <w:ilvl w:val="2"/>
          <w:numId w:val="1118"/>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18"/>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18"/>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1"/>
      </w:r>
    </w:p>
    <w:p>
      <w:pPr>
        <w:numPr>
          <w:ilvl w:val="2"/>
          <w:numId w:val="1118"/>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17"/>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5"/>
        </w:numPr>
      </w:pPr>
      <w:r>
        <w:rPr>
          <w:b/>
          <w:bCs/>
          <w:i/>
          <w:iCs/>
        </w:rPr>
        <w:t xml:space="preserve">Extensiones y relación con otras partes del temario</w:t>
      </w:r>
      <w:r>
        <w:t xml:space="preserve">:</w:t>
      </w:r>
    </w:p>
    <w:p>
      <w:pPr>
        <w:numPr>
          <w:ilvl w:val="1"/>
          <w:numId w:val="1119"/>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w:t>
      </w:r>
      <w:r>
        <w:t xml:space="preserve"> </w:t>
      </w:r>
      <w:r>
        <w:rPr>
          <w:rStyle w:val="Referenciaatema"/>
        </w:rPr>
        <w:t xml:space="preserve">[ver tema 3.A.9]</w:t>
      </w:r>
      <w:r>
        <w:t xml:space="preserve">.</w:t>
      </w:r>
      <w:r>
        <w:rPr>
          <w:rStyle w:val="FootnoteReference"/>
        </w:rPr>
        <w:footnoteReference w:id="212"/>
      </w:r>
    </w:p>
    <w:p>
      <w:pPr>
        <w:numPr>
          <w:ilvl w:val="1"/>
          <w:numId w:val="1119"/>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19"/>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19"/>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5"/>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bookmarkEnd w:id="213"/>
    <w:bookmarkStart w:id="219" w:name="anexo:cardinal"/>
    <w:p>
      <w:pPr>
        <w:pStyle w:val="Heading1"/>
      </w:pPr>
      <w:r>
        <w:t xml:space="preserve">A.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w:t>
      </w:r>
    </w:p>
    <w:p>
      <w:pPr>
        <w:numPr>
          <w:ilvl w:val="0"/>
          <w:numId w:val="1120"/>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20"/>
        </w:numPr>
      </w:pPr>
      <w:r>
        <w:rPr>
          <w:b/>
          <w:bCs/>
          <w:i/>
          <w:iCs/>
        </w:rPr>
        <w:t xml:space="preserve">Supuestos</w:t>
      </w:r>
      <w:r>
        <w:t xml:space="preserve"> </w:t>
      </w:r>
      <w:r>
        <w:t xml:space="preserve">sobre la función de utilidad:</w:t>
      </w:r>
    </w:p>
    <w:p>
      <w:pPr>
        <w:numPr>
          <w:ilvl w:val="1"/>
          <w:numId w:val="1121"/>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14"/>
      </w:r>
    </w:p>
    <w:p>
      <w:pPr>
        <w:numPr>
          <w:ilvl w:val="1"/>
          <w:numId w:val="1121"/>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21"/>
        </w:numPr>
      </w:pPr>
      <w:r>
        <w:rPr>
          <w:i/>
          <w:iCs/>
        </w:rPr>
        <w:t xml:space="preserve">creciente</w:t>
      </w:r>
      <w:r>
        <w:t xml:space="preserve"> </w:t>
      </w:r>
      <w:r>
        <w:t xml:space="preserve">en cada bien y en el dinero;</w:t>
      </w:r>
    </w:p>
    <w:p>
      <w:pPr>
        <w:numPr>
          <w:ilvl w:val="1"/>
          <w:numId w:val="1121"/>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21"/>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20"/>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22)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18" w:name="fig:demanda-cardinal"/>
    <w:p>
      <w:pPr>
        <w:pStyle w:val="ImageCaption"/>
      </w:pPr>
      <w:r>
        <w:t xml:space="preserve">Gráfico 22.–</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16" name="Picture"/>
            <a:graphic>
              <a:graphicData uri="http://schemas.openxmlformats.org/drawingml/2006/picture">
                <pic:pic>
                  <pic:nvPicPr>
                    <pic:cNvPr descr="C:\Users\vgutierrez\Documents\src\victorgutierrezmarcos.github.io-revision\oposicion\temario\fuentes\3A08\graficos/demanda-cardinal.png" id="217" name="Picture"/>
                    <pic:cNvPicPr>
                      <a:picLocks noChangeArrowheads="1" noChangeAspect="1"/>
                    </pic:cNvPicPr>
                  </pic:nvPicPr>
                  <pic:blipFill>
                    <a:blip r:embed="rId215"/>
                    <a:stretch>
                      <a:fillRect/>
                    </a:stretch>
                  </pic:blipFill>
                  <pic:spPr bwMode="auto">
                    <a:xfrm>
                      <a:off x="0" y="0"/>
                      <a:ext cx="2960331" cy="26728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22"/>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22"/>
        </w:numPr>
      </w:pPr>
      <w:r>
        <w:rPr>
          <w:b/>
          <w:bCs/>
          <w:i/>
          <w:iCs/>
        </w:rPr>
        <w:t xml:space="preserve">Valoración</w:t>
      </w:r>
      <w:r>
        <w:t xml:space="preserve">:</w:t>
      </w:r>
    </w:p>
    <w:p>
      <w:pPr>
        <w:numPr>
          <w:ilvl w:val="1"/>
          <w:numId w:val="1123"/>
        </w:numPr>
      </w:pPr>
      <w:r>
        <w:t xml:space="preserve">la utilidad cardinal exige más información de la necesaria: para derivar la demanda basta con ordenar las cestas;</w:t>
      </w:r>
    </w:p>
    <w:p>
      <w:pPr>
        <w:numPr>
          <w:ilvl w:val="1"/>
          <w:numId w:val="1123"/>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23"/>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19"/>
    <w:bookmarkStart w:id="229"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0" w:name="der:homogeneidad"/>
    <w:p>
      <w:pPr>
        <w:pStyle w:val="Heading2"/>
      </w:pPr>
      <w:r>
        <w:t xml:space="preserve">B.1. Homogeneidad de grado cero: restricción en elasticidades (teorema de Euler)</w:t>
      </w:r>
    </w:p>
    <w:p>
      <w:pPr>
        <w:numPr>
          <w:ilvl w:val="0"/>
          <w:numId w:val="1124"/>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4"/>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0"/>
    <w:bookmarkStart w:id="221" w:name="der:engel"/>
    <w:p>
      <w:pPr>
        <w:pStyle w:val="Heading2"/>
      </w:pPr>
      <w:r>
        <w:t xml:space="preserve">B.2. Agregación de Engel</w:t>
      </w:r>
    </w:p>
    <w:p>
      <w:pPr>
        <w:numPr>
          <w:ilvl w:val="0"/>
          <w:numId w:val="1125"/>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5"/>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1"/>
    <w:bookmarkStart w:id="222" w:name="der:cournot"/>
    <w:p>
      <w:pPr>
        <w:pStyle w:val="Heading2"/>
      </w:pPr>
      <w:r>
        <w:t xml:space="preserve">B.3. Agregación de Cournot</w:t>
      </w:r>
    </w:p>
    <w:p>
      <w:pPr>
        <w:numPr>
          <w:ilvl w:val="0"/>
          <w:numId w:val="1126"/>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6"/>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6"/>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2"/>
    <w:bookmarkStart w:id="223" w:name="der:roy"/>
    <w:p>
      <w:pPr>
        <w:pStyle w:val="Heading2"/>
      </w:pPr>
      <w:r>
        <w:t xml:space="preserve">B.4. Identidad de Roy</w:t>
      </w:r>
    </w:p>
    <w:p>
      <w:pPr>
        <w:numPr>
          <w:ilvl w:val="0"/>
          <w:numId w:val="1127"/>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7"/>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3"/>
    <w:bookmarkStart w:id="224" w:name="der:slutsky"/>
    <w:p>
      <w:pPr>
        <w:pStyle w:val="Heading2"/>
      </w:pPr>
      <w:r>
        <w:t xml:space="preserve">B.5. Ecuación de Slutsky</w:t>
      </w:r>
    </w:p>
    <w:p>
      <w:pPr>
        <w:numPr>
          <w:ilvl w:val="0"/>
          <w:numId w:val="1128"/>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8"/>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8"/>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8"/>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4"/>
    <w:bookmarkStart w:id="225" w:name="der:matriz-slutsky"/>
    <w:p>
      <w:pPr>
        <w:pStyle w:val="Heading2"/>
      </w:pPr>
      <w:r>
        <w:t xml:space="preserve">B.6. Propiedades de la matriz de Slutsky: negatividad, simetría y sustitutivos netos</w:t>
      </w:r>
    </w:p>
    <w:p>
      <w:pPr>
        <w:numPr>
          <w:ilvl w:val="0"/>
          <w:numId w:val="1129"/>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29"/>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29"/>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29"/>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5"/>
    <w:bookmarkStart w:id="226" w:name="der:adpr"/>
    <w:p>
      <w:pPr>
        <w:pStyle w:val="Heading2"/>
      </w:pPr>
      <w:r>
        <w:t xml:space="preserve">B.7. Ley de la demanda compensada a partir del axioma débil</w:t>
      </w:r>
    </w:p>
    <w:p>
      <w:pPr>
        <w:numPr>
          <w:ilvl w:val="0"/>
          <w:numId w:val="1130"/>
        </w:numPr>
      </w:pPr>
      <w:r>
        <w:t xml:space="preserve">Sean</w:t>
      </w:r>
      <w:r>
        <w:t xml:space="preserve"> </w:t>
      </w:r>
      <m:oMath>
        <m:r>
          <m:t>x</m:t>
        </m:r>
        <m:r>
          <m:rPr>
            <m:sty m:val="p"/>
          </m:rPr>
          <m:t>=</m:t>
        </m:r>
        <m:r>
          <m:t>x</m:t>
        </m:r>
        <m:d>
          <m:dPr>
            <m:begChr m:val="("/>
            <m:sepChr m:val=""/>
            <m:endChr m:val=")"/>
            <m:grow/>
          </m:dPr>
          <m:e>
            <m:r>
              <m:t>p</m:t>
            </m:r>
            <m:r>
              <m:rPr>
                <m:sty m:val="p"/>
              </m:rPr>
              <m:t>,</m:t>
            </m:r>
            <m:bar>
              <m:barPr>
                <m:pos m:val="top"/>
              </m:barPr>
              <m:e>
                <m:r>
                  <m:t>W</m:t>
                </m:r>
              </m:e>
            </m:bar>
          </m:e>
        </m:d>
      </m:oMath>
      <w:r>
        <w:t xml:space="preserve"> </w:t>
      </w:r>
      <w:r>
        <w:t xml:space="preserve">y, tras el cambio de precios con compensación de</w:t>
      </w:r>
      <w:r>
        <w:t xml:space="preserve"> </w:t>
      </w:r>
      <w:r>
        <w:rPr>
          <w:smallCaps/>
        </w:rPr>
        <w:t xml:space="preserve">Slutsky</w:t>
      </w:r>
      <w:r>
        <w:t xml:space="preserve">,</w:t>
      </w:r>
      <w:r>
        <w:t xml:space="preserve"> </w:t>
      </w:r>
      <m:oMath>
        <m:bar>
          <m:barPr>
            <m:pos m:val="top"/>
          </m:barPr>
          <m:e>
            <m:r>
              <m:t>W</m:t>
            </m:r>
          </m:e>
        </m:bar>
        <m:r>
          <m:rPr>
            <m:sty m:val="p"/>
          </m:rPr>
          <m:t>′</m:t>
        </m:r>
        <m:r>
          <m:rPr>
            <m:sty m:val="p"/>
          </m:rPr>
          <m:t>=</m:t>
        </m:r>
        <m:r>
          <m:t>p</m:t>
        </m:r>
        <m:r>
          <m:rPr>
            <m:sty m:val="p"/>
          </m:rPr>
          <m:t>′</m:t>
        </m:r>
        <m:r>
          <m:rPr>
            <m:sty m:val="p"/>
          </m:rPr>
          <m:t>⋅</m:t>
        </m:r>
        <m:r>
          <m:t>x</m:t>
        </m:r>
      </m:oMath>
      <w:r>
        <w:t xml:space="preserve"> </w:t>
      </w:r>
      <w:r>
        <w:t xml:space="preserve">y</w:t>
      </w:r>
      <w:r>
        <w:t xml:space="preserve"> </w:t>
      </w:r>
      <m:oMath>
        <m:r>
          <m:t>x</m:t>
        </m:r>
        <m:r>
          <m:rPr>
            <m:sty m:val="p"/>
          </m:rPr>
          <m:t>′</m:t>
        </m:r>
        <m:r>
          <m:rPr>
            <m:sty m:val="p"/>
          </m:rPr>
          <m:t>=</m:t>
        </m:r>
        <m:r>
          <m:t>x</m:t>
        </m:r>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m:t>
          </m:r>
          <m:r>
            <m:t>p</m:t>
          </m:r>
          <m:r>
            <m:rPr>
              <m:sty m:val="p"/>
            </m:rPr>
            <m:t>′</m:t>
          </m:r>
          <m:r>
            <m:rPr>
              <m:sty m:val="p"/>
            </m:rPr>
            <m:t>⋅</m:t>
          </m:r>
          <m:d>
            <m:dPr>
              <m:begChr m:val="("/>
              <m:sepChr m:val=""/>
              <m:endChr m:val=")"/>
              <m:grow/>
            </m:dPr>
            <m:e>
              <m:r>
                <m:t>x</m:t>
              </m:r>
              <m:r>
                <m:rPr>
                  <m:sty m:val="p"/>
                </m:rPr>
                <m:t>′</m:t>
              </m:r>
              <m:r>
                <m:rPr>
                  <m:sty m:val="p"/>
                </m:rPr>
                <m:t>−</m:t>
              </m:r>
              <m:r>
                <m:t>x</m:t>
              </m:r>
            </m:e>
          </m:d>
          <m:r>
            <m:rPr>
              <m:sty m:val="p"/>
            </m:rPr>
            <m:t>−</m:t>
          </m:r>
          <m:r>
            <m:t>p</m:t>
          </m:r>
          <m:r>
            <m:rPr>
              <m:sty m:val="p"/>
            </m:rPr>
            <m:t>⋅</m:t>
          </m:r>
          <m:d>
            <m:dPr>
              <m:begChr m:val="("/>
              <m:sepChr m:val=""/>
              <m:endChr m:val=")"/>
              <m:grow/>
            </m:dPr>
            <m:e>
              <m:r>
                <m:t>x</m:t>
              </m:r>
              <m:r>
                <m:rPr>
                  <m:sty m:val="p"/>
                </m:rPr>
                <m:t>′</m:t>
              </m:r>
              <m:r>
                <m:rPr>
                  <m:sty m:val="p"/>
                </m:rPr>
                <m:t>−</m:t>
              </m:r>
              <m:r>
                <m:t>x</m:t>
              </m:r>
            </m:e>
          </m:d>
          <m:r>
            <m:rPr>
              <m:sty m:val="p"/>
            </m:rPr>
            <m:t>.</m:t>
          </m:r>
        </m:oMath>
      </m:oMathPara>
    </w:p>
    <w:p>
      <w:pPr>
        <w:numPr>
          <w:ilvl w:val="0"/>
          <w:numId w:val="1130"/>
        </w:numPr>
      </w:pPr>
      <w:r>
        <w:t xml:space="preserve">El primer término es nulo: por la ley de</w:t>
      </w:r>
      <w:r>
        <w:t xml:space="preserve"> </w:t>
      </w:r>
      <w:r>
        <w:rPr>
          <w:smallCaps/>
        </w:rPr>
        <w:t xml:space="preserve">Walras</w:t>
      </w:r>
      <w:r>
        <w:t xml:space="preserve">,</w:t>
      </w:r>
      <w:r>
        <w:t xml:space="preserve"> </w:t>
      </w:r>
      <m:oMath>
        <m:r>
          <m:t>p</m:t>
        </m:r>
        <m:r>
          <m:rPr>
            <m:sty m:val="p"/>
          </m:rPr>
          <m:t>′</m:t>
        </m:r>
        <m:r>
          <m:rPr>
            <m:sty m:val="p"/>
          </m:rPr>
          <m:t>⋅</m:t>
        </m:r>
        <m:r>
          <m:t>x</m:t>
        </m:r>
        <m:r>
          <m:rPr>
            <m:sty m:val="p"/>
          </m:rPr>
          <m:t>′</m:t>
        </m:r>
        <m:r>
          <m:rPr>
            <m:sty m:val="p"/>
          </m:rPr>
          <m:t>=</m:t>
        </m:r>
        <m:bar>
          <m:barPr>
            <m:pos m:val="top"/>
          </m:barPr>
          <m:e>
            <m:r>
              <m:t>W</m:t>
            </m:r>
          </m:e>
        </m:bar>
        <m:r>
          <m:rPr>
            <m:sty m:val="p"/>
          </m:rPr>
          <m:t>′</m:t>
        </m:r>
        <m:r>
          <m:rPr>
            <m:sty m:val="p"/>
          </m:rPr>
          <m:t>=</m:t>
        </m:r>
        <m:r>
          <m:t>p</m:t>
        </m:r>
        <m:r>
          <m:rPr>
            <m:sty m:val="p"/>
          </m:rPr>
          <m:t>′</m:t>
        </m:r>
        <m:r>
          <m:rPr>
            <m:sty m:val="p"/>
          </m:rPr>
          <m:t>⋅</m:t>
        </m:r>
        <m:r>
          <m:t>x</m:t>
        </m:r>
      </m:oMath>
      <w:r>
        <w:t xml:space="preserve">.</w:t>
      </w:r>
    </w:p>
    <w:p>
      <w:pPr>
        <w:numPr>
          <w:ilvl w:val="0"/>
          <w:numId w:val="1130"/>
        </w:numPr>
      </w:pPr>
      <w:r>
        <w:t xml:space="preserve">Si</w:t>
      </w:r>
      <w:r>
        <w:t xml:space="preserve"> </w:t>
      </w:r>
      <m:oMath>
        <m:r>
          <m:t>x</m:t>
        </m:r>
        <m:r>
          <m:rPr>
            <m:sty m:val="p"/>
          </m:rPr>
          <m:t>′</m:t>
        </m:r>
        <m:r>
          <m:rPr>
            <m:sty m:val="p"/>
          </m:rPr>
          <m:t>=</m:t>
        </m:r>
        <m:r>
          <m:t>x</m:t>
        </m:r>
      </m:oMath>
      <w:r>
        <w:t xml:space="preserve">, todo es cero. Si</w:t>
      </w:r>
      <w:r>
        <w:t xml:space="preserve"> </w:t>
      </w:r>
      <m:oMath>
        <m:r>
          <m:t>x</m:t>
        </m:r>
        <m:r>
          <m:rPr>
            <m:sty m:val="p"/>
          </m:rPr>
          <m:t>′</m:t>
        </m:r>
        <m:r>
          <m:rPr>
            <m:sty m:val="p"/>
          </m:rPr>
          <m:t>≠</m:t>
        </m:r>
        <m:r>
          <m:t>x</m:t>
        </m:r>
      </m:oMath>
      <w:r>
        <w:t xml:space="preserve">, la cesta</w:t>
      </w:r>
      <w:r>
        <w:t xml:space="preserve"> </w:t>
      </w:r>
      <m:oMath>
        <m:r>
          <m:t>x</m:t>
        </m:r>
      </m:oMath>
      <w:r>
        <w:t xml:space="preserve"> </w:t>
      </w:r>
      <w:r>
        <w:t xml:space="preserve">era asequible en</w:t>
      </w:r>
      <w:r>
        <w:t xml:space="preserve"> </w:t>
      </w:r>
      <m:oMath>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y se eligió</w:t>
      </w:r>
      <w:r>
        <w:t xml:space="preserve"> </w:t>
      </w:r>
      <m:oMath>
        <m:r>
          <m:t>x</m:t>
        </m:r>
        <m:r>
          <m:rPr>
            <m:sty m:val="p"/>
          </m:rPr>
          <m:t>′</m:t>
        </m:r>
      </m:oMath>
      <w:r>
        <w:t xml:space="preserve">:</w:t>
      </w:r>
      <w:r>
        <w:t xml:space="preserve"> </w:t>
      </w:r>
      <m:oMath>
        <m:r>
          <m:t>x</m:t>
        </m:r>
        <m:r>
          <m:rPr>
            <m:sty m:val="p"/>
          </m:rPr>
          <m:t>′</m:t>
        </m:r>
      </m:oMath>
      <w:r>
        <w:t xml:space="preserve"> </w:t>
      </w:r>
      <w:r>
        <w:t xml:space="preserve">se revela preferida a</w:t>
      </w:r>
      <w:r>
        <w:t xml:space="preserve"> </w:t>
      </w:r>
      <m:oMath>
        <m:r>
          <m:t>x</m:t>
        </m:r>
      </m:oMath>
      <w:r>
        <w:t xml:space="preserve">. Por el ADPR,</w:t>
      </w:r>
      <w:r>
        <w:t xml:space="preserve"> </w:t>
      </w:r>
      <m:oMath>
        <m:r>
          <m:t>x</m:t>
        </m:r>
        <m:r>
          <m:rPr>
            <m:sty m:val="p"/>
          </m:rPr>
          <m:t>′</m:t>
        </m:r>
      </m:oMath>
      <w:r>
        <w:t xml:space="preserve"> </w:t>
      </w:r>
      <w:r>
        <w:t xml:space="preserve">no puede ser asequible cuando se eligió</w:t>
      </w:r>
      <w:r>
        <w:t xml:space="preserve"> </w:t>
      </w:r>
      <m:oMath>
        <m:r>
          <m:t>x</m:t>
        </m:r>
      </m:oMath>
      <w:r>
        <w:t xml:space="preserve">:</w:t>
      </w:r>
      <w:r>
        <w:t xml:space="preserve"> </w:t>
      </w:r>
      <m:oMath>
        <m:r>
          <m:t>p</m:t>
        </m:r>
        <m:r>
          <m:rPr>
            <m:sty m:val="p"/>
          </m:rPr>
          <m:t>⋅</m:t>
        </m:r>
        <m:r>
          <m:t>x</m:t>
        </m:r>
        <m:r>
          <m:rPr>
            <m:sty m:val="p"/>
          </m:rPr>
          <m:t>′</m:t>
        </m:r>
        <m:r>
          <m:rPr>
            <m:sty m:val="p"/>
          </m:rPr>
          <m:t>&gt;</m:t>
        </m:r>
        <m:bar>
          <m:barPr>
            <m:pos m:val="top"/>
          </m:barPr>
          <m:e>
            <m:r>
              <m:t>W</m:t>
            </m:r>
          </m:e>
        </m:bar>
        <m:r>
          <m:rPr>
            <m:sty m:val="p"/>
          </m:rPr>
          <m:t>=</m:t>
        </m:r>
        <m:r>
          <m:t>p</m:t>
        </m:r>
        <m:r>
          <m:rPr>
            <m:sty m:val="p"/>
          </m:rPr>
          <m:t>⋅</m:t>
        </m:r>
        <m:r>
          <m:t>x</m:t>
        </m:r>
      </m:oMath>
      <w:r>
        <w:t xml:space="preserve">, es decir,</w:t>
      </w:r>
      <w:r>
        <w:t xml:space="preserve"> </w:t>
      </w:r>
      <m:oMath>
        <m:r>
          <m:t>p</m:t>
        </m:r>
        <m:r>
          <m:rPr>
            <m:sty m:val="p"/>
          </m:rPr>
          <m:t>⋅</m:t>
        </m:r>
        <m:d>
          <m:dPr>
            <m:begChr m:val="("/>
            <m:sepChr m:val=""/>
            <m:endChr m:val=")"/>
            <m:grow/>
          </m:dPr>
          <m:e>
            <m:r>
              <m:t>x</m:t>
            </m:r>
            <m:r>
              <m:rPr>
                <m:sty m:val="p"/>
              </m:rPr>
              <m:t>′</m:t>
            </m:r>
            <m:r>
              <m:rPr>
                <m:sty m:val="p"/>
              </m:rPr>
              <m:t>−</m:t>
            </m:r>
            <m:r>
              <m:t>x</m:t>
            </m:r>
          </m:e>
        </m:d>
        <m:r>
          <m:rPr>
            <m:sty m:val="p"/>
          </m:rPr>
          <m:t>&gt;</m:t>
        </m:r>
        <m:r>
          <m:t>0</m:t>
        </m:r>
      </m:oMath>
      <w:r>
        <w:t xml:space="preserve">. Por tanto,</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6"/>
    <w:bookmarkStart w:id="227" w:name="der:cobb-douglas"/>
    <w:p>
      <w:pPr>
        <w:pStyle w:val="Heading2"/>
      </w:pPr>
      <w:r>
        <w:t xml:space="preserve">B.8. Demandas de la Cobb-Douglas</w:t>
      </w:r>
    </w:p>
    <w:p>
      <w:pPr>
        <w:numPr>
          <w:ilvl w:val="0"/>
          <w:numId w:val="1131"/>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1"/>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(34):</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7"/>
    <w:bookmarkStart w:id="228" w:name="der:ces"/>
    <w:p>
      <w:pPr>
        <w:pStyle w:val="Heading2"/>
      </w:pPr>
      <w:r>
        <w:t xml:space="preserve">B.9. La Cobb-Douglas como límite de la CES</w:t>
      </w:r>
    </w:p>
    <w:p>
      <w:pPr>
        <w:numPr>
          <w:ilvl w:val="0"/>
          <w:numId w:val="1132"/>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2"/>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8"/>
    <w:bookmarkEnd w:id="229"/>
    <w:bookmarkStart w:id="233" w:name="anexo:formas"/>
    <w:p>
      <w:pPr>
        <w:pStyle w:val="Heading1"/>
      </w:pPr>
      <w:r>
        <w:t xml:space="preserve">C. Anexo: formas comunes de la función de utilidad</w:t>
      </w:r>
    </w:p>
    <w:p>
      <w:pPr>
        <w:numPr>
          <w:ilvl w:val="0"/>
          <w:numId w:val="1133"/>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4"/>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4"/>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5"/>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5"/>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5"/>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0"/>
      </w:r>
      <w:r>
        <w:t xml:space="preserve"> </w:t>
      </w:r>
      <w:r>
        <w:t xml:space="preserve">Sus propiedades:</w:t>
      </w:r>
    </w:p>
    <w:p>
      <w:pPr>
        <w:numPr>
          <w:ilvl w:val="3"/>
          <w:numId w:val="1136"/>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6"/>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6"/>
        </w:numPr>
      </w:pPr>
      <w:r>
        <w:t xml:space="preserve">su elasticidad de sustitución es constante e igual a uno;</w:t>
      </w:r>
    </w:p>
    <w:p>
      <w:pPr>
        <w:numPr>
          <w:ilvl w:val="3"/>
          <w:numId w:val="1136"/>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6"/>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4"/>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numPr>
          <w:ilvl w:val="0"/>
          <w:numId w:val="1133"/>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1"/>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Se estudian en</w:t>
      </w:r>
      <w:r>
        <w:t xml:space="preserve"> </w:t>
      </w:r>
      <w:r>
        <w:rPr>
          <w:rStyle w:val="Referenciaatema"/>
        </w:rPr>
        <w:t xml:space="preserve">[ver tema 3.A.9]</w:t>
      </w:r>
      <w:r>
        <w:t xml:space="preserve">.</w:t>
      </w:r>
    </w:p>
    <w:p>
      <w:pPr>
        <w:numPr>
          <w:ilvl w:val="0"/>
          <w:numId w:val="1133"/>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η</m:t>
                            </m:r>
                          </m:sup>
                        </m:sSup>
                        <m:r>
                          <m:rPr>
                            <m:sty m:val="p"/>
                          </m:rPr>
                          <m:t>−</m:t>
                        </m:r>
                        <m:r>
                          <m:t>1</m:t>
                        </m:r>
                      </m:num>
                      <m:den>
                        <m:r>
                          <m:t>1</m:t>
                        </m:r>
                        <m:r>
                          <m:rPr>
                            <m:sty m:val="p"/>
                          </m:rPr>
                          <m:t>−</m:t>
                        </m:r>
                        <m:r>
                          <m:t>η</m:t>
                        </m:r>
                      </m:den>
                    </m:f>
                  </m:e>
                  <m:e>
                    <m:r>
                      <m:rPr>
                        <m:nor/>
                        <m:sty m:val="p"/>
                      </m:rPr>
                      <m:t>si </m:t>
                    </m:r>
                    <m:r>
                      <m:t>η</m:t>
                    </m:r>
                    <m:r>
                      <m:rPr>
                        <m:sty m:val="p"/>
                      </m:rPr>
                      <m:t>≥</m:t>
                    </m:r>
                    <m:r>
                      <m:t>0</m:t>
                    </m:r>
                    <m:r>
                      <m:rPr>
                        <m:sty m:val="p"/>
                      </m:rPr>
                      <m:t>,</m:t>
                    </m:r>
                    <m:r>
                      <m:t> </m:t>
                    </m:r>
                    <m:r>
                      <m:t>η</m:t>
                    </m:r>
                    <m:r>
                      <m:rPr>
                        <m:sty m:val="p"/>
                      </m:rPr>
                      <m:t>≠</m:t>
                    </m:r>
                    <m:r>
                      <m:t>1</m:t>
                    </m:r>
                    <m:r>
                      <m:rPr>
                        <m:sty m:val="p"/>
                      </m:rPr>
                      <m:t>,</m:t>
                    </m:r>
                  </m:e>
                </m:mr>
                <m:mr>
                  <m:e>
                    <m:r>
                      <m:rPr>
                        <m:sty m:val="p"/>
                      </m:rPr>
                      <m:t>ln</m:t>
                    </m:r>
                    <m:r>
                      <m:t>C</m:t>
                    </m:r>
                  </m:e>
                  <m:e>
                    <m:r>
                      <m:rPr>
                        <m:nor/>
                        <m:sty m:val="p"/>
                      </m:rPr>
                      <m:t>si </m:t>
                    </m:r>
                    <m:r>
                      <m:t>η</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η</m:t>
        </m:r>
      </m:oMath>
      <w:r>
        <w:t xml:space="preserve">) y un caso particular de las HARA; su elasticidad de sustitución intertemporal es</w:t>
      </w:r>
      <w:r>
        <w:t xml:space="preserve"> </w:t>
      </w:r>
      <m:oMath>
        <m:r>
          <m:t>1</m:t>
        </m:r>
        <m:r>
          <m:rPr>
            <m:sty m:val="p"/>
          </m:rPr>
          <m:t>/</m:t>
        </m:r>
        <m:r>
          <m:t>η</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2"/>
      </w:r>
    </w:p>
    <w:p>
      <w:pPr>
        <w:numPr>
          <w:ilvl w:val="0"/>
          <w:numId w:val="1133"/>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7"/>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σ</m:t>
                  </m:r>
                </m:sup>
              </m:sSup>
            </m:num>
            <m:den>
              <m:r>
                <m:t>1</m:t>
              </m:r>
              <m:r>
                <m:rPr>
                  <m:sty m:val="p"/>
                </m:rPr>
                <m:t>−</m:t>
              </m:r>
              <m:r>
                <m:t>σ</m:t>
              </m:r>
            </m:den>
          </m:f>
          <m:r>
            <m:t> </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σ</m:t>
        </m:r>
        <m:r>
          <m:rPr>
            <m:sty m:val="p"/>
          </m:rPr>
          <m:t>&lt;</m:t>
        </m:r>
        <m:r>
          <m:t>1</m:t>
        </m:r>
      </m:oMath>
      <w:r>
        <w:t xml:space="preserve">, decreciente y convexa si</w:t>
      </w:r>
      <w:r>
        <w:t xml:space="preserve"> </w:t>
      </w:r>
      <m:oMath>
        <m:r>
          <m:t>σ</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7"/>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σ</m:t>
              </m:r>
            </m:den>
          </m:f>
          <m:sSup>
            <m:e>
              <m:d>
                <m:dPr>
                  <m:begChr m:val="("/>
                  <m:sepChr m:val=""/>
                  <m:endChr m:val=")"/>
                  <m:grow/>
                </m:dPr>
                <m:e>
                  <m:r>
                    <m:t>C</m:t>
                  </m:r>
                  <m:r>
                    <m:rPr>
                      <m:sty m:val="p"/>
                    </m:rPr>
                    <m:t>−</m:t>
                  </m:r>
                  <m:r>
                    <m:t>ψ</m:t>
                  </m:r>
                  <m:r>
                    <m:t> </m:t>
                  </m:r>
                  <m:f>
                    <m:fPr>
                      <m:type m:val="bar"/>
                    </m:fPr>
                    <m:num>
                      <m:sSup>
                        <m:e>
                          <m:r>
                            <m:t>N</m:t>
                          </m:r>
                        </m:e>
                        <m:sup>
                          <m:r>
                            <m:t>1</m:t>
                          </m:r>
                          <m:r>
                            <m:rPr>
                              <m:sty m:val="p"/>
                            </m:rPr>
                            <m:t>+</m:t>
                          </m:r>
                          <m:r>
                            <m:t>θ</m:t>
                          </m:r>
                        </m:sup>
                      </m:sSup>
                    </m:num>
                    <m:den>
                      <m:r>
                        <m:t>1</m:t>
                      </m:r>
                      <m:r>
                        <m:rPr>
                          <m:sty m:val="p"/>
                        </m:rPr>
                        <m:t>+</m:t>
                      </m:r>
                      <m:r>
                        <m:t>θ</m:t>
                      </m:r>
                    </m:den>
                  </m:f>
                </m:e>
              </m:d>
            </m:e>
            <m:sup>
              <m:r>
                <m:t>1</m:t>
              </m:r>
              <m:r>
                <m:rPr>
                  <m:sty m:val="p"/>
                </m:rPr>
                <m:t>−</m:t>
              </m:r>
              <m:r>
                <m:t>σ</m:t>
              </m:r>
            </m:sup>
          </m:sSup>
          <m:r>
            <m:rPr>
              <m:sty m:val="p"/>
            </m:rPr>
            <m:t>.</m:t>
          </m:r>
        </m:oMath>
      </m:oMathPara>
    </w:p>
    <w:p>
      <w:pPr>
        <w:numPr>
          <w:ilvl w:val="1"/>
          <w:numId w:val="1000"/>
        </w:numPr>
      </w:pPr>
      <w:r>
        <w:t xml:space="preserve">Consumo y trabajo no son separables, pero la condición de oferta de trabajo,</w:t>
      </w:r>
      <w:r>
        <w:t xml:space="preserve"> </w:t>
      </w:r>
      <m:oMath>
        <m:r>
          <m:t>ψ</m:t>
        </m:r>
        <m:sSup>
          <m:e>
            <m:r>
              <m:t>N</m:t>
            </m:r>
          </m:e>
          <m:sup>
            <m:r>
              <m:t>θ</m:t>
            </m:r>
          </m:sup>
        </m:sSup>
        <m:r>
          <m:rPr>
            <m:sty m:val="p"/>
          </m:rPr>
          <m:t>=</m:t>
        </m:r>
        <m:r>
          <m:t>w</m:t>
        </m:r>
      </m:oMath>
      <w:r>
        <w:t xml:space="preserve">,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7"/>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ψ</m:t>
                      </m:r>
                      <m:sSubSup>
                        <m:e>
                          <m:r>
                            <m:t>N</m:t>
                          </m:r>
                        </m:e>
                        <m:sub>
                          <m:r>
                            <m:t>t</m:t>
                          </m:r>
                        </m:sub>
                        <m:sup>
                          <m:r>
                            <m:t>θ</m:t>
                          </m:r>
                        </m:sup>
                      </m:sSubSup>
                      <m:sSub>
                        <m:e>
                          <m:r>
                            <m:t>X</m:t>
                          </m:r>
                        </m:e>
                        <m:sub>
                          <m:r>
                            <m:t>t</m:t>
                          </m:r>
                        </m:sub>
                      </m:sSub>
                    </m:e>
                  </m:d>
                </m:e>
                <m:sup>
                  <m:r>
                    <m:t>1</m:t>
                  </m:r>
                  <m:r>
                    <m:rPr>
                      <m:sty m:val="p"/>
                    </m:rPr>
                    <m:t>−</m:t>
                  </m:r>
                  <m:r>
                    <m:t>σ</m:t>
                  </m:r>
                </m:sup>
              </m:sSup>
              <m:r>
                <m:rPr>
                  <m:sty m:val="p"/>
                </m:rPr>
                <m:t>−</m:t>
              </m:r>
              <m:r>
                <m:t>1</m:t>
              </m:r>
            </m:num>
            <m:den>
              <m:r>
                <m:t>1</m:t>
              </m:r>
              <m:r>
                <m:rPr>
                  <m:sty m:val="p"/>
                </m:rPr>
                <m:t>−</m:t>
              </m:r>
              <m:r>
                <m:t>σ</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p>
    <w:bookmarkEnd w:id="233"/>
    <w:bookmarkStart w:id="240" w:name="anexo:test"/>
    <w:p>
      <w:pPr>
        <w:pStyle w:val="Heading1"/>
      </w:pPr>
      <w:r>
        <w:t xml:space="preserve">D.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bookmarkStart w:id="236" w:name="d.1.-bienes-males-y-bienes-neutrales"/>
    <w:p>
      <w:pPr>
        <w:pStyle w:val="Heading2"/>
      </w:pPr>
      <w:r>
        <w:t xml:space="preserve">D.1. Bienes, males y bienes neutrales</w:t>
      </w:r>
    </w:p>
    <w:p>
      <w:pPr>
        <w:pStyle w:val="FirstParagraph"/>
      </w:pPr>
      <w:r>
        <w:t xml:space="preserve">Se mira el signo de las utilidades marginales:</w:t>
      </w:r>
    </w:p>
    <w:bookmarkStart w:id="235"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35"/>
    <w:p>
      <w:pPr>
        <w:pStyle w:val="BodyText"/>
      </w:pPr>
      <w:r>
        <w:rPr>
          <w:i/>
          <w:iCs/>
        </w:rPr>
        <w:t xml:space="preserve">Fuente: elaboración propia.</w:t>
      </w:r>
    </w:p>
    <w:p>
      <w:pPr>
        <w:numPr>
          <w:ilvl w:val="0"/>
          <w:numId w:val="1138"/>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38"/>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36"/>
    <w:bookmarkStart w:id="237" w:name="Xfa6eb9f58c13cd5560c844166488f5ebd9060e9"/>
    <w:p>
      <w:pPr>
        <w:pStyle w:val="Heading2"/>
      </w:pPr>
      <w:r>
        <w:t xml:space="preserve">D.2.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37"/>
    <w:bookmarkStart w:id="239" w:name="X32da07323795c25bcb77a6bc1af7024755c1c2b"/>
    <w:p>
      <w:pPr>
        <w:pStyle w:val="Heading2"/>
      </w:pPr>
      <w:r>
        <w:t xml:space="preserve">D.3.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6 la garantizan, pero</w:t>
      </w:r>
      <w:r>
        <w:t xml:space="preserve"> </w:t>
      </w:r>
      <w:r>
        <w:rPr>
          <w:i/>
          <w:iCs/>
        </w:rPr>
        <w:t xml:space="preserve">no son necesarias</w:t>
      </w:r>
      <w:r>
        <w:t xml:space="preserve">: lo que decide es la derivada total.</w:t>
      </w:r>
    </w:p>
    <w:bookmarkStart w:id="238"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38"/>
    <w:p>
      <w:pPr>
        <w:pStyle w:val="BodyText"/>
      </w:pPr>
      <w:r>
        <w:rPr>
          <w:i/>
          <w:iCs/>
        </w:rPr>
        <w:t xml:space="preserve">Fuente: elaboración propia.</w:t>
      </w:r>
    </w:p>
    <w:p>
      <w:pPr>
        <w:numPr>
          <w:ilvl w:val="0"/>
          <w:numId w:val="1139"/>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39"/>
    <w:bookmarkEnd w:id="240"/>
    <w:bookmarkStart w:id="395" w:name="bibliography"/>
    <w:p>
      <w:pPr>
        <w:pStyle w:val="Heading1"/>
      </w:pPr>
      <w:r>
        <w:t xml:space="preserve">Bibliografía</w:t>
      </w:r>
    </w:p>
    <w:bookmarkStart w:id="394" w:name="refs"/>
    <w:bookmarkStart w:id="242"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41">
        <w:r>
          <w:rPr>
            <w:rStyle w:val="Hyperlink"/>
          </w:rPr>
          <w:t xml:space="preserve">https://doi.org/10.2307/2525382</w:t>
        </w:r>
      </w:hyperlink>
      <w:r>
        <w:t xml:space="preserve">.</w:t>
      </w:r>
    </w:p>
    <w:bookmarkEnd w:id="242"/>
    <w:bookmarkStart w:id="243"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3"/>
    <w:bookmarkStart w:id="245"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44">
        <w:r>
          <w:rPr>
            <w:rStyle w:val="Hyperlink"/>
          </w:rPr>
          <w:t xml:space="preserve">https://doi.org/10.2307/1927286</w:t>
        </w:r>
      </w:hyperlink>
      <w:r>
        <w:t xml:space="preserve">.</w:t>
      </w:r>
    </w:p>
    <w:bookmarkEnd w:id="245"/>
    <w:bookmarkStart w:id="246"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6"/>
    <w:bookmarkStart w:id="247"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47"/>
    <w:bookmarkStart w:id="249"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8">
        <w:r>
          <w:rPr>
            <w:rStyle w:val="Hyperlink"/>
          </w:rPr>
          <w:t xml:space="preserve">https://doi.org/10.2307/2228949</w:t>
        </w:r>
      </w:hyperlink>
      <w:r>
        <w:t xml:space="preserve">.</w:t>
      </w:r>
    </w:p>
    <w:bookmarkEnd w:id="249"/>
    <w:bookmarkStart w:id="251"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50">
        <w:r>
          <w:rPr>
            <w:rStyle w:val="Hyperlink"/>
          </w:rPr>
          <w:t xml:space="preserve">https://doi.org/10.2307/1909829</w:t>
        </w:r>
      </w:hyperlink>
      <w:r>
        <w:t xml:space="preserve">.</w:t>
      </w:r>
    </w:p>
    <w:bookmarkEnd w:id="251"/>
    <w:bookmarkStart w:id="252"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52"/>
    <w:bookmarkStart w:id="253"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3"/>
    <w:bookmarkStart w:id="254"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4"/>
    <w:bookmarkStart w:id="25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5"/>
    <w:bookmarkStart w:id="257"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56">
        <w:r>
          <w:rPr>
            <w:rStyle w:val="Hyperlink"/>
          </w:rPr>
          <w:t xml:space="preserve">https://allengoodman.wayne.edu/Research/PUBS/Court_Hedonic.pdf</w:t>
        </w:r>
      </w:hyperlink>
      <w:r>
        <w:t xml:space="preserve">.</w:t>
      </w:r>
    </w:p>
    <w:bookmarkEnd w:id="257"/>
    <w:bookmarkStart w:id="258"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58"/>
    <w:bookmarkStart w:id="259"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59"/>
    <w:bookmarkStart w:id="261"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60">
        <w:r>
          <w:rPr>
            <w:rStyle w:val="Hyperlink"/>
          </w:rPr>
          <w:t xml:space="preserve">https://cowles.yale.edu/sites/default/files/2022-09/m17-all.pdf</w:t>
        </w:r>
      </w:hyperlink>
      <w:r>
        <w:t xml:space="preserve">.</w:t>
      </w:r>
    </w:p>
    <w:bookmarkEnd w:id="261"/>
    <w:bookmarkStart w:id="262"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62"/>
    <w:bookmarkStart w:id="263"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3"/>
    <w:bookmarkStart w:id="264"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64"/>
    <w:bookmarkStart w:id="265"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65"/>
    <w:bookmarkStart w:id="266"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66"/>
    <w:bookmarkStart w:id="267"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67"/>
    <w:bookmarkStart w:id="269"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68">
        <w:r>
          <w:rPr>
            <w:rStyle w:val="Hyperlink"/>
          </w:rPr>
          <w:t xml:space="preserve">https://doi.org/10.2785/055028</w:t>
        </w:r>
      </w:hyperlink>
      <w:r>
        <w:t xml:space="preserve">.</w:t>
      </w:r>
    </w:p>
    <w:bookmarkEnd w:id="269"/>
    <w:bookmarkStart w:id="271"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70">
        <w:r>
          <w:rPr>
            <w:rStyle w:val="Hyperlink"/>
          </w:rPr>
          <w:t xml:space="preserve">https://ec.europa.eu/eurostat/databrowser/view/nama_10_gdp/default/table</w:t>
        </w:r>
      </w:hyperlink>
      <w:r>
        <w:t xml:space="preserve">.</w:t>
      </w:r>
    </w:p>
    <w:bookmarkEnd w:id="271"/>
    <w:bookmarkStart w:id="272"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72"/>
    <w:bookmarkStart w:id="273"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73"/>
    <w:bookmarkStart w:id="274"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74"/>
    <w:bookmarkStart w:id="276"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75">
        <w:r>
          <w:rPr>
            <w:rStyle w:val="Hyperlink"/>
          </w:rPr>
          <w:t xml:space="preserve">https://web.archive.org/web/20260106065001/http://www2.hawaii.edu/~fuleky/anatomy/anatomy.html</w:t>
        </w:r>
      </w:hyperlink>
      <w:r>
        <w:t xml:space="preserve">.</w:t>
      </w:r>
    </w:p>
    <w:bookmarkEnd w:id="276"/>
    <w:bookmarkStart w:id="278"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77">
        <w:r>
          <w:rPr>
            <w:rStyle w:val="Hyperlink"/>
          </w:rPr>
          <w:t xml:space="preserve">https://doi.org/10.2307/2296107</w:t>
        </w:r>
      </w:hyperlink>
      <w:r>
        <w:t xml:space="preserve">.</w:t>
      </w:r>
    </w:p>
    <w:bookmarkEnd w:id="278"/>
    <w:bookmarkStart w:id="280"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279">
        <w:r>
          <w:rPr>
            <w:rStyle w:val="Hyperlink"/>
          </w:rPr>
          <w:t xml:space="preserve">https://doi.org/10.1006/juec.1997.2071</w:t>
        </w:r>
      </w:hyperlink>
      <w:r>
        <w:t xml:space="preserve">.</w:t>
      </w:r>
    </w:p>
    <w:bookmarkEnd w:id="280"/>
    <w:bookmarkStart w:id="282"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1">
        <w:r>
          <w:rPr>
            <w:rStyle w:val="Hyperlink"/>
          </w:rPr>
          <w:t xml:space="preserve">https://doi.org/10.2307/1906943</w:t>
        </w:r>
      </w:hyperlink>
      <w:r>
        <w:t xml:space="preserve">.</w:t>
      </w:r>
    </w:p>
    <w:bookmarkEnd w:id="282"/>
    <w:bookmarkStart w:id="284"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3">
        <w:r>
          <w:rPr>
            <w:rStyle w:val="Hyperlink"/>
          </w:rPr>
          <w:t xml:space="preserve">https://doi.org/10.1111/j.1467-999X.1961.tb00819.x</w:t>
        </w:r>
      </w:hyperlink>
      <w:r>
        <w:t xml:space="preserve">.</w:t>
      </w:r>
    </w:p>
    <w:bookmarkEnd w:id="284"/>
    <w:bookmarkStart w:id="285"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285"/>
    <w:bookmarkStart w:id="286"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286"/>
    <w:bookmarkStart w:id="288"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287">
        <w:r>
          <w:rPr>
            <w:rStyle w:val="Hyperlink"/>
          </w:rPr>
          <w:t xml:space="preserve">https://www.nber.org/system/files/chapters/c6492/c6492.pdf</w:t>
        </w:r>
      </w:hyperlink>
      <w:r>
        <w:t xml:space="preserve">.</w:t>
      </w:r>
    </w:p>
    <w:bookmarkEnd w:id="288"/>
    <w:bookmarkStart w:id="289"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289"/>
    <w:bookmarkStart w:id="291"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0">
        <w:r>
          <w:rPr>
            <w:rStyle w:val="Hyperlink"/>
          </w:rPr>
          <w:t xml:space="preserve">https://doi.org/10.1086/260629</w:t>
        </w:r>
      </w:hyperlink>
      <w:r>
        <w:t xml:space="preserve">.</w:t>
      </w:r>
    </w:p>
    <w:bookmarkEnd w:id="291"/>
    <w:bookmarkStart w:id="293"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92">
        <w:r>
          <w:rPr>
            <w:rStyle w:val="Hyperlink"/>
          </w:rPr>
          <w:t xml:space="preserve">https://doi.org/10.2307/2548574</w:t>
        </w:r>
      </w:hyperlink>
      <w:r>
        <w:t xml:space="preserve">.</w:t>
      </w:r>
    </w:p>
    <w:bookmarkEnd w:id="293"/>
    <w:bookmarkStart w:id="295"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94">
        <w:r>
          <w:rPr>
            <w:rStyle w:val="Hyperlink"/>
          </w:rPr>
          <w:t xml:space="preserve">https://doi.org/10.2307/2549382</w:t>
        </w:r>
      </w:hyperlink>
      <w:r>
        <w:t xml:space="preserve">.</w:t>
      </w:r>
    </w:p>
    <w:bookmarkEnd w:id="295"/>
    <w:bookmarkStart w:id="296"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6"/>
    <w:bookmarkStart w:id="298"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7">
        <w:r>
          <w:rPr>
            <w:rStyle w:val="Hyperlink"/>
          </w:rPr>
          <w:t xml:space="preserve">https://www.ine.es/daco/daco42/daco4213/resmeto06.pdf</w:t>
        </w:r>
      </w:hyperlink>
      <w:r>
        <w:t xml:space="preserve">.</w:t>
      </w:r>
    </w:p>
    <w:bookmarkEnd w:id="298"/>
    <w:bookmarkStart w:id="300"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299">
        <w:r>
          <w:rPr>
            <w:rStyle w:val="Hyperlink"/>
          </w:rPr>
          <w:t xml:space="preserve">https://www.ine.es/jaxiT3/Tabla.htm?t=67823</w:t>
        </w:r>
      </w:hyperlink>
      <w:r>
        <w:t xml:space="preserve">.</w:t>
      </w:r>
    </w:p>
    <w:bookmarkEnd w:id="300"/>
    <w:bookmarkStart w:id="302"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01">
        <w:r>
          <w:rPr>
            <w:rStyle w:val="Hyperlink"/>
          </w:rPr>
          <w:t xml:space="preserve">https://www.ine.es/jaxiT3/Tabla.htm?t=73828</w:t>
        </w:r>
      </w:hyperlink>
      <w:r>
        <w:t xml:space="preserve">.</w:t>
      </w:r>
    </w:p>
    <w:bookmarkEnd w:id="302"/>
    <w:bookmarkStart w:id="304"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03">
        <w:r>
          <w:rPr>
            <w:rStyle w:val="Hyperlink"/>
          </w:rPr>
          <w:t xml:space="preserve">https://www.ine.es/metodologia/t25/metodologia_IPC_base_2025.pdf</w:t>
        </w:r>
      </w:hyperlink>
      <w:r>
        <w:t xml:space="preserve">.</w:t>
      </w:r>
    </w:p>
    <w:bookmarkEnd w:id="304"/>
    <w:bookmarkStart w:id="306"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05">
        <w:r>
          <w:rPr>
            <w:rStyle w:val="Hyperlink"/>
          </w:rPr>
          <w:t xml:space="preserve">https://www.ine.es/daco/daco42/ipv/metodologia2025.pdf</w:t>
        </w:r>
      </w:hyperlink>
      <w:r>
        <w:t xml:space="preserve">.</w:t>
      </w:r>
    </w:p>
    <w:bookmarkEnd w:id="306"/>
    <w:bookmarkStart w:id="308"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07">
        <w:r>
          <w:rPr>
            <w:rStyle w:val="Hyperlink"/>
          </w:rPr>
          <w:t xml:space="preserve">https://www.ine.es/dyngs/Prensa/EPF2025.htm</w:t>
        </w:r>
      </w:hyperlink>
      <w:r>
        <w:t xml:space="preserve">.</w:t>
      </w:r>
    </w:p>
    <w:bookmarkEnd w:id="308"/>
    <w:bookmarkStart w:id="310"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09">
        <w:r>
          <w:rPr>
            <w:rStyle w:val="Hyperlink"/>
          </w:rPr>
          <w:t xml:space="preserve">https://www.ine.es/metodologia/t25/t2530p458.pdf</w:t>
        </w:r>
      </w:hyperlink>
      <w:r>
        <w:t xml:space="preserve">.</w:t>
      </w:r>
    </w:p>
    <w:bookmarkEnd w:id="310"/>
    <w:bookmarkStart w:id="312"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11">
        <w:r>
          <w:rPr>
            <w:rStyle w:val="Hyperlink"/>
          </w:rPr>
          <w:t xml:space="preserve">https://doi.org/10.1257/aer.99.4.1097</w:t>
        </w:r>
      </w:hyperlink>
      <w:r>
        <w:t xml:space="preserve">.</w:t>
      </w:r>
    </w:p>
    <w:bookmarkEnd w:id="312"/>
    <w:bookmarkStart w:id="313"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13"/>
    <w:bookmarkStart w:id="314"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14"/>
    <w:bookmarkStart w:id="315"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15"/>
    <w:bookmarkStart w:id="317"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16">
        <w:r>
          <w:rPr>
            <w:rStyle w:val="Hyperlink"/>
          </w:rPr>
          <w:t xml:space="preserve">https://doi.org/10.1086/261737</w:t>
        </w:r>
      </w:hyperlink>
      <w:r>
        <w:t xml:space="preserve">.</w:t>
      </w:r>
    </w:p>
    <w:bookmarkEnd w:id="317"/>
    <w:bookmarkStart w:id="319"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18">
        <w:r>
          <w:rPr>
            <w:rStyle w:val="Hyperlink"/>
          </w:rPr>
          <w:t xml:space="preserve">https://doi.org/10.2307/1914185</w:t>
        </w:r>
      </w:hyperlink>
      <w:r>
        <w:t xml:space="preserve">.</w:t>
      </w:r>
    </w:p>
    <w:bookmarkEnd w:id="319"/>
    <w:bookmarkStart w:id="321"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20">
        <w:r>
          <w:rPr>
            <w:rStyle w:val="Hyperlink"/>
          </w:rPr>
          <w:t xml:space="preserve">https://doi.org/10.1037/0003-066X.39.4.341</w:t>
        </w:r>
      </w:hyperlink>
      <w:r>
        <w:t xml:space="preserve">.</w:t>
      </w:r>
    </w:p>
    <w:bookmarkEnd w:id="321"/>
    <w:bookmarkStart w:id="323"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22">
        <w:r>
          <w:rPr>
            <w:rStyle w:val="Hyperlink"/>
          </w:rPr>
          <w:t xml:space="preserve">https://doi.org/10.2307/1911539</w:t>
        </w:r>
      </w:hyperlink>
      <w:r>
        <w:t xml:space="preserve">.</w:t>
      </w:r>
    </w:p>
    <w:bookmarkEnd w:id="323"/>
    <w:bookmarkStart w:id="325"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24">
        <w:r>
          <w:rPr>
            <w:rStyle w:val="Hyperlink"/>
          </w:rPr>
          <w:t xml:space="preserve">https://doi.org/10.1016/0304-3932(88)90030-X</w:t>
        </w:r>
      </w:hyperlink>
      <w:r>
        <w:t xml:space="preserve">.</w:t>
      </w:r>
    </w:p>
    <w:bookmarkEnd w:id="325"/>
    <w:bookmarkStart w:id="327"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26">
        <w:r>
          <w:rPr>
            <w:rStyle w:val="Hyperlink"/>
          </w:rPr>
          <w:t xml:space="preserve">https://doi.org/10.1023/A:1020529028761</w:t>
        </w:r>
      </w:hyperlink>
      <w:r>
        <w:t xml:space="preserve">.</w:t>
      </w:r>
    </w:p>
    <w:bookmarkEnd w:id="327"/>
    <w:bookmarkStart w:id="328"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28"/>
    <w:bookmarkStart w:id="330"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29">
        <w:r>
          <w:rPr>
            <w:rStyle w:val="Hyperlink"/>
          </w:rPr>
          <w:t xml:space="preserve">https://www.nobelprize.org/prizes/economic-sciences/2017/press-release/</w:t>
        </w:r>
      </w:hyperlink>
      <w:r>
        <w:t xml:space="preserve">.</w:t>
      </w:r>
    </w:p>
    <w:bookmarkEnd w:id="330"/>
    <w:bookmarkStart w:id="332"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1">
        <w:r>
          <w:rPr>
            <w:rStyle w:val="Hyperlink"/>
          </w:rPr>
          <w:t xml:space="preserve">https://doi.org/10.1086/259131</w:t>
        </w:r>
      </w:hyperlink>
      <w:r>
        <w:t xml:space="preserve">.</w:t>
      </w:r>
    </w:p>
    <w:bookmarkEnd w:id="332"/>
    <w:bookmarkStart w:id="333"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33"/>
    <w:bookmarkStart w:id="334"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34"/>
    <w:bookmarkStart w:id="33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35">
        <w:r>
          <w:rPr>
            <w:rStyle w:val="Hyperlink"/>
          </w:rPr>
          <w:t xml:space="preserve">https://www.marxists.org/reference/subject/economics/marshall/bk1ch01.htm</w:t>
        </w:r>
      </w:hyperlink>
      <w:r>
        <w:t xml:space="preserve">.</w:t>
      </w:r>
    </w:p>
    <w:bookmarkEnd w:id="336"/>
    <w:bookmarkStart w:id="33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37"/>
    <w:bookmarkStart w:id="339"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8">
        <w:r>
          <w:rPr>
            <w:rStyle w:val="Hyperlink"/>
          </w:rPr>
          <w:t xml:space="preserve">https://doi.org/10.2307/2296792</w:t>
        </w:r>
      </w:hyperlink>
      <w:r>
        <w:t xml:space="preserve">.</w:t>
      </w:r>
    </w:p>
    <w:bookmarkEnd w:id="339"/>
    <w:bookmarkStart w:id="341"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40">
        <w:r>
          <w:rPr>
            <w:rStyle w:val="Hyperlink"/>
          </w:rPr>
          <w:t xml:space="preserve">https://doi.org/10.2307/1911540</w:t>
        </w:r>
      </w:hyperlink>
      <w:r>
        <w:t xml:space="preserve">.</w:t>
      </w:r>
    </w:p>
    <w:bookmarkEnd w:id="341"/>
    <w:bookmarkStart w:id="343"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42">
        <w:r>
          <w:rPr>
            <w:rStyle w:val="Hyperlink"/>
          </w:rPr>
          <w:t xml:space="preserve">https://doi.org/10.11647/OBP.0204</w:t>
        </w:r>
      </w:hyperlink>
      <w:r>
        <w:t xml:space="preserve">.</w:t>
      </w:r>
    </w:p>
    <w:bookmarkEnd w:id="343"/>
    <w:bookmarkStart w:id="344" w:name="ref-Pareto1896Cours"/>
    <w:p>
      <w:pPr>
        <w:pStyle w:val="Bibliography"/>
      </w:pPr>
      <w:r>
        <w:t xml:space="preserve">Pareto, Vilfredo. 1896.</w:t>
      </w:r>
      <w:r>
        <w:t xml:space="preserve"> </w:t>
      </w:r>
      <w:r>
        <w:rPr>
          <w:i/>
          <w:iCs/>
        </w:rPr>
        <w:t xml:space="preserve">Cours d’économie politique</w:t>
      </w:r>
      <w:r>
        <w:t xml:space="preserve">. Lausana: F. Rouge.</w:t>
      </w:r>
    </w:p>
    <w:bookmarkEnd w:id="344"/>
    <w:bookmarkStart w:id="345"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45"/>
    <w:bookmarkStart w:id="346"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46"/>
    <w:bookmarkStart w:id="347"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47"/>
    <w:bookmarkStart w:id="349"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48">
        <w:r>
          <w:rPr>
            <w:rStyle w:val="Hyperlink"/>
          </w:rPr>
          <w:t xml:space="preserve">https://doi.org/10.1086/260169</w:t>
        </w:r>
      </w:hyperlink>
      <w:r>
        <w:t xml:space="preserve">.</w:t>
      </w:r>
    </w:p>
    <w:bookmarkEnd w:id="349"/>
    <w:bookmarkStart w:id="350"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50"/>
    <w:bookmarkStart w:id="352"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51">
        <w:r>
          <w:rPr>
            <w:rStyle w:val="Hyperlink"/>
          </w:rPr>
          <w:t xml:space="preserve">https://doi.org/10.2307/1905479</w:t>
        </w:r>
      </w:hyperlink>
      <w:r>
        <w:t xml:space="preserve">.</w:t>
      </w:r>
    </w:p>
    <w:bookmarkEnd w:id="352"/>
    <w:bookmarkStart w:id="354"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53">
        <w:r>
          <w:rPr>
            <w:rStyle w:val="Hyperlink"/>
          </w:rPr>
          <w:t xml:space="preserve">https://doi.org/10.2307/2548836</w:t>
        </w:r>
      </w:hyperlink>
      <w:r>
        <w:t xml:space="preserve">.</w:t>
      </w:r>
    </w:p>
    <w:bookmarkEnd w:id="354"/>
    <w:bookmarkStart w:id="356"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55">
        <w:r>
          <w:rPr>
            <w:rStyle w:val="Hyperlink"/>
          </w:rPr>
          <w:t xml:space="preserve">https://doi.org/10.2307/2549561</w:t>
        </w:r>
      </w:hyperlink>
      <w:r>
        <w:t xml:space="preserve">.</w:t>
      </w:r>
    </w:p>
    <w:bookmarkEnd w:id="356"/>
    <w:bookmarkStart w:id="357"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57"/>
    <w:bookmarkStart w:id="358"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58"/>
    <w:bookmarkStart w:id="359"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59"/>
    <w:bookmarkStart w:id="361"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60">
        <w:r>
          <w:rPr>
            <w:rStyle w:val="Hyperlink"/>
          </w:rPr>
          <w:t xml:space="preserve">https://doi.org/10.2307/1884852</w:t>
        </w:r>
      </w:hyperlink>
      <w:r>
        <w:t xml:space="preserve">.</w:t>
      </w:r>
    </w:p>
    <w:bookmarkEnd w:id="361"/>
    <w:bookmarkStart w:id="362"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62"/>
    <w:bookmarkStart w:id="364"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63">
        <w:r>
          <w:rPr>
            <w:rStyle w:val="Hyperlink"/>
          </w:rPr>
          <w:t xml:space="preserve">https://doi.org/10.1016/0022-0531(73)90066-5</w:t>
        </w:r>
      </w:hyperlink>
      <w:r>
        <w:t xml:space="preserve">.</w:t>
      </w:r>
    </w:p>
    <w:bookmarkEnd w:id="364"/>
    <w:bookmarkStart w:id="366"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65">
        <w:r>
          <w:rPr>
            <w:rStyle w:val="Hyperlink"/>
          </w:rPr>
          <w:t xml:space="preserve">https://doi.org/10.2307/1909201</w:t>
        </w:r>
      </w:hyperlink>
      <w:r>
        <w:t xml:space="preserve">.</w:t>
      </w:r>
    </w:p>
    <w:bookmarkEnd w:id="366"/>
    <w:bookmarkStart w:id="368"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67">
        <w:r>
          <w:rPr>
            <w:rStyle w:val="Hyperlink"/>
          </w:rPr>
          <w:t xml:space="preserve">https://doi.org/10.1086/258464</w:t>
        </w:r>
      </w:hyperlink>
      <w:r>
        <w:t xml:space="preserve">.</w:t>
      </w:r>
    </w:p>
    <w:bookmarkEnd w:id="368"/>
    <w:bookmarkStart w:id="370"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69">
        <w:r>
          <w:rPr>
            <w:rStyle w:val="Hyperlink"/>
          </w:rPr>
          <w:t xml:space="preserve">https://doi.org/10.2307/2227743</w:t>
        </w:r>
      </w:hyperlink>
      <w:r>
        <w:t xml:space="preserve">.</w:t>
      </w:r>
    </w:p>
    <w:bookmarkEnd w:id="370"/>
    <w:bookmarkStart w:id="371"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71"/>
    <w:bookmarkStart w:id="373"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72">
        <w:r>
          <w:rPr>
            <w:rStyle w:val="Hyperlink"/>
          </w:rPr>
          <w:t xml:space="preserve">https://doi.org/10.1016/0167-2681(80)90051-7</w:t>
        </w:r>
      </w:hyperlink>
      <w:r>
        <w:t xml:space="preserve">.</w:t>
      </w:r>
    </w:p>
    <w:bookmarkEnd w:id="373"/>
    <w:bookmarkStart w:id="375"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374">
        <w:r>
          <w:rPr>
            <w:rStyle w:val="Hyperlink"/>
          </w:rPr>
          <w:t xml:space="preserve">https://doi.org/10.1287/mksc.4.3.199</w:t>
        </w:r>
      </w:hyperlink>
      <w:r>
        <w:t xml:space="preserve">.</w:t>
      </w:r>
    </w:p>
    <w:bookmarkEnd w:id="375"/>
    <w:bookmarkStart w:id="377"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76">
        <w:r>
          <w:rPr>
            <w:rStyle w:val="Hyperlink"/>
          </w:rPr>
          <w:t xml:space="preserve">https://www.nobelprize.org/prizes/economic-sciences/1970/summary/</w:t>
        </w:r>
      </w:hyperlink>
      <w:r>
        <w:t xml:space="preserve">.</w:t>
      </w:r>
    </w:p>
    <w:bookmarkEnd w:id="377"/>
    <w:bookmarkStart w:id="379"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378">
        <w:r>
          <w:rPr>
            <w:rStyle w:val="Hyperlink"/>
          </w:rPr>
          <w:t xml:space="preserve">https://www.nobelprize.org/prizes/economic-sciences/1992/summary/</w:t>
        </w:r>
      </w:hyperlink>
      <w:r>
        <w:t xml:space="preserve">.</w:t>
      </w:r>
    </w:p>
    <w:bookmarkEnd w:id="379"/>
    <w:bookmarkStart w:id="381"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380">
        <w:r>
          <w:rPr>
            <w:rStyle w:val="Hyperlink"/>
          </w:rPr>
          <w:t xml:space="preserve">https://www.nobelprize.org/prizes/economic-sciences/2015/summary/</w:t>
        </w:r>
      </w:hyperlink>
      <w:r>
        <w:t xml:space="preserve">.</w:t>
      </w:r>
    </w:p>
    <w:bookmarkEnd w:id="381"/>
    <w:bookmarkStart w:id="383"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382">
        <w:r>
          <w:rPr>
            <w:rStyle w:val="Hyperlink"/>
          </w:rPr>
          <w:t xml:space="preserve">https://doi.org/10.1787/9789264028159-en</w:t>
        </w:r>
      </w:hyperlink>
      <w:r>
        <w:t xml:space="preserve">.</w:t>
      </w:r>
    </w:p>
    <w:bookmarkEnd w:id="383"/>
    <w:bookmarkStart w:id="385"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384">
        <w:r>
          <w:rPr>
            <w:rStyle w:val="Hyperlink"/>
          </w:rPr>
          <w:t xml:space="preserve">https://doi.org/10.1126/science.7455683</w:t>
        </w:r>
      </w:hyperlink>
      <w:r>
        <w:t xml:space="preserve">.</w:t>
      </w:r>
    </w:p>
    <w:bookmarkEnd w:id="385"/>
    <w:bookmarkStart w:id="387"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386">
        <w:r>
          <w:rPr>
            <w:rStyle w:val="Hyperlink"/>
          </w:rPr>
          <w:t xml:space="preserve">https://www.bls.gov/cpi/quality-adjustment/</w:t>
        </w:r>
      </w:hyperlink>
      <w:r>
        <w:t xml:space="preserve">.</w:t>
      </w:r>
    </w:p>
    <w:bookmarkEnd w:id="387"/>
    <w:bookmarkStart w:id="389"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388">
        <w:r>
          <w:rPr>
            <w:rStyle w:val="Hyperlink"/>
          </w:rPr>
          <w:t xml:space="preserve">https://doi.org/10.2307/1912771</w:t>
        </w:r>
      </w:hyperlink>
      <w:r>
        <w:t xml:space="preserve">.</w:t>
      </w:r>
    </w:p>
    <w:bookmarkEnd w:id="389"/>
    <w:bookmarkStart w:id="390"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390"/>
    <w:bookmarkStart w:id="391"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91"/>
    <w:bookmarkStart w:id="392"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392"/>
    <w:bookmarkStart w:id="393"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3"/>
    <w:bookmarkEnd w:id="394"/>
    <w:bookmarkEnd w:id="395"/>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5"/>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5"/>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5"/>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7">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8">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3">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4">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5">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5">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2">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3">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4">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A).</w:t>
      </w:r>
    </w:p>
  </w:footnote>
  <w:footnote w:id="107">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08">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09">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0">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1">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2">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6">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7">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4">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5">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6">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7">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48">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49">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0">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1">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68">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3">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4">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6">
    <w:p>
      <w:pPr>
        <w:pStyle w:val="FootnoteText"/>
      </w:pPr>
      <w:r>
        <w:rPr>
          <w:rStyle w:val="FootnoteReference"/>
        </w:rPr>
        <w:footnoteRef/>
      </w:r>
      <w:r>
        <w:t xml:space="preserve"> </w:t>
      </w:r>
      <w:r>
        <w:t xml:space="preserve">No del consumidor representativo: la agregación no conserva el axioma débil (apartado I.3).</w:t>
      </w:r>
    </w:p>
  </w:footnote>
  <w:footnote w:id="178">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3">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5">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7">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6">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1">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El</w:t>
      </w:r>
      <w:r>
        <w:t xml:space="preserve"> </w:t>
      </w:r>
      <w:r>
        <w:rPr>
          <w:i/>
          <w:iCs/>
        </w:rPr>
        <w:t xml:space="preserve">efecto dotación</w:t>
      </w:r>
      <w:r>
        <w:t xml:space="preserve"> </w:t>
      </w:r>
      <w:r>
        <w:t xml:space="preserve">consiste en valorar más un bien cuando se posee que cuando no se posee, y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 la</w:t>
      </w:r>
      <w:r>
        <w:t xml:space="preserve"> </w:t>
      </w:r>
      <w:r>
        <w:rPr>
          <w:i/>
          <w:iCs/>
        </w:rPr>
        <w:t xml:space="preserve">contabilidad mental</w:t>
      </w:r>
      <w:r>
        <w:t xml:space="preserve">, el consumidor reparte su renta en «cuentas» separadas y evalúa cada decisión por separado, por ejemplo fijándose en el porcentaje de descuento y no en el ahorro absoluto. Las</w:t>
      </w:r>
      <w:r>
        <w:t xml:space="preserve"> </w:t>
      </w:r>
      <w:r>
        <w:rPr>
          <w:i/>
          <w:iCs/>
        </w:rPr>
        <w:t xml:space="preserve">preferencias sociales</w:t>
      </w:r>
      <w:r>
        <w:t xml:space="preserve"> </w:t>
      </w:r>
      <w:r>
        <w:t xml:space="preserve">muestran que la equidad también cuenta: no se considera justo que una ferretería suba el precio de las palas de nieve tras una nevada, aunque responda a la demanda</w:t>
      </w:r>
      <w:r>
        <w:t xml:space="preserve"> </w:t>
      </w:r>
      <w:r>
        <w:t xml:space="preserve">(</w:t>
      </w:r>
      <w:hyperlink w:anchor="ref-KahnemanKnetschThaler1986Fairness">
        <w:r>
          <w:rPr>
            <w:rStyle w:val="Hyperlink"/>
          </w:rPr>
          <w:t xml:space="preserve">Kahneman, Knetsch, y Thaler 1986</w:t>
        </w:r>
      </w:hyperlink>
      <w:r>
        <w:t xml:space="preserve">)</w:t>
      </w:r>
      <w:r>
        <w:t xml:space="preserve">.</w:t>
      </w:r>
    </w:p>
  </w:footnote>
  <w:footnote w:id="212">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14">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30">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p>
  </w:footnote>
  <w:footnote w:id="23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2">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η</m:t>
        </m:r>
        <m:r>
          <m:rPr>
            <m:sty m:val="p"/>
          </m:rPr>
          <m:t>→</m:t>
        </m:r>
        <m:r>
          <m:t>1</m:t>
        </m:r>
      </m:oMath>
      <w:r>
        <w:t xml:space="preserve"> </w:t>
      </w:r>
      <w:r>
        <w:t xml:space="preserve">sea</w:t>
      </w:r>
      <w:r>
        <w:t xml:space="preserve"> </w:t>
      </w:r>
      <m:oMath>
        <m:r>
          <m:rPr>
            <m:sty m:val="p"/>
          </m:rPr>
          <m:t>ln</m:t>
        </m:r>
        <m:r>
          <m:t>C</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spacing w:after="120"/>
      <w:jc w:val="both"/>
    </w:pPr>
    <w:rPr>
      <w:rFonts w:ascii="Palatino Linotype" w:cs="Palatino Linotype" w:eastAsia="Palatino Linotype" w:hAnsi="Palatino Linotype"/>
      <w:sz w:val="22"/>
    </w:rPr>
  </w:style>
  <w:style w:customStyle="1" w:styleId="Compact" w:type="paragraph">
    <w:name w:val="Compact"/>
    <w:basedOn w:val="BodyText"/>
    <w:qFormat/>
    <w:pPr>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79" Target="media/rId179.png" /><Relationship Type="http://schemas.openxmlformats.org/officeDocument/2006/relationships/image" Id="rId186" Target="media/rId186.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image" Id="rId40" Target="media/rId40.png" /><Relationship Type="http://schemas.openxmlformats.org/officeDocument/2006/relationships/image" Id="rId76" Target="media/rId76.png" /><Relationship Type="http://schemas.openxmlformats.org/officeDocument/2006/relationships/image" Id="rId215" Target="media/rId215.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18" Target="media/rId118.png" /><Relationship Type="http://schemas.openxmlformats.org/officeDocument/2006/relationships/image" Id="rId133" Target="media/rId133.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0" Target="media/rId200.png" /><Relationship Type="http://schemas.openxmlformats.org/officeDocument/2006/relationships/image" Id="rId140" Target="media/rId140.png" /><Relationship Type="http://schemas.openxmlformats.org/officeDocument/2006/relationships/image" Id="rId191" Target="media/rId191.png" /><Relationship Type="http://schemas.openxmlformats.org/officeDocument/2006/relationships/image" Id="rId36" Target="media/rId36.png" /><Relationship Type="http://schemas.openxmlformats.org/officeDocument/2006/relationships/image" Id="rId81" Target="media/rId81.png" /><Relationship Type="http://schemas.openxmlformats.org/officeDocument/2006/relationships/image" Id="rId127" Target="media/rId127.png" /><Relationship Type="http://schemas.openxmlformats.org/officeDocument/2006/relationships/image" Id="rId102" Target="media/rId102.png" /><Relationship Type="http://schemas.openxmlformats.org/officeDocument/2006/relationships/image" Id="rId69" Target="media/rId69.png" /><Relationship Type="http://schemas.openxmlformats.org/officeDocument/2006/relationships/hyperlink" Id="rId256" Target="https://allengoodman.wayne.edu/Research/PUBS/Court_Hedonic.pdf" TargetMode="External" /><Relationship Type="http://schemas.openxmlformats.org/officeDocument/2006/relationships/hyperlink" Id="rId260" Target="https://cowles.yale.edu/sites/default/files/2022-09/m17-all.pdf" TargetMode="External" /><Relationship Type="http://schemas.openxmlformats.org/officeDocument/2006/relationships/hyperlink" Id="rId279" Target="https://doi.org/10.1006/juec.1997.2071" TargetMode="External" /><Relationship Type="http://schemas.openxmlformats.org/officeDocument/2006/relationships/hyperlink" Id="rId363" Target="https://doi.org/10.1016/0022-0531(73)90066-5" TargetMode="External" /><Relationship Type="http://schemas.openxmlformats.org/officeDocument/2006/relationships/hyperlink" Id="rId372" Target="https://doi.org/10.1016/0167-2681(80)90051-7" TargetMode="External" /><Relationship Type="http://schemas.openxmlformats.org/officeDocument/2006/relationships/hyperlink" Id="rId324" Target="https://doi.org/10.1016/0304-3932(88)90030-X" TargetMode="External" /><Relationship Type="http://schemas.openxmlformats.org/officeDocument/2006/relationships/hyperlink" Id="rId326" Target="https://doi.org/10.1023/A:1020529028761" TargetMode="External" /><Relationship Type="http://schemas.openxmlformats.org/officeDocument/2006/relationships/hyperlink" Id="rId320" Target="https://doi.org/10.1037/0003-066X.39.4.341" TargetMode="External" /><Relationship Type="http://schemas.openxmlformats.org/officeDocument/2006/relationships/hyperlink" Id="rId367" Target="https://doi.org/10.1086/258464" TargetMode="External" /><Relationship Type="http://schemas.openxmlformats.org/officeDocument/2006/relationships/hyperlink" Id="rId331" Target="https://doi.org/10.1086/259131" TargetMode="External" /><Relationship Type="http://schemas.openxmlformats.org/officeDocument/2006/relationships/hyperlink" Id="rId348" Target="https://doi.org/10.1086/260169" TargetMode="External" /><Relationship Type="http://schemas.openxmlformats.org/officeDocument/2006/relationships/hyperlink" Id="rId290" Target="https://doi.org/10.1086/260629" TargetMode="External" /><Relationship Type="http://schemas.openxmlformats.org/officeDocument/2006/relationships/hyperlink" Id="rId316" Target="https://doi.org/10.1086/261737" TargetMode="External" /><Relationship Type="http://schemas.openxmlformats.org/officeDocument/2006/relationships/hyperlink" Id="rId283" Target="https://doi.org/10.1111/j.1467-999X.1961.tb00819.x" TargetMode="External" /><Relationship Type="http://schemas.openxmlformats.org/officeDocument/2006/relationships/hyperlink" Id="rId384" Target="https://doi.org/10.1126/science.7455683" TargetMode="External" /><Relationship Type="http://schemas.openxmlformats.org/officeDocument/2006/relationships/hyperlink" Id="rId342" Target="https://doi.org/10.11647/OBP.0204" TargetMode="External" /><Relationship Type="http://schemas.openxmlformats.org/officeDocument/2006/relationships/hyperlink" Id="rId311" Target="https://doi.org/10.1257/aer.99.4.1097" TargetMode="External" /><Relationship Type="http://schemas.openxmlformats.org/officeDocument/2006/relationships/hyperlink" Id="rId374" Target="https://doi.org/10.1287/mksc.4.3.199" TargetMode="External" /><Relationship Type="http://schemas.openxmlformats.org/officeDocument/2006/relationships/hyperlink" Id="rId382" Target="https://doi.org/10.1787/9789264028159-en" TargetMode="External" /><Relationship Type="http://schemas.openxmlformats.org/officeDocument/2006/relationships/hyperlink" Id="rId360" Target="https://doi.org/10.2307/1884852" TargetMode="External" /><Relationship Type="http://schemas.openxmlformats.org/officeDocument/2006/relationships/hyperlink" Id="rId351" Target="https://doi.org/10.2307/1905479" TargetMode="External" /><Relationship Type="http://schemas.openxmlformats.org/officeDocument/2006/relationships/hyperlink" Id="rId281" Target="https://doi.org/10.2307/1906943" TargetMode="External" /><Relationship Type="http://schemas.openxmlformats.org/officeDocument/2006/relationships/hyperlink" Id="rId365" Target="https://doi.org/10.2307/1909201" TargetMode="External" /><Relationship Type="http://schemas.openxmlformats.org/officeDocument/2006/relationships/hyperlink" Id="rId250" Target="https://doi.org/10.2307/1909829" TargetMode="External" /><Relationship Type="http://schemas.openxmlformats.org/officeDocument/2006/relationships/hyperlink" Id="rId322" Target="https://doi.org/10.2307/1911539" TargetMode="External" /><Relationship Type="http://schemas.openxmlformats.org/officeDocument/2006/relationships/hyperlink" Id="rId340" Target="https://doi.org/10.2307/1911540" TargetMode="External" /><Relationship Type="http://schemas.openxmlformats.org/officeDocument/2006/relationships/hyperlink" Id="rId388" Target="https://doi.org/10.2307/1912771" TargetMode="External" /><Relationship Type="http://schemas.openxmlformats.org/officeDocument/2006/relationships/hyperlink" Id="rId318" Target="https://doi.org/10.2307/1914185" TargetMode="External" /><Relationship Type="http://schemas.openxmlformats.org/officeDocument/2006/relationships/hyperlink" Id="rId244" Target="https://doi.org/10.2307/1927286" TargetMode="External" /><Relationship Type="http://schemas.openxmlformats.org/officeDocument/2006/relationships/hyperlink" Id="rId369" Target="https://doi.org/10.2307/2227743" TargetMode="External" /><Relationship Type="http://schemas.openxmlformats.org/officeDocument/2006/relationships/hyperlink" Id="rId248" Target="https://doi.org/10.2307/2228949" TargetMode="External" /><Relationship Type="http://schemas.openxmlformats.org/officeDocument/2006/relationships/hyperlink" Id="rId277" Target="https://doi.org/10.2307/2296107" TargetMode="External" /><Relationship Type="http://schemas.openxmlformats.org/officeDocument/2006/relationships/hyperlink" Id="rId338" Target="https://doi.org/10.2307/2296792" TargetMode="External" /><Relationship Type="http://schemas.openxmlformats.org/officeDocument/2006/relationships/hyperlink" Id="rId241" Target="https://doi.org/10.2307/2525382" TargetMode="External" /><Relationship Type="http://schemas.openxmlformats.org/officeDocument/2006/relationships/hyperlink" Id="rId292" Target="https://doi.org/10.2307/2548574" TargetMode="External" /><Relationship Type="http://schemas.openxmlformats.org/officeDocument/2006/relationships/hyperlink" Id="rId353" Target="https://doi.org/10.2307/2548836" TargetMode="External" /><Relationship Type="http://schemas.openxmlformats.org/officeDocument/2006/relationships/hyperlink" Id="rId294" Target="https://doi.org/10.2307/2549382" TargetMode="External" /><Relationship Type="http://schemas.openxmlformats.org/officeDocument/2006/relationships/hyperlink" Id="rId355" Target="https://doi.org/10.2307/2549561" TargetMode="External" /><Relationship Type="http://schemas.openxmlformats.org/officeDocument/2006/relationships/hyperlink" Id="rId268" Target="https://doi.org/10.2785/055028"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162" Target="https://policonomics.com/es/video-a10-demandas-marshalliana-hicksiana/" TargetMode="External" /><Relationship Type="http://schemas.openxmlformats.org/officeDocument/2006/relationships/hyperlink" Id="rId275" Target="https://web.archive.org/web/20260106065001/http://www2.hawaii.edu/~fuleky/anatomy/anatomy.html" TargetMode="External" /><Relationship Type="http://schemas.openxmlformats.org/officeDocument/2006/relationships/hyperlink" Id="rId386" Target="https://www.bls.gov/cpi/quality-adjustment/" TargetMode="External" /><Relationship Type="http://schemas.openxmlformats.org/officeDocument/2006/relationships/hyperlink" Id="rId297" Target="https://www.ine.es/daco/daco42/daco4213/resmeto06.pdf" TargetMode="External" /><Relationship Type="http://schemas.openxmlformats.org/officeDocument/2006/relationships/hyperlink" Id="rId305" Target="https://www.ine.es/daco/daco42/ipv/metodologia2025.pdf" TargetMode="External" /><Relationship Type="http://schemas.openxmlformats.org/officeDocument/2006/relationships/hyperlink" Id="rId307" Target="https://www.ine.es/dyngs/Prensa/EPF2025.htm" TargetMode="External" /><Relationship Type="http://schemas.openxmlformats.org/officeDocument/2006/relationships/hyperlink" Id="rId299" Target="https://www.ine.es/jaxiT3/Tabla.htm?t=67823" TargetMode="External" /><Relationship Type="http://schemas.openxmlformats.org/officeDocument/2006/relationships/hyperlink" Id="rId301" Target="https://www.ine.es/jaxiT3/Tabla.htm?t=73828" TargetMode="External" /><Relationship Type="http://schemas.openxmlformats.org/officeDocument/2006/relationships/hyperlink" Id="rId303" Target="https://www.ine.es/metodologia/t25/metodologia_IPC_base_2025.pdf" TargetMode="External" /><Relationship Type="http://schemas.openxmlformats.org/officeDocument/2006/relationships/hyperlink" Id="rId309" Target="https://www.ine.es/metodologia/t25/t2530p458.pdf" TargetMode="External" /><Relationship Type="http://schemas.openxmlformats.org/officeDocument/2006/relationships/hyperlink" Id="rId335" Target="https://www.marxists.org/reference/subject/economics/marshall/bk1ch01.htm" TargetMode="External" /><Relationship Type="http://schemas.openxmlformats.org/officeDocument/2006/relationships/hyperlink" Id="rId287" Target="https://www.nber.org/system/files/chapters/c6492/c6492.pdf" TargetMode="External" /><Relationship Type="http://schemas.openxmlformats.org/officeDocument/2006/relationships/hyperlink" Id="rId376" Target="https://www.nobelprize.org/prizes/economic-sciences/1970/summary/" TargetMode="External" /><Relationship Type="http://schemas.openxmlformats.org/officeDocument/2006/relationships/hyperlink" Id="rId378" Target="https://www.nobelprize.org/prizes/economic-sciences/1992/summary/" TargetMode="External" /><Relationship Type="http://schemas.openxmlformats.org/officeDocument/2006/relationships/hyperlink" Id="rId380" Target="https://www.nobelprize.org/prizes/economic-sciences/2015/summary/" TargetMode="External" /><Relationship Type="http://schemas.openxmlformats.org/officeDocument/2006/relationships/hyperlink" Id="rId329" Target="https://www.nobelprize.org/prizes/economic-sciences/2017/press-release/"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1"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56" Target="https://allengoodman.wayne.edu/Research/PUBS/Court_Hedonic.pdf" TargetMode="External" /><Relationship Type="http://schemas.openxmlformats.org/officeDocument/2006/relationships/hyperlink" Id="rId260" Target="https://cowles.yale.edu/sites/default/files/2022-09/m17-all.pdf" TargetMode="External" /><Relationship Type="http://schemas.openxmlformats.org/officeDocument/2006/relationships/hyperlink" Id="rId279" Target="https://doi.org/10.1006/juec.1997.2071" TargetMode="External" /><Relationship Type="http://schemas.openxmlformats.org/officeDocument/2006/relationships/hyperlink" Id="rId363" Target="https://doi.org/10.1016/0022-0531(73)90066-5" TargetMode="External" /><Relationship Type="http://schemas.openxmlformats.org/officeDocument/2006/relationships/hyperlink" Id="rId372" Target="https://doi.org/10.1016/0167-2681(80)90051-7" TargetMode="External" /><Relationship Type="http://schemas.openxmlformats.org/officeDocument/2006/relationships/hyperlink" Id="rId324" Target="https://doi.org/10.1016/0304-3932(88)90030-X" TargetMode="External" /><Relationship Type="http://schemas.openxmlformats.org/officeDocument/2006/relationships/hyperlink" Id="rId326" Target="https://doi.org/10.1023/A:1020529028761" TargetMode="External" /><Relationship Type="http://schemas.openxmlformats.org/officeDocument/2006/relationships/hyperlink" Id="rId320" Target="https://doi.org/10.1037/0003-066X.39.4.341" TargetMode="External" /><Relationship Type="http://schemas.openxmlformats.org/officeDocument/2006/relationships/hyperlink" Id="rId367" Target="https://doi.org/10.1086/258464" TargetMode="External" /><Relationship Type="http://schemas.openxmlformats.org/officeDocument/2006/relationships/hyperlink" Id="rId331" Target="https://doi.org/10.1086/259131" TargetMode="External" /><Relationship Type="http://schemas.openxmlformats.org/officeDocument/2006/relationships/hyperlink" Id="rId348" Target="https://doi.org/10.1086/260169" TargetMode="External" /><Relationship Type="http://schemas.openxmlformats.org/officeDocument/2006/relationships/hyperlink" Id="rId290" Target="https://doi.org/10.1086/260629" TargetMode="External" /><Relationship Type="http://schemas.openxmlformats.org/officeDocument/2006/relationships/hyperlink" Id="rId316" Target="https://doi.org/10.1086/261737" TargetMode="External" /><Relationship Type="http://schemas.openxmlformats.org/officeDocument/2006/relationships/hyperlink" Id="rId283" Target="https://doi.org/10.1111/j.1467-999X.1961.tb00819.x" TargetMode="External" /><Relationship Type="http://schemas.openxmlformats.org/officeDocument/2006/relationships/hyperlink" Id="rId384" Target="https://doi.org/10.1126/science.7455683" TargetMode="External" /><Relationship Type="http://schemas.openxmlformats.org/officeDocument/2006/relationships/hyperlink" Id="rId342" Target="https://doi.org/10.11647/OBP.0204" TargetMode="External" /><Relationship Type="http://schemas.openxmlformats.org/officeDocument/2006/relationships/hyperlink" Id="rId311" Target="https://doi.org/10.1257/aer.99.4.1097" TargetMode="External" /><Relationship Type="http://schemas.openxmlformats.org/officeDocument/2006/relationships/hyperlink" Id="rId374" Target="https://doi.org/10.1287/mksc.4.3.199" TargetMode="External" /><Relationship Type="http://schemas.openxmlformats.org/officeDocument/2006/relationships/hyperlink" Id="rId382" Target="https://doi.org/10.1787/9789264028159-en" TargetMode="External" /><Relationship Type="http://schemas.openxmlformats.org/officeDocument/2006/relationships/hyperlink" Id="rId360" Target="https://doi.org/10.2307/1884852" TargetMode="External" /><Relationship Type="http://schemas.openxmlformats.org/officeDocument/2006/relationships/hyperlink" Id="rId351" Target="https://doi.org/10.2307/1905479" TargetMode="External" /><Relationship Type="http://schemas.openxmlformats.org/officeDocument/2006/relationships/hyperlink" Id="rId281" Target="https://doi.org/10.2307/1906943" TargetMode="External" /><Relationship Type="http://schemas.openxmlformats.org/officeDocument/2006/relationships/hyperlink" Id="rId365" Target="https://doi.org/10.2307/1909201" TargetMode="External" /><Relationship Type="http://schemas.openxmlformats.org/officeDocument/2006/relationships/hyperlink" Id="rId250" Target="https://doi.org/10.2307/1909829" TargetMode="External" /><Relationship Type="http://schemas.openxmlformats.org/officeDocument/2006/relationships/hyperlink" Id="rId322" Target="https://doi.org/10.2307/1911539" TargetMode="External" /><Relationship Type="http://schemas.openxmlformats.org/officeDocument/2006/relationships/hyperlink" Id="rId340" Target="https://doi.org/10.2307/1911540" TargetMode="External" /><Relationship Type="http://schemas.openxmlformats.org/officeDocument/2006/relationships/hyperlink" Id="rId388" Target="https://doi.org/10.2307/1912771" TargetMode="External" /><Relationship Type="http://schemas.openxmlformats.org/officeDocument/2006/relationships/hyperlink" Id="rId318" Target="https://doi.org/10.2307/1914185" TargetMode="External" /><Relationship Type="http://schemas.openxmlformats.org/officeDocument/2006/relationships/hyperlink" Id="rId244" Target="https://doi.org/10.2307/1927286" TargetMode="External" /><Relationship Type="http://schemas.openxmlformats.org/officeDocument/2006/relationships/hyperlink" Id="rId369" Target="https://doi.org/10.2307/2227743" TargetMode="External" /><Relationship Type="http://schemas.openxmlformats.org/officeDocument/2006/relationships/hyperlink" Id="rId248" Target="https://doi.org/10.2307/2228949" TargetMode="External" /><Relationship Type="http://schemas.openxmlformats.org/officeDocument/2006/relationships/hyperlink" Id="rId277" Target="https://doi.org/10.2307/2296107" TargetMode="External" /><Relationship Type="http://schemas.openxmlformats.org/officeDocument/2006/relationships/hyperlink" Id="rId338" Target="https://doi.org/10.2307/2296792" TargetMode="External" /><Relationship Type="http://schemas.openxmlformats.org/officeDocument/2006/relationships/hyperlink" Id="rId241" Target="https://doi.org/10.2307/2525382" TargetMode="External" /><Relationship Type="http://schemas.openxmlformats.org/officeDocument/2006/relationships/hyperlink" Id="rId292" Target="https://doi.org/10.2307/2548574" TargetMode="External" /><Relationship Type="http://schemas.openxmlformats.org/officeDocument/2006/relationships/hyperlink" Id="rId353" Target="https://doi.org/10.2307/2548836" TargetMode="External" /><Relationship Type="http://schemas.openxmlformats.org/officeDocument/2006/relationships/hyperlink" Id="rId294" Target="https://doi.org/10.2307/2549382" TargetMode="External" /><Relationship Type="http://schemas.openxmlformats.org/officeDocument/2006/relationships/hyperlink" Id="rId355" Target="https://doi.org/10.2307/2549561" TargetMode="External" /><Relationship Type="http://schemas.openxmlformats.org/officeDocument/2006/relationships/hyperlink" Id="rId268" Target="https://doi.org/10.2785/055028"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162" Target="https://policonomics.com/es/video-a10-demandas-marshalliana-hicksiana/" TargetMode="External" /><Relationship Type="http://schemas.openxmlformats.org/officeDocument/2006/relationships/hyperlink" Id="rId275" Target="https://web.archive.org/web/20260106065001/http://www2.hawaii.edu/~fuleky/anatomy/anatomy.html" TargetMode="External" /><Relationship Type="http://schemas.openxmlformats.org/officeDocument/2006/relationships/hyperlink" Id="rId386" Target="https://www.bls.gov/cpi/quality-adjustment/" TargetMode="External" /><Relationship Type="http://schemas.openxmlformats.org/officeDocument/2006/relationships/hyperlink" Id="rId297" Target="https://www.ine.es/daco/daco42/daco4213/resmeto06.pdf" TargetMode="External" /><Relationship Type="http://schemas.openxmlformats.org/officeDocument/2006/relationships/hyperlink" Id="rId305" Target="https://www.ine.es/daco/daco42/ipv/metodologia2025.pdf" TargetMode="External" /><Relationship Type="http://schemas.openxmlformats.org/officeDocument/2006/relationships/hyperlink" Id="rId307" Target="https://www.ine.es/dyngs/Prensa/EPF2025.htm" TargetMode="External" /><Relationship Type="http://schemas.openxmlformats.org/officeDocument/2006/relationships/hyperlink" Id="rId299" Target="https://www.ine.es/jaxiT3/Tabla.htm?t=67823" TargetMode="External" /><Relationship Type="http://schemas.openxmlformats.org/officeDocument/2006/relationships/hyperlink" Id="rId301" Target="https://www.ine.es/jaxiT3/Tabla.htm?t=73828" TargetMode="External" /><Relationship Type="http://schemas.openxmlformats.org/officeDocument/2006/relationships/hyperlink" Id="rId303" Target="https://www.ine.es/metodologia/t25/metodologia_IPC_base_2025.pdf" TargetMode="External" /><Relationship Type="http://schemas.openxmlformats.org/officeDocument/2006/relationships/hyperlink" Id="rId309" Target="https://www.ine.es/metodologia/t25/t2530p458.pdf" TargetMode="External" /><Relationship Type="http://schemas.openxmlformats.org/officeDocument/2006/relationships/hyperlink" Id="rId335" Target="https://www.marxists.org/reference/subject/economics/marshall/bk1ch01.htm" TargetMode="External" /><Relationship Type="http://schemas.openxmlformats.org/officeDocument/2006/relationships/hyperlink" Id="rId287" Target="https://www.nber.org/system/files/chapters/c6492/c6492.pdf" TargetMode="External" /><Relationship Type="http://schemas.openxmlformats.org/officeDocument/2006/relationships/hyperlink" Id="rId376" Target="https://www.nobelprize.org/prizes/economic-sciences/1970/summary/" TargetMode="External" /><Relationship Type="http://schemas.openxmlformats.org/officeDocument/2006/relationships/hyperlink" Id="rId378" Target="https://www.nobelprize.org/prizes/economic-sciences/1992/summary/" TargetMode="External" /><Relationship Type="http://schemas.openxmlformats.org/officeDocument/2006/relationships/hyperlink" Id="rId380" Target="https://www.nobelprize.org/prizes/economic-sciences/2015/summary/" TargetMode="External" /><Relationship Type="http://schemas.openxmlformats.org/officeDocument/2006/relationships/hyperlink" Id="rId329" Target="https://www.nobelprize.org/prizes/economic-sciences/2017/press-release/"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1"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2026-10-10T21:45:44Z</dcterms:created>
  <dcterms:modified xsi:type="dcterms:W3CDTF">2026-10-10T21:45:44Z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