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7.png" ContentType="image/png"/>
  <Override PartName="/word/media/rId132.png" ContentType="image/png"/>
  <Override PartName="/word/media/rId151.png" ContentType="image/png"/>
  <Override PartName="/word/media/rId143.png" ContentType="image/png"/>
  <Override PartName="/word/media/rId147.png" ContentType="image/png"/>
  <Override PartName="/word/media/rId56.png" ContentType="image/png"/>
  <Override PartName="/word/media/rId38.png" ContentType="image/png"/>
  <Override PartName="/word/media/rId49.png" ContentType="image/png"/>
  <Override PartName="/word/media/rId73.png" ContentType="image/png"/>
  <Override PartName="/word/media/rId22.png" ContentType="image/png"/>
  <Override PartName="/word/media/rId159.png" ContentType="image/png"/>
  <Override PartName="/word/media/rId66.png" ContentType="image/png"/>
  <Override PartName="/word/media/rId31.png" ContentType="image/png"/>
  <Override PartName="/word/media/rId11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17/10/2026</w:t>
      </w:r>
    </w:p>
    <w:p>
      <w:pPr>
        <w:pStyle w:val="Paginasdeltema"/>
      </w:pPr>
      <w:r>
        <w:t xml:space="preserve">Tema: 40 págs. · Anexos: 5 · Bibliografía: 4 (PDF)</w:t>
      </w:r>
    </w:p>
    <w:bookmarkStart w:id="21" w:name="introducció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w:t>
      </w:r>
      <w:hyperlink w:anchor="ref-Moncloa2025Pensiones">
        <w:r>
          <w:rPr>
            <w:rStyle w:val="Hyperlink"/>
            <w:smallCaps/>
          </w:rPr>
          <w:t xml:space="preserve">Ministerio de Inclusión, Seguridad Social y Migraciones</w:t>
        </w:r>
        <w:r>
          <w:rPr>
            <w:rStyle w:val="Hyperlink"/>
          </w:rPr>
          <w:t xml:space="preserve"> </w:t>
        </w:r>
        <w:r>
          <w:rPr>
            <w:rStyle w:val="Hyperlink"/>
          </w:rPr>
          <w:t xml:space="preserve">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r>
        <w:rPr>
          <w:rStyle w:val="Referenciaatema"/>
        </w:rPr>
        <w:t xml:space="preserve">[ver tema 4.B.11]</w:t>
      </w:r>
      <w:r>
        <w:t xml:space="preserve">, la construcción de índices de precios</w:t>
      </w:r>
      <w:r>
        <w:t xml:space="preserve"> </w:t>
      </w:r>
      <w:r>
        <w:rPr>
          <w:rStyle w:val="Referenciaatema"/>
        </w:rPr>
        <w:t xml:space="preserve">[ver tema 4.A.1]</w:t>
      </w:r>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r>
        <w:rPr>
          <w:rStyle w:val="Referenciaatema"/>
        </w:rPr>
        <w:t xml:space="preserve">[ver tema 4.B.6]</w:t>
      </w:r>
      <w:r>
        <w:t xml:space="preserve"> </w:t>
      </w:r>
      <w:r>
        <w:t xml:space="preserve">y de la medición del exceso de gravamen de los impuestos</w:t>
      </w:r>
      <w:r>
        <w:t xml:space="preserve"> </w:t>
      </w:r>
      <w:r>
        <w:rPr>
          <w:rStyle w:val="Referenciaatema"/>
        </w:rPr>
        <w:t xml:space="preserve">[ver tema 4.B.9]</w:t>
      </w:r>
      <w:r>
        <w:t xml:space="preserve">.</w:t>
      </w:r>
    </w:p>
    <w:p>
      <w:pPr>
        <w:keepNext/>
        <w:numPr>
          <w:ilvl w:val="0"/>
          <w:numId w:val="1001"/>
        </w:numPr>
      </w:pPr>
      <w:r>
        <w:rPr>
          <w:b/>
          <w:bCs/>
          <w:i/>
          <w:iCs/>
        </w:rPr>
        <w:t xml:space="preserve">Contextualización</w:t>
      </w:r>
      <w:r>
        <w:t xml:space="preserve">:</w:t>
      </w:r>
    </w:p>
    <w:p>
      <w:pPr>
        <w:numPr>
          <w:ilvl w:val="1"/>
          <w:numId w:val="1004"/>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r>
        <w:rPr>
          <w:rStyle w:val="Referenciaatema"/>
        </w:rPr>
        <w:t xml:space="preserve">[ver tema 3.A.8]</w:t>
      </w:r>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 ¿qué demandas observadas son compatibles con la maximización de unas preferencias?, ¿son también suficientes las condiciones necesarias para esa compatibilidad?, ¿qué tipo de preferencias genera una clase particular de demandas? El análisis de dualidad ha sido determinante para responderlas.</w:t>
      </w:r>
    </w:p>
    <w:p>
      <w:pPr>
        <w:keepNext/>
        <w:numPr>
          <w:ilvl w:val="1"/>
          <w:numId w:val="1004"/>
        </w:numPr>
      </w:pPr>
      <w:r>
        <w:t xml:space="preserve">Esas preguntas se han abordado desde cuatro líneas de trabajo con un origen distinto:</w:t>
      </w:r>
    </w:p>
    <w:p>
      <w:pPr>
        <w:numPr>
          <w:ilvl w:val="2"/>
          <w:numId w:val="1005"/>
        </w:numPr>
      </w:pPr>
      <w:r>
        <w:rPr>
          <w:b/>
          <w:bCs/>
        </w:rPr>
        <w:t xml:space="preserve">Dualidad</w:t>
      </w:r>
      <w:r>
        <w:t xml:space="preserve">.</w:t>
      </w:r>
      <w:r>
        <w:t xml:space="preserve"> </w:t>
      </w:r>
      <w:r>
        <w:rPr>
          <w:smallCaps/>
        </w:rPr>
        <w:t xml:space="preserve">Hotelling</w:t>
      </w:r>
      <w:r>
        <w:t xml:space="preserve"> </w:t>
      </w:r>
      <w:r>
        <w:t xml:space="preserve">(</w:t>
      </w:r>
      <w:hyperlink w:anchor="ref-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introduce la demanda compensada;</w:t>
      </w:r>
      <w:r>
        <w:t xml:space="preserve"> </w:t>
      </w:r>
      <w:r>
        <w:rPr>
          <w:smallCaps/>
        </w:rPr>
        <w:t xml:space="preserve">Roy</w:t>
      </w:r>
      <w:r>
        <w:t xml:space="preserve"> </w:t>
      </w:r>
      <w:r>
        <w:t xml:space="preserve">(</w:t>
      </w:r>
      <w:hyperlink w:anchor="ref-Roy1947Distribution">
        <w:r>
          <w:rPr>
            <w:rStyle w:val="Hyperlink"/>
          </w:rPr>
          <w:t xml:space="preserve">1947</w:t>
        </w:r>
      </w:hyperlink>
      <w:r>
        <w:t xml:space="preserve">)</w:t>
      </w:r>
      <w:r>
        <w:t xml:space="preserve"> </w:t>
      </w:r>
      <w:r>
        <w:t xml:space="preserve">obtiene las demandas a partir de la función indirecta de utilidad;</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rPr>
          <w:smallCaps/>
        </w:rPr>
        <w:t xml:space="preserve">McKenzie</w:t>
      </w:r>
      <w:r>
        <w:t xml:space="preserve"> </w:t>
      </w:r>
      <w:r>
        <w:t xml:space="preserve">(</w:t>
      </w:r>
      <w:hyperlink w:anchor="ref-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5"/>
        </w:numPr>
      </w:pPr>
      <w:r>
        <w:rPr>
          <w:b/>
          <w:bCs/>
        </w:rPr>
        <w:t xml:space="preserve">Medición del bienestar</w:t>
      </w:r>
      <w:r>
        <w:t xml:space="preserv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hyperlink w:anchor="ref-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Aquí se usa en sentido estricto, aunque alguna vez aparezca el amplio.</w:t>
      </w:r>
      <w:r>
        <w:rPr>
          <w:rStyle w:val="FootnoteReference"/>
        </w:rPr>
        <w:footnoteReference w:id="20"/>
      </w:r>
    </w:p>
    <w:p>
      <w:pPr>
        <w:keepNext/>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(I.1); 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(I.2), y estableceremos las relaciones de dualidad entre ambos (I.3).</w:t>
      </w:r>
    </w:p>
    <w:p>
      <w:pPr>
        <w:numPr>
          <w:ilvl w:val="1"/>
          <w:numId w:val="1007"/>
        </w:numPr>
      </w:pPr>
      <w:r>
        <w:rPr>
          <w:b/>
          <w:bCs/>
        </w:rPr>
        <w:t xml:space="preserve">II. Desarrollos empíricos</w:t>
      </w:r>
      <w:r>
        <w:t xml:space="preserve">: veremos para qué se estiman los sistemas completos de demanda (II.1) 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(II.2), y los valoraremos (II.3).</w:t>
      </w:r>
    </w:p>
    <w:p>
      <w:pPr>
        <w:numPr>
          <w:ilvl w:val="1"/>
          <w:numId w:val="1007"/>
        </w:numPr>
      </w:pPr>
      <w:r>
        <w:rPr>
          <w:b/>
          <w:bCs/>
        </w:rPr>
        <w:t xml:space="preserve">III. Aplicaciones de la dualidad</w:t>
      </w:r>
      <w:r>
        <w:t xml:space="preserve">: la integrabilidad de las preferencias, que pregunta cuándo un sistema de demandas procede de unas preferencias (III.1); la ecuación de</w:t>
      </w:r>
      <w:r>
        <w:t xml:space="preserve"> </w:t>
      </w:r>
      <w:r>
        <w:rPr>
          <w:smallCaps/>
        </w:rPr>
        <w:t xml:space="preserve">Slutsky</w:t>
      </w:r>
      <w:r>
        <w:t xml:space="preserve"> </w:t>
      </w:r>
      <w:r>
        <w:t xml:space="preserve">y la clasificación de los bienes, propia y cruzada, neta y bruta (III.2), y la medición de los cambios en el bienestar, con el excedente del consumidor, la métrica monetaria, las variaciones compensatoria y equivalente y los índices de coste de la vida (III.3).</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pPr>
      <w:r>
        <w:rPr>
          <w:b/>
          <w:bCs/>
        </w:rPr>
        <w:t xml:space="preserve">Nota al opositor. </w:t>
      </w:r>
      <w:r>
        <w:t xml:space="preserve">La exposición va de las herramientas (I) a su estimación (II) y a sus aplicaciones (III). Reparto del cante: introducción, 2′; I, 10′ (I.1, 2′; I.2, 5′; I.3, 3′); II, 5′ (II.1, 0′30″; II.2, 3′30″; II.3, 1′); III, 12′ (III.1, 2′30″; III.2, 3′30″; III.3, 6′), y conclusión, 1′. El bloque I 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1"/>
    <w:bookmarkStart w:id="79" w:name="X71f534b4cdd64c3c6c7a75da5470e7aafa576ae"/>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A) son de profundización.</w:t>
      </w:r>
    </w:p>
    <w:p>
      <w:pPr>
        <w:numPr>
          <w:ilvl w:val="0"/>
          <w:numId w:val="1008"/>
        </w:numPr>
      </w:pPr>
      <w:r>
        <w:t xml:space="preserve">Una vez planteadas las preguntas, pasamos a construir las herramientas para responderlas. Este bloque responde a la primera.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27" w:name="Xadf3614fecccd08a3ec2ecd90481c1f5511b388"/>
    <w:p>
      <w:pPr>
        <w:pStyle w:val="Heading2"/>
      </w:pPr>
      <w:r>
        <w:t xml:space="preserve">I.1.</w:t>
      </w:r>
      <w:r>
        <w:t xml:space="preserve"> </w:t>
      </w:r>
      <w:r>
        <w:t xml:space="preserve">Ingredientes comunes del problema primal y el problema dual</w:t>
      </w:r>
    </w:p>
    <w:p>
      <w:pPr>
        <w:keepNext/>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1).</w:t>
      </w:r>
    </w:p>
    <w:bookmarkStart w:id="25" w:name="fig:esquema-ingredientes-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 title="" id="23" name="Picture"/>
            <a:graphic>
              <a:graphicData uri="http://schemas.openxmlformats.org/drawingml/2006/picture">
                <pic:pic>
                  <pic:nvPicPr>
                    <pic:cNvPr descr="C:\Users\vgutierrez\Documents\src\victorgutierrezmarcos.github.io-revision\oposicion\temario\fuentes\3A09\graficos/esquema-ingredientes-dualidad.png" id="24" name="Picture"/>
                    <pic:cNvPicPr>
                      <a:picLocks noChangeArrowheads="1" noChangeAspect="1"/>
                    </pic:cNvPicPr>
                  </pic:nvPicPr>
                  <pic:blipFill>
                    <a:blip r:embed="rId22"/>
                    <a:stretch>
                      <a:fillRect/>
                    </a:stretch>
                  </pic:blipFill>
                  <pic:spPr bwMode="auto">
                    <a:xfrm>
                      <a:off x="0" y="0"/>
                      <a:ext cx="5670550" cy="1833824"/>
                    </a:xfrm>
                    <a:prstGeom prst="rect">
                      <a:avLst/>
                    </a:prstGeom>
                    <a:noFill/>
                    <a:ln w="9525">
                      <a:noFill/>
                      <a:headEnd/>
                      <a:tailEnd/>
                    </a:ln>
                  </pic:spPr>
                </pic:pic>
              </a:graphicData>
            </a:graphic>
          </wp:inline>
        </w:drawing>
      </w:r>
    </w:p>
    <w:bookmarkEnd w:id="25"/>
    <w:p>
      <w:pPr>
        <w:pStyle w:val="Piedeimagen"/>
      </w:pPr>
      <w:r>
        <w:t xml:space="preserve">Fuente: elaboración propia.</w:t>
      </w:r>
    </w:p>
    <w:p>
      <w:pPr>
        <w:keepNext/>
        <w:numPr>
          <w:ilvl w:val="0"/>
          <w:numId w:val="1011"/>
        </w:numPr>
      </w:pPr>
      <w:r>
        <w:t xml:space="preserve">Recorremos el esquema parte por parte:</w:t>
      </w:r>
    </w:p>
    <w:p>
      <w:pPr>
        <w:numPr>
          <w:ilvl w:val="1"/>
          <w:numId w:val="1012"/>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2"/>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3"/>
        </w:numPr>
      </w:pPr>
      <w:r>
        <w:rPr>
          <w:i/>
          <w:iCs/>
        </w:rPr>
        <w:t xml:space="preserve">completitud</w:t>
      </w:r>
      <w:r>
        <w:t xml:space="preserve">: dos cestas cualesquiera pueden compararse;</w:t>
      </w:r>
    </w:p>
    <w:p>
      <w:pPr>
        <w:numPr>
          <w:ilvl w:val="2"/>
          <w:numId w:val="1013"/>
        </w:numPr>
      </w:pPr>
      <w:r>
        <w:rPr>
          <w:i/>
          <w:iCs/>
        </w:rPr>
        <w:t xml:space="preserve">reflexividad</w:t>
      </w:r>
      <w:r>
        <w:t xml:space="preserve">: cada cesta es al menos tan buena como sí misma;</w:t>
      </w:r>
    </w:p>
    <w:p>
      <w:pPr>
        <w:numPr>
          <w:ilvl w:val="2"/>
          <w:numId w:val="1013"/>
        </w:numPr>
      </w:pPr>
      <w:r>
        <w:rPr>
          <w:i/>
          <w:iCs/>
        </w:rPr>
        <w:t xml:space="preserve">transitividad</w:t>
      </w:r>
      <w:r>
        <w:t xml:space="preserve">: las comparaciones son coherentes entre sí;</w:t>
      </w:r>
    </w:p>
    <w:p>
      <w:pPr>
        <w:numPr>
          <w:ilvl w:val="2"/>
          <w:numId w:val="1013"/>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3"/>
        </w:numPr>
      </w:pPr>
      <w:r>
        <w:rPr>
          <w:i/>
          <w:iCs/>
        </w:rPr>
        <w:t xml:space="preserve">insaciabilidad local</w:t>
      </w:r>
      <w:r>
        <w:t xml:space="preserve">: cerca de cada cesta hay otra preferida (la monotonía estricta, más fuerte, también la garantiza);</w:t>
      </w:r>
    </w:p>
    <w:p>
      <w:pPr>
        <w:numPr>
          <w:ilvl w:val="2"/>
          <w:numId w:val="1013"/>
        </w:numPr>
      </w:pPr>
      <w:r>
        <w:rPr>
          <w:i/>
          <w:iCs/>
        </w:rPr>
        <w:t xml:space="preserve">convexidad estricta</w:t>
      </w:r>
      <w:r>
        <w:t xml:space="preserve">: las combinaciones de cestas indiferentes se prefieren a los extremos;</w:t>
      </w:r>
    </w:p>
    <w:p>
      <w:pPr>
        <w:numPr>
          <w:ilvl w:val="2"/>
          <w:numId w:val="1013"/>
        </w:numPr>
      </w:pPr>
      <w:r>
        <w:rPr>
          <w:i/>
          <w:iCs/>
        </w:rPr>
        <w:t xml:space="preserve">diferenciabilidad</w:t>
      </w:r>
      <w:r>
        <w:t xml:space="preserve">: que la función de utilidad tenga derivadas, para poder usar el cálculo diferencial.</w:t>
      </w:r>
    </w:p>
    <w:p>
      <w:pPr>
        <w:keepNext/>
        <w:numPr>
          <w:ilvl w:val="1"/>
          <w:numId w:val="1012"/>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r>
        <w:rPr>
          <w:rStyle w:val="Referenciaatema"/>
        </w:rPr>
        <w:t xml:space="preserve">[ver tema 3.A.8]</w:t>
      </w:r>
      <w:r>
        <w:t xml:space="preserve">.</w:t>
      </w:r>
    </w:p>
    <w:p>
      <w:pPr>
        <w:numPr>
          <w:ilvl w:val="2"/>
          <w:numId w:val="1014"/>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14"/>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2"/>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15"/>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15"/>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2"/>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1"/>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1).</w:t>
      </w:r>
    </w:p>
    <w:bookmarkStart w:id="26" w:name="tab: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Problema primal</w:t>
            </w:r>
          </w:p>
        </w:tc>
        <w:tc>
          <w:tcPr/>
          <w:p>
            <w:pPr>
              <w:pStyle w:val="Celdatceeazulpalido"/>
              <w:jc w:val="left"/>
            </w:pPr>
            <w:r>
              <w:rPr>
                <w:b/>
                <w:bCs/>
              </w:rPr>
              <w:t xml:space="preserve">Problema dual</w:t>
            </w:r>
          </w:p>
        </w:tc>
      </w:tr>
      <w:t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26"/>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MatePerez2007Microeconomia">
        <w:r>
          <w:rPr>
            <w:rStyle w:val="Hyperlink"/>
            <w:i/>
            <w:iCs/>
          </w:rPr>
          <w:t xml:space="preserve">2007</w:t>
        </w:r>
      </w:hyperlink>
      <w:r>
        <w:rPr>
          <w:i/>
          <w:iCs/>
        </w:rPr>
        <w:t xml:space="preserve">)</w:t>
      </w:r>
      <w:r>
        <w:rPr>
          <w:i/>
          <w:iCs/>
        </w:rPr>
        <w:t xml:space="preserve">.</w:t>
      </w:r>
    </w:p>
    <w:bookmarkEnd w:id="27"/>
    <w:bookmarkStart w:id="65" w:name="problemas-primal-y-dual"/>
    <w:p>
      <w:pPr>
        <w:pStyle w:val="Heading2"/>
      </w:pPr>
      <w:r>
        <w:t xml:space="preserve">I.2.</w:t>
      </w:r>
      <w:r>
        <w:t xml:space="preserve"> </w:t>
      </w:r>
      <w:r>
        <w:t xml:space="preserve">Problemas primal y dual</w:t>
      </w:r>
    </w:p>
    <w:p>
      <w:pPr>
        <w:numPr>
          <w:ilvl w:val="0"/>
          <w:numId w:val="1016"/>
        </w:numPr>
      </w:pPr>
      <w:r>
        <w:t xml:space="preserve">Descritos los ingredientes comunes, pasamos a plantear y resolver cada problema por separado: primero el primal y después el dual.</w:t>
      </w:r>
    </w:p>
    <w:bookmarkStart w:id="45" w:name="X7c6d98eafb5dd2ce68979be25b5ecb40da7c1bf"/>
    <w:p>
      <w:pPr>
        <w:pStyle w:val="Heading3"/>
      </w:pPr>
      <w:r>
        <w:t xml:space="preserve">I.2.1.</w:t>
      </w:r>
      <w:r>
        <w:t xml:space="preserve"> </w:t>
      </w:r>
      <w:r>
        <w:t xml:space="preserve">Problema primal: maximización de la utilidad</w:t>
      </w:r>
    </w:p>
    <w:bookmarkStart w:id="28" w:name="a-idea"/>
    <w:p>
      <w:pPr>
        <w:pStyle w:val="Heading4"/>
      </w:pPr>
      <w:r>
        <w:t xml:space="preserve">a) Idea</w:t>
      </w:r>
    </w:p>
    <w:p>
      <w:pPr>
        <w:numPr>
          <w:ilvl w:val="0"/>
          <w:numId w:val="1017"/>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r>
        <w:rPr>
          <w:rStyle w:val="Referenciaatema"/>
        </w:rPr>
        <w:t xml:space="preserve">[ver tema 3.A.8]</w:t>
      </w:r>
      <w:r>
        <w:t xml:space="preserve">.</w:t>
      </w:r>
    </w:p>
    <w:bookmarkEnd w:id="28"/>
    <w:bookmarkStart w:id="43" w:name="b-modelo"/>
    <w:p>
      <w:pPr>
        <w:pStyle w:val="Heading4"/>
      </w:pPr>
      <w:r>
        <w:t xml:space="preserve">b) Modelo</w:t>
      </w:r>
    </w:p>
    <w:bookmarkStart w:id="29" w:name="i-supuestos"/>
    <w:p>
      <w:pPr>
        <w:pStyle w:val="Heading5"/>
      </w:pPr>
      <w:r>
        <w:t xml:space="preserve">i) Supuestos</w:t>
      </w:r>
    </w:p>
    <w:p>
      <w:pPr>
        <w:numPr>
          <w:ilvl w:val="0"/>
          <w:numId w:val="1018"/>
        </w:numPr>
      </w:pPr>
      <w:r>
        <w:t xml:space="preserve">Los de I.1: contexto estático, información perfecta, preferencias de buen comportamiento representables con una función de utilidad de buen comportamiento, bienes homogéneos y consumidor precio-aceptante.</w:t>
      </w:r>
    </w:p>
    <w:bookmarkEnd w:id="29"/>
    <w:bookmarkStart w:id="35" w:name="ii-desarrollo"/>
    <w:p>
      <w:pPr>
        <w:pStyle w:val="Heading5"/>
      </w:pPr>
      <w:r>
        <w:t xml:space="preserve">ii) Desarrollo</w:t>
      </w:r>
    </w:p>
    <w:p>
      <w:pPr>
        <w:numPr>
          <w:ilvl w:val="0"/>
          <w:numId w:val="1019"/>
        </w:numPr>
      </w:pPr>
      <w:r>
        <w:rPr>
          <w:i/>
          <w:iCs/>
        </w:rPr>
        <w:t xml:space="preserve">Analítico</w:t>
      </w:r>
      <w:r>
        <w:t xml:space="preserve">. El</w:t>
      </w:r>
      <w:r>
        <w:t xml:space="preserve"> </w:t>
      </w:r>
      <w:r>
        <w:rPr>
          <w:b/>
          <w:bCs/>
        </w:rPr>
        <w:t xml:space="preserve">problema de maximización de la utilidad</w:t>
      </w:r>
      <w:r>
        <w:t xml:space="preserve"> </w:t>
      </w:r>
      <w:r>
        <w:t xml:space="preserve">(PMU) 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20"/>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20"/>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0"/>
      </w:r>
    </w:p>
    <w:p>
      <w:pPr>
        <w:numPr>
          <w:ilvl w:val="1"/>
          <w:numId w:val="1020"/>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A.</w:t>
      </w:r>
    </w:p>
    <w:p>
      <w:pPr>
        <w:numPr>
          <w:ilvl w:val="0"/>
          <w:numId w:val="1019"/>
        </w:numPr>
      </w:pPr>
      <w:r>
        <w:rPr>
          <w:i/>
          <w:iCs/>
        </w:rPr>
        <w:t xml:space="preserve">Gráfico</w:t>
      </w:r>
      <w:r>
        <w:t xml:space="preserve"> </w:t>
      </w:r>
      <w:r>
        <w:t xml:space="preserve">(gráfico 2),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34" w:name="fig: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 title="" id="32" name="Picture"/>
            <a:graphic>
              <a:graphicData uri="http://schemas.openxmlformats.org/drawingml/2006/picture">
                <pic:pic>
                  <pic:nvPicPr>
                    <pic:cNvPr descr="C:\Users\vgutierrez\Documents\src\victorgutierrezmarcos.github.io-revision\oposicion\temario\fuentes\3A09\graficos/primal.png" id="33" name="Picture"/>
                    <pic:cNvPicPr>
                      <a:picLocks noChangeArrowheads="1" noChangeAspect="1"/>
                    </pic:cNvPicPr>
                  </pic:nvPicPr>
                  <pic:blipFill>
                    <a:blip r:embed="rId31"/>
                    <a:stretch>
                      <a:fillRect/>
                    </a:stretch>
                  </pic:blipFill>
                  <pic:spPr bwMode="auto">
                    <a:xfrm>
                      <a:off x="0" y="0"/>
                      <a:ext cx="2688152" cy="2272238"/>
                    </a:xfrm>
                    <a:prstGeom prst="rect">
                      <a:avLst/>
                    </a:prstGeom>
                    <a:noFill/>
                    <a:ln w="9525">
                      <a:noFill/>
                      <a:headEnd/>
                      <a:tailEnd/>
                    </a:ln>
                  </pic:spPr>
                </pic:pic>
              </a:graphicData>
            </a:graphic>
          </wp:inline>
        </w:drawing>
      </w:r>
    </w:p>
    <w:bookmarkEnd w:id="34"/>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3.D.1</w:t>
        </w:r>
      </w:hyperlink>
      <w:r>
        <w:t xml:space="preserve">)</w:t>
      </w:r>
      <w:r>
        <w:t xml:space="preserve">.</w:t>
      </w:r>
    </w:p>
    <w:bookmarkEnd w:id="35"/>
    <w:bookmarkStart w:id="42" w:name="Xee0fe5705837d24383fbf47e6e89e518ec7c9c1"/>
    <w:p>
      <w:pPr>
        <w:pStyle w:val="Heading5"/>
      </w:pPr>
      <w:r>
        <w:t xml:space="preserve">iii) Implicaciones: la demanda marshalliana y la función indirecta de utilidad</w:t>
      </w:r>
    </w:p>
    <w:p>
      <w:pPr>
        <w:numPr>
          <w:ilvl w:val="0"/>
          <w:numId w:val="1021"/>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36"/>
      </w:r>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1"/>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3.D.2;</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1"/>
          <w:numId w:val="1022"/>
        </w:numPr>
      </w:pPr>
      <w:r>
        <w:rPr>
          <w:i/>
          <w:iCs/>
        </w:rPr>
        <w:t xml:space="preserve">existe, es global y es única</w:t>
      </w:r>
      <w:r>
        <w:t xml:space="preserve">, por los teoremas de la optimización condicionada que acabamos de ver;</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2"/>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37"/>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numPr>
          <w:ilvl w:val="1"/>
          <w:numId w:val="1022"/>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 que</w:t>
      </w:r>
      <w:r>
        <w:t xml:space="preserve"> </w:t>
      </w:r>
      <m:oMath>
        <m:r>
          <m:t>U</m:t>
        </m:r>
      </m:oMath>
      <w:r>
        <w:t xml:space="preserve"> </w:t>
      </w:r>
      <w:r>
        <w:t xml:space="preserve">sea dos veces diferenciable, que alguna utilidad marginal sea positiva y que el determinante del hessiano orlado sea distinto de cero en el óptimo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0"/>
          <w:numId w:val="1021"/>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1"/>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 que serán de gran utilidad más adelante:</w:t>
      </w:r>
    </w:p>
    <w:p>
      <w:pPr>
        <w:numPr>
          <w:ilvl w:val="1"/>
          <w:numId w:val="1023"/>
        </w:numPr>
      </w:pPr>
      <w:r>
        <w:rPr>
          <w:i/>
          <w:iCs/>
        </w:rPr>
        <w:t xml:space="preserve">existe</w:t>
      </w:r>
      <w:r>
        <w:t xml:space="preserve">, porque existe la demanda;</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23"/>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23"/>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23"/>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23"/>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24"/>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24"/>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w:t>
      </w:r>
      <m:oMath>
        <m:r>
          <m:rPr>
            <m:sty m:val="p"/>
          </m:rPr>
          <m:t>◼</m:t>
        </m:r>
      </m:oMath>
    </w:p>
    <w:p>
      <w:pPr>
        <w:numPr>
          <w:ilvl w:val="2"/>
          <w:numId w:val="1024"/>
        </w:numPr>
      </w:pPr>
      <w:r>
        <w:rPr>
          <w:i/>
          <w:iCs/>
        </w:rPr>
        <w:t xml:space="preserve">Gráficamente</w:t>
      </w:r>
      <w:r>
        <w:t xml:space="preserve"> </w:t>
      </w:r>
      <w:r>
        <w:t xml:space="preserve">(gráfico 3): la recta de balance promedio pasa por el corte de las dos extremas y queda dentro de la unión de sus conjuntos presupuestarios, así que la utilidad máxima con el promedio no supera la mayor de las alcanzables con los extremos.</w:t>
      </w:r>
    </w:p>
    <w:p>
      <w:pPr>
        <w:numPr>
          <w:ilvl w:val="2"/>
          <w:numId w:val="1024"/>
        </w:numPr>
      </w:pPr>
      <w:r>
        <w:t xml:space="preserve">No depende de la convexidad de las preferencias;</w:t>
      </w:r>
    </w:p>
    <w:p>
      <w:pPr>
        <w:numPr>
          <w:ilvl w:val="1"/>
          <w:numId w:val="1023"/>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Roy1947Distribution">
        <w:r>
          <w:rPr>
            <w:rStyle w:val="Hyperlink"/>
            <w:smallCaps/>
          </w:rPr>
          <w:t xml:space="preserve">Roy</w:t>
        </w:r>
        <w:r>
          <w:rPr>
            <w:rStyle w:val="Hyperlink"/>
          </w:rPr>
          <w:t xml:space="preserve"> </w:t>
        </w:r>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B).</w:t>
      </w:r>
    </w:p>
    <w:bookmarkStart w:id="41" w:name="fig:cuasiconvexidad-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 title="" id="39" name="Picture"/>
            <a:graphic>
              <a:graphicData uri="http://schemas.openxmlformats.org/drawingml/2006/picture">
                <pic:pic>
                  <pic:nvPicPr>
                    <pic:cNvPr descr="C:\Users\vgutierrez\Documents\src\victorgutierrezmarcos.github.io-revision\oposicion\temario\fuentes\3A09\graficos/cuasiconvexidad-fiu.png" id="40" name="Picture"/>
                    <pic:cNvPicPr>
                      <a:picLocks noChangeArrowheads="1" noChangeAspect="1"/>
                    </pic:cNvPicPr>
                  </pic:nvPicPr>
                  <pic:blipFill>
                    <a:blip r:embed="rId38"/>
                    <a:stretch>
                      <a:fillRect/>
                    </a:stretch>
                  </pic:blipFill>
                  <pic:spPr bwMode="auto">
                    <a:xfrm>
                      <a:off x="0" y="0"/>
                      <a:ext cx="3581400" cy="2567681"/>
                    </a:xfrm>
                    <a:prstGeom prst="rect">
                      <a:avLst/>
                    </a:prstGeom>
                    <a:noFill/>
                    <a:ln w="9525">
                      <a:noFill/>
                      <a:headEnd/>
                      <a:tailEnd/>
                    </a:ln>
                  </pic:spPr>
                </pic:pic>
              </a:graphicData>
            </a:graphic>
          </wp:inline>
        </w:drawing>
      </w:r>
    </w:p>
    <w:bookmarkEnd w:id="4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3.D.5</w:t>
        </w:r>
      </w:hyperlink>
      <w:r>
        <w:t xml:space="preserve">)</w:t>
      </w:r>
      <w:r>
        <w:t xml:space="preserve">.</w:t>
      </w:r>
    </w:p>
    <w:bookmarkEnd w:id="42"/>
    <w:bookmarkEnd w:id="43"/>
    <w:bookmarkStart w:id="44" w:name="c-valoración"/>
    <w:p>
      <w:pPr>
        <w:pStyle w:val="Heading4"/>
      </w:pPr>
      <w:r>
        <w:t xml:space="preserve">c) Valoración</w:t>
      </w:r>
    </w:p>
    <w:p>
      <w:pPr>
        <w:numPr>
          <w:ilvl w:val="0"/>
          <w:numId w:val="1025"/>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44"/>
    <w:bookmarkEnd w:id="45"/>
    <w:bookmarkStart w:id="64" w:name="problema-dual-minimización-del-gasto"/>
    <w:p>
      <w:pPr>
        <w:pStyle w:val="Heading3"/>
      </w:pPr>
      <w:r>
        <w:t xml:space="preserve">I.2.2.</w:t>
      </w:r>
      <w:r>
        <w:t xml:space="preserve"> </w:t>
      </w:r>
      <w:r>
        <w:t xml:space="preserve">Problema dual: minimización del gasto</w:t>
      </w:r>
    </w:p>
    <w:bookmarkStart w:id="46" w:name="a-idea-1"/>
    <w:p>
      <w:pPr>
        <w:pStyle w:val="Heading4"/>
      </w:pPr>
      <w:r>
        <w:t xml:space="preserve">a) Idea</w:t>
      </w:r>
    </w:p>
    <w:p>
      <w:pPr>
        <w:numPr>
          <w:ilvl w:val="0"/>
          <w:numId w:val="1026"/>
        </w:numPr>
      </w:pPr>
      <w:r>
        <w:t xml:space="preserve">En lugar de preguntar cuánta utilidad compra una renta, preguntamos cuál es la forma más barata de alcanzar un nivel de utilidad. Es el problema de optimización alternativo que propone la teoría de la dualidad.</w:t>
      </w:r>
    </w:p>
    <w:bookmarkEnd w:id="46"/>
    <w:bookmarkStart w:id="62" w:name="b-modelo-1"/>
    <w:p>
      <w:pPr>
        <w:pStyle w:val="Heading4"/>
      </w:pPr>
      <w:r>
        <w:t xml:space="preserve">b) Modelo</w:t>
      </w:r>
    </w:p>
    <w:bookmarkStart w:id="47" w:name="i-supuestos-1"/>
    <w:p>
      <w:pPr>
        <w:pStyle w:val="Heading5"/>
      </w:pPr>
      <w:r>
        <w:t xml:space="preserve">i) Supuestos</w:t>
      </w:r>
    </w:p>
    <w:p>
      <w:pPr>
        <w:numPr>
          <w:ilvl w:val="0"/>
          <w:numId w:val="1027"/>
        </w:numPr>
      </w:pPr>
      <w:r>
        <w:t xml:space="preserve">Son idénticos a los del primal: solo cambia la formulación del problema.</w:t>
      </w:r>
    </w:p>
    <w:bookmarkEnd w:id="47"/>
    <w:bookmarkStart w:id="53" w:name="ii-desarrollo-1"/>
    <w:p>
      <w:pPr>
        <w:pStyle w:val="Heading5"/>
      </w:pPr>
      <w:r>
        <w:t xml:space="preserve">ii) Desarrollo</w:t>
      </w:r>
    </w:p>
    <w:p>
      <w:pPr>
        <w:numPr>
          <w:ilvl w:val="0"/>
          <w:numId w:val="1028"/>
        </w:numPr>
      </w:pPr>
      <w:r>
        <w:rPr>
          <w:i/>
          <w:iCs/>
        </w:rPr>
        <w:t xml:space="preserve">Analítico</w:t>
      </w:r>
      <w:r>
        <w:t xml:space="preserve">. El</w:t>
      </w:r>
      <w:r>
        <w:t xml:space="preserve"> </w:t>
      </w:r>
      <w:r>
        <w:rPr>
          <w:b/>
          <w:bCs/>
        </w:rPr>
        <w:t xml:space="preserve">problema de minimización del gasto</w:t>
      </w:r>
      <w:r>
        <w:t xml:space="preserve"> </w:t>
      </w:r>
      <w:r>
        <w:t xml:space="preserve">(PMG) 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29"/>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29"/>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w:t>
      </w:r>
    </w:p>
    <w:p>
      <w:pPr>
        <w:numPr>
          <w:ilvl w:val="1"/>
          <w:numId w:val="1029"/>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29"/>
        </w:numPr>
      </w:pPr>
      <w:r>
        <w:t xml:space="preserve">En una solución interior, las condiciones de primer orden dan</w:t>
      </w:r>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A).</w:t>
      </w:r>
    </w:p>
    <w:p>
      <w:pPr>
        <w:numPr>
          <w:ilvl w:val="1"/>
          <w:numId w:val="1029"/>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48"/>
      </w:r>
    </w:p>
    <w:p>
      <w:pPr>
        <w:numPr>
          <w:ilvl w:val="1"/>
          <w:numId w:val="1029"/>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w:t>
      </w:r>
      <w:r>
        <w:t xml:space="preserve">. Con preferencias estrictamente convexas se cumplen las condiciones de segundo orden, que son las mismas que en el primal (anexo A).</w:t>
      </w:r>
    </w:p>
    <w:p>
      <w:pPr>
        <w:numPr>
          <w:ilvl w:val="0"/>
          <w:numId w:val="1028"/>
        </w:numPr>
      </w:pPr>
      <w:r>
        <w:rPr>
          <w:i/>
          <w:iCs/>
        </w:rPr>
        <w:t xml:space="preserve">Gráfico</w:t>
      </w:r>
      <w:r>
        <w:t xml:space="preserve"> </w:t>
      </w:r>
      <w:r>
        <w:t xml:space="preserve">(gráfico 4): se procede al revés que en el primal.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52" w:name="fig: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 title="" id="50" name="Picture"/>
            <a:graphic>
              <a:graphicData uri="http://schemas.openxmlformats.org/drawingml/2006/picture">
                <pic:pic>
                  <pic:nvPicPr>
                    <pic:cNvPr descr="C:\Users\vgutierrez\Documents\src\victorgutierrezmarcos.github.io-revision\oposicion\temario\fuentes\3A09\graficos/dual.png" id="51" name="Picture"/>
                    <pic:cNvPicPr>
                      <a:picLocks noChangeArrowheads="1" noChangeAspect="1"/>
                    </pic:cNvPicPr>
                  </pic:nvPicPr>
                  <pic:blipFill>
                    <a:blip r:embed="rId49"/>
                    <a:stretch>
                      <a:fillRect/>
                    </a:stretch>
                  </pic:blipFill>
                  <pic:spPr bwMode="auto">
                    <a:xfrm>
                      <a:off x="0" y="0"/>
                      <a:ext cx="2654512" cy="2275296"/>
                    </a:xfrm>
                    <a:prstGeom prst="rect">
                      <a:avLst/>
                    </a:prstGeom>
                    <a:noFill/>
                    <a:ln w="9525">
                      <a:noFill/>
                      <a:headEnd/>
                      <a:tailEnd/>
                    </a:ln>
                  </pic:spPr>
                </pic:pic>
              </a:graphicData>
            </a:graphic>
          </wp:inline>
        </w:drawing>
      </w:r>
    </w:p>
    <w:bookmarkEnd w:id="5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bookmarkEnd w:id="53"/>
    <w:bookmarkStart w:id="61" w:name="X7d303b0783c5a0d4bd1c448bf099f6e0e0c4b49"/>
    <w:p>
      <w:pPr>
        <w:pStyle w:val="Heading5"/>
      </w:pPr>
      <w:r>
        <w:t xml:space="preserve">iii) Implicaciones: la demanda hicksiana y la función de gasto</w:t>
      </w:r>
    </w:p>
    <w:p>
      <w:pPr>
        <w:numPr>
          <w:ilvl w:val="0"/>
          <w:numId w:val="1030"/>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54"/>
      </w:r>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3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 y 3.E.4)</w:t>
      </w:r>
      <w:r>
        <w:t xml:space="preserve">:</w:t>
      </w:r>
    </w:p>
    <w:p>
      <w:pPr>
        <w:numPr>
          <w:ilvl w:val="1"/>
          <w:numId w:val="1031"/>
        </w:numPr>
      </w:pPr>
      <w:r>
        <w:rPr>
          <w:i/>
          <w:iCs/>
        </w:rPr>
        <w:t xml:space="preserve">existe, es global y es única</w:t>
      </w:r>
      <w:r>
        <w:t xml:space="preserve">, con preferencias estrictamente convexas;</w:t>
      </w:r>
    </w:p>
    <w:p>
      <w:pPr>
        <w:numPr>
          <w:ilvl w:val="1"/>
          <w:numId w:val="103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1"/>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1"/>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1"/>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55"/>
      </w:r>
      <w:r>
        <w:t xml:space="preserve"> </w:t>
      </w:r>
      <w:r>
        <w:t xml:space="preserve">Es la diferencia fundamental con la demanda marshalliana, y se debe a la concavidad de la función de gasto, como veremos enseguida.</w:t>
      </w:r>
    </w:p>
    <w:p>
      <w:pPr>
        <w:numPr>
          <w:ilvl w:val="0"/>
          <w:numId w:val="1030"/>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(I.3) y la ecuación de</w:t>
      </w:r>
      <w:r>
        <w:t xml:space="preserve"> </w:t>
      </w:r>
      <w:r>
        <w:rPr>
          <w:smallCaps/>
        </w:rPr>
        <w:t xml:space="preserve">Slutsky</w:t>
      </w:r>
      <w:r>
        <w:t xml:space="preserve"> </w:t>
      </w:r>
      <w:r>
        <w:t xml:space="preserve">(III.2) permiten recuperar sus derivadas a partir de la demanda marshalliana, que sí se observa.</w:t>
      </w:r>
    </w:p>
    <w:p>
      <w:pPr>
        <w:numPr>
          <w:ilvl w:val="0"/>
          <w:numId w:val="1030"/>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p>
      <w:pPr>
        <w:pStyle w:val="Funcionclave"/>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3.E.2)</w:t>
      </w:r>
      <w:r>
        <w:t xml:space="preserve">:</w:t>
      </w:r>
    </w:p>
    <w:p>
      <w:pPr>
        <w:numPr>
          <w:ilvl w:val="1"/>
          <w:numId w:val="1032"/>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2"/>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32"/>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32"/>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32"/>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33"/>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33"/>
        </w:numPr>
      </w:pPr>
      <w:r>
        <w:t xml:space="preserve">como puede reoptimizar y sustituir los bienes que se encarecen por los que se abaratan, gasta como mucho eso:</w:t>
      </w:r>
    </w:p>
    <w:p>
      <w:pPr>
        <w:pStyle w:val="FirstParagraph"/>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5).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32"/>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B;</w:t>
      </w:r>
    </w:p>
    <w:p>
      <w:pPr>
        <w:numPr>
          <w:ilvl w:val="1"/>
          <w:numId w:val="1032"/>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4"/>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34"/>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34"/>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III.2.</w:t>
      </w:r>
    </w:p>
    <w:bookmarkStart w:id="59" w:name="fig:concavidad-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 title="" id="57" name="Picture"/>
            <a:graphic>
              <a:graphicData uri="http://schemas.openxmlformats.org/drawingml/2006/picture">
                <pic:pic>
                  <pic:nvPicPr>
                    <pic:cNvPr descr="C:\Users\vgutierrez\Documents\src\victorgutierrezmarcos.github.io-revision\oposicion\temario\fuentes\3A09\graficos/concavidad-fg.png" id="58" name="Picture"/>
                    <pic:cNvPicPr>
                      <a:picLocks noChangeArrowheads="1" noChangeAspect="1"/>
                    </pic:cNvPicPr>
                  </pic:nvPicPr>
                  <pic:blipFill>
                    <a:blip r:embed="rId56"/>
                    <a:stretch>
                      <a:fillRect/>
                    </a:stretch>
                  </pic:blipFill>
                  <pic:spPr bwMode="auto">
                    <a:xfrm>
                      <a:off x="0" y="0"/>
                      <a:ext cx="3282950" cy="3020801"/>
                    </a:xfrm>
                    <a:prstGeom prst="rect">
                      <a:avLst/>
                    </a:prstGeom>
                    <a:noFill/>
                    <a:ln w="9525">
                      <a:noFill/>
                      <a:headEnd/>
                      <a:tailEnd/>
                    </a:ln>
                  </pic:spPr>
                </pic:pic>
              </a:graphicData>
            </a:graphic>
          </wp:inline>
        </w:drawing>
      </w:r>
    </w:p>
    <w:bookmarkEnd w:id="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3.E.3</w:t>
        </w:r>
      </w:hyperlink>
      <w:r>
        <w:t xml:space="preserve">)</w:t>
      </w:r>
      <w:r>
        <w:t xml:space="preserve">.</w:t>
      </w:r>
    </w:p>
    <w:p>
      <w:pPr>
        <w:numPr>
          <w:ilvl w:val="0"/>
          <w:numId w:val="1035"/>
        </w:numPr>
      </w:pPr>
      <w:r>
        <w:t xml:space="preserve">Las propiedades de los dos problemas forman pares duales (tabla 2): cada propiedad de la demanda marshalliana y de la FIU tiene su correspondiente en la demanda hicksiana y la función de gasto.</w:t>
      </w:r>
    </w:p>
    <w:bookmarkStart w:id="60" w:name="tab:pares-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tblHeader w:val="on"/>
        </w:trPr>
        <w:tc>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6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w:t>
        </w:r>
      </w:hyperlink>
      <w:r>
        <w:rPr>
          <w:i/>
          <w:iCs/>
        </w:rPr>
        <w:t xml:space="preserve">, prop. 3.D.2, 3.D.3, 3.E.2, 3.E.3 y 3.G.1)</w:t>
      </w:r>
      <w:r>
        <w:rPr>
          <w:i/>
          <w:iCs/>
        </w:rPr>
        <w:t xml:space="preserve">.</w:t>
      </w:r>
    </w:p>
    <w:bookmarkEnd w:id="61"/>
    <w:bookmarkEnd w:id="62"/>
    <w:bookmarkStart w:id="63" w:name="c-valoración-1"/>
    <w:p>
      <w:pPr>
        <w:pStyle w:val="Heading4"/>
      </w:pPr>
      <w:r>
        <w:t xml:space="preserve">c) Valoración</w:t>
      </w:r>
    </w:p>
    <w:p>
      <w:pPr>
        <w:numPr>
          <w:ilvl w:val="0"/>
          <w:numId w:val="1036"/>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63"/>
    <w:bookmarkEnd w:id="64"/>
    <w:bookmarkEnd w:id="65"/>
    <w:bookmarkStart w:id="78" w:name="relaciones-de-dualidad"/>
    <w:p>
      <w:pPr>
        <w:pStyle w:val="Heading2"/>
      </w:pPr>
      <w:r>
        <w:t xml:space="preserve">I.3.</w:t>
      </w:r>
      <w:r>
        <w:t xml:space="preserve"> </w:t>
      </w:r>
      <w:r>
        <w:t xml:space="preserve">Relaciones de dualidad</w:t>
      </w:r>
    </w:p>
    <w:p>
      <w:pPr>
        <w:numPr>
          <w:ilvl w:val="0"/>
          <w:numId w:val="1037"/>
        </w:numPr>
      </w:pPr>
      <w:r>
        <w:t xml:space="preserve">Resueltos los dos problemas por separado, falta relacionarlos. Como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70" w:name="X2dd2e041c89abe07466ad6ebf75cf135e134b9f"/>
    <w:p>
      <w:pPr>
        <w:pStyle w:val="Heading4"/>
      </w:pPr>
      <w:r>
        <w:t xml:space="preserve">Dualidad entre soluciones: el teorema básico de la dualidad</w:t>
      </w:r>
    </w:p>
    <w:p>
      <w:pPr>
        <w:keepNext/>
        <w:numPr>
          <w:ilvl w:val="0"/>
          <w:numId w:val="1038"/>
        </w:numPr>
      </w:pPr>
      <w:r>
        <w:rPr>
          <w:b/>
          <w:bCs/>
        </w:rPr>
        <w:t xml:space="preserve">Teorema básico de la dualidad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39"/>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39"/>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38"/>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6), se superponen los dos gráficos anteriores: la recta de balance del primal es la isogasto tangente del dual y la curva de indiferencia alcanzada en el primal es la curva exigida en el dual.</w:t>
      </w:r>
    </w:p>
    <w:bookmarkStart w:id="69" w:name="fig:primal-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 title="" id="67" name="Picture"/>
            <a:graphic>
              <a:graphicData uri="http://schemas.openxmlformats.org/drawingml/2006/picture">
                <pic:pic>
                  <pic:nvPicPr>
                    <pic:cNvPr descr="C:\Users\vgutierrez\Documents\src\victorgutierrezmarcos.github.io-revision\oposicion\temario\fuentes\3A09\graficos/primal-dual.png" id="68" name="Picture"/>
                    <pic:cNvPicPr>
                      <a:picLocks noChangeArrowheads="1" noChangeAspect="1"/>
                    </pic:cNvPicPr>
                  </pic:nvPicPr>
                  <pic:blipFill>
                    <a:blip r:embed="rId66"/>
                    <a:stretch>
                      <a:fillRect/>
                    </a:stretch>
                  </pic:blipFill>
                  <pic:spPr bwMode="auto">
                    <a:xfrm>
                      <a:off x="0" y="0"/>
                      <a:ext cx="3000088" cy="2342576"/>
                    </a:xfrm>
                    <a:prstGeom prst="rect">
                      <a:avLst/>
                    </a:prstGeom>
                    <a:noFill/>
                    <a:ln w="9525">
                      <a:noFill/>
                      <a:headEnd/>
                      <a:tailEnd/>
                    </a:ln>
                  </pic:spPr>
                </pic:pic>
              </a:graphicData>
            </a:graphic>
          </wp:inline>
        </w:drawing>
      </w:r>
    </w:p>
    <w:bookmarkEnd w:id="6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p>
      <w:pPr>
        <w:numPr>
          <w:ilvl w:val="0"/>
          <w:numId w:val="1040"/>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70"/>
    <w:bookmarkStart w:id="72" w:name="X821095d29f6674a5dab40acded09f0071ebcd1f"/>
    <w:p>
      <w:pPr>
        <w:pStyle w:val="Heading4"/>
      </w:pPr>
      <w:r>
        <w:t xml:space="preserve">Dualidad entre funciones de demanda y entre funciones valor</w:t>
      </w:r>
    </w:p>
    <w:p>
      <w:pPr>
        <w:numPr>
          <w:ilvl w:val="0"/>
          <w:numId w:val="1041"/>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p>
    <w:p>
      <w:pPr>
        <w:pStyle w:val="BodyT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pStyle w:val="FirstParagraph"/>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42"/>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42"/>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71"/>
      </w:r>
    </w:p>
    <w:p>
      <w:pPr>
        <w:numPr>
          <w:ilvl w:val="0"/>
          <w:numId w:val="1041"/>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r>
        <w:rPr>
          <w:rStyle w:val="Referenciaatema"/>
        </w:rPr>
        <w:t xml:space="preserve">[ver tema 3.A.8]</w:t>
      </w:r>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72"/>
    <w:bookmarkStart w:id="77" w:name="esquema-de-dualidad"/>
    <w:p>
      <w:pPr>
        <w:pStyle w:val="Heading4"/>
      </w:pPr>
      <w:r>
        <w:t xml:space="preserve">Esquema de dualidad</w:t>
      </w:r>
    </w:p>
    <w:p>
      <w:pPr>
        <w:numPr>
          <w:ilvl w:val="0"/>
          <w:numId w:val="1043"/>
        </w:numPr>
      </w:pPr>
      <w:r>
        <w:t xml:space="preserve">Todas estas relaciones se resumen en el gráfico 7: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76" w:name="fig:esquema-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 title="" id="74" name="Picture"/>
            <a:graphic>
              <a:graphicData uri="http://schemas.openxmlformats.org/drawingml/2006/picture">
                <pic:pic>
                  <pic:nvPicPr>
                    <pic:cNvPr descr="C:\Users\vgutierrez\Documents\src\victorgutierrezmarcos.github.io-revision\oposicion\temario\fuentes\3A09\graficos/esquema-dualidad.png" id="75" name="Picture"/>
                    <pic:cNvPicPr>
                      <a:picLocks noChangeArrowheads="1" noChangeAspect="1"/>
                    </pic:cNvPicPr>
                  </pic:nvPicPr>
                  <pic:blipFill>
                    <a:blip r:embed="rId73"/>
                    <a:stretch>
                      <a:fillRect/>
                    </a:stretch>
                  </pic:blipFill>
                  <pic:spPr bwMode="auto">
                    <a:xfrm>
                      <a:off x="0" y="0"/>
                      <a:ext cx="5969000" cy="3051645"/>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w:t>
      </w:r>
    </w:p>
    <w:p>
      <w:pPr>
        <w:pStyle w:val="Ideaclave"/>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w:t>
      </w:r>
      <w:r>
        <w:rPr>
          <w:smallCaps/>
        </w:rPr>
        <w:t xml:space="preserve">Shephard</w:t>
      </w:r>
      <w:r>
        <w:t xml:space="preserve">) y su concavidad da la ley de la demanda compensada.</w:t>
      </w:r>
    </w:p>
    <w:p>
      <w:pPr>
        <w:numPr>
          <w:ilvl w:val="0"/>
          <w:numId w:val="1044"/>
        </w:numPr>
      </w:pPr>
      <w:r>
        <w:rPr>
          <w:i/>
          <w:i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(III.2); 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(III.1), y la medida del bienestar usa</w:t>
      </w:r>
      <w:r>
        <w:t xml:space="preserve"> </w:t>
      </w:r>
      <m:oMath>
        <m:r>
          <m:t>E</m:t>
        </m:r>
      </m:oMath>
      <w:r>
        <w:t xml:space="preserve"> </w:t>
      </w:r>
      <w:r>
        <w:t xml:space="preserve">para traducir la utilidad a unidades monetarias (III.3). Antes, en el apartado II,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77"/>
    <w:bookmarkEnd w:id="78"/>
    <w:bookmarkEnd w:id="79"/>
    <w:bookmarkStart w:id="115" w:name="X83f00a045cb92ead9a9f0b1e548c0c732359965"/>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45"/>
        </w:numPr>
      </w:pPr>
      <w:r>
        <w:t xml:space="preserve">Una vez estudiadas las relaciones de dualidad, pasamos a ver cómo se llevan a los datos. 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80" w:name="idea"/>
    <w:p>
      <w:pPr>
        <w:pStyle w:val="Heading2"/>
      </w:pPr>
      <w:r>
        <w:t xml:space="preserve">II.1.</w:t>
      </w:r>
      <w:r>
        <w:t xml:space="preserve"> </w:t>
      </w:r>
      <w:r>
        <w:t xml:space="preserve">Idea</w:t>
      </w:r>
    </w:p>
    <w:p>
      <w:pPr>
        <w:keepNext/>
        <w:numPr>
          <w:ilvl w:val="0"/>
          <w:numId w:val="1046"/>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1</w:t>
        </w:r>
      </w:hyperlink>
      <w:r>
        <w:t xml:space="preserve">)</w:t>
      </w:r>
      <w:r>
        <w:t xml:space="preserve">:</w:t>
      </w:r>
    </w:p>
    <w:p>
      <w:pPr>
        <w:numPr>
          <w:ilvl w:val="1"/>
          <w:numId w:val="1047"/>
        </w:numPr>
      </w:pPr>
      <w:r>
        <w:rPr>
          <w:i/>
          <w:iCs/>
        </w:rPr>
        <w:t xml:space="preserve">medir</w:t>
      </w:r>
      <w:r>
        <w:t xml:space="preserve">: las elasticidades-renta y precio, propias y cruzadas, que necesitan la política fiscal (imposición indirecta, reformas del IVA</w:t>
      </w:r>
      <w:r>
        <w:t xml:space="preserve"> </w:t>
      </w:r>
      <w:r>
        <w:rPr>
          <w:rStyle w:val="Referenciaatema"/>
        </w:rPr>
        <w:t xml:space="preserve">[ver tema 4.B.11]</w:t>
      </w:r>
      <w:r>
        <w:t xml:space="preserve">), los índices de precios o el análisis de la pobreza</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numPr>
          <w:ilvl w:val="1"/>
          <w:numId w:val="1047"/>
        </w:numPr>
      </w:pPr>
      <w:r>
        <w:rPr>
          <w:i/>
          <w:iCs/>
        </w:rPr>
        <w:t xml:space="preserve">contrastar la teoría</w:t>
      </w:r>
      <w:r>
        <w:t xml:space="preserve">: la homogeneidad, la simetría y la negatividad pasan a ser restricciones sobre los parámetros, es decir, se contrasta si la demanda observada es integrable (III.1);</w:t>
      </w:r>
    </w:p>
    <w:p>
      <w:pPr>
        <w:numPr>
          <w:ilvl w:val="1"/>
          <w:numId w:val="1047"/>
        </w:numPr>
      </w:pPr>
      <w:r>
        <w:rPr>
          <w:i/>
          <w:iCs/>
        </w:rPr>
        <w:t xml:space="preserve">valorar el bienestar</w:t>
      </w:r>
      <w:r>
        <w:t xml:space="preserve">: si el sistema procede de una función de gasto conocida, las variaciones compensatoria y equivalente se calculan directamente (III.3).</w:t>
      </w:r>
    </w:p>
    <w:p>
      <w:pPr>
        <w:numPr>
          <w:ilvl w:val="0"/>
          <w:numId w:val="1046"/>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46"/>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1"/>
          <w:numId w:val="1048"/>
        </w:numPr>
      </w:pPr>
      <w:r>
        <w:rPr>
          <w:i/>
          <w:iCs/>
        </w:rPr>
        <w:t xml:space="preserve">coherencia con la teoría</w:t>
      </w:r>
      <w:r>
        <w:t xml:space="preserve">: poder imponer o contrastar sus restricciones;</w:t>
      </w:r>
    </w:p>
    <w:p>
      <w:pPr>
        <w:numPr>
          <w:ilvl w:val="1"/>
          <w:numId w:val="1048"/>
        </w:numPr>
      </w:pPr>
      <w:r>
        <w:rPr>
          <w:i/>
          <w:iCs/>
        </w:rPr>
        <w:t xml:space="preserve">flexibilidad</w:t>
      </w:r>
      <w:r>
        <w:t xml:space="preserve">: no fijar de antemano las elasticidades (formalmente, aproximar en primer orden cualquier sistema de demanda);</w:t>
      </w:r>
    </w:p>
    <w:p>
      <w:pPr>
        <w:numPr>
          <w:ilvl w:val="1"/>
          <w:numId w:val="1048"/>
        </w:numPr>
      </w:pPr>
      <w:r>
        <w:rPr>
          <w:i/>
          <w:iCs/>
        </w:rPr>
        <w:t xml:space="preserve">agregación</w:t>
      </w:r>
      <w:r>
        <w:t xml:space="preserve">: que la demanda media de muchos hogares distintos tenga la misma forma que la individual</w:t>
      </w:r>
      <w:r>
        <w:t xml:space="preserve"> </w:t>
      </w:r>
      <w:r>
        <w:rPr>
          <w:rStyle w:val="Referenciaatema"/>
        </w:rPr>
        <w:t xml:space="preserve">[ver tema 3.A.8]</w:t>
      </w:r>
      <w:r>
        <w:t xml:space="preserve">;</w:t>
      </w:r>
    </w:p>
    <w:p>
      <w:pPr>
        <w:numPr>
          <w:ilvl w:val="1"/>
          <w:numId w:val="1048"/>
        </w:numPr>
      </w:pPr>
      <w:r>
        <w:rPr>
          <w:i/>
          <w:iCs/>
        </w:rPr>
        <w:t xml:space="preserve">sencillez de estimación</w:t>
      </w:r>
      <w:r>
        <w:t xml:space="preserve">: a ser posible, linealidad en los parámetros.</w:t>
      </w:r>
    </w:p>
    <w:bookmarkEnd w:id="80"/>
    <w:bookmarkStart w:id="113" w:name="pasos-que-sigue-la-literatura"/>
    <w:p>
      <w:pPr>
        <w:pStyle w:val="Heading2"/>
      </w:pPr>
      <w:r>
        <w:t xml:space="preserve">II.2.</w:t>
      </w:r>
      <w:r>
        <w:t xml:space="preserve"> </w:t>
      </w:r>
      <w:r>
        <w:t xml:space="preserve">Pasos que sigue la literatura</w:t>
      </w:r>
    </w:p>
    <w:p>
      <w:pPr>
        <w:numPr>
          <w:ilvl w:val="0"/>
          <w:numId w:val="1049"/>
        </w:numPr>
      </w:pPr>
      <w:r>
        <w:t xml:space="preserve">Visto para qué se estiman los sistemas de demanda, pasamos a cómo se estiman. La estimación sigue cinco pasos, que reproducen el camino de la teoría, de las preferencias a la demanda ordinaria: (1) elegir una forma funcional, (2) especificar un sistema completo, (3) reunir los datos, (4) especificar el modelo econométrico y (5) estimar y contrastar.</w:t>
      </w:r>
    </w:p>
    <w:bookmarkStart w:id="108" w:name="Xe667511b6d0ed2d2bd4c17ec39391f3b2daeab7"/>
    <w:p>
      <w:pPr>
        <w:pStyle w:val="Heading3"/>
      </w:pPr>
      <w:r>
        <w:t xml:space="preserve">II.2.1.</w:t>
      </w:r>
      <w:r>
        <w:t xml:space="preserve"> </w:t>
      </w:r>
      <w:r>
        <w:t xml:space="preserve">Elección de una función de referencia apropiada</w:t>
      </w:r>
    </w:p>
    <w:p>
      <w:pPr>
        <w:numPr>
          <w:ilvl w:val="0"/>
          <w:numId w:val="1050"/>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3).</w:t>
      </w:r>
    </w:p>
    <w:p>
      <w:pPr>
        <w:numPr>
          <w:ilvl w:val="0"/>
          <w:numId w:val="1050"/>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81"/>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86" w:name="sistema-lineal-de-gasto-les"/>
    <w:p>
      <w:pPr>
        <w:pStyle w:val="Heading4"/>
      </w:pPr>
      <w:r>
        <w:t xml:space="preserve">Sistema lineal de gasto (LES)</w:t>
      </w:r>
    </w:p>
    <w:bookmarkStart w:id="82" w:name="a-idea-2"/>
    <w:p>
      <w:pPr>
        <w:pStyle w:val="Heading5"/>
      </w:pPr>
      <w:r>
        <w:t xml:space="preserve">a) Idea</w:t>
      </w:r>
    </w:p>
    <w:p>
      <w:pPr>
        <w:numPr>
          <w:ilvl w:val="0"/>
          <w:numId w:val="1051"/>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82"/>
    <w:bookmarkStart w:id="83" w:name="b-modelo-2"/>
    <w:p>
      <w:pPr>
        <w:pStyle w:val="Heading5"/>
      </w:pPr>
      <w:r>
        <w:t xml:space="preserve">b) Modelo</w:t>
      </w:r>
    </w:p>
    <w:p>
      <w:pPr>
        <w:pStyle w:val="FirstParagraph"/>
        <w:keepNext/>
      </w:pPr>
      <w:r>
        <w:rPr>
          <w:i/>
          <w:iCs/>
        </w:rPr>
        <w:t xml:space="preserve">i) Supuestos</w:t>
      </w:r>
    </w:p>
    <w:p>
      <w:pPr>
        <w:numPr>
          <w:ilvl w:val="0"/>
          <w:numId w:val="1052"/>
        </w:numPr>
      </w:pPr>
      <w:r>
        <w:t xml:space="preserve">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w:t>
        </w:r>
        <w:r>
          <w:rPr>
            <w:rStyle w:val="Hyperlink"/>
          </w:rPr>
          <w:t xml:space="preserve">1947</w:t>
        </w:r>
      </w:hyperlink>
      <w:r>
        <w:t xml:space="preserve">;</w:t>
      </w:r>
      <w:r>
        <w:t xml:space="preserve"> </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pStyle w:val="FirstParagraph"/>
        <w:keepNext/>
      </w:pPr>
      <w:r>
        <w:rPr>
          <w:i/>
          <w:iCs/>
        </w:rPr>
        <w:t xml:space="preserve">ii) Desarrollo</w:t>
      </w:r>
    </w:p>
    <w:p>
      <w:pPr>
        <w:numPr>
          <w:ilvl w:val="0"/>
          <w:numId w:val="1053"/>
        </w:numPr>
      </w:pPr>
      <w:r>
        <w:t xml:space="preserve">Maximizando, el gasto en cada bien es</w:t>
      </w:r>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pStyle w:val="FirstParagraph"/>
        <w:keepNext/>
      </w:pPr>
      <w:r>
        <w:rPr>
          <w:i/>
          <w:iCs/>
        </w:rPr>
        <w:t xml:space="preserve">iii) Implicaciones</w:t>
      </w:r>
    </w:p>
    <w:p>
      <w:pPr>
        <w:numPr>
          <w:ilvl w:val="0"/>
          <w:numId w:val="1054"/>
        </w:numPr>
      </w:pPr>
      <w:r>
        <w:t xml:space="preserve">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83"/>
    <w:bookmarkStart w:id="84" w:name="c-evidencia-empírica"/>
    <w:p>
      <w:pPr>
        <w:pStyle w:val="Heading5"/>
      </w:pPr>
      <w:r>
        <w:t xml:space="preserve">c) Evidencia empírica</w:t>
      </w:r>
    </w:p>
    <w:p>
      <w:pPr>
        <w:numPr>
          <w:ilvl w:val="0"/>
          <w:numId w:val="1055"/>
        </w:numPr>
      </w:pPr>
      <w:r>
        <w:t xml:space="preserve">Fue el primer sistema completo estimado con datos reales:</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rechaza la aditividad que impone.</w:t>
      </w:r>
    </w:p>
    <w:bookmarkEnd w:id="84"/>
    <w:bookmarkStart w:id="85" w:name="d-valoración"/>
    <w:p>
      <w:pPr>
        <w:pStyle w:val="Heading5"/>
      </w:pPr>
      <w:r>
        <w:t xml:space="preserve">d) Valoración</w:t>
      </w:r>
    </w:p>
    <w:p>
      <w:pPr>
        <w:numPr>
          <w:ilvl w:val="0"/>
          <w:numId w:val="1056"/>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85"/>
    <w:bookmarkEnd w:id="86"/>
    <w:bookmarkStart w:id="91" w:name="modelo-de-rotterdam"/>
    <w:p>
      <w:pPr>
        <w:pStyle w:val="Heading4"/>
      </w:pPr>
      <w:r>
        <w:t xml:space="preserve">Modelo de Rotterdam</w:t>
      </w:r>
    </w:p>
    <w:bookmarkStart w:id="87" w:name="a-idea-3"/>
    <w:p>
      <w:pPr>
        <w:pStyle w:val="Heading5"/>
      </w:pPr>
      <w:r>
        <w:t xml:space="preserve">a) Idea</w:t>
      </w:r>
    </w:p>
    <w:p>
      <w:pPr>
        <w:numPr>
          <w:ilvl w:val="0"/>
          <w:numId w:val="1057"/>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Barten1964Consumer">
        <w:r>
          <w:rPr>
            <w:rStyle w:val="Hyperlink"/>
            <w:smallCaps/>
          </w:rPr>
          <w:t xml:space="preserve">Barten</w:t>
        </w:r>
        <w:r>
          <w:rPr>
            <w:rStyle w:val="Hyperlink"/>
          </w:rPr>
          <w:t xml:space="preserve"> </w:t>
        </w:r>
        <w:r>
          <w:rPr>
            <w:rStyle w:val="Hyperlink"/>
          </w:rPr>
          <w:t xml:space="preserve">1964</w:t>
        </w:r>
      </w:hyperlink>
      <w:r>
        <w:t xml:space="preserve">;</w:t>
      </w:r>
      <w:r>
        <w:t xml:space="preserve"> </w:t>
      </w:r>
      <w:hyperlink w:anchor="ref-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w:t>
      </w:r>
    </w:p>
    <w:bookmarkEnd w:id="87"/>
    <w:bookmarkStart w:id="88" w:name="b-modelo-3"/>
    <w:p>
      <w:pPr>
        <w:pStyle w:val="Heading5"/>
      </w:pPr>
      <w:r>
        <w:t xml:space="preserve">b) Modelo</w:t>
      </w:r>
    </w:p>
    <w:p>
      <w:pPr>
        <w:pStyle w:val="FirstParagraph"/>
        <w:keepNext/>
      </w:pPr>
      <w:r>
        <w:rPr>
          <w:i/>
          <w:iCs/>
        </w:rPr>
        <w:t xml:space="preserve">i) Supuestos</w:t>
      </w:r>
    </w:p>
    <w:p>
      <w:pPr>
        <w:numPr>
          <w:ilvl w:val="0"/>
          <w:numId w:val="1058"/>
        </w:numPr>
      </w:pPr>
      <w:r>
        <w:t xml:space="preserve">La ecuación de</w:t>
      </w:r>
      <w:r>
        <w:t xml:space="preserve"> </w:t>
      </w:r>
      <w:r>
        <w:rPr>
          <w:smallCaps/>
        </w:rPr>
        <w:t xml:space="preserve">Slutsky</w:t>
      </w:r>
      <w:r>
        <w:t xml:space="preserve"> </w:t>
      </w:r>
      <w:r>
        <w:t xml:space="preserve">en diferencias logarítmicas, con coeficientes constantes.</w:t>
      </w:r>
    </w:p>
    <w:p>
      <w:pPr>
        <w:pStyle w:val="FirstParagraph"/>
      </w:pPr>
      <w:r>
        <w:rPr>
          <w:i/>
          <w:iCs/>
        </w:rPr>
        <w:t xml:space="preserve">ii) Desarrollo</w:t>
      </w:r>
    </w:p>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pStyle w:val="FirstParagraph"/>
        <w:keepNext/>
      </w:pPr>
      <w:r>
        <w:rPr>
          <w:i/>
          <w:iCs/>
        </w:rPr>
        <w:t xml:space="preserve">iii) Implicaciones</w:t>
      </w:r>
    </w:p>
    <w:p>
      <w:pPr>
        <w:numPr>
          <w:ilvl w:val="0"/>
          <w:numId w:val="1060"/>
        </w:numPr>
      </w:pPr>
      <w:r>
        <w:t xml:space="preserve">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w:t>
      </w:r>
    </w:p>
    <w:bookmarkEnd w:id="88"/>
    <w:bookmarkStart w:id="89" w:name="c-evidencia-empírica-1"/>
    <w:p>
      <w:pPr>
        <w:pStyle w:val="Heading5"/>
      </w:pPr>
      <w:r>
        <w:t xml:space="preserve">c) Evidencia empírica</w:t>
      </w:r>
    </w:p>
    <w:p>
      <w:pPr>
        <w:numPr>
          <w:ilvl w:val="0"/>
          <w:numId w:val="1061"/>
        </w:numPr>
      </w:pP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datos de los Países Bajos, rechaza con frecuencia la homogeneidad.</w:t>
      </w:r>
    </w:p>
    <w:bookmarkEnd w:id="89"/>
    <w:bookmarkStart w:id="90" w:name="d-valoración-1"/>
    <w:p>
      <w:pPr>
        <w:pStyle w:val="Heading5"/>
      </w:pPr>
      <w:r>
        <w:t xml:space="preserve">d) Valoración</w:t>
      </w:r>
    </w:p>
    <w:p>
      <w:pPr>
        <w:numPr>
          <w:ilvl w:val="0"/>
          <w:numId w:val="1062"/>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90"/>
    <w:bookmarkEnd w:id="91"/>
    <w:bookmarkStart w:id="96" w:name="translog"/>
    <w:p>
      <w:pPr>
        <w:pStyle w:val="Heading4"/>
      </w:pPr>
      <w:r>
        <w:t xml:space="preserve">Translog</w:t>
      </w:r>
    </w:p>
    <w:bookmarkStart w:id="92" w:name="a-idea-4"/>
    <w:p>
      <w:pPr>
        <w:pStyle w:val="Heading5"/>
      </w:pPr>
      <w:r>
        <w:t xml:space="preserve">a) Idea</w:t>
      </w:r>
    </w:p>
    <w:p>
      <w:pPr>
        <w:numPr>
          <w:ilvl w:val="0"/>
          <w:numId w:val="1063"/>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w:t>
      </w:r>
    </w:p>
    <w:bookmarkEnd w:id="92"/>
    <w:bookmarkStart w:id="93" w:name="b-modelo-4"/>
    <w:p>
      <w:pPr>
        <w:pStyle w:val="Heading5"/>
      </w:pPr>
      <w:r>
        <w:t xml:space="preserve">b) Modelo</w:t>
      </w:r>
    </w:p>
    <w:p>
      <w:pPr>
        <w:pStyle w:val="FirstParagraph"/>
        <w:keepNext/>
      </w:pPr>
      <w:r>
        <w:rPr>
          <w:i/>
          <w:iCs/>
        </w:rPr>
        <w:t xml:space="preserve">i) Supuestos</w:t>
      </w:r>
    </w:p>
    <w:p>
      <w:pPr>
        <w:numPr>
          <w:ilvl w:val="0"/>
          <w:numId w:val="1064"/>
        </w:numPr>
      </w:pPr>
      <w:r>
        <w:t xml:space="preserve">Se especifica la FIU (versión</w:t>
      </w:r>
      <w:r>
        <w:t xml:space="preserve"> </w:t>
      </w:r>
      <w:r>
        <w:rPr>
          <w:i/>
          <w:iCs/>
        </w:rPr>
        <w:t xml:space="preserve">indirecta</w:t>
      </w:r>
      <w:r>
        <w:t xml:space="preserve">),</w:t>
      </w:r>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pStyle w:val="FirstParagraph"/>
        <w:keepNext/>
      </w:pPr>
      <w:r>
        <w:rPr>
          <w:i/>
          <w:iCs/>
        </w:rPr>
        <w:t xml:space="preserve">ii) Desarrollo</w:t>
      </w:r>
    </w:p>
    <w:p>
      <w:pPr>
        <w:numPr>
          <w:ilvl w:val="0"/>
          <w:numId w:val="1065"/>
        </w:numPr>
      </w:pPr>
      <w:r>
        <w:t xml:space="preserve">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pStyle w:val="FirstParagraph"/>
        <w:keepNext/>
      </w:pPr>
      <w:r>
        <w:rPr>
          <w:i/>
          <w:iCs/>
        </w:rPr>
        <w:t xml:space="preserve">iii) Implicaciones</w:t>
      </w:r>
    </w:p>
    <w:p>
      <w:pPr>
        <w:numPr>
          <w:ilvl w:val="0"/>
          <w:numId w:val="1066"/>
        </w:numPr>
      </w:pPr>
      <w:r>
        <w:t xml:space="preserve">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93"/>
    <w:bookmarkStart w:id="94" w:name="c-evidencia-empírica-2"/>
    <w:p>
      <w:pPr>
        <w:pStyle w:val="Heading5"/>
      </w:pPr>
      <w:r>
        <w:t xml:space="preserve">c) Evidencia empírica</w:t>
      </w:r>
    </w:p>
    <w:p>
      <w:pPr>
        <w:numPr>
          <w:ilvl w:val="0"/>
          <w:numId w:val="1067"/>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94"/>
    <w:bookmarkStart w:id="95" w:name="d-valoración-2"/>
    <w:p>
      <w:pPr>
        <w:pStyle w:val="Heading5"/>
      </w:pPr>
      <w:r>
        <w:t xml:space="preserve">d) Valoración</w:t>
      </w:r>
    </w:p>
    <w:p>
      <w:pPr>
        <w:numPr>
          <w:ilvl w:val="0"/>
          <w:numId w:val="1068"/>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no agrega bien y la concavidad no está garantizada lejos del punto de aproximación. El AIDS conserva la flexibilidad y resuelve la agregación y la linealidad.</w:t>
      </w:r>
    </w:p>
    <w:bookmarkEnd w:id="95"/>
    <w:bookmarkEnd w:id="96"/>
    <w:bookmarkStart w:id="102" w:name="sistema-casi-ideal-de-demanda-aids"/>
    <w:p>
      <w:pPr>
        <w:pStyle w:val="Heading4"/>
      </w:pPr>
      <w:r>
        <w:t xml:space="preserve">Sistema casi ideal de demanda (AIDS)</w:t>
      </w:r>
    </w:p>
    <w:bookmarkStart w:id="97" w:name="a-idea-5"/>
    <w:p>
      <w:pPr>
        <w:pStyle w:val="Heading5"/>
      </w:pPr>
      <w:r>
        <w:t xml:space="preserve">a) Idea</w:t>
      </w:r>
    </w:p>
    <w:p>
      <w:pPr>
        <w:numPr>
          <w:ilvl w:val="0"/>
          <w:numId w:val="1069"/>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w:t>
      </w:r>
    </w:p>
    <w:bookmarkEnd w:id="97"/>
    <w:bookmarkStart w:id="98" w:name="b-modelo-5"/>
    <w:p>
      <w:pPr>
        <w:pStyle w:val="Heading5"/>
      </w:pPr>
      <w:r>
        <w:t xml:space="preserve">b) Modelo</w:t>
      </w:r>
    </w:p>
    <w:p>
      <w:pPr>
        <w:pStyle w:val="FirstParagraph"/>
        <w:keepNext/>
      </w:pPr>
      <w:r>
        <w:rPr>
          <w:i/>
          <w:iCs/>
        </w:rPr>
        <w:t xml:space="preserve">i) Supuestos</w:t>
      </w:r>
    </w:p>
    <w:p>
      <w:pPr>
        <w:numPr>
          <w:ilvl w:val="0"/>
          <w:numId w:val="1070"/>
        </w:numPr>
      </w:pPr>
      <w:r>
        <w:t xml:space="preserve">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identificó como compatible con la agregación</w:t>
      </w:r>
      <w:r>
        <w:t xml:space="preserve"> </w:t>
      </w:r>
      <w:r>
        <w:rPr>
          <w:rStyle w:val="Referenciaatema"/>
        </w:rPr>
        <w:t xml:space="preserve">[ver tema 3.A.8]</w:t>
      </w:r>
      <w:r>
        <w:t xml:space="preserve">:</w:t>
      </w:r>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pStyle w:val="FirstParagraph"/>
        <w:keepNext/>
      </w:pPr>
      <w:r>
        <w:rPr>
          <w:i/>
          <w:iCs/>
        </w:rPr>
        <w:t xml:space="preserve">ii) Desarrollo</w:t>
      </w:r>
    </w:p>
    <w:p>
      <w:pPr>
        <w:numPr>
          <w:ilvl w:val="0"/>
          <w:numId w:val="1071"/>
        </w:numPr>
      </w:pPr>
      <w:r>
        <w:t xml:space="preserve">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pStyle w:val="FirstParagraph"/>
        <w:keepNext/>
      </w:pPr>
      <w:r>
        <w:rPr>
          <w:i/>
          <w:iCs/>
        </w:rPr>
        <w:t xml:space="preserve">iii) Implicaciones</w:t>
      </w:r>
    </w:p>
    <w:p>
      <w:pPr>
        <w:numPr>
          <w:ilvl w:val="0"/>
          <w:numId w:val="1072"/>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0"/>
          <w:numId w:val="1072"/>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0"/>
          <w:numId w:val="1072"/>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la última por la ecuación de</w:t>
      </w:r>
      <w:r>
        <w:t xml:space="preserve"> </w:t>
      </w:r>
      <w:r>
        <w:rPr>
          <w:smallCaps/>
        </w:rPr>
        <w:t xml:space="preserve">Slutsky</w:t>
      </w:r>
      <w:r>
        <w:t xml:space="preserve"> </w:t>
      </w:r>
      <w:r>
        <w:t xml:space="preserve">en elasticidades (III.2);</w:t>
      </w:r>
    </w:p>
    <w:p>
      <w:pPr>
        <w:numPr>
          <w:ilvl w:val="0"/>
          <w:numId w:val="1072"/>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98"/>
    <w:bookmarkStart w:id="99" w:name="c-extensiones"/>
    <w:p>
      <w:pPr>
        <w:pStyle w:val="Heading5"/>
      </w:pPr>
      <w:r>
        <w:t xml:space="preserve">c) Extensiones</w:t>
      </w:r>
    </w:p>
    <w:p>
      <w:pPr>
        <w:numPr>
          <w:ilvl w:val="0"/>
          <w:numId w:val="1073"/>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99"/>
    <w:bookmarkStart w:id="100" w:name="d-evidencia-empírica"/>
    <w:p>
      <w:pPr>
        <w:pStyle w:val="Heading5"/>
      </w:pPr>
      <w:r>
        <w:t xml:space="preserve">d) Evidencia empírica</w:t>
      </w:r>
    </w:p>
    <w:p>
      <w:pPr>
        <w:numPr>
          <w:ilvl w:val="0"/>
          <w:numId w:val="1074"/>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00"/>
    <w:bookmarkStart w:id="101" w:name="e-valoración"/>
    <w:p>
      <w:pPr>
        <w:pStyle w:val="Heading5"/>
      </w:pPr>
      <w:r>
        <w:t xml:space="preserve">e) Valoración</w:t>
      </w:r>
    </w:p>
    <w:p>
      <w:pPr>
        <w:numPr>
          <w:ilvl w:val="0"/>
          <w:numId w:val="1075"/>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bookmarkEnd w:id="101"/>
    <w:bookmarkEnd w:id="102"/>
    <w:bookmarkStart w:id="107" w:name="aids-cuadrático-quaids"/>
    <w:p>
      <w:pPr>
        <w:pStyle w:val="Heading4"/>
      </w:pPr>
      <w:r>
        <w:t xml:space="preserve">AIDS cuadrático (QUAIDS)</w:t>
      </w:r>
    </w:p>
    <w:bookmarkStart w:id="103" w:name="a-idea-6"/>
    <w:p>
      <w:pPr>
        <w:pStyle w:val="Heading5"/>
      </w:pPr>
      <w:r>
        <w:t xml:space="preserve">a) Idea</w:t>
      </w:r>
    </w:p>
    <w:p>
      <w:pPr>
        <w:numPr>
          <w:ilvl w:val="0"/>
          <w:numId w:val="1076"/>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r>
        <w:t xml:space="preserve">.</w:t>
      </w:r>
    </w:p>
    <w:bookmarkEnd w:id="103"/>
    <w:bookmarkStart w:id="104" w:name="b-modelo-6"/>
    <w:p>
      <w:pPr>
        <w:pStyle w:val="Heading5"/>
      </w:pPr>
      <w:r>
        <w:t xml:space="preserve">b) Modelo</w:t>
      </w:r>
    </w:p>
    <w:p>
      <w:pPr>
        <w:numPr>
          <w:ilvl w:val="0"/>
          <w:numId w:val="1077"/>
        </w:numPr>
      </w:pPr>
      <w:r>
        <w:t xml:space="preserve">Se añade al AIDS un término cuadrático en el logaritmo del gasto:</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Gorman1981Engel">
        <w:r>
          <w:rPr>
            <w:rStyle w:val="Hyperlink"/>
            <w:smallCaps/>
          </w:rPr>
          <w:t xml:space="preserve">Gorman</w:t>
        </w:r>
        <w:r>
          <w:rPr>
            <w:rStyle w:val="Hyperlink"/>
          </w:rPr>
          <w:t xml:space="preserve"> </w:t>
        </w:r>
        <w:r>
          <w:rPr>
            <w:rStyle w:val="Hyperlink"/>
          </w:rPr>
          <w:t xml:space="preserve">1981</w:t>
        </w:r>
      </w:hyperlink>
      <w:r>
        <w:t xml:space="preserve">)</w:t>
      </w:r>
      <w:r>
        <w:t xml:space="preserve">.</w:t>
      </w:r>
    </w:p>
    <w:bookmarkEnd w:id="104"/>
    <w:bookmarkStart w:id="106" w:name="c-valoración-2"/>
    <w:p>
      <w:pPr>
        <w:pStyle w:val="Heading5"/>
      </w:pPr>
      <w:r>
        <w:t xml:space="preserve">c) Valoración</w:t>
      </w:r>
    </w:p>
    <w:p>
      <w:pPr>
        <w:numPr>
          <w:ilvl w:val="0"/>
          <w:numId w:val="1078"/>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05" w:name="tab: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tblHeader w:val="on"/>
        </w:trPr>
        <w:tc>
          <w:tcPr>
            <w:vAlign w:val="center"/>
          </w:tcPr>
          <w:p>
            <w:pPr>
              <w:pStyle w:val="Celdatceeazulpalido"/>
              <w:jc w:val="left"/>
            </w:pPr>
            <w:r>
              <w:rPr>
                <w:i/>
                <w:iCs/>
              </w:rPr>
              <w:t xml:space="preserve">Sistema</w:t>
            </w:r>
          </w:p>
        </w:tc>
        <w:tc>
          <w:tcPr>
            <w:vAlign w:val="center"/>
          </w:tcPr>
          <w:p>
            <w:pPr>
              <w:pStyle w:val="Celdatceeazulpalido"/>
              <w:jc w:val="left"/>
            </w:pPr>
            <w:r>
              <w:rPr>
                <w:i/>
                <w:iCs/>
              </w:rPr>
              <w:t xml:space="preserve">Punto de partida</w:t>
            </w:r>
          </w:p>
        </w:tc>
        <w:tc>
          <w:tcPr>
            <w:vAlign w:val="center"/>
          </w:tcPr>
          <w:p>
            <w:pPr>
              <w:pStyle w:val="Celdatceeazulpalido"/>
              <w:jc w:val="center"/>
            </w:pPr>
            <w:r>
              <w:rPr>
                <w:i/>
                <w:iCs/>
              </w:rPr>
              <w:t xml:space="preserve">Flexible</w:t>
            </w:r>
          </w:p>
        </w:tc>
        <w:tc>
          <w:tcPr>
            <w:vAlign w:val="center"/>
          </w:tcPr>
          <w:p>
            <w:pPr>
              <w:pStyle w:val="Celdatceeazulpalido"/>
              <w:jc w:val="center"/>
            </w:pPr>
            <w:r>
              <w:rPr>
                <w:i/>
                <w:iCs/>
              </w:rPr>
              <w:t xml:space="preserve">Agregación</w:t>
            </w:r>
          </w:p>
        </w:tc>
        <w:tc>
          <w:tcPr>
            <w:vAlign w:val="center"/>
          </w:tcPr>
          <w:p>
            <w:pPr>
              <w:pStyle w:val="Celdatceeazulpalido"/>
              <w:jc w:val="center"/>
            </w:pPr>
            <w:r>
              <w:rPr>
                <w:i/>
                <w:iCs/>
              </w:rPr>
              <w:t xml:space="preserve">Lineal en los parámetros</w:t>
            </w:r>
          </w:p>
        </w:tc>
        <w:tc>
          <w:tcPr>
            <w:vAlign w:val="center"/>
          </w:tcPr>
          <w:p>
            <w:pPr>
              <w:pStyle w:val="Celdatceeazulpalido"/>
              <w:jc w:val="left"/>
            </w:pPr>
            <w:r>
              <w:rPr>
                <w:i/>
                <w:iCs/>
              </w:rPr>
              <w:t xml:space="preserve">Límite principal</w:t>
            </w:r>
          </w:p>
        </w:tc>
      </w:tr>
      <w:t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c>
          <w:tcPr>
            <w:vAlign w:val="center"/>
          </w:tcPr>
          <w:p>
            <w:pPr>
              <w:pStyle w:val="Compact"/>
              <w:jc w:val="left"/>
            </w:pPr>
            <w:r>
              <w:t xml:space="preserve">LES</w:t>
            </w:r>
            <w:r>
              <w:t xml:space="preserve"> </w:t>
            </w:r>
            <w:r>
              <w:t xml:space="preserve">(</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c>
          <w:tcPr>
            <w:vAlign w:val="center"/>
          </w:tcPr>
          <w:p>
            <w:pPr>
              <w:pStyle w:val="Compact"/>
              <w:jc w:val="left"/>
            </w:pPr>
            <w:r>
              <w:t xml:space="preserve">Translog</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c>
          <w:tcPr>
            <w:vAlign w:val="center"/>
          </w:tcPr>
          <w:p>
            <w:pPr>
              <w:pStyle w:val="Celdatceesalvia"/>
              <w:jc w:val="left"/>
            </w:pPr>
            <w:r>
              <w:t xml:space="preserve">AIDS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p>
        </w:tc>
        <w:tc>
          <w:tcPr>
            <w:vAlign w:val="center"/>
          </w:tcPr>
          <w:p>
            <w:pPr>
              <w:pStyle w:val="Celdatceesalvia"/>
              <w:jc w:val="left"/>
            </w:pPr>
            <w:r>
              <w:t xml:space="preserve">función de gasto PIGLOG</w:t>
            </w:r>
          </w:p>
        </w:tc>
        <w:tc>
          <w:tcPr>
            <w:vAlign w:val="center"/>
          </w:tcPr>
          <w:p>
            <w:pPr>
              <w:pStyle w:val="Celdatceesalvia"/>
              <w:jc w:val="center"/>
            </w:pPr>
            <w:r>
              <w:t xml:space="preserve">sí</w:t>
            </w:r>
          </w:p>
        </w:tc>
        <w:tc>
          <w:tcPr>
            <w:vAlign w:val="center"/>
          </w:tcPr>
          <w:p>
            <w:pPr>
              <w:pStyle w:val="Celdatceesalvia"/>
              <w:jc w:val="center"/>
            </w:pPr>
            <w:r>
              <w:t xml:space="preserve">sí (exacta)</w:t>
            </w:r>
          </w:p>
        </w:tc>
        <w:tc>
          <w:tcPr>
            <w:vAlign w:val="center"/>
          </w:tcPr>
          <w:p>
            <w:pPr>
              <w:pStyle w:val="Celdatceesalvia"/>
              <w:jc w:val="center"/>
            </w:pPr>
            <w:r>
              <w:t xml:space="preserve">sí (LA-AIDS)</w:t>
            </w:r>
          </w:p>
        </w:tc>
        <w:tc>
          <w:tcPr>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c>
          <w:tcPr>
            <w:vAlign w:val="center"/>
          </w:tcPr>
          <w:p>
            <w:pPr>
              <w:pStyle w:val="Compact"/>
              <w:jc w:val="left"/>
            </w:pPr>
            <w:r>
              <w:t xml:space="preserve">QUAIDS</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05"/>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BanksBlundellLewbel1997Quadratic">
        <w:r>
          <w:rPr>
            <w:rStyle w:val="Hyperlink"/>
            <w:i/>
            <w:iCs/>
          </w:rPr>
          <w:t xml:space="preserve">1997</w:t>
        </w:r>
      </w:hyperlink>
      <w:r>
        <w:rPr>
          <w:i/>
          <w:iCs/>
        </w:rPr>
        <w:t xml:space="preserve">)</w:t>
      </w:r>
      <w:r>
        <w:rPr>
          <w:i/>
          <w:iCs/>
        </w:rPr>
        <w:t xml:space="preserve">.</w:t>
      </w:r>
    </w:p>
    <w:bookmarkEnd w:id="106"/>
    <w:bookmarkEnd w:id="107"/>
    <w:bookmarkEnd w:id="108"/>
    <w:bookmarkStart w:id="109" w:name="Xc15a10e5baf44120a54f7c8ffd6de9c6f6aca53"/>
    <w:p>
      <w:pPr>
        <w:pStyle w:val="Heading3"/>
      </w:pPr>
      <w:r>
        <w:t xml:space="preserve">II.2.2.</w:t>
      </w:r>
      <w:r>
        <w:t xml:space="preserve"> </w:t>
      </w:r>
      <w:r>
        <w:t xml:space="preserve">Elaboración de un sistema de ecuaciones completo o exhaustivo</w:t>
      </w:r>
    </w:p>
    <w:p>
      <w:pPr>
        <w:numPr>
          <w:ilvl w:val="0"/>
          <w:numId w:val="1079"/>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79"/>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Strotz1957Empirical">
        <w:r>
          <w:rPr>
            <w:rStyle w:val="Hyperlink"/>
            <w:smallCaps/>
          </w:rPr>
          <w:t xml:space="preserve">Strotz</w:t>
        </w:r>
        <w:r>
          <w:rPr>
            <w:rStyle w:val="Hyperlink"/>
          </w:rPr>
          <w:t xml:space="preserve"> </w:t>
        </w:r>
        <w:r>
          <w:rPr>
            <w:rStyle w:val="Hyperlink"/>
          </w:rPr>
          <w:t xml:space="preserve">1957</w:t>
        </w:r>
      </w:hyperlink>
      <w:r>
        <w:t xml:space="preserve">;</w:t>
      </w:r>
      <w:r>
        <w:t xml:space="preserve"> </w:t>
      </w:r>
      <w:hyperlink w:anchor="ref-Gorman1959Separable">
        <w:r>
          <w:rPr>
            <w:rStyle w:val="Hyperlink"/>
            <w:smallCaps/>
          </w:rPr>
          <w:t xml:space="preserve">Gorman</w:t>
        </w:r>
        <w:r>
          <w:rPr>
            <w:rStyle w:val="Hyperlink"/>
          </w:rPr>
          <w:t xml:space="preserve"> </w:t>
        </w:r>
        <w:r>
          <w:rPr>
            <w:rStyle w:val="Hyperlink"/>
          </w:rPr>
          <w:t xml:space="preserve">1959</w:t>
        </w:r>
      </w:hyperlink>
      <w:r>
        <w:t xml:space="preserve">)</w:t>
      </w:r>
      <w:r>
        <w:t xml:space="preserve">:</w:t>
      </w:r>
    </w:p>
    <w:p>
      <w:pPr>
        <w:numPr>
          <w:ilvl w:val="1"/>
          <w:numId w:val="1080"/>
        </w:numPr>
      </w:pPr>
      <w:r>
        <w:rPr>
          <w:i/>
          <w:iCs/>
        </w:rPr>
        <w:t xml:space="preserve">separabilidad débil</w:t>
      </w:r>
      <w:r>
        <w:t xml:space="preserve">: la RMS entre dos bienes de un grupo no depende de las cantidades de los bienes de otros grupos;</w:t>
      </w:r>
    </w:p>
    <w:p>
      <w:pPr>
        <w:numPr>
          <w:ilvl w:val="1"/>
          <w:numId w:val="1080"/>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80"/>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79"/>
        </w:numPr>
      </w:pPr>
      <w:r>
        <w:t xml:space="preserve">El nivel de agregación es otro compromiso: con muchas partidas se captan mejor las relaciones de sustitución, pero la estimación se complica; con pocas, al revés.</w:t>
      </w:r>
    </w:p>
    <w:bookmarkEnd w:id="109"/>
    <w:bookmarkStart w:id="110" w:name="muestra-de-datos"/>
    <w:p>
      <w:pPr>
        <w:pStyle w:val="Heading3"/>
      </w:pPr>
      <w:r>
        <w:t xml:space="preserve">II.2.3.</w:t>
      </w:r>
      <w:r>
        <w:t xml:space="preserve"> </w:t>
      </w:r>
      <w:r>
        <w:t xml:space="preserve">Muestra de datos</w:t>
      </w:r>
    </w:p>
    <w:p>
      <w:pPr>
        <w:numPr>
          <w:ilvl w:val="0"/>
          <w:numId w:val="1081"/>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INE2026EPF">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81"/>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INEEPFMetodologia">
        <w:r>
          <w:rPr>
            <w:rStyle w:val="Hyperlink"/>
            <w:smallCaps/>
          </w:rPr>
          <w:t xml:space="preserve">Instituto Nacional de Estadística</w:t>
        </w:r>
        <w:r>
          <w:rPr>
            <w:rStyle w:val="Hyperlink"/>
          </w:rPr>
          <w:t xml:space="preserve"> </w:t>
        </w:r>
        <w:r>
          <w:rPr>
            <w:rStyle w:val="Hyperlink"/>
          </w:rPr>
          <w:t xml:space="preserve">s. f.</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81"/>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Deaton1997Analysis">
        <w:r>
          <w:rPr>
            <w:rStyle w:val="Hyperlink"/>
          </w:rPr>
          <w:t xml:space="preserve">1997</w:t>
        </w:r>
      </w:hyperlink>
      <w:r>
        <w:t xml:space="preserve">)</w:t>
      </w:r>
      <w:r>
        <w:t xml:space="preserve"> </w:t>
      </w:r>
      <w:r>
        <w:t xml:space="preserve">para las encuestas de los países en desarrollo.</w:t>
      </w:r>
    </w:p>
    <w:bookmarkEnd w:id="110"/>
    <w:bookmarkStart w:id="111" w:name="X11e43f01e28c2a8cc16a0dac0d333b258c2b647"/>
    <w:p>
      <w:pPr>
        <w:pStyle w:val="Heading3"/>
      </w:pPr>
      <w:r>
        <w:t xml:space="preserve">II.2.4.</w:t>
      </w:r>
      <w:r>
        <w:t xml:space="preserve"> </w:t>
      </w:r>
      <w:r>
        <w:t xml:space="preserve">Especificación econométrica del sistema de demanda</w:t>
      </w:r>
    </w:p>
    <w:p>
      <w:pPr>
        <w:numPr>
          <w:ilvl w:val="0"/>
          <w:numId w:val="1082"/>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082"/>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w:t>
        </w:r>
        <w:r>
          <w:rPr>
            <w:rStyle w:val="Hyperlink"/>
          </w:rPr>
          <w:t xml:space="preserve">1981</w:t>
        </w:r>
      </w:hyperlink>
      <w:r>
        <w:t xml:space="preserve">)</w:t>
      </w:r>
      <w:r>
        <w:t xml:space="preserve">.</w:t>
      </w:r>
    </w:p>
    <w:bookmarkEnd w:id="111"/>
    <w:bookmarkStart w:id="112" w:name="resultados-de-las-estimaciones"/>
    <w:p>
      <w:pPr>
        <w:pStyle w:val="Heading3"/>
      </w:pPr>
      <w:r>
        <w:t xml:space="preserve">II.2.5.</w:t>
      </w:r>
      <w:r>
        <w:t xml:space="preserve"> </w:t>
      </w:r>
      <w:r>
        <w:t xml:space="preserve">Resultados de las estimaciones</w:t>
      </w:r>
    </w:p>
    <w:p>
      <w:pPr>
        <w:numPr>
          <w:ilvl w:val="0"/>
          <w:numId w:val="1083"/>
        </w:numPr>
      </w:pPr>
      <w:r>
        <w:t xml:space="preserve">Se obtienen los parámetros y, con ellos, las</w:t>
      </w:r>
      <w:r>
        <w:t xml:space="preserve"> </w:t>
      </w:r>
      <w:r>
        <w:rPr>
          <w:b/>
          <w:bCs/>
        </w:rPr>
        <w:t xml:space="preserve">elasticidades</w:t>
      </w:r>
      <w:r>
        <w:t xml:space="preserve"> </w:t>
      </w:r>
      <w:r>
        <w:t xml:space="preserve">(ecuación (23)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III.1.</w:t>
      </w:r>
    </w:p>
    <w:p>
      <w:pPr>
        <w:keepNext/>
        <w:numPr>
          <w:ilvl w:val="0"/>
          <w:numId w:val="1083"/>
        </w:numPr>
      </w:pPr>
      <w:r>
        <w:t xml:space="preserve">La historia de estos contrastes resume la evolución del campo</w:t>
      </w:r>
      <w:r>
        <w:t xml:space="preserve"> </w:t>
      </w:r>
      <w:r>
        <w:t xml:space="preserve">(</w:t>
      </w:r>
      <w:hyperlink w:anchor="ref-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 21-22</w:t>
        </w:r>
      </w:hyperlink>
      <w:r>
        <w:t xml:space="preserve">)</w:t>
      </w:r>
      <w:r>
        <w:t xml:space="preserve">:</w:t>
      </w:r>
    </w:p>
    <w:p>
      <w:pPr>
        <w:numPr>
          <w:ilvl w:val="1"/>
          <w:numId w:val="1084"/>
        </w:numPr>
      </w:pPr>
      <w:r>
        <w:t xml:space="preserve">con datos agregados de series temporales, las restricciones se rechazaron con frecuencia, sobre todo la homogeneidad:</w:t>
      </w:r>
      <w:r>
        <w:t xml:space="preserve"> </w:t>
      </w: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el modelo de Rotterdam y datos de los Países Bajos;</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su propio AIDS;</w:t>
      </w:r>
    </w:p>
    <w:p>
      <w:pPr>
        <w:numPr>
          <w:ilvl w:val="1"/>
          <w:numId w:val="1084"/>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w:t>
      </w:r>
      <w:r>
        <w:t xml:space="preserve">;</w:t>
      </w:r>
    </w:p>
    <w:p>
      <w:pPr>
        <w:numPr>
          <w:ilvl w:val="1"/>
          <w:numId w:val="1084"/>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X654402c942ad9bea1ef2f416051d143dc9e9a07">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w:t>
        </w:r>
        <w:r>
          <w:rPr>
            <w:rStyle w:val="Hyperlink"/>
          </w:rPr>
          <w:t xml:space="preserve">2003</w:t>
        </w:r>
      </w:hyperlink>
      <w:r>
        <w:t xml:space="preserve">)</w:t>
      </w:r>
      <w:r>
        <w:t xml:space="preserve"> </w:t>
      </w:r>
      <w:r>
        <w:rPr>
          <w:rStyle w:val="Referenciaatema"/>
        </w:rPr>
        <w:t xml:space="preserve">[ver tema 3.A.8]</w:t>
      </w:r>
      <w:r>
        <w:t xml:space="preserve">.</w:t>
      </w:r>
    </w:p>
    <w:p>
      <w:pPr>
        <w:numPr>
          <w:ilvl w:val="0"/>
          <w:numId w:val="1083"/>
        </w:numPr>
      </w:pPr>
      <w:r>
        <w:rPr>
          <w:i/>
          <w:iCs/>
        </w:rPr>
        <w:t xml:space="preserve">Usos</w:t>
      </w:r>
      <w:r>
        <w:t xml:space="preserve">: la imposición indirecta óptima y la reforma del IVA, que requieren elasticidades compensadas cruzadas</w:t>
      </w:r>
      <w:r>
        <w:t xml:space="preserve"> </w:t>
      </w:r>
      <w:r>
        <w:rPr>
          <w:rStyle w:val="Referenciaatema"/>
        </w:rPr>
        <w:t xml:space="preserve">[ver tema 4.B.11]</w:t>
      </w:r>
      <w:r>
        <w:t xml:space="preserve">; la incidencia distributiva de los cambios de precios por tramos de renta; los índices de coste de la vida para cada tipo de hogar (III.3),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w:t>
        </w:r>
        <w:r>
          <w:rPr>
            <w:rStyle w:val="Hyperlink"/>
          </w:rPr>
          <w:t xml:space="preserve">2012</w:t>
        </w:r>
      </w:hyperlink>
      <w:r>
        <w:t xml:space="preserve">)</w:t>
      </w:r>
      <w:r>
        <w:t xml:space="preserve">.</w:t>
      </w:r>
    </w:p>
    <w:p>
      <w:pPr>
        <w:numPr>
          <w:ilvl w:val="0"/>
          <w:numId w:val="1083"/>
        </w:numPr>
      </w:pPr>
      <w:r>
        <w:t xml:space="preserve">Las empresas, en cambio, cuando necesitan conocer la demanda de sus productos, recurren a encuestas o a experimentos de precios (por ejemplo, rebajar el precio y observar cómo responde la demanda).</w:t>
      </w:r>
    </w:p>
    <w:bookmarkEnd w:id="112"/>
    <w:bookmarkEnd w:id="113"/>
    <w:bookmarkStart w:id="114" w:name="valoración"/>
    <w:p>
      <w:pPr>
        <w:pStyle w:val="Heading2"/>
      </w:pPr>
      <w:r>
        <w:t xml:space="preserve">II.3.</w:t>
      </w:r>
      <w:r>
        <w:t xml:space="preserve"> </w:t>
      </w:r>
      <w:r>
        <w:t xml:space="preserve">Valoración</w:t>
      </w:r>
    </w:p>
    <w:p>
      <w:pPr>
        <w:keepNext/>
        <w:numPr>
          <w:ilvl w:val="0"/>
          <w:numId w:val="1085"/>
        </w:numPr>
      </w:pPr>
      <w:r>
        <w:rPr>
          <w:i/>
          <w:iCs/>
        </w:rPr>
        <w:t xml:space="preserve">Aportaciones</w:t>
      </w:r>
      <w:r>
        <w:t xml:space="preserve">:</w:t>
      </w:r>
    </w:p>
    <w:p>
      <w:pPr>
        <w:numPr>
          <w:ilvl w:val="1"/>
          <w:numId w:val="1086"/>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86"/>
        </w:numPr>
      </w:pPr>
      <w:r>
        <w:t xml:space="preserve">las restricciones de la teoría pasan a ser hipótesis contrastables;</w:t>
      </w:r>
    </w:p>
    <w:p>
      <w:pPr>
        <w:numPr>
          <w:ilvl w:val="1"/>
          <w:numId w:val="1086"/>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keepNext/>
        <w:numPr>
          <w:ilvl w:val="0"/>
          <w:numId w:val="1085"/>
        </w:numPr>
      </w:pPr>
      <w:r>
        <w:rPr>
          <w:i/>
          <w:iCs/>
        </w:rPr>
        <w:t xml:space="preserve">Limitaciones</w:t>
      </w:r>
      <w:r>
        <w:t xml:space="preserve">:</w:t>
      </w:r>
    </w:p>
    <w:p>
      <w:pPr>
        <w:numPr>
          <w:ilvl w:val="1"/>
          <w:numId w:val="1087"/>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87"/>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r>
        <w:rPr>
          <w:rStyle w:val="Referenciaatema"/>
        </w:rPr>
        <w:t xml:space="preserve">[ver tema 3.A.8]</w:t>
      </w:r>
      <w:r>
        <w:t xml:space="preserve">; de ahí el uso creciente de microdatos;</w:t>
      </w:r>
    </w:p>
    <w:p>
      <w:pPr>
        <w:numPr>
          <w:ilvl w:val="1"/>
          <w:numId w:val="1087"/>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r>
        <w:rPr>
          <w:rStyle w:val="Referenciaatema"/>
        </w:rPr>
        <w:t xml:space="preserve">[ver tema 3.A.33]</w:t>
      </w:r>
      <w:r>
        <w:t xml:space="preserve">, y el rechazo de la homogeneidad y la simetría puede deberse a ello más que a la irracionalidad de los consumidores.</w:t>
      </w:r>
    </w:p>
    <w:p>
      <w:pPr>
        <w:numPr>
          <w:ilvl w:val="0"/>
          <w:numId w:val="1085"/>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85"/>
        </w:numPr>
      </w:pPr>
      <w:r>
        <w:rPr>
          <w:i/>
          <w:iCs/>
        </w:rPr>
        <w:t xml:space="preserve">Recapitulación y enlace</w:t>
      </w:r>
      <w:r>
        <w:t xml:space="preserve">: estimar un sistema de demandas no garantiza que proceda de unas preferencias. Saber cuándo lo hace es la primera aplicación de la dualidad: la integrabilidad.</w:t>
      </w:r>
    </w:p>
    <w:bookmarkEnd w:id="114"/>
    <w:bookmarkEnd w:id="115"/>
    <w:bookmarkStart w:id="166" w:name="aplicaciones-de-la-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9), la variación del excedente (gráfico 10), la VC (gráfico 11) y la VE (gráfico 12), y al final el que los reúne (gráfico 13);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14). Las tablas de clasificación se cantan por categorías, sin leerlas. La recuperación de la utilidad a partir de la FIU (gráfico 8),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D), la aproximación de</w:t>
      </w:r>
      <w:r>
        <w:t xml:space="preserve"> </w:t>
      </w:r>
      <w:r>
        <w:rPr>
          <w:smallCaps/>
        </w:rPr>
        <w:t xml:space="preserve">Willig</w:t>
      </w:r>
      <w:r>
        <w:t xml:space="preserve"> </w:t>
      </w:r>
      <w:r>
        <w:t xml:space="preserve">(anexo E) y las cajas del IPC y del deflactor son de profundización.</w:t>
      </w:r>
    </w:p>
    <w:p>
      <w:pPr>
        <w:numPr>
          <w:ilvl w:val="0"/>
          <w:numId w:val="1088"/>
        </w:numPr>
      </w:pPr>
      <w:r>
        <w:t xml:space="preserve">Una vez vistos la teoría de la dualidad y su uso empírico, pasamos a analizar sus aplicaciones. Este bloque responde a la tercera y la cuarta preguntas. Su conclusión anticipada: la dualidad tiene una aplicación teórica, la</w:t>
      </w:r>
      <w:r>
        <w:t xml:space="preserve"> </w:t>
      </w:r>
      <w:r>
        <w:rPr>
          <w:i/>
          <w:iCs/>
        </w:rPr>
        <w:t xml:space="preserve">integrabilidad</w:t>
      </w:r>
      <w:r>
        <w:t xml:space="preserve">, que recorre el esquema de dualidad al revés, de la demanda a las preferencias (III.1), y dos prácticas: la ecuación de</w:t>
      </w:r>
      <w:r>
        <w:t xml:space="preserve"> </w:t>
      </w:r>
      <w:r>
        <w:rPr>
          <w:smallCaps/>
        </w:rPr>
        <w:t xml:space="preserve">Slutsky</w:t>
      </w:r>
      <w:r>
        <w:t xml:space="preserve">, que se demuestra en dos líneas y separa lo observable de lo que no lo es (III.2), y la medida de los cambios en el bienestar, que usa la función de gasto para expresar la utilidad en unidades monetarias (III.3).</w:t>
      </w:r>
    </w:p>
    <w:bookmarkStart w:id="122" w:name="X588f5c22433f4d1e4de6b22a1afee4f3ce1cc2d"/>
    <w:p>
      <w:pPr>
        <w:pStyle w:val="Heading2"/>
      </w:pPr>
      <w:r>
        <w:t xml:space="preserve">III.1.</w:t>
      </w:r>
      <w:r>
        <w:t xml:space="preserve"> </w:t>
      </w:r>
      <w:r>
        <w:t xml:space="preserve">El problema de la integrabilidad de las preferencias</w:t>
      </w:r>
    </w:p>
    <w:p>
      <w:pPr>
        <w:numPr>
          <w:ilvl w:val="0"/>
          <w:numId w:val="1089"/>
        </w:numPr>
      </w:pPr>
      <w:r>
        <w:rPr>
          <w:i/>
          <w:iCs/>
        </w:rPr>
        <w:t xml:space="preserve">Pregunta</w:t>
      </w:r>
      <w:r>
        <w:t xml:space="preserve">: la parte inobservable de la teoría son las preferencias. Dado un sistema de demandas marshallianas observado (por ejemplo, estimado como en el apartado II),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w:t>
      </w:r>
    </w:p>
    <w:p>
      <w:pPr>
        <w:keepNext/>
        <w:numPr>
          <w:ilvl w:val="0"/>
          <w:numId w:val="1089"/>
        </w:numPr>
      </w:pPr>
      <w:r>
        <w:rPr>
          <w:i/>
          <w:iCs/>
        </w:rPr>
        <w:t xml:space="preserve">Respuesta</w:t>
      </w:r>
      <w:r>
        <w:t xml:space="preserve">: el</w:t>
      </w:r>
      <w:r>
        <w:t xml:space="preserve"> </w:t>
      </w:r>
      <w:r>
        <w:rPr>
          <w:b/>
          <w:bCs/>
        </w:rPr>
        <w:t xml:space="preserve">teorema de integrabilidad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90"/>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090"/>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090"/>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I.2 y III.2).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3.H.1)</w:t>
      </w:r>
      <w:r>
        <w:t xml:space="preserve">.</w:t>
      </w:r>
      <w:r>
        <w:rPr>
          <w:rStyle w:val="FootnoteReference"/>
        </w:rPr>
        <w:footnoteReference w:id="116"/>
      </w:r>
    </w:p>
    <w:p>
      <w:pPr>
        <w:keepNext/>
        <w:numPr>
          <w:ilvl w:val="0"/>
          <w:numId w:val="1089"/>
        </w:numPr>
      </w:pPr>
      <w:r>
        <w:rPr>
          <w:i/>
          <w:i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Es una buena muestra de la potencia de la dualidad:</w:t>
      </w:r>
    </w:p>
    <w:p>
      <w:pPr>
        <w:numPr>
          <w:ilvl w:val="1"/>
          <w:numId w:val="1091"/>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(14)), la función de gasto desconocida debe cumplir el sistema de ecuaciones en derivadas parciales</w:t>
      </w:r>
      <w:r>
        <w:rPr>
          <w:rStyle w:val="FootnoteReference"/>
        </w:rPr>
        <w:footnoteReference w:id="117"/>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(26)</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p>
      <w:pPr>
        <w:numPr>
          <w:ilvl w:val="1"/>
          <w:numId w:val="1091"/>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91"/>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(15)),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8).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bookmarkStart w:id="121" w:name="fig: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 title="" id="119" name="Picture"/>
            <a:graphic>
              <a:graphicData uri="http://schemas.openxmlformats.org/drawingml/2006/picture">
                <pic:pic>
                  <pic:nvPicPr>
                    <pic:cNvPr descr="C:\Users\vgutierrez\Documents\src\victorgutierrezmarcos.github.io-revision\oposicion\temario\fuentes\3A09\graficos/recuperar-utilidad.png" id="120" name="Picture"/>
                    <pic:cNvPicPr>
                      <a:picLocks noChangeArrowheads="1" noChangeAspect="1"/>
                    </pic:cNvPicPr>
                  </pic:nvPicPr>
                  <pic:blipFill>
                    <a:blip r:embed="rId118"/>
                    <a:stretch>
                      <a:fillRect/>
                    </a:stretch>
                  </pic:blipFill>
                  <pic:spPr bwMode="auto">
                    <a:xfrm>
                      <a:off x="0" y="0"/>
                      <a:ext cx="3211103" cy="2538301"/>
                    </a:xfrm>
                    <a:prstGeom prst="rect">
                      <a:avLst/>
                    </a:prstGeom>
                    <a:noFill/>
                    <a:ln w="9525">
                      <a:noFill/>
                      <a:headEnd/>
                      <a:tailEnd/>
                    </a:ln>
                  </pic:spPr>
                </pic:pic>
              </a:graphicData>
            </a:graphic>
          </wp:inline>
        </w:drawing>
      </w:r>
    </w:p>
    <w:bookmarkEnd w:id="121"/>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3.H</w:t>
        </w:r>
      </w:hyperlink>
      <w:r>
        <w:t xml:space="preserve">)</w:t>
      </w:r>
      <w:r>
        <w:t xml:space="preserve">.</w:t>
      </w:r>
    </w:p>
    <w:p>
      <w:pPr>
        <w:numPr>
          <w:ilvl w:val="0"/>
          <w:numId w:val="1092"/>
        </w:numPr>
      </w:pPr>
      <w:r>
        <w:t xml:space="preserve">La integrabilidad tiene una versión sin derivadas: la de la</w:t>
      </w:r>
      <w:r>
        <w:t xml:space="preserve"> </w:t>
      </w:r>
      <w:r>
        <w:rPr>
          <w:b/>
          <w:bCs/>
        </w:rPr>
        <w:t xml:space="preserve">preferencia revelada</w:t>
      </w:r>
      <w:r>
        <w:t xml:space="preserve"> </w:t>
      </w:r>
      <w:r>
        <w:rPr>
          <w:rStyle w:val="Referenciaatema"/>
        </w:rPr>
        <w:t xml:space="preserve">[ver tema 3.A.8]</w:t>
      </w:r>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da el contraste.</w:t>
      </w:r>
    </w:p>
    <w:p>
      <w:pPr>
        <w:keepNext/>
        <w:numPr>
          <w:ilvl w:val="0"/>
          <w:numId w:val="1092"/>
        </w:numPr>
      </w:pPr>
      <w:r>
        <w:rPr>
          <w:i/>
          <w:iCs/>
        </w:rPr>
        <w:t xml:space="preserve">Relevancia</w:t>
      </w:r>
      <w:r>
        <w:t xml:space="preserve">:</w:t>
      </w:r>
    </w:p>
    <w:p>
      <w:pPr>
        <w:numPr>
          <w:ilvl w:val="1"/>
          <w:numId w:val="1093"/>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93"/>
        </w:numPr>
      </w:pPr>
      <w:r>
        <w:rPr>
          <w:i/>
          <w:iCs/>
        </w:rPr>
        <w:t xml:space="preserve">empírica</w:t>
      </w:r>
      <w:r>
        <w:t xml:space="preserve">: para saber si unas demandas estimadas son racionales basta contrastar esas propiedades (apartado II.2), sin necesidad de encontrar la función de utilidad, que puede ser muy difícil;</w:t>
      </w:r>
    </w:p>
    <w:p>
      <w:pPr>
        <w:numPr>
          <w:ilvl w:val="1"/>
          <w:numId w:val="1093"/>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Hausman1981Exact">
        <w:r>
          <w:rPr>
            <w:rStyle w:val="Hyperlink"/>
            <w:smallCaps/>
          </w:rPr>
          <w:t xml:space="preserve">Hausman</w:t>
        </w:r>
        <w:r>
          <w:rPr>
            <w:rStyle w:val="Hyperlink"/>
          </w:rPr>
          <w:t xml:space="preserve"> </w:t>
        </w:r>
        <w:r>
          <w:rPr>
            <w:rStyle w:val="Hyperlink"/>
          </w:rPr>
          <w:t xml:space="preserve">1981</w:t>
        </w:r>
      </w:hyperlink>
      <w:r>
        <w:t xml:space="preserve">)</w:t>
      </w:r>
      <w:r>
        <w:t xml:space="preserve"> </w:t>
      </w:r>
      <w:r>
        <w:t xml:space="preserve">(III.3).</w:t>
      </w:r>
    </w:p>
    <w:p>
      <w:pPr>
        <w:numPr>
          <w:ilvl w:val="0"/>
          <w:numId w:val="1092"/>
        </w:numPr>
      </w:pPr>
      <w:r>
        <w:rPr>
          <w:i/>
          <w:i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22"/>
    <w:bookmarkStart w:id="131" w:name="X51732a2724dbde895c7958178f8f73475ab9c69"/>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24" w:name="X9bcd8aeb02ee1e69ed0ec624e926d3665107bc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094"/>
        </w:numPr>
      </w:pPr>
      <w:r>
        <w:t xml:space="preserve">La integrabilidad nos ha llevado de la demanda a las preferencias; la segunda aplicación usa la dualidad entre demandas para descomponer el efecto de un cambio de precio.</w:t>
      </w:r>
    </w:p>
    <w:p>
      <w:pPr>
        <w:numPr>
          <w:ilvl w:val="0"/>
          <w:numId w:val="1094"/>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(14))</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94"/>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094"/>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p>
      <w:pPr>
        <w:pStyle w:val="Funcionclave"/>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w:t>
      </w:r>
      <m:oMath>
        <m:r>
          <m:rPr>
            <m:sty m:val="p"/>
          </m:rPr>
          <m:t>◼</m:t>
        </m:r>
      </m:oMath>
    </w:p>
    <w:p>
      <w:pPr>
        <w:numPr>
          <w:ilvl w:val="1"/>
          <w:numId w:val="1095"/>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95"/>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23"/>
      </w:r>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95"/>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94"/>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(26), y contrastar sus propiedades.</w:t>
      </w:r>
    </w:p>
    <w:p>
      <w:pPr>
        <w:keepNext/>
        <w:numPr>
          <w:ilvl w:val="0"/>
          <w:numId w:val="1094"/>
        </w:numPr>
      </w:pPr>
      <w:r>
        <w:rPr>
          <w:i/>
          <w:iCs/>
        </w:rPr>
        <w:t xml:space="preserve">Propiedades de la matriz de</w:t>
      </w:r>
      <w:r>
        <w:rPr>
          <w:i/>
          <w:iCs/>
        </w:rPr>
        <w:t xml:space="preserve"> </w:t>
      </w:r>
      <w:r>
        <w:rPr>
          <w:i/>
          <w:iCs/>
          <w:smallCaps/>
        </w:rPr>
        <w:t xml:space="preserve">Slutsky</w:t>
      </w:r>
      <w:r>
        <w:t xml:space="preserve"> </w:t>
      </w:r>
      <w:r>
        <w:t xml:space="preserve">(ecuación (13)):</w:t>
      </w:r>
    </w:p>
    <w:p>
      <w:pPr>
        <w:numPr>
          <w:ilvl w:val="1"/>
          <w:numId w:val="1096"/>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96"/>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96"/>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24"/>
    <w:bookmarkStart w:id="126" w:name="Xef20607d60c8523bacd85388fa3bf7a6d6587c7"/>
    <w:p>
      <w:pPr>
        <w:pStyle w:val="Heading4"/>
      </w:pPr>
      <w:r>
        <w:t xml:space="preserve">Clasificación de los bienes según el precio propio</w:t>
      </w:r>
    </w:p>
    <w:p>
      <w:pPr>
        <w:keepNext/>
        <w:numPr>
          <w:ilvl w:val="0"/>
          <w:numId w:val="1097"/>
        </w:numPr>
      </w:pPr>
      <w:r>
        <w:t xml:space="preserve">Como</w:t>
      </w:r>
      <w:r>
        <w:t xml:space="preserve"> </w:t>
      </w:r>
      <m:oMath>
        <m:sSub>
          <m:e>
            <m:r>
              <m:t>S</m:t>
            </m:r>
          </m:e>
          <m:sub>
            <m:r>
              <m:t>i</m:t>
            </m:r>
            <m:r>
              <m:t>i</m:t>
            </m:r>
          </m:sub>
        </m:sSub>
        <m:r>
          <m:rPr>
            <m:sty m:val="p"/>
          </m:rPr>
          <m:t>≤</m:t>
        </m:r>
        <m:r>
          <m:t>0</m:t>
        </m:r>
      </m:oMath>
      <w:r>
        <w:t xml:space="preserve">, el signo del efecto total depende del efecto renta (tabla 4):</w:t>
      </w:r>
    </w:p>
    <w:p>
      <w:pPr>
        <w:numPr>
          <w:ilvl w:val="1"/>
          <w:numId w:val="109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098"/>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097"/>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 </w:t>
      </w:r>
      <w:r>
        <w:rPr>
          <w:rStyle w:val="Referenciaatema"/>
        </w:rPr>
        <w:t xml:space="preserve">[ver tema 3.A.8]</w:t>
      </w:r>
      <w:r>
        <w:t xml:space="preserve">.</w:t>
      </w:r>
    </w:p>
    <w:bookmarkStart w:id="125" w:name="tab:slutsky-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25"/>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r>
        <w:rPr>
          <w:rStyle w:val="Referenciaatema"/>
        </w:rPr>
        <w:t xml:space="preserve">[ver tema 3.A.8]</w:t>
      </w:r>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26"/>
    <w:bookmarkStart w:id="128" w:name="X169064eaf6163e9bb6e49759595c02c4aeec0a8"/>
    <w:p>
      <w:pPr>
        <w:pStyle w:val="Heading4"/>
      </w:pPr>
      <w:r>
        <w:t xml:space="preserve">Clasificación de los bienes según los precios cruzados</w:t>
      </w:r>
    </w:p>
    <w:p>
      <w:pPr>
        <w:numPr>
          <w:ilvl w:val="0"/>
          <w:numId w:val="1099"/>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99"/>
        </w:numPr>
      </w:pPr>
      <w:r>
        <w:t xml:space="preserve">No todas las combinaciones son posibles (tabla 5):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27" w:name="tab:slutsky-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c>
          <w:tcPr>
            <w:vAlign w:val="center"/>
          </w:tcPr>
          <w:p>
            <w:pPr>
              <w:pStyle w:val="Celdatceesalmon"/>
              <w:jc w:val="center"/>
            </w:pPr>
            <w:r>
              <w:rPr>
                <w:i/>
                <w:iCs/>
              </w:rPr>
              <w:t xml:space="preserve">Efecto sustitución cruzado</w:t>
            </w:r>
          </w:p>
        </w:tc>
        <w:tc>
          <w:tcPr>
            <w:vAlign w:val="center"/>
          </w:tcPr>
          <w:p>
            <w:pPr>
              <w:pStyle w:val="Celdatceesalmon"/>
              <w:jc w:val="center"/>
            </w:pPr>
            <w:r>
              <w:rPr>
                <w:i/>
                <w:iCs/>
              </w:rPr>
              <w:t xml:space="preserve">Efecto renta cruzado</w:t>
            </w:r>
          </w:p>
        </w:tc>
        <w:tc>
          <w:tcPr>
            <w:vAlign w:val="center"/>
          </w:tcPr>
          <w:p>
            <w:pPr>
              <w:pStyle w:val="Celdatceesalmon"/>
              <w:jc w:val="center"/>
            </w:pPr>
            <w:r>
              <w:rPr>
                <w:i/>
                <w:iCs/>
              </w:rPr>
              <w:t xml:space="preserve">Efecto total cruzado</w:t>
            </w:r>
          </w:p>
        </w:tc>
      </w:tr>
      <w:t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27"/>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3.G</w:t>
        </w:r>
      </w:hyperlink>
      <w:r>
        <w:rPr>
          <w:i/>
          <w:iCs/>
        </w:rPr>
        <w:t xml:space="preserve">)</w:t>
      </w:r>
      <w:r>
        <w:rPr>
          <w:i/>
          <w:iCs/>
        </w:rPr>
        <w:t xml:space="preserve">.</w:t>
      </w:r>
    </w:p>
    <w:bookmarkEnd w:id="128"/>
    <w:bookmarkStart w:id="130" w:name="X963b721e859de5ae05bc921dcdf3554cfc912bb"/>
    <w:p>
      <w:pPr>
        <w:pStyle w:val="Heading4"/>
      </w:pPr>
      <w:r>
        <w:t xml:space="preserve">Pendientes de las demandas marshalliana y hicksiana</w:t>
      </w:r>
    </w:p>
    <w:p>
      <w:pPr>
        <w:numPr>
          <w:ilvl w:val="0"/>
          <w:numId w:val="1100"/>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29"/>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w:t>
      </w:r>
      <w:r>
        <w:t xml:space="preserve"> </w:t>
      </w:r>
      <w:r>
        <w:rPr>
          <w:rStyle w:val="Referenciaatema"/>
        </w:rPr>
        <w:t xml:space="preserve">[ver tema 3.A.8]</w:t>
      </w:r>
      <w:r>
        <w:t xml:space="preserve">.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numPr>
          <w:ilvl w:val="0"/>
          <w:numId w:val="1100"/>
        </w:numPr>
      </w:pPr>
      <w:r>
        <w:rPr>
          <w:i/>
          <w:i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130"/>
    <w:bookmarkEnd w:id="131"/>
    <w:bookmarkStart w:id="165" w:name="X16fbe024173e2295b4adbcb7a3554a81b5ae0e8"/>
    <w:p>
      <w:pPr>
        <w:pStyle w:val="Heading2"/>
      </w:pPr>
      <w:r>
        <w:t xml:space="preserve">III.3.</w:t>
      </w:r>
      <w:r>
        <w:t xml:space="preserve"> </w:t>
      </w:r>
      <w:r>
        <w:t xml:space="preserve">Análisis de bienestar del consumidor individual</w:t>
      </w:r>
    </w:p>
    <w:bookmarkStart w:id="136" w:name="idea-1"/>
    <w:p>
      <w:pPr>
        <w:pStyle w:val="Heading3"/>
      </w:pPr>
      <w:r>
        <w:t xml:space="preserve">III.3.1.</w:t>
      </w:r>
      <w:r>
        <w:t xml:space="preserve"> </w:t>
      </w:r>
      <w:r>
        <w:t xml:space="preserve">Idea</w:t>
      </w:r>
    </w:p>
    <w:p>
      <w:pPr>
        <w:numPr>
          <w:ilvl w:val="0"/>
          <w:numId w:val="1101"/>
        </w:numPr>
      </w:pPr>
      <w:r>
        <w:t xml:space="preserve">Una vez separados los efectos sustitución y renta, pasamos a la tercera aplicación: medir en dinero cuánto gana o pierde el consumidor. 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r>
        <w:rPr>
          <w:rStyle w:val="Referenciaatema"/>
        </w:rPr>
        <w:t xml:space="preserve">[ver tema 3.A.16]</w:t>
      </w:r>
      <w:r>
        <w:t xml:space="preserve">, y mucho más limitado que el análisis en equilibrio general, que agrega a todos los agentes</w:t>
      </w:r>
      <w:r>
        <w:t xml:space="preserve"> </w:t>
      </w:r>
      <w:r>
        <w:rPr>
          <w:rStyle w:val="Referenciaatema"/>
        </w:rPr>
        <w:t xml:space="preserve">[ver tema 3.A.22]</w:t>
      </w:r>
      <w:r>
        <w:t xml:space="preserve"> </w:t>
      </w:r>
      <w:r>
        <w:rPr>
          <w:rStyle w:val="Referenciaatema"/>
        </w:rPr>
        <w:t xml:space="preserve">[ver tema 3.A.24]</w:t>
      </w:r>
      <w:r>
        <w:t xml:space="preserve">. La restricción tiene una ventaja: evita las comparaciones de bienestar entre personas, que la naturaleza ordinal de las preferencias complica.</w:t>
      </w:r>
    </w:p>
    <w:p>
      <w:pPr>
        <w:numPr>
          <w:ilvl w:val="0"/>
          <w:numId w:val="1101"/>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CiceronLegibus">
        <w:r>
          <w:rPr>
            <w:rStyle w:val="Hyperlink"/>
            <w:smallCaps/>
          </w:rPr>
          <w:t xml:space="preserve">Marco Tulio Cicerón</w:t>
        </w:r>
        <w:r>
          <w:rPr>
            <w:rStyle w:val="Hyperlink"/>
          </w:rPr>
          <w:t xml:space="preserve"> </w:t>
        </w:r>
        <w:r>
          <w:rPr>
            <w:rStyle w:val="Hyperlink"/>
          </w:rPr>
          <w:t xml:space="preserve">s. f.</w:t>
        </w:r>
      </w:hyperlink>
      <w:r>
        <w:t xml:space="preserve">, III, 8)</w:t>
      </w:r>
      <w:r>
        <w:t xml:space="preserve">.</w:t>
      </w:r>
    </w:p>
    <w:p>
      <w:pPr>
        <w:numPr>
          <w:ilvl w:val="0"/>
          <w:numId w:val="1101"/>
        </w:numPr>
      </w:pPr>
      <w:r>
        <w:t xml:space="preserve">El</w:t>
      </w:r>
      <w:r>
        <w:t xml:space="preserve"> </w:t>
      </w:r>
      <w:r>
        <w:rPr>
          <w:i/>
          <w:iCs/>
        </w:rPr>
        <w:t xml:space="preserve">problema</w:t>
      </w:r>
      <w:r>
        <w:t xml:space="preserve"> </w:t>
      </w:r>
      <w:r>
        <w:t xml:space="preserve">(gráfico 9):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101"/>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35" w:name="fig:bienestar-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 title="" id="133" name="Picture"/>
            <a:graphic>
              <a:graphicData uri="http://schemas.openxmlformats.org/drawingml/2006/picture">
                <pic:pic>
                  <pic:nvPicPr>
                    <pic:cNvPr descr="C:\Users\vgutierrez\Documents\src\victorgutierrezmarcos.github.io-revision\oposicion\temario\fuentes\3A09\graficos/bienestar-problema.png" id="134" name="Picture"/>
                    <pic:cNvPicPr>
                      <a:picLocks noChangeArrowheads="1" noChangeAspect="1"/>
                    </pic:cNvPicPr>
                  </pic:nvPicPr>
                  <pic:blipFill>
                    <a:blip r:embed="rId132"/>
                    <a:stretch>
                      <a:fillRect/>
                    </a:stretch>
                  </pic:blipFill>
                  <pic:spPr bwMode="auto">
                    <a:xfrm>
                      <a:off x="0" y="0"/>
                      <a:ext cx="2993971" cy="2256947"/>
                    </a:xfrm>
                    <a:prstGeom prst="rect">
                      <a:avLst/>
                    </a:prstGeom>
                    <a:noFill/>
                    <a:ln w="9525">
                      <a:noFill/>
                      <a:headEnd/>
                      <a:tailEnd/>
                    </a:ln>
                  </pic:spPr>
                </pic:pic>
              </a:graphicData>
            </a:graphic>
          </wp:inline>
        </w:drawing>
      </w:r>
    </w:p>
    <w:bookmarkEnd w:id="135"/>
    <w:p>
      <w:pPr>
        <w:pStyle w:val="Piedeimagen"/>
      </w:pPr>
      <w:r>
        <w:t xml:space="preserve">Fuente: elaboración propia.</w:t>
      </w:r>
    </w:p>
    <w:bookmarkEnd w:id="136"/>
    <w:bookmarkStart w:id="164" w:name="Xcfd008ef96d67a8320853afc75a4ad7c3b225d9"/>
    <w:p>
      <w:pPr>
        <w:pStyle w:val="Heading3"/>
      </w:pPr>
      <w:r>
        <w:t xml:space="preserve">III.3.2.</w:t>
      </w:r>
      <w:r>
        <w:t xml:space="preserve"> </w:t>
      </w:r>
      <w:r>
        <w:t xml:space="preserve">Medición de la variación del bienestar del consumidor individual</w:t>
      </w:r>
    </w:p>
    <w:bookmarkStart w:id="141" w:name="X1fc56320b6168869029d8c3fa807cc2401d7198"/>
    <w:p>
      <w:pPr>
        <w:pStyle w:val="Heading4"/>
      </w:pPr>
      <w:r>
        <w:t xml:space="preserve">La variación del excedente del consumidor</w:t>
      </w:r>
    </w:p>
    <w:p>
      <w:pPr>
        <w:keepNext/>
        <w:numPr>
          <w:ilvl w:val="0"/>
          <w:numId w:val="1102"/>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w:t>
      </w:r>
    </w:p>
    <w:p>
      <w:pPr>
        <w:numPr>
          <w:ilvl w:val="1"/>
          <w:numId w:val="1103"/>
        </w:numPr>
      </w:pPr>
      <w:r>
        <w:t xml:space="preserve">El</w:t>
      </w:r>
      <w:r>
        <w:t xml:space="preserve"> </w:t>
      </w:r>
      <w:r>
        <w:rPr>
          <w:b/>
          <w:b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103"/>
        </w:numPr>
      </w:pPr>
      <w:r>
        <w:t xml:space="preserve">Su</w:t>
      </w:r>
      <w:r>
        <w:t xml:space="preserve"> </w:t>
      </w:r>
      <w:r>
        <w:rPr>
          <w:i/>
          <w:iCs/>
        </w:rPr>
        <w:t xml:space="preserve">variación</w:t>
      </w:r>
      <w:r>
        <w:t xml:space="preserve"> </w:t>
      </w:r>
      <w:r>
        <w:t xml:space="preserve">es el área a la izquierda de la demanda marshalliana entre el precio inicial y el final (gráfico 10):</w:t>
      </w:r>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40" w:name="fig:bienestar-delta-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 title="" id="138" name="Picture"/>
            <a:graphic>
              <a:graphicData uri="http://schemas.openxmlformats.org/drawingml/2006/picture">
                <pic:pic>
                  <pic:nvPicPr>
                    <pic:cNvPr descr="C:\Users\vgutierrez\Documents\src\victorgutierrezmarcos.github.io-revision\oposicion\temario\fuentes\3A09\graficos/bienestar-delta-ec.png" id="139" name="Picture"/>
                    <pic:cNvPicPr>
                      <a:picLocks noChangeArrowheads="1" noChangeAspect="1"/>
                    </pic:cNvPicPr>
                  </pic:nvPicPr>
                  <pic:blipFill>
                    <a:blip r:embed="rId137"/>
                    <a:stretch>
                      <a:fillRect/>
                    </a:stretch>
                  </pic:blipFill>
                  <pic:spPr bwMode="auto">
                    <a:xfrm>
                      <a:off x="0" y="0"/>
                      <a:ext cx="2984500" cy="1670809"/>
                    </a:xfrm>
                    <a:prstGeom prst="rect">
                      <a:avLst/>
                    </a:prstGeom>
                    <a:noFill/>
                    <a:ln w="9525">
                      <a:noFill/>
                      <a:headEnd/>
                      <a:tailEnd/>
                    </a:ln>
                  </pic:spPr>
                </pic:pic>
              </a:graphicData>
            </a:graphic>
          </wp:inline>
        </w:drawing>
      </w:r>
    </w:p>
    <w:bookmarkEnd w:id="14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keepNext/>
        <w:numPr>
          <w:ilvl w:val="0"/>
          <w:numId w:val="1104"/>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105"/>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r>
        <w:rPr>
          <w:rStyle w:val="Referenciaatema"/>
        </w:rPr>
        <w:t xml:space="preserve">[ver tema 3.A.16]</w:t>
      </w:r>
      <w:r>
        <w:t xml:space="preserve">.</w:t>
      </w:r>
    </w:p>
    <w:p>
      <w:pPr>
        <w:numPr>
          <w:ilvl w:val="1"/>
          <w:numId w:val="1105"/>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104"/>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41"/>
    <w:bookmarkStart w:id="155" w:name="Xaf96a4649bd8cbbc83c9509d373be26c7129868"/>
    <w:p>
      <w:pPr>
        <w:pStyle w:val="Heading4"/>
      </w:pPr>
      <w:r>
        <w:t xml:space="preserve">Análisis mediante variaciones: información completa</w:t>
      </w:r>
    </w:p>
    <w:p>
      <w:pPr>
        <w:numPr>
          <w:ilvl w:val="0"/>
          <w:numId w:val="1106"/>
        </w:numPr>
      </w:pPr>
      <w:r>
        <w:t xml:space="preserve">Para evitar los problemas del excedente, 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w:t>
      </w:r>
      <w:hyperlink w:anchor="ref-Samuelson1974Complementarity">
        <w:r>
          <w:rPr>
            <w:rStyle w:val="Hyperlink"/>
            <w:smallCaps/>
          </w:rPr>
          <w:t xml:space="preserve">Samuelson</w:t>
        </w:r>
        <w:r>
          <w:rPr>
            <w:rStyle w:val="Hyperlink"/>
          </w:rPr>
          <w:t xml:space="preserve"> </w:t>
        </w:r>
        <w:r>
          <w:rPr>
            <w:rStyle w:val="Hyperlink"/>
          </w:rPr>
          <w:t xml:space="preserve">1974</w:t>
        </w:r>
      </w:hyperlink>
      <w:r>
        <w:t xml:space="preserve">;</w:t>
      </w:r>
      <w:r>
        <w:t xml:space="preserve"> </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106"/>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42"/>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107"/>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11),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46" w:name="fig:bienestar-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 title="" id="144" name="Picture"/>
            <a:graphic>
              <a:graphicData uri="http://schemas.openxmlformats.org/drawingml/2006/picture">
                <pic:pic>
                  <pic:nvPicPr>
                    <pic:cNvPr descr="C:\Users\vgutierrez\Documents\src\victorgutierrezmarcos.github.io-revision\oposicion\temario\fuentes\3A09\graficos/bienestar-vc.png" id="145" name="Picture"/>
                    <pic:cNvPicPr>
                      <a:picLocks noChangeArrowheads="1" noChangeAspect="1"/>
                    </pic:cNvPicPr>
                  </pic:nvPicPr>
                  <pic:blipFill>
                    <a:blip r:embed="rId143"/>
                    <a:stretch>
                      <a:fillRect/>
                    </a:stretch>
                  </pic:blipFill>
                  <pic:spPr bwMode="auto">
                    <a:xfrm>
                      <a:off x="0" y="0"/>
                      <a:ext cx="3282950" cy="3862134"/>
                    </a:xfrm>
                    <a:prstGeom prst="rect">
                      <a:avLst/>
                    </a:prstGeom>
                    <a:noFill/>
                    <a:ln w="9525">
                      <a:noFill/>
                      <a:headEnd/>
                      <a:tailEnd/>
                    </a:ln>
                  </pic:spPr>
                </pic:pic>
              </a:graphicData>
            </a:graphic>
          </wp:inline>
        </w:drawing>
      </w:r>
    </w:p>
    <w:bookmarkEnd w:id="146"/>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8"/>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r>
        <w:rPr>
          <w:rStyle w:val="Referenciaatema"/>
        </w:rPr>
        <w:t xml:space="preserve">[ver tema 4.B.6]</w:t>
      </w:r>
      <w:r>
        <w:t xml:space="preserve">.</w:t>
      </w:r>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12),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50" w:name="fig:bienestar-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 title="" id="148" name="Picture"/>
            <a:graphic>
              <a:graphicData uri="http://schemas.openxmlformats.org/drawingml/2006/picture">
                <pic:pic>
                  <pic:nvPicPr>
                    <pic:cNvPr descr="C:\Users\vgutierrez\Documents\src\victorgutierrezmarcos.github.io-revision\oposicion\temario\fuentes\3A09\graficos/bienestar-ve.png" id="149" name="Picture"/>
                    <pic:cNvPicPr>
                      <a:picLocks noChangeArrowheads="1" noChangeAspect="1"/>
                    </pic:cNvPicPr>
                  </pic:nvPicPr>
                  <pic:blipFill>
                    <a:blip r:embed="rId147"/>
                    <a:stretch>
                      <a:fillRect/>
                    </a:stretch>
                  </pic:blipFill>
                  <pic:spPr bwMode="auto">
                    <a:xfrm>
                      <a:off x="0" y="0"/>
                      <a:ext cx="3282950" cy="3865321"/>
                    </a:xfrm>
                    <a:prstGeom prst="rect">
                      <a:avLst/>
                    </a:prstGeom>
                    <a:noFill/>
                    <a:ln w="9525">
                      <a:noFill/>
                      <a:headEnd/>
                      <a:tailEnd/>
                    </a:ln>
                  </pic:spPr>
                </pic:pic>
              </a:graphicData>
            </a:graphic>
          </wp:inline>
        </w:drawing>
      </w:r>
    </w:p>
    <w:bookmarkEnd w:id="1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9"/>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09"/>
        </w:numPr>
      </w:pPr>
      <w:r>
        <w:rPr>
          <w:i/>
          <w:iCs/>
        </w:rPr>
        <w:t xml:space="preserve">Las tres medidas juntas</w:t>
      </w:r>
      <w:r>
        <w:t xml:space="preserve"> </w:t>
      </w:r>
      <w:r>
        <w:t xml:space="preserve">(gráfico 13): para un bien normal, la hicksiana inicial es más inclinada que la marshalliana y la final queda a su derecha, de modo que, ante una bajada del precio,</w:t>
      </w:r>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D.</w:t>
      </w:r>
    </w:p>
    <w:bookmarkStart w:id="154" w:name="fig:bienestar-vc-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 title="" id="152" name="Picture"/>
            <a:graphic>
              <a:graphicData uri="http://schemas.openxmlformats.org/drawingml/2006/picture">
                <pic:pic>
                  <pic:nvPicPr>
                    <pic:cNvPr descr="C:\Users\vgutierrez\Documents\src\victorgutierrezmarcos.github.io-revision\oposicion\temario\fuentes\3A09\graficos/bienestar-vc-ve.png" id="153" name="Picture"/>
                    <pic:cNvPicPr>
                      <a:picLocks noChangeArrowheads="1" noChangeAspect="1"/>
                    </pic:cNvPicPr>
                  </pic:nvPicPr>
                  <pic:blipFill>
                    <a:blip r:embed="rId151"/>
                    <a:stretch>
                      <a:fillRect/>
                    </a:stretch>
                  </pic:blipFill>
                  <pic:spPr bwMode="auto">
                    <a:xfrm>
                      <a:off x="0" y="0"/>
                      <a:ext cx="3700780" cy="4191280"/>
                    </a:xfrm>
                    <a:prstGeom prst="rect">
                      <a:avLst/>
                    </a:prstGeom>
                    <a:noFill/>
                    <a:ln w="9525">
                      <a:noFill/>
                      <a:headEnd/>
                      <a:tailEnd/>
                    </a:ln>
                  </pic:spPr>
                </pic:pic>
              </a:graphicData>
            </a:graphic>
          </wp:inline>
        </w:drawing>
      </w:r>
    </w:p>
    <w:bookmarkEnd w:id="15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10"/>
        </w:numPr>
      </w:pPr>
      <w:r>
        <w:rPr>
          <w:b/>
          <w:bCs/>
        </w:rPr>
        <w:t xml:space="preserve">Aproximación de</w:t>
      </w:r>
      <w:r>
        <w:rPr>
          <w:b/>
          <w:bCs/>
        </w:rPr>
        <w:t xml:space="preserve"> </w:t>
      </w:r>
      <w:r>
        <w:rPr>
          <w:b/>
          <w:bCs/>
          <w:smallCaps/>
        </w:rPr>
        <w:t xml:space="preserve">Willig</w:t>
      </w:r>
      <w:r>
        <w:t xml:space="preserve"> </w:t>
      </w:r>
      <w:r>
        <w:t xml:space="preserve">(</w:t>
      </w:r>
      <w:hyperlink w:anchor="ref-Willig1976Surplus">
        <w:r>
          <w:rPr>
            <w:rStyle w:val="Hyperlink"/>
            <w:smallCaps/>
          </w:rPr>
          <w:t xml:space="preserve">Willig</w:t>
        </w:r>
        <w:r>
          <w:rPr>
            <w:rStyle w:val="Hyperlink"/>
          </w:rPr>
          <w:t xml:space="preserve"> </w:t>
        </w:r>
        <w:r>
          <w:rPr>
            <w:rStyle w:val="Hyperlink"/>
          </w:rPr>
          <w:t xml:space="preserve">1976</w:t>
        </w:r>
      </w:hyperlink>
      <w:r>
        <w:t xml:space="preserve">)</w:t>
      </w:r>
      <w:r>
        <w:t xml:space="preserve">. Aproximando el efecto renta a lo largo del cambio,</w:t>
      </w:r>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r>
        <w:rPr>
          <w:rStyle w:val="Referenciaatema"/>
        </w:rPr>
        <w:t xml:space="preserve">[ver tema 3.A.16]</w:t>
      </w:r>
      <w:r>
        <w:t xml:space="preserve"> </w:t>
      </w:r>
      <w:r>
        <w:t xml:space="preserve">y en el análisis coste-beneficio.</w:t>
      </w:r>
    </w:p>
    <w:p>
      <w:pPr>
        <w:numPr>
          <w:ilvl w:val="0"/>
          <w:numId w:val="1110"/>
        </w:numPr>
      </w:pPr>
      <w:r>
        <w:rPr>
          <w:smallCaps/>
        </w:rPr>
        <w:t xml:space="preserve">Hausman</w:t>
      </w:r>
      <w:r>
        <w:t xml:space="preserve"> </w:t>
      </w:r>
      <w:r>
        <w:t xml:space="preserve">(</w:t>
      </w:r>
      <w:hyperlink w:anchor="ref-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(27), y calcular la VC y la VE sin aproximaciones: una aplicación directa de la integrabilidad.</w:t>
      </w:r>
    </w:p>
    <w:p>
      <w:pPr>
        <w:keepNext/>
        <w:numPr>
          <w:ilvl w:val="0"/>
          <w:numId w:val="1110"/>
        </w:numPr>
      </w:pPr>
      <w:r>
        <w:t xml:space="preserve">¿</w:t>
      </w:r>
      <w:r>
        <w:rPr>
          <w:i/>
          <w:iCs/>
        </w:rPr>
        <w:t xml:space="preserve">Cuál usar</w:t>
      </w:r>
      <w:r>
        <w:t xml:space="preserve">? Depende de la pregunta:</w:t>
      </w:r>
    </w:p>
    <w:p>
      <w:pPr>
        <w:numPr>
          <w:ilvl w:val="1"/>
          <w:numId w:val="1111"/>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w:t>
      </w:r>
    </w:p>
    <w:p>
      <w:pPr>
        <w:numPr>
          <w:ilvl w:val="1"/>
          <w:numId w:val="1111"/>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r>
        <w:rPr>
          <w:rStyle w:val="Referenciaatema"/>
        </w:rPr>
        <w:t xml:space="preserve">[ver tema 3.A.22]</w:t>
      </w:r>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Con la VC se llega a la misma conclusión cualitativa con otra cifra. Es una aplicación directa de la función de gasto</w:t>
      </w:r>
      <w:r>
        <w:t xml:space="preserve"> </w:t>
      </w:r>
      <w:r>
        <w:rPr>
          <w:rStyle w:val="Referenciaatema"/>
        </w:rPr>
        <w:t xml:space="preserve">[ver tema 4.B.9]</w:t>
      </w:r>
      <w:r>
        <w:t xml:space="preserve">.</w:t>
      </w:r>
    </w:p>
    <w:bookmarkEnd w:id="155"/>
    <w:bookmarkStart w:id="156" w:name="Xc06de061893a483a0907c38a7edce71dc3931c0"/>
    <w:p>
      <w:pPr>
        <w:pStyle w:val="Heading4"/>
      </w:pPr>
      <w:r>
        <w:t xml:space="preserve">Análisis mediante variaciones: información incompleta</w:t>
      </w:r>
    </w:p>
    <w:p>
      <w:pPr>
        <w:numPr>
          <w:ilvl w:val="0"/>
          <w:numId w:val="1112"/>
        </w:numPr>
      </w:pPr>
      <w:r>
        <w:t xml:space="preserve">Las medidas anteriores exigen conocer la función de gasto. Si no se conoce ni ella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b/>
          <w:bCs/>
        </w:rPr>
        <w:t xml:space="preserve">variación de</w:t>
      </w:r>
      <w:r>
        <w:rPr>
          <w:b/>
          <w:bCs/>
        </w:rPr>
        <w:t xml:space="preserve"> </w:t>
      </w:r>
      <w:r>
        <w:rPr>
          <w:b/>
          <w:bCs/>
          <w:smallCaps/>
        </w:rPr>
        <w:t xml:space="preserve">Laspeyres</w:t>
      </w:r>
      <w:r>
        <w:t xml:space="preserve"> </w:t>
      </w:r>
      <w:r>
        <w:t xml:space="preserve">(</w:t>
      </w:r>
      <m:oMath>
        <m:r>
          <m:t>L</m:t>
        </m:r>
      </m:oMath>
      <w:r>
        <w:t xml:space="preserve">) valora el cambio de precios con la cesta inicial; la</w:t>
      </w:r>
      <w:r>
        <w:t xml:space="preserve"> </w:t>
      </w:r>
      <w:r>
        <w:rPr>
          <w:b/>
          <w:bCs/>
        </w:rPr>
        <w:t xml:space="preserve">de</w:t>
      </w:r>
      <w:r>
        <w:rPr>
          <w:b/>
          <w:bCs/>
        </w:rPr>
        <w:t xml:space="preserve"> </w:t>
      </w:r>
      <w:r>
        <w:rPr>
          <w:b/>
          <w:b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13, últimas capas).</w:t>
      </w:r>
    </w:p>
    <w:p>
      <w:pPr>
        <w:numPr>
          <w:ilvl w:val="0"/>
          <w:numId w:val="1112"/>
        </w:numPr>
      </w:pPr>
      <w:r>
        <w:t xml:space="preserve">Acotan las medidas exactas, para cualquier número de precios y tipo de bien:</w:t>
      </w:r>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w:t>
      </w:r>
      <m:oMath>
        <m:r>
          <m:rPr>
            <m:sty m:val="p"/>
          </m:rPr>
          <m:t>◼</m:t>
        </m:r>
      </m:oMath>
      <w:r>
        <w:t xml:space="preserve">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7 del anexo D, con los demás casos).</w:t>
      </w:r>
    </w:p>
    <w:bookmarkEnd w:id="156"/>
    <w:bookmarkStart w:id="163" w:name="X10fc17a453d4026ed618adb8fb9b668b866e628"/>
    <w:p>
      <w:pPr>
        <w:pStyle w:val="Heading4"/>
      </w:pPr>
      <w:r>
        <w:t xml:space="preserve">El uso de índices de coste de la vida y su comparación con los índices de precios</w:t>
      </w:r>
    </w:p>
    <w:p>
      <w:pPr>
        <w:numPr>
          <w:ilvl w:val="0"/>
          <w:numId w:val="1113"/>
        </w:numPr>
      </w:pPr>
      <w:r>
        <w:t xml:space="preserve">Una vez estudiadas las variaciones, pasamos a otra forma de medir los cambios de bienestar: los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Si el índice sobrestima el coste de la vida, la indexación sobrecompensa.</w:t>
      </w:r>
    </w:p>
    <w:p>
      <w:pPr>
        <w:numPr>
          <w:ilvl w:val="0"/>
          <w:numId w:val="1113"/>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13"/>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Laspeyres1871Berechnung">
        <w:r>
          <w:rPr>
            <w:rStyle w:val="Hyperlink"/>
            <w:smallCaps/>
          </w:rPr>
          <w:t xml:space="preserve">Laspeyres</w:t>
        </w:r>
        <w:r>
          <w:rPr>
            <w:rStyle w:val="Hyperlink"/>
          </w:rPr>
          <w:t xml:space="preserve"> </w:t>
        </w:r>
        <w:r>
          <w:rPr>
            <w:rStyle w:val="Hyperlink"/>
          </w:rPr>
          <w:t xml:space="preserve">1871</w:t>
        </w:r>
      </w:hyperlink>
      <w:r>
        <w:t xml:space="preserve">;</w:t>
      </w:r>
      <w:r>
        <w:t xml:space="preserve"> </w:t>
      </w:r>
      <w:hyperlink w:anchor="ref-Paasche1874Preisentwicklung">
        <w:r>
          <w:rPr>
            <w:rStyle w:val="Hyperlink"/>
            <w:smallCaps/>
          </w:rPr>
          <w:t xml:space="preserve">Paasche</w:t>
        </w:r>
        <w:r>
          <w:rPr>
            <w:rStyle w:val="Hyperlink"/>
          </w:rPr>
          <w:t xml:space="preserve"> </w:t>
        </w:r>
        <w:r>
          <w:rPr>
            <w:rStyle w:val="Hyperlink"/>
          </w:rPr>
          <w:t xml:space="preserve">1874</w:t>
        </w:r>
      </w:hyperlink>
      <w:r>
        <w:t xml:space="preserve">)</w:t>
      </w:r>
      <w:r>
        <w:t xml:space="preserve">:</w:t>
      </w:r>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14"/>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157"/>
      </w:r>
      <w:r>
        <w:t xml:space="preserve"> </w:t>
      </w:r>
      <w:r>
        <w:t xml:space="preserve">En el gráfico 14,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14"/>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14"/>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158"/>
      </w:r>
    </w:p>
    <w:bookmarkStart w:id="162" w:name="fig:indice-konus-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 title="" id="160" name="Picture"/>
            <a:graphic>
              <a:graphicData uri="http://schemas.openxmlformats.org/drawingml/2006/picture">
                <pic:pic>
                  <pic:nvPicPr>
                    <pic:cNvPr descr="C:\Users\vgutierrez\Documents\src\victorgutierrezmarcos.github.io-revision\oposicion\temario\fuentes\3A09\graficos/indice-konus-laspeyres.png" id="161" name="Picture"/>
                    <pic:cNvPicPr>
                      <a:picLocks noChangeArrowheads="1" noChangeAspect="1"/>
                    </pic:cNvPicPr>
                  </pic:nvPicPr>
                  <pic:blipFill>
                    <a:blip r:embed="rId159"/>
                    <a:stretch>
                      <a:fillRect/>
                    </a:stretch>
                  </pic:blipFill>
                  <pic:spPr bwMode="auto">
                    <a:xfrm>
                      <a:off x="0" y="0"/>
                      <a:ext cx="3581400" cy="1982175"/>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15"/>
        </w:numPr>
      </w:pPr>
      <w:r>
        <w:rPr>
          <w:b/>
          <w:bCs/>
        </w:rPr>
        <w:t xml:space="preserve">Índices superlativos</w:t>
      </w:r>
      <w:r>
        <w:t xml:space="preserve">.</w:t>
      </w:r>
      <w:r>
        <w:t xml:space="preserve"> </w:t>
      </w:r>
      <w:r>
        <w:rPr>
          <w:smallCaps/>
        </w:rPr>
        <w:t xml:space="preserve">Diewert</w:t>
      </w:r>
      <w:r>
        <w:t xml:space="preserve"> </w:t>
      </w:r>
      <w:r>
        <w:t xml:space="preserve">(</w:t>
      </w:r>
      <w:hyperlink w:anchor="ref-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II y la medición de los precios.</w:t>
      </w:r>
    </w:p>
    <w:p>
      <w:pPr>
        <w:keepNext/>
        <w:numPr>
          <w:ilvl w:val="0"/>
          <w:numId w:val="1115"/>
        </w:numPr>
      </w:pPr>
      <w:r>
        <w:rPr>
          <w:i/>
          <w:iCs/>
        </w:rPr>
        <w:t xml:space="preserve">Magnitud del sesgo de sustitución</w:t>
      </w:r>
      <w:r>
        <w:t xml:space="preserve">:</w:t>
      </w:r>
    </w:p>
    <w:p>
      <w:pPr>
        <w:numPr>
          <w:ilvl w:val="1"/>
          <w:numId w:val="1116"/>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Gordon2006Boskin">
        <w:r>
          <w:rPr>
            <w:rStyle w:val="Hyperlink"/>
            <w:smallCaps/>
          </w:rPr>
          <w:t xml:space="preserve">Gordon</w:t>
        </w:r>
        <w:r>
          <w:rPr>
            <w:rStyle w:val="Hyperlink"/>
          </w:rPr>
          <w:t xml:space="preserve"> </w:t>
        </w:r>
        <w:r>
          <w:rPr>
            <w:rStyle w:val="Hyperlink"/>
          </w:rPr>
          <w:t xml:space="preserve">2006</w:t>
        </w:r>
      </w:hyperlink>
      <w:r>
        <w:t xml:space="preserve">)</w:t>
      </w:r>
      <w:r>
        <w:t xml:space="preserve">;</w:t>
      </w:r>
    </w:p>
    <w:p>
      <w:pPr>
        <w:numPr>
          <w:ilvl w:val="1"/>
          <w:numId w:val="1116"/>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16"/>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BLS2026ChainedCPI">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w:t>
      </w:r>
      <w:hyperlink w:anchor="ref-Klick2021Weight">
        <w:r>
          <w:rPr>
            <w:rStyle w:val="Hyperlink"/>
            <w:smallCaps/>
          </w:rPr>
          <w:t xml:space="preserve">Klick</w:t>
        </w:r>
        <w:r>
          <w:rPr>
            <w:rStyle w:val="Hyperlink"/>
          </w:rPr>
          <w:t xml:space="preserve"> </w:t>
        </w:r>
        <w:r>
          <w:rPr>
            <w:rStyle w:val="Hyperlink"/>
          </w:rPr>
          <w:t xml:space="preserve">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INE2026IPCMetodologia">
        <w:r>
          <w:rPr>
            <w:rStyle w:val="Hyperlink"/>
            <w:smallCaps/>
          </w:rPr>
          <w:t xml:space="preserve">Instituto Nacional de Estadística</w:t>
        </w:r>
        <w:r>
          <w:rPr>
            <w:rStyle w:val="Hyperlink"/>
          </w:rPr>
          <w:t xml:space="preserve"> </w:t>
        </w:r>
        <w:r>
          <w:rPr>
            <w:rStyle w:val="Hyperlink"/>
          </w:rPr>
          <w:t xml:space="preserve">2026b, 5, 8</w:t>
        </w:r>
      </w:hyperlink>
      <w:r>
        <w:t xml:space="preserve"> </w:t>
      </w:r>
      <w:r>
        <w:t xml:space="preserve">y 16)</w:t>
      </w:r>
      <w:r>
        <w:t xml:space="preserve">; su cesta tiene 487 artículos repartidos en 196 subclases y 13 grupos</w:t>
      </w:r>
      <w:r>
        <w:t xml:space="preserve"> </w:t>
      </w:r>
      <w:r>
        <w:t xml:space="preserve">(</w:t>
      </w:r>
      <w:hyperlink w:anchor="ref-INE2026IPCPonderaciones">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 </w:t>
      </w:r>
      <w:hyperlink w:anchor="ref-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r>
        <w:rPr>
          <w:rStyle w:val="Referenciaatema"/>
        </w:rPr>
        <w:t xml:space="preserve">[ver tema 4.A.1]</w:t>
      </w:r>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UE2013SEC2010">
        <w:r>
          <w:rPr>
            <w:rStyle w:val="Hyperlink"/>
            <w:smallCaps/>
          </w:rPr>
          <w:t xml:space="preserve">Unión Europea</w:t>
        </w:r>
        <w:r>
          <w:rPr>
            <w:rStyle w:val="Hyperlink"/>
          </w:rPr>
          <w:t xml:space="preserve"> </w:t>
        </w:r>
        <w:r>
          <w:rPr>
            <w:rStyle w:val="Hyperlink"/>
          </w:rPr>
          <w:t xml:space="preserve">2013</w:t>
        </w:r>
      </w:hyperlink>
      <w:r>
        <w:t xml:space="preserve">)</w:t>
      </w:r>
      <w:r>
        <w:t xml:space="preserve">. En 2025 creció un 3,0 %</w:t>
      </w:r>
      <w:r>
        <w:t xml:space="preserve"> </w:t>
      </w:r>
      <w:r>
        <w:t xml:space="preserve">(</w:t>
      </w:r>
      <w:hyperlink w:anchor="ref-INE2026CNA2025">
        <w:r>
          <w:rPr>
            <w:rStyle w:val="Hyperlink"/>
            <w:smallCaps/>
          </w:rPr>
          <w:t xml:space="preserve">Instituto Nacional de Estadística</w:t>
        </w:r>
        <w:r>
          <w:rPr>
            <w:rStyle w:val="Hyperlink"/>
          </w:rPr>
          <w:t xml:space="preserve"> </w:t>
        </w:r>
        <w:r>
          <w:rPr>
            <w:rStyle w:val="Hyperlink"/>
          </w:rPr>
          <w:t xml:space="preserve">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r>
        <w:rPr>
          <w:rStyle w:val="Referenciaatema"/>
        </w:rPr>
        <w:t xml:space="preserve">[ver tema 3.A.30]</w:t>
      </w:r>
      <w:r>
        <w:t xml:space="preserve"> </w:t>
      </w:r>
      <w:r>
        <w:rPr>
          <w:rStyle w:val="Referenciaatema"/>
        </w:rPr>
        <w:t xml:space="preserve">[ver tema 4.A.1]</w:t>
      </w:r>
      <w:r>
        <w:t xml:space="preserve">.</w:t>
      </w:r>
    </w:p>
    <w:p>
      <w:pPr>
        <w:pStyle w:val="Ideaclave"/>
      </w:pPr>
      <w:r>
        <w:t xml:space="preserve">La función de gasto traduce la utilidad a euros. La VC y la VE miden exactamente el cambio de bienestar; el excedente marshalliano las aproxima tanto mejor cuanto menor es el efecto renta (</w:t>
      </w:r>
      <w:r>
        <w:rPr>
          <w:smallCaps/>
        </w:rPr>
        <w:t xml:space="preserve">Willig</w:t>
      </w:r>
      <w:r>
        <w:t xml:space="preserve">), 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17"/>
        </w:numPr>
      </w:pPr>
      <w:r>
        <w:rPr>
          <w:i/>
          <w:i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163"/>
    <w:bookmarkEnd w:id="164"/>
    <w:bookmarkEnd w:id="165"/>
    <w:bookmarkEnd w:id="166"/>
    <w:bookmarkStart w:id="167" w:name="conclusión"/>
    <w:p>
      <w:pPr>
        <w:pStyle w:val="Heading1"/>
      </w:pPr>
      <w:r>
        <w:t xml:space="preserve">Conclusión</w:t>
      </w:r>
      <w:r>
        <w:t xml:space="preserve"> </w:t>
      </w:r>
      <w:r>
        <w:rPr>
          <w:rStyle w:val="Minutos"/>
        </w:rPr>
        <w:t xml:space="preserve">1′</w:t>
      </w:r>
    </w:p>
    <w:p>
      <w:pPr>
        <w:keepNext/>
        <w:numPr>
          <w:ilvl w:val="0"/>
          <w:numId w:val="1118"/>
        </w:numPr>
      </w:pPr>
      <w:r>
        <w:rPr>
          <w:b/>
          <w:bCs/>
          <w:i/>
          <w:iCs/>
        </w:rPr>
        <w:t xml:space="preserve">Recapitulación</w:t>
      </w:r>
      <w:r>
        <w:t xml:space="preserve">:</w:t>
      </w:r>
    </w:p>
    <w:p>
      <w:pPr>
        <w:numPr>
          <w:ilvl w:val="1"/>
          <w:numId w:val="1119"/>
        </w:numPr>
      </w:pPr>
      <w:r>
        <w:t xml:space="preserve">Al dar la vuelta al problema del consumidor hemos obtenido la demanda hicksiana y la función de gasto, y unas relaciones de dualidad que permiten pasar de cualquiera de las cuatro funciones a las demás (I).</w:t>
      </w:r>
    </w:p>
    <w:p>
      <w:pPr>
        <w:numPr>
          <w:ilvl w:val="1"/>
          <w:numId w:val="1119"/>
        </w:numPr>
      </w:pPr>
      <w:r>
        <w:t xml:space="preserve">Esas relaciones hacen practicable la estimación de sistemas completos de demanda: basta especificar una función de gasto, como la PIGLOG del AIDS, y derivar. Los contrastes de homogeneidad y simetría llevaron la disciplina hacia los microdatos (II).</w:t>
      </w:r>
    </w:p>
    <w:p>
      <w:pPr>
        <w:numPr>
          <w:ilvl w:val="1"/>
          <w:numId w:val="1119"/>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(III).</w:t>
      </w:r>
    </w:p>
    <w:p>
      <w:pPr>
        <w:numPr>
          <w:ilvl w:val="0"/>
          <w:numId w:val="1118"/>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18"/>
        </w:numPr>
      </w:pPr>
      <w:r>
        <w:rPr>
          <w:b/>
          <w:bCs/>
          <w:i/>
          <w:iCs/>
        </w:rPr>
        <w:t xml:space="preserve">Extensiones y relación con otras partes del temario</w:t>
      </w:r>
      <w:r>
        <w:t xml:space="preserve">:</w:t>
      </w:r>
    </w:p>
    <w:p>
      <w:pPr>
        <w:numPr>
          <w:ilvl w:val="1"/>
          <w:numId w:val="1120"/>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r>
        <w:rPr>
          <w:rStyle w:val="Referenciaatema"/>
        </w:rPr>
        <w:t xml:space="preserve">[ver tema 3.A.12]</w:t>
      </w:r>
      <w:r>
        <w:t xml:space="preserve">;</w:t>
      </w:r>
    </w:p>
    <w:p>
      <w:pPr>
        <w:numPr>
          <w:ilvl w:val="1"/>
          <w:numId w:val="1120"/>
        </w:numPr>
      </w:pPr>
      <w:r>
        <w:t xml:space="preserve">el excedente del consumidor y del productor en el equilibrio parcial</w:t>
      </w:r>
      <w:r>
        <w:t xml:space="preserve"> </w:t>
      </w:r>
      <w:r>
        <w:rPr>
          <w:rStyle w:val="Referenciaatema"/>
        </w:rPr>
        <w:t xml:space="preserve">[ver tema 3.A.16]</w:t>
      </w:r>
      <w:r>
        <w:t xml:space="preserve"> </w:t>
      </w:r>
      <w:r>
        <w:t xml:space="preserve">y el bienestar agregado, con los criterios de compensación</w:t>
      </w:r>
      <w:r>
        <w:t xml:space="preserve"> </w:t>
      </w:r>
      <w:r>
        <w:rPr>
          <w:rStyle w:val="Referenciaatema"/>
        </w:rPr>
        <w:t xml:space="preserve">[ver tema 3.A.22]</w:t>
      </w:r>
      <w:r>
        <w:t xml:space="preserve"> </w:t>
      </w:r>
      <w:r>
        <w:rPr>
          <w:rStyle w:val="Referenciaatema"/>
        </w:rPr>
        <w:t xml:space="preserve">[ver tema 3.A.24]</w:t>
      </w:r>
      <w:r>
        <w:t xml:space="preserve">;</w:t>
      </w:r>
    </w:p>
    <w:p>
      <w:pPr>
        <w:numPr>
          <w:ilvl w:val="1"/>
          <w:numId w:val="1120"/>
        </w:numPr>
      </w:pPr>
      <w:r>
        <w:t xml:space="preserve">en economía pública, la VE mide el exceso de gravamen</w:t>
      </w:r>
      <w:r>
        <w:t xml:space="preserve"> </w:t>
      </w:r>
      <w:r>
        <w:rPr>
          <w:rStyle w:val="Referenciaatema"/>
        </w:rPr>
        <w:t xml:space="preserve">[ver tema 4.B.9]</w:t>
      </w:r>
      <w:r>
        <w:t xml:space="preserve"> </w:t>
      </w:r>
      <w:r>
        <w:t xml:space="preserve">y la VC y la VE valoran los proyectos en el análisis coste-beneficio</w:t>
      </w:r>
      <w:r>
        <w:t xml:space="preserve"> </w:t>
      </w:r>
      <w:r>
        <w:rPr>
          <w:rStyle w:val="Referenciaatema"/>
        </w:rPr>
        <w:t xml:space="preserve">[ver tema 4.B.6]</w:t>
      </w:r>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r>
        <w:rPr>
          <w:rStyle w:val="Referenciaatema"/>
        </w:rPr>
        <w:t xml:space="preserve">[ver tema 3.A.30]</w:t>
      </w:r>
      <w:r>
        <w:t xml:space="preserve"> </w:t>
      </w:r>
      <w:r>
        <w:rPr>
          <w:rStyle w:val="Referenciaatema"/>
        </w:rPr>
        <w:t xml:space="preserve">[ver tema 4.A.1]</w:t>
      </w:r>
      <w:r>
        <w:t xml:space="preserve">;</w:t>
      </w:r>
    </w:p>
    <w:p>
      <w:pPr>
        <w:numPr>
          <w:ilvl w:val="1"/>
          <w:numId w:val="1120"/>
        </w:numPr>
      </w:pPr>
      <w:r>
        <w:t xml:space="preserve">la elección con riesgo</w:t>
      </w:r>
      <w:r>
        <w:t xml:space="preserve"> </w:t>
      </w:r>
      <w:r>
        <w:rPr>
          <w:rStyle w:val="Referenciaatema"/>
        </w:rPr>
        <w:t xml:space="preserve">[ver tema 3.A.10]</w:t>
      </w:r>
      <w:r>
        <w:t xml:space="preserve"> </w:t>
      </w:r>
      <w:r>
        <w:t xml:space="preserve">y las decisiones intertemporales</w:t>
      </w:r>
      <w:r>
        <w:t xml:space="preserve"> </w:t>
      </w:r>
      <w:r>
        <w:rPr>
          <w:rStyle w:val="Referenciaatema"/>
        </w:rPr>
        <w:t xml:space="preserve">[ver tema 3.A.29]</w:t>
      </w:r>
      <w:r>
        <w:t xml:space="preserve"> </w:t>
      </w:r>
      <w:r>
        <w:t xml:space="preserve">extienden el análisis.</w:t>
      </w:r>
    </w:p>
    <w:p>
      <w:pPr>
        <w:numPr>
          <w:ilvl w:val="0"/>
          <w:numId w:val="1118"/>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18"/>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pPr>
      <w:r>
        <w:rPr>
          <w:b/>
          <w:bCs/>
        </w:rPr>
        <w:t xml:space="preserve">Lecturas complementarias</w:t>
      </w:r>
    </w:p>
    <w:p>
      <w:pPr>
        <w:pStyle w:val="Cajadeanotaciones"/>
        <w:numPr>
          <w:ilvl w:val="0"/>
          <w:numId w:val="1121"/>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numPr>
          <w:ilvl w:val="0"/>
          <w:numId w:val="1121"/>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Economics">
        <w:r>
          <w:rPr>
            <w:rStyle w:val="Hyperlink"/>
          </w:rPr>
          <w:t xml:space="preserve">1980b</w:t>
        </w:r>
      </w:hyperlink>
      <w:r>
        <w:t xml:space="preserve">)</w:t>
      </w:r>
      <w:r>
        <w:t xml:space="preserve">: el manual de referencia sobre sistemas de demanda.</w:t>
      </w:r>
    </w:p>
    <w:p>
      <w:pPr>
        <w:pStyle w:val="Cajadeanotaciones"/>
        <w:numPr>
          <w:ilvl w:val="0"/>
          <w:numId w:val="1121"/>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numPr>
          <w:ilvl w:val="0"/>
          <w:numId w:val="1121"/>
        </w:numPr>
      </w:pPr>
      <w:r>
        <w:rPr>
          <w:smallCaps/>
        </w:rPr>
        <w:t xml:space="preserve">Rodríguez López</w:t>
      </w:r>
      <w:r>
        <w:t xml:space="preserve"> </w:t>
      </w:r>
      <w:r>
        <w:t xml:space="preserve">(</w:t>
      </w:r>
      <w:hyperlink w:anchor="ref-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67"/>
    <w:bookmarkStart w:id="170" w:name="anexo: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22"/>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168" w:name="tab: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168"/>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23"/>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23"/>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23"/>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169" w:name="Xa5019a610cd07b2f58bbc26dd64df8866018f02"/>
    <w:p>
      <w:pPr>
        <w:pStyle w:val="Heading2"/>
      </w:pPr>
      <w:r>
        <w:t xml:space="preserve">A.1. Condiciones de segundo orden: hessiano orlado y regla de</w:t>
      </w:r>
      <w:r>
        <w:t xml:space="preserve"> </w:t>
      </w:r>
      <w:r>
        <w:rPr>
          <w:smallCaps/>
        </w:rPr>
        <w:t xml:space="preserve">Sarrus</w:t>
      </w:r>
    </w:p>
    <w:p>
      <w:pPr>
        <w:numPr>
          <w:ilvl w:val="0"/>
          <w:numId w:val="1124"/>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C):</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24"/>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24"/>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24"/>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24"/>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169"/>
    <w:bookmarkEnd w:id="170"/>
    <w:bookmarkStart w:id="173" w:name="anexo: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25"/>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171" w:name="der:roy"/>
    <w:p>
      <w:pPr>
        <w:pStyle w:val="Heading2"/>
      </w:pPr>
      <w:r>
        <w:t xml:space="preserve">B.1. Identidad de</w:t>
      </w:r>
      <w:r>
        <w:t xml:space="preserve"> </w:t>
      </w:r>
      <w:r>
        <w:rPr>
          <w:smallCaps/>
        </w:rPr>
        <w:t xml:space="preserve">Roy</w:t>
      </w:r>
    </w:p>
    <w:p>
      <w:pPr>
        <w:numPr>
          <w:ilvl w:val="0"/>
          <w:numId w:val="1126"/>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(5).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w:t>
      </w:r>
      <m:oMath>
        <m:r>
          <m:rPr>
            <m:sty m:val="p"/>
          </m:rPr>
          <m:t>◼</m:t>
        </m:r>
      </m:oMath>
    </w:p>
    <w:p>
      <w:pPr>
        <w:numPr>
          <w:ilvl w:val="0"/>
          <w:numId w:val="1126"/>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3.G.4)</w:t>
      </w:r>
      <w:r>
        <w:t xml:space="preserve">.</w:t>
      </w:r>
      <m:oMath>
        <m:r>
          <m:rPr>
            <m:sty m:val="p"/>
          </m:rPr>
          <m:t>◼</m:t>
        </m:r>
      </m:oMath>
    </w:p>
    <w:bookmarkEnd w:id="171"/>
    <w:bookmarkStart w:id="172" w:name="der:shephard"/>
    <w:p>
      <w:pPr>
        <w:pStyle w:val="Heading2"/>
      </w:pPr>
      <w:r>
        <w:t xml:space="preserve">B.2. Lema de</w:t>
      </w:r>
      <w:r>
        <w:t xml:space="preserve"> </w:t>
      </w:r>
      <w:r>
        <w:rPr>
          <w:smallCaps/>
        </w:rPr>
        <w:t xml:space="preserve">Shephard</w:t>
      </w:r>
    </w:p>
    <w:p>
      <w:pPr>
        <w:numPr>
          <w:ilvl w:val="0"/>
          <w:numId w:val="1127"/>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m:oMath>
        <m:r>
          <m:rPr>
            <m:sty m:val="p"/>
          </m:rPr>
          <m:t>◼</m:t>
        </m:r>
      </m:oMath>
    </w:p>
    <w:p>
      <w:pPr>
        <w:numPr>
          <w:ilvl w:val="0"/>
          <w:numId w:val="1127"/>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3.G.1)</w:t>
      </w:r>
      <w:r>
        <w:t xml:space="preserve">.</w:t>
      </w:r>
      <m:oMath>
        <m:r>
          <m:rPr>
            <m:sty m:val="p"/>
          </m:rPr>
          <m:t>◼</m:t>
        </m:r>
      </m:oMath>
    </w:p>
    <w:p>
      <w:pPr>
        <w:numPr>
          <w:ilvl w:val="0"/>
          <w:numId w:val="1127"/>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172"/>
    <w:bookmarkEnd w:id="173"/>
    <w:bookmarkStart w:id="174" w:name="anexo:hessiana"/>
    <w:p>
      <w:pPr>
        <w:pStyle w:val="Heading1"/>
      </w:pPr>
      <w:r>
        <w:t xml:space="preserve">C. Anexo: matriz hessiana, concavidad y cuasiconcavidad</w:t>
      </w:r>
    </w:p>
    <w:p>
      <w:pPr>
        <w:numPr>
          <w:ilvl w:val="0"/>
          <w:numId w:val="1128"/>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8"/>
        </w:numPr>
      </w:pPr>
      <w:r>
        <w:rPr>
          <w:b/>
          <w:bCs/>
        </w:rPr>
        <w:t xml:space="preserve">Concavidad y convexidad</w:t>
      </w:r>
      <w:r>
        <w:t xml:space="preserve">:</w:t>
      </w:r>
    </w:p>
    <w:p>
      <w:pPr>
        <w:numPr>
          <w:ilvl w:val="1"/>
          <w:numId w:val="1129"/>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9"/>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8"/>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8"/>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r>
        <w:rPr>
          <w:rStyle w:val="Referenciaatema"/>
        </w:rPr>
        <w:t xml:space="preserve">[ver tema 3.A.8]</w:t>
      </w:r>
      <w:r>
        <w:t xml:space="preserve">.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w:t>
      </w:r>
    </w:p>
    <w:p>
      <w:pPr>
        <w:numPr>
          <w:ilvl w:val="0"/>
          <w:numId w:val="1128"/>
        </w:numPr>
      </w:pPr>
      <w:r>
        <w:rPr>
          <w:i/>
          <w:i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 La función de costes de la empresa tiene las mismas propiedades que la de gasto</w:t>
      </w:r>
      <w:r>
        <w:t xml:space="preserve"> </w:t>
      </w:r>
      <w:r>
        <w:rPr>
          <w:rStyle w:val="Referenciaatema"/>
        </w:rPr>
        <w:t xml:space="preserve">[ver tema 3.A.12]</w:t>
      </w:r>
      <w:r>
        <w:t xml:space="preserve">.</w:t>
      </w:r>
    </w:p>
    <w:bookmarkEnd w:id="174"/>
    <w:bookmarkStart w:id="176" w:name="anexo:ordenacion"/>
    <w:p>
      <w:pPr>
        <w:pStyle w:val="Heading1"/>
      </w:pPr>
      <w:r>
        <w:t xml:space="preserve">D. Anexo: ordenación de las medidas de bienestar</w:t>
      </w:r>
    </w:p>
    <w:p>
      <w:pPr>
        <w:numPr>
          <w:ilvl w:val="0"/>
          <w:numId w:val="1130"/>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30"/>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w:t>
      </w:r>
      <m:oMath>
        <m:r>
          <m:rPr>
            <m:sty m:val="p"/>
          </m:rPr>
          <m:t>◼</m:t>
        </m:r>
      </m:oMath>
    </w:p>
    <w:p>
      <w:pPr>
        <w:numPr>
          <w:ilvl w:val="0"/>
          <w:numId w:val="1130"/>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w:t>
      </w:r>
      <m:oMath>
        <m:r>
          <m:rPr>
            <m:sty m:val="p"/>
          </m:rPr>
          <m:t>◼</m:t>
        </m:r>
      </m:oMath>
    </w:p>
    <w:p>
      <w:pPr>
        <w:numPr>
          <w:ilvl w:val="0"/>
          <w:numId w:val="1130"/>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w:t>
      </w:r>
      <m:oMath>
        <m:r>
          <m:rPr>
            <m:sty m:val="p"/>
          </m:rPr>
          <m:t>◼</m:t>
        </m:r>
      </m:oMath>
    </w:p>
    <w:p>
      <w:pPr>
        <w:numPr>
          <w:ilvl w:val="0"/>
          <w:numId w:val="1130"/>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w:t>
      </w:r>
      <m:oMath>
        <m:r>
          <m:rPr>
            <m:sty m:val="p"/>
          </m:rPr>
          <m:t>◼</m:t>
        </m:r>
      </m:oMath>
    </w:p>
    <w:p>
      <w:pPr>
        <w:numPr>
          <w:ilvl w:val="0"/>
          <w:numId w:val="1130"/>
        </w:numPr>
      </w:pPr>
      <w:r>
        <w:t xml:space="preserve">Combinando estas desigualdades se obtiene la tabla 7.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175" w:name="tab: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tblHeader w:val="on"/>
        </w:trPr>
        <w:tc>
          <w:tcPr>
            <w:vAlign w:val="center"/>
          </w:tcPr>
          <w:p>
            <w:pPr>
              <w:pStyle w:val="Celdatceeazulpalido"/>
              <w:jc w:val="center"/>
            </w:pPr>
            <w:r>
              <w:rPr>
                <w:i/>
                <w:iCs/>
              </w:rPr>
              <w:t xml:space="preserve">Tipo de bien</w:t>
            </w:r>
          </w:p>
        </w:tc>
        <w:tc>
          <w:tcPr>
            <w:vAlign w:val="center"/>
          </w:tcPr>
          <w:p>
            <w:pPr>
              <w:pStyle w:val="Celdatceeazulpalido"/>
              <w:jc w:val="center"/>
            </w:pPr>
            <w:r>
              <w:rPr>
                <w:i/>
                <w:iCs/>
              </w:rPr>
              <w:t xml:space="preserve">Ordenación (con signo)</w:t>
            </w:r>
          </w:p>
        </w:tc>
        <w:tc>
          <w:tcPr>
            <w:vAlign w:val="center"/>
          </w:tcPr>
          <w:p>
            <w:pPr>
              <w:pStyle w:val="Celdatceeazulpalido"/>
              <w:jc w:val="center"/>
            </w:pPr>
            <w:r>
              <w:rPr>
                <w:i/>
                <w:iCs/>
              </w:rPr>
              <w:t xml:space="preserve">Por qué</w:t>
            </w:r>
          </w:p>
        </w:tc>
      </w:tr>
      <w:tr>
        <w:tc>
          <w:tcPr>
            <w:vAlign w:val="center"/>
          </w:tcPr>
          <w:p>
            <w:pPr>
              <w:pStyle w:val="Compact"/>
              <w:jc w:val="center"/>
            </w:pPr>
            <w:r>
              <w:rPr>
                <w:rStyle w:val="Textoverde"/>
              </w:rPr>
              <w:t xml:space="preserve">Normal</w:t>
            </w:r>
          </w:p>
        </w:tc>
        <w:tc>
          <w:tcPr>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175"/>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3.I</w:t>
        </w:r>
      </w:hyperlink>
      <w:r>
        <w:rPr>
          <w:i/>
          <w:iCs/>
        </w:rPr>
        <w:t xml:space="preserve">)</w:t>
      </w:r>
      <w:r>
        <w:rPr>
          <w:i/>
          <w:iCs/>
        </w:rPr>
        <w:t xml:space="preserve">.</w:t>
      </w:r>
    </w:p>
    <w:bookmarkEnd w:id="176"/>
    <w:bookmarkStart w:id="177" w:name="anexo:willig"/>
    <w:p>
      <w:pPr>
        <w:pStyle w:val="Heading1"/>
      </w:pPr>
      <w:r>
        <w:t xml:space="preserve">E. Anexo: la aproximación de</w:t>
      </w:r>
      <w:r>
        <w:t xml:space="preserve"> </w:t>
      </w:r>
      <w:r>
        <w:rPr>
          <w:smallCaps/>
        </w:rPr>
        <w:t xml:space="preserve">Willig</w:t>
      </w:r>
    </w:p>
    <w:p>
      <w:pPr>
        <w:numPr>
          <w:ilvl w:val="0"/>
          <w:numId w:val="1131"/>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31"/>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31"/>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(36); del mismo modo para la VE.</w:t>
      </w:r>
      <m:oMath>
        <m:r>
          <m:rPr>
            <m:sty m:val="p"/>
          </m:rPr>
          <m:t>◼</m:t>
        </m:r>
      </m:oMath>
    </w:p>
    <w:p>
      <w:pPr>
        <w:numPr>
          <w:ilvl w:val="0"/>
          <w:numId w:val="1131"/>
        </w:numPr>
      </w:pPr>
      <w:r>
        <w:t xml:space="preserve">El resultado formal, con las cotas del error, está en</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Hausman1981Exact">
        <w:r>
          <w:rPr>
            <w:rStyle w:val="Hyperlink"/>
          </w:rPr>
          <w:t xml:space="preserve">1981</w:t>
        </w:r>
      </w:hyperlink>
      <w:r>
        <w:t xml:space="preserve">)</w:t>
      </w:r>
      <w:r>
        <w:t xml:space="preserve">.</w:t>
      </w:r>
    </w:p>
    <w:bookmarkEnd w:id="177"/>
    <w:bookmarkStart w:id="179" w:name="anexo:test"/>
    <w:p>
      <w:pPr>
        <w:pStyle w:val="Heading1"/>
      </w:pPr>
      <w:r>
        <w:t xml:space="preserve">F. Anexo: aspectos relevantes para el test</w:t>
      </w:r>
    </w:p>
    <w:p>
      <w:pPr>
        <w:pStyle w:val="Cajadeanotaciones"/>
      </w:pPr>
      <w:r>
        <w:t xml:space="preserve">Preguntas tipo test:</w:t>
      </w:r>
      <w:r>
        <w:t xml:space="preserve"> </w:t>
      </w:r>
      <w:hyperlink r:id="rId178">
        <w:r>
          <w:rPr>
            <w:rStyle w:val="Hyperlink"/>
          </w:rPr>
          <w:t xml:space="preserve">simulador de test</w:t>
        </w:r>
      </w:hyperlink>
      <w:r>
        <w:t xml:space="preserve">.</w:t>
      </w:r>
    </w:p>
    <w:p>
      <w:pPr>
        <w:numPr>
          <w:ilvl w:val="0"/>
          <w:numId w:val="1132"/>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r>
        <w:t xml:space="preserve"> </w:t>
      </w: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r>
        <w:t xml:space="preserve"> </w:t>
      </w: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32"/>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32"/>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32"/>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32"/>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32"/>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32"/>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32"/>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79"/>
    <w:bookmarkStart w:id="314" w:name="bibliography"/>
    <w:p>
      <w:pPr>
        <w:pStyle w:val="Heading1"/>
      </w:pPr>
      <w:r>
        <w:t xml:space="preserve">Bibliografía</w:t>
      </w:r>
    </w:p>
    <w:bookmarkStart w:id="313" w:name="refs"/>
    <w:bookmarkStart w:id="181"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180">
        <w:r>
          <w:rPr>
            <w:rStyle w:val="Hyperlink"/>
          </w:rPr>
          <w:t xml:space="preserve">https://doi.org/10.2307/2525382</w:t>
        </w:r>
      </w:hyperlink>
      <w:r>
        <w:t xml:space="preserve">.</w:t>
      </w:r>
    </w:p>
    <w:bookmarkEnd w:id="181"/>
    <w:bookmarkStart w:id="183"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182">
        <w:r>
          <w:rPr>
            <w:rStyle w:val="Hyperlink"/>
          </w:rPr>
          <w:t xml:space="preserve">https://argos.gva.es/documents/166658342/166714754/Ejemplar+3070/2957e02b-f135-4235-98a6-bfc909292066</w:t>
        </w:r>
      </w:hyperlink>
      <w:r>
        <w:t xml:space="preserve">.</w:t>
      </w:r>
    </w:p>
    <w:bookmarkEnd w:id="183"/>
    <w:bookmarkStart w:id="184"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184"/>
    <w:bookmarkStart w:id="185"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185"/>
    <w:bookmarkStart w:id="187" w:name="ref-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186">
        <w:r>
          <w:rPr>
            <w:rStyle w:val="Hyperlink"/>
          </w:rPr>
          <w:t xml:space="preserve">https://doi.org/10.1162/003465397557015</w:t>
        </w:r>
      </w:hyperlink>
      <w:r>
        <w:t xml:space="preserve">.</w:t>
      </w:r>
    </w:p>
    <w:bookmarkEnd w:id="187"/>
    <w:bookmarkStart w:id="189" w:name="ref-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188">
        <w:r>
          <w:rPr>
            <w:rStyle w:val="Hyperlink"/>
          </w:rPr>
          <w:t xml:space="preserve">https://doi.org/10.2307/1913731</w:t>
        </w:r>
      </w:hyperlink>
      <w:r>
        <w:t xml:space="preserve">.</w:t>
      </w:r>
    </w:p>
    <w:bookmarkEnd w:id="189"/>
    <w:bookmarkStart w:id="191" w:name="ref-Barten1967Slutsky"/>
    <w:p>
      <w:pPr>
        <w:pStyle w:val="Bibliography"/>
      </w:pPr>
      <w:r>
        <w:t xml:space="preserve">———.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190">
        <w:r>
          <w:rPr>
            <w:rStyle w:val="Hyperlink"/>
          </w:rPr>
          <w:t xml:space="preserve">https://doi.org/10.2307/1937885</w:t>
        </w:r>
      </w:hyperlink>
      <w:r>
        <w:t xml:space="preserve">.</w:t>
      </w:r>
    </w:p>
    <w:bookmarkEnd w:id="191"/>
    <w:bookmarkStart w:id="193"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192">
        <w:r>
          <w:rPr>
            <w:rStyle w:val="Hyperlink"/>
          </w:rPr>
          <w:t xml:space="preserve">https://doi.org/10.1016/0014-2921(69)90017-8</w:t>
        </w:r>
      </w:hyperlink>
      <w:r>
        <w:t xml:space="preserve">.</w:t>
      </w:r>
    </w:p>
    <w:bookmarkEnd w:id="193"/>
    <w:bookmarkStart w:id="195"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194">
        <w:r>
          <w:rPr>
            <w:rStyle w:val="Hyperlink"/>
          </w:rPr>
          <w:t xml:space="preserve">https://doi.org/10.1057/9780230226203.0411</w:t>
        </w:r>
      </w:hyperlink>
      <w:r>
        <w:t xml:space="preserve">.</w:t>
      </w:r>
    </w:p>
    <w:bookmarkEnd w:id="195"/>
    <w:bookmarkStart w:id="197" w:name="X654402c942ad9bea1ef2f416051d143dc9e9a07"/>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196">
        <w:r>
          <w:rPr>
            <w:rStyle w:val="Hyperlink"/>
          </w:rPr>
          <w:t xml:space="preserve">https://doi.org/10.1111/1468-0262.00394</w:t>
        </w:r>
      </w:hyperlink>
      <w:r>
        <w:t xml:space="preserve">.</w:t>
      </w:r>
    </w:p>
    <w:bookmarkEnd w:id="197"/>
    <w:bookmarkStart w:id="198"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198"/>
    <w:bookmarkStart w:id="199"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199"/>
    <w:bookmarkStart w:id="200"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00"/>
    <w:bookmarkStart w:id="202"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01">
        <w:r>
          <w:rPr>
            <w:rStyle w:val="Hyperlink"/>
          </w:rPr>
          <w:t xml:space="preserve">https://doi.org/10.2307/1911983</w:t>
        </w:r>
      </w:hyperlink>
      <w:r>
        <w:t xml:space="preserve">.</w:t>
      </w:r>
    </w:p>
    <w:bookmarkEnd w:id="202"/>
    <w:bookmarkStart w:id="204" w:name="ref-Deaton1997Analysis"/>
    <w:p>
      <w:pPr>
        <w:pStyle w:val="Bibliography"/>
      </w:pPr>
      <w:r>
        <w:t xml:space="preserve">———.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03">
        <w:r>
          <w:rPr>
            <w:rStyle w:val="Hyperlink"/>
          </w:rPr>
          <w:t xml:space="preserve">https://doi.org/10.1596/0-8018-5254-4</w:t>
        </w:r>
      </w:hyperlink>
      <w:r>
        <w:t xml:space="preserve">.</w:t>
      </w:r>
    </w:p>
    <w:bookmarkEnd w:id="204"/>
    <w:bookmarkStart w:id="205"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05"/>
    <w:bookmarkStart w:id="206"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06"/>
    <w:bookmarkStart w:id="207" w:name="ref-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07"/>
    <w:bookmarkStart w:id="209" w:name="ref-Diewert1976Exact"/>
    <w:p>
      <w:pPr>
        <w:pStyle w:val="Bibliography"/>
      </w:pPr>
      <w:r>
        <w:t xml:space="preserve">———.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08">
        <w:r>
          <w:rPr>
            <w:rStyle w:val="Hyperlink"/>
          </w:rPr>
          <w:t xml:space="preserve">https://doi.org/10.1016/0304-4076(76)90009-9</w:t>
        </w:r>
      </w:hyperlink>
      <w:r>
        <w:t xml:space="preserve">.</w:t>
      </w:r>
    </w:p>
    <w:bookmarkEnd w:id="209"/>
    <w:bookmarkStart w:id="211"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10">
        <w:r>
          <w:rPr>
            <w:rStyle w:val="Hyperlink"/>
          </w:rPr>
          <w:t xml:space="preserve">https://doi.org/10.1086/260489</w:t>
        </w:r>
      </w:hyperlink>
      <w:r>
        <w:t xml:space="preserve">.</w:t>
      </w:r>
    </w:p>
    <w:bookmarkEnd w:id="211"/>
    <w:bookmarkStart w:id="212"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12"/>
    <w:bookmarkStart w:id="214"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13">
        <w:r>
          <w:rPr>
            <w:rStyle w:val="Hyperlink"/>
          </w:rPr>
          <w:t xml:space="preserve">https://doi.org/10.2307/2296107</w:t>
        </w:r>
      </w:hyperlink>
      <w:r>
        <w:t xml:space="preserve">.</w:t>
      </w:r>
    </w:p>
    <w:bookmarkEnd w:id="214"/>
    <w:bookmarkStart w:id="216" w:name="ref-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15">
        <w:r>
          <w:rPr>
            <w:rStyle w:val="Hyperlink"/>
          </w:rPr>
          <w:t xml:space="preserve">https://doi.org/10.3386/w12311</w:t>
        </w:r>
      </w:hyperlink>
      <w:r>
        <w:t xml:space="preserve">.</w:t>
      </w:r>
    </w:p>
    <w:bookmarkEnd w:id="216"/>
    <w:bookmarkStart w:id="218" w:name="ref-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17">
        <w:r>
          <w:rPr>
            <w:rStyle w:val="Hyperlink"/>
          </w:rPr>
          <w:t xml:space="preserve">https://doi.org/10.2307/1909472</w:t>
        </w:r>
      </w:hyperlink>
      <w:r>
        <w:t xml:space="preserve">.</w:t>
      </w:r>
    </w:p>
    <w:bookmarkEnd w:id="218"/>
    <w:bookmarkStart w:id="220" w:name="ref-Gorman1981Engel"/>
    <w:p>
      <w:pPr>
        <w:pStyle w:val="Bibliography"/>
      </w:pPr>
      <w:r>
        <w:t xml:space="preserve">———.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19">
        <w:r>
          <w:rPr>
            <w:rStyle w:val="Hyperlink"/>
          </w:rPr>
          <w:t xml:space="preserve">https://doi.org/10.1017/CBO9780511984082.003</w:t>
        </w:r>
      </w:hyperlink>
      <w:r>
        <w:t xml:space="preserve">.</w:t>
      </w:r>
    </w:p>
    <w:bookmarkEnd w:id="220"/>
    <w:bookmarkStart w:id="221" w:name="ref-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21"/>
    <w:bookmarkStart w:id="222"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22"/>
    <w:bookmarkStart w:id="224" w:name="ref-Hicks1941Rehabilitation"/>
    <w:p>
      <w:pPr>
        <w:pStyle w:val="Bibliography"/>
      </w:pPr>
      <w:r>
        <w:t xml:space="preserve">———.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23">
        <w:r>
          <w:rPr>
            <w:rStyle w:val="Hyperlink"/>
          </w:rPr>
          <w:t xml:space="preserve">https://doi.org/10.2307/2967467</w:t>
        </w:r>
      </w:hyperlink>
      <w:r>
        <w:t xml:space="preserve">.</w:t>
      </w:r>
    </w:p>
    <w:bookmarkEnd w:id="224"/>
    <w:bookmarkStart w:id="226" w:name="ref-Hicks1943Four"/>
    <w:p>
      <w:pPr>
        <w:pStyle w:val="Bibliography"/>
      </w:pPr>
      <w:r>
        <w:t xml:space="preserve">———.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25">
        <w:r>
          <w:rPr>
            <w:rStyle w:val="Hyperlink"/>
          </w:rPr>
          <w:t xml:space="preserve">https://doi.org/10.2307/2967517</w:t>
        </w:r>
      </w:hyperlink>
      <w:r>
        <w:t xml:space="preserve">.</w:t>
      </w:r>
    </w:p>
    <w:bookmarkEnd w:id="226"/>
    <w:bookmarkStart w:id="227" w:name="ref-Hicks1956Revision"/>
    <w:p>
      <w:pPr>
        <w:pStyle w:val="Bibliography"/>
      </w:pPr>
      <w:r>
        <w:t xml:space="preserve">———. 1956.</w:t>
      </w:r>
      <w:r>
        <w:t xml:space="preserve"> </w:t>
      </w:r>
      <w:r>
        <w:rPr>
          <w:i/>
          <w:iCs/>
        </w:rPr>
        <w:t xml:space="preserve">A Revision of Demand Theory</w:t>
      </w:r>
      <w:r>
        <w:t xml:space="preserve">. Oxford: Clarendon Press.</w:t>
      </w:r>
    </w:p>
    <w:bookmarkEnd w:id="227"/>
    <w:bookmarkStart w:id="229"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28">
        <w:r>
          <w:rPr>
            <w:rStyle w:val="Hyperlink"/>
          </w:rPr>
          <w:t xml:space="preserve">https://doi.org/10.2307/2548574</w:t>
        </w:r>
      </w:hyperlink>
      <w:r>
        <w:t xml:space="preserve">.</w:t>
      </w:r>
    </w:p>
    <w:bookmarkEnd w:id="229"/>
    <w:bookmarkStart w:id="231"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30">
        <w:r>
          <w:rPr>
            <w:rStyle w:val="Hyperlink"/>
          </w:rPr>
          <w:t xml:space="preserve">https://doi.org/10.1086/254387</w:t>
        </w:r>
      </w:hyperlink>
      <w:r>
        <w:t xml:space="preserve">.</w:t>
      </w:r>
    </w:p>
    <w:bookmarkEnd w:id="231"/>
    <w:bookmarkStart w:id="233"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32">
        <w:r>
          <w:rPr>
            <w:rStyle w:val="Hyperlink"/>
          </w:rPr>
          <w:t xml:space="preserve">https://doi.org/10.2307/2549382</w:t>
        </w:r>
      </w:hyperlink>
      <w:r>
        <w:t xml:space="preserve">.</w:t>
      </w:r>
    </w:p>
    <w:bookmarkEnd w:id="233"/>
    <w:bookmarkStart w:id="234"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34"/>
    <w:bookmarkStart w:id="236"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35">
        <w:r>
          <w:rPr>
            <w:rStyle w:val="Hyperlink"/>
          </w:rPr>
          <w:t xml:space="preserve">https://www.ine.es/daco/daco42/daco4213/resmeto06.pdf</w:t>
        </w:r>
      </w:hyperlink>
      <w:r>
        <w:t xml:space="preserve">.</w:t>
      </w:r>
    </w:p>
    <w:bookmarkEnd w:id="236"/>
    <w:bookmarkStart w:id="238" w:name="ref-INE2026IPCPonderaciones"/>
    <w:p>
      <w:pPr>
        <w:pStyle w:val="Bibliography"/>
      </w:pPr>
      <w:r>
        <w:t xml:space="preserve">———. 2026a.</w:t>
      </w:r>
      <w:r>
        <w:t xml:space="preserve"> </w:t>
      </w:r>
      <w:r>
        <w:t xml:space="preserve">«Índice de Precios de Consumo. Base 2025. Ponderaciones: general y de grupos ECOICOP ver.2 (tabla 76156)»</w:t>
      </w:r>
      <w:r>
        <w:t xml:space="preserve">. 2026.</w:t>
      </w:r>
      <w:r>
        <w:t xml:space="preserve"> </w:t>
      </w:r>
      <w:hyperlink r:id="rId237">
        <w:r>
          <w:rPr>
            <w:rStyle w:val="Hyperlink"/>
          </w:rPr>
          <w:t xml:space="preserve">https://www.ine.es/jaxiT3/Tabla.htm?t=76156</w:t>
        </w:r>
      </w:hyperlink>
      <w:r>
        <w:t xml:space="preserve">.</w:t>
      </w:r>
    </w:p>
    <w:bookmarkEnd w:id="238"/>
    <w:bookmarkStart w:id="240" w:name="ref-INE2026IPCMetodologia"/>
    <w:p>
      <w:pPr>
        <w:pStyle w:val="Bibliography"/>
      </w:pPr>
      <w:r>
        <w:t xml:space="preserve">———. 2026b.</w:t>
      </w:r>
      <w:r>
        <w:t xml:space="preserve"> </w:t>
      </w:r>
      <w:r>
        <w:t xml:space="preserve">«Índice de Precios de Consumo. Base 2025. Metodología»</w:t>
      </w:r>
      <w:r>
        <w:t xml:space="preserve">. enero de 2026.</w:t>
      </w:r>
      <w:r>
        <w:t xml:space="preserve"> </w:t>
      </w:r>
      <w:hyperlink r:id="rId239">
        <w:r>
          <w:rPr>
            <w:rStyle w:val="Hyperlink"/>
          </w:rPr>
          <w:t xml:space="preserve">https://www.ine.es/metodologia/t25/metodologia_IPC_base_2025.pdf</w:t>
        </w:r>
      </w:hyperlink>
      <w:r>
        <w:t xml:space="preserve">.</w:t>
      </w:r>
    </w:p>
    <w:bookmarkEnd w:id="240"/>
    <w:bookmarkStart w:id="242" w:name="ref-INE2026IPCNovedades"/>
    <w:p>
      <w:pPr>
        <w:pStyle w:val="Bibliography"/>
      </w:pPr>
      <w:r>
        <w:t xml:space="preserve">———. 2026c.</w:t>
      </w:r>
      <w:r>
        <w:t xml:space="preserve"> </w:t>
      </w:r>
      <w:r>
        <w:t xml:space="preserve">«Principales novedades metodológicas del Índice de Precios de Consumo. Base 2025»</w:t>
      </w:r>
      <w:r>
        <w:t xml:space="preserve">. enero de 2026.</w:t>
      </w:r>
      <w:r>
        <w:t xml:space="preserve"> </w:t>
      </w:r>
      <w:hyperlink r:id="rId241">
        <w:r>
          <w:rPr>
            <w:rStyle w:val="Hyperlink"/>
          </w:rPr>
          <w:t xml:space="preserve">https://www.ine.es/metodologia/t25/principales_caracteristicas_base_2025.pdf</w:t>
        </w:r>
      </w:hyperlink>
      <w:r>
        <w:t xml:space="preserve">.</w:t>
      </w:r>
    </w:p>
    <w:bookmarkEnd w:id="242"/>
    <w:bookmarkStart w:id="244" w:name="ref-INE2026EPF"/>
    <w:p>
      <w:pPr>
        <w:pStyle w:val="Bibliography"/>
      </w:pPr>
      <w:r>
        <w:t xml:space="preserve">———. 2026d.</w:t>
      </w:r>
      <w:r>
        <w:t xml:space="preserve"> </w:t>
      </w:r>
      <w:r>
        <w:t xml:space="preserve">«Encuesta de Presupuestos Familiares (EPF). Año 2025. Resultados definitivos. Nota de prensa»</w:t>
      </w:r>
      <w:r>
        <w:t xml:space="preserve">. 25 de junio de 2026.</w:t>
      </w:r>
      <w:r>
        <w:t xml:space="preserve"> </w:t>
      </w:r>
      <w:hyperlink r:id="rId243">
        <w:r>
          <w:rPr>
            <w:rStyle w:val="Hyperlink"/>
          </w:rPr>
          <w:t xml:space="preserve">https://www.ine.es/dyngs/Prensa/EPF2025.htm</w:t>
        </w:r>
      </w:hyperlink>
      <w:r>
        <w:t xml:space="preserve">.</w:t>
      </w:r>
    </w:p>
    <w:bookmarkEnd w:id="244"/>
    <w:bookmarkStart w:id="246" w:name="ref-INE2026CNA2025"/>
    <w:p>
      <w:pPr>
        <w:pStyle w:val="Bibliography"/>
      </w:pPr>
      <w:r>
        <w:t xml:space="preserve">———.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245">
        <w:r>
          <w:rPr>
            <w:rStyle w:val="Hyperlink"/>
          </w:rPr>
          <w:t xml:space="preserve">https://www.ine.es/dyngs/Prensa/CNA2025.htm</w:t>
        </w:r>
      </w:hyperlink>
      <w:r>
        <w:t xml:space="preserve">.</w:t>
      </w:r>
    </w:p>
    <w:bookmarkEnd w:id="246"/>
    <w:bookmarkStart w:id="248"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247">
        <w:r>
          <w:rPr>
            <w:rStyle w:val="Hyperlink"/>
          </w:rPr>
          <w:t xml:space="preserve">https://www.ine.es/metodologia/t25/t2530p458.pdf</w:t>
        </w:r>
      </w:hyperlink>
      <w:r>
        <w:t xml:space="preserve">.</w:t>
      </w:r>
    </w:p>
    <w:bookmarkEnd w:id="248"/>
    <w:bookmarkStart w:id="249"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49"/>
    <w:bookmarkStart w:id="251"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250">
        <w:r>
          <w:rPr>
            <w:rStyle w:val="Hyperlink"/>
          </w:rPr>
          <w:t xml:space="preserve">https://doi.org/10.2307/1911539</w:t>
        </w:r>
      </w:hyperlink>
      <w:r>
        <w:t xml:space="preserve">.</w:t>
      </w:r>
    </w:p>
    <w:bookmarkEnd w:id="251"/>
    <w:bookmarkStart w:id="253" w:name="ref-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252">
        <w:r>
          <w:rPr>
            <w:rStyle w:val="Hyperlink"/>
          </w:rPr>
          <w:t xml:space="preserve">https://doi.org/10.2307/2295996</w:t>
        </w:r>
      </w:hyperlink>
      <w:r>
        <w:t xml:space="preserve">.</w:t>
      </w:r>
    </w:p>
    <w:bookmarkEnd w:id="253"/>
    <w:bookmarkStart w:id="255" w:name="ref-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254">
        <w:r>
          <w:rPr>
            <w:rStyle w:val="Hyperlink"/>
          </w:rPr>
          <w:t xml:space="preserve">https://ww2.amstat.org/meetings/proceedings/2021/data/assets/pdf/1913738.pdf</w:t>
        </w:r>
      </w:hyperlink>
      <w:r>
        <w:t xml:space="preserve">.</w:t>
      </w:r>
    </w:p>
    <w:bookmarkEnd w:id="255"/>
    <w:bookmarkStart w:id="257" w:name="ref-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256">
        <w:r>
          <w:rPr>
            <w:rStyle w:val="Hyperlink"/>
          </w:rPr>
          <w:t xml:space="preserve">https://doi.org/10.2307/1906997</w:t>
        </w:r>
      </w:hyperlink>
      <w:r>
        <w:t xml:space="preserve">.</w:t>
      </w:r>
    </w:p>
    <w:bookmarkEnd w:id="257"/>
    <w:bookmarkStart w:id="258" w:name="ref-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258"/>
    <w:bookmarkStart w:id="260" w:name="ref-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259">
        <w:r>
          <w:rPr>
            <w:rStyle w:val="Hyperlink"/>
          </w:rPr>
          <w:t xml:space="preserve">https://doi.org/10.2307/1909167</w:t>
        </w:r>
      </w:hyperlink>
      <w:r>
        <w:t xml:space="preserve">.</w:t>
      </w:r>
    </w:p>
    <w:bookmarkEnd w:id="260"/>
    <w:bookmarkStart w:id="262" w:name="ref-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261">
        <w:r>
          <w:rPr>
            <w:rStyle w:val="Hyperlink"/>
          </w:rPr>
          <w:t xml:space="preserve">https://doi.org/10.2307/1912704</w:t>
        </w:r>
      </w:hyperlink>
      <w:r>
        <w:t xml:space="preserve">.</w:t>
      </w:r>
    </w:p>
    <w:bookmarkEnd w:id="262"/>
    <w:bookmarkStart w:id="264" w:name="ref-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263">
        <w:r>
          <w:rPr>
            <w:rStyle w:val="Hyperlink"/>
          </w:rPr>
          <w:t xml:space="preserve">https://www.thelatinlibrary.com/cicero/leg3.shtml</w:t>
        </w:r>
      </w:hyperlink>
      <w:r>
        <w:t xml:space="preserve">.</w:t>
      </w:r>
    </w:p>
    <w:bookmarkEnd w:id="264"/>
    <w:bookmarkStart w:id="266"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65">
        <w:r>
          <w:rPr>
            <w:rStyle w:val="Hyperlink"/>
          </w:rPr>
          <w:t xml:space="preserve">https://www.marxists.org/reference/subject/economics/marshall/bk1ch01.htm</w:t>
        </w:r>
      </w:hyperlink>
      <w:r>
        <w:t xml:space="preserve">.</w:t>
      </w:r>
    </w:p>
    <w:bookmarkEnd w:id="266"/>
    <w:bookmarkStart w:id="267"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67"/>
    <w:bookmarkStart w:id="268"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68"/>
    <w:bookmarkStart w:id="270" w:name="ref-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269">
        <w:r>
          <w:rPr>
            <w:rStyle w:val="Hyperlink"/>
          </w:rPr>
          <w:t xml:space="preserve">https://doi.org/10.2307/2296067</w:t>
        </w:r>
      </w:hyperlink>
      <w:r>
        <w:t xml:space="preserve">.</w:t>
      </w:r>
    </w:p>
    <w:bookmarkEnd w:id="270"/>
    <w:bookmarkStart w:id="272" w:name="ref-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271">
        <w:r>
          <w:rPr>
            <w:rStyle w:val="Hyperlink"/>
          </w:rPr>
          <w:t xml:space="preserve">https://www.boe.es/buscar/act.php?id=BOE-A-2015-11724</w:t>
        </w:r>
      </w:hyperlink>
      <w:r>
        <w:t xml:space="preserve">.</w:t>
      </w:r>
    </w:p>
    <w:bookmarkEnd w:id="272"/>
    <w:bookmarkStart w:id="274" w:name="ref-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273">
        <w:r>
          <w:rPr>
            <w:rStyle w:val="Hyperlink"/>
          </w:rPr>
          <w:t xml:space="preserve">https://www.lamoncloa.gob.es/serviciosdeprensa/notasprensa/inclusion/Paginas/2025/121225-revalorizacion-pensiones.aspx</w:t>
        </w:r>
      </w:hyperlink>
      <w:r>
        <w:t xml:space="preserve">.</w:t>
      </w:r>
    </w:p>
    <w:bookmarkEnd w:id="274"/>
    <w:bookmarkStart w:id="276"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275">
        <w:r>
          <w:rPr>
            <w:rStyle w:val="Hyperlink"/>
          </w:rPr>
          <w:t xml:space="preserve">https://doi.org/10.2307/2296792</w:t>
        </w:r>
      </w:hyperlink>
      <w:r>
        <w:t xml:space="preserve">.</w:t>
      </w:r>
    </w:p>
    <w:bookmarkEnd w:id="276"/>
    <w:bookmarkStart w:id="278"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277">
        <w:r>
          <w:rPr>
            <w:rStyle w:val="Hyperlink"/>
          </w:rPr>
          <w:t xml:space="preserve">https://doi.org/10.2307/1911540</w:t>
        </w:r>
      </w:hyperlink>
      <w:r>
        <w:t xml:space="preserve">.</w:t>
      </w:r>
    </w:p>
    <w:bookmarkEnd w:id="278"/>
    <w:bookmarkStart w:id="279" w:name="ref-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279"/>
    <w:bookmarkStart w:id="281" w:name="ref-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280">
        <w:r>
          <w:rPr>
            <w:rStyle w:val="Hyperlink"/>
          </w:rPr>
          <w:t xml:space="preserve">https://doi.org/10.2307/1911416</w:t>
        </w:r>
      </w:hyperlink>
      <w:r>
        <w:t xml:space="preserve">.</w:t>
      </w:r>
    </w:p>
    <w:bookmarkEnd w:id="281"/>
    <w:bookmarkStart w:id="282" w:name="ref-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282"/>
    <w:bookmarkStart w:id="284"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283">
        <w:r>
          <w:rPr>
            <w:rStyle w:val="Hyperlink"/>
          </w:rPr>
          <w:t xml:space="preserve">https://doi.org/10.2307/1905479</w:t>
        </w:r>
      </w:hyperlink>
      <w:r>
        <w:t xml:space="preserve">.</w:t>
      </w:r>
    </w:p>
    <w:bookmarkEnd w:id="284"/>
    <w:bookmarkStart w:id="286"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285">
        <w:r>
          <w:rPr>
            <w:rStyle w:val="Hyperlink"/>
          </w:rPr>
          <w:t xml:space="preserve">https://doi.org/10.2307/2548836</w:t>
        </w:r>
      </w:hyperlink>
      <w:r>
        <w:t xml:space="preserve">.</w:t>
      </w:r>
    </w:p>
    <w:bookmarkEnd w:id="286"/>
    <w:bookmarkStart w:id="288"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287">
        <w:r>
          <w:rPr>
            <w:rStyle w:val="Hyperlink"/>
          </w:rPr>
          <w:t xml:space="preserve">https://doi.org/10.2307/2549561</w:t>
        </w:r>
      </w:hyperlink>
      <w:r>
        <w:t xml:space="preserve">.</w:t>
      </w:r>
    </w:p>
    <w:bookmarkEnd w:id="288"/>
    <w:bookmarkStart w:id="289" w:name="ref-Samuelson1974Complementarity"/>
    <w:p>
      <w:pPr>
        <w:pStyle w:val="Bibliography"/>
      </w:pPr>
      <w:r>
        <w:t xml:space="preserve">———.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289"/>
    <w:bookmarkStart w:id="291" w:name="ref-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290">
        <w:r>
          <w:rPr>
            <w:rStyle w:val="Hyperlink"/>
          </w:rPr>
          <w:t xml:space="preserve">https://www.funcas.es/wp-content/uploads/Migracion/Articulos/FUNCAS_CIE/228art02.pdf</w:t>
        </w:r>
      </w:hyperlink>
      <w:r>
        <w:t xml:space="preserve">.</w:t>
      </w:r>
    </w:p>
    <w:bookmarkEnd w:id="291"/>
    <w:bookmarkStart w:id="292"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292"/>
    <w:bookmarkStart w:id="293"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293"/>
    <w:bookmarkStart w:id="295"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294">
        <w:r>
          <w:rPr>
            <w:rStyle w:val="Hyperlink"/>
          </w:rPr>
          <w:t xml:space="preserve">https://doi.org/10.2307/2227743</w:t>
        </w:r>
      </w:hyperlink>
      <w:r>
        <w:t xml:space="preserve">.</w:t>
      </w:r>
    </w:p>
    <w:bookmarkEnd w:id="295"/>
    <w:bookmarkStart w:id="297" w:name="ref-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296">
        <w:r>
          <w:rPr>
            <w:rStyle w:val="Hyperlink"/>
          </w:rPr>
          <w:t xml:space="preserve">https://doi.org/10.2307/1910254</w:t>
        </w:r>
      </w:hyperlink>
      <w:r>
        <w:t xml:space="preserve">.</w:t>
      </w:r>
    </w:p>
    <w:bookmarkEnd w:id="297"/>
    <w:bookmarkStart w:id="298"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298"/>
    <w:bookmarkStart w:id="300" w:name="ref-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299">
        <w:r>
          <w:rPr>
            <w:rStyle w:val="Hyperlink"/>
          </w:rPr>
          <w:t xml:space="preserve">https://www.nobelprize.org/prizes/economic-sciences/2015/summary/</w:t>
        </w:r>
      </w:hyperlink>
      <w:r>
        <w:t xml:space="preserve">.</w:t>
      </w:r>
    </w:p>
    <w:bookmarkEnd w:id="300"/>
    <w:bookmarkStart w:id="302"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01">
        <w:r>
          <w:rPr>
            <w:rStyle w:val="Hyperlink"/>
          </w:rPr>
          <w:t xml:space="preserve">https://doi.org/10.2307/1911889</w:t>
        </w:r>
      </w:hyperlink>
      <w:r>
        <w:t xml:space="preserve">.</w:t>
      </w:r>
    </w:p>
    <w:bookmarkEnd w:id="302"/>
    <w:bookmarkStart w:id="304" w:name="ref-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03">
        <w:r>
          <w:rPr>
            <w:rStyle w:val="Hyperlink"/>
          </w:rPr>
          <w:t xml:space="preserve">https://eur-lex.europa.eu/legal-content/ES/TXT/?uri=CELEX:32013R0549</w:t>
        </w:r>
      </w:hyperlink>
      <w:r>
        <w:t xml:space="preserve">.</w:t>
      </w:r>
    </w:p>
    <w:bookmarkEnd w:id="304"/>
    <w:bookmarkStart w:id="306" w:name="ref-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05">
        <w:r>
          <w:rPr>
            <w:rStyle w:val="Hyperlink"/>
          </w:rPr>
          <w:t xml:space="preserve">https://api.bls.gov/publicAPI/v1/timeseries/data/SUUR0000SA0</w:t>
        </w:r>
      </w:hyperlink>
      <w:r>
        <w:t xml:space="preserve">.</w:t>
      </w:r>
    </w:p>
    <w:bookmarkEnd w:id="306"/>
    <w:bookmarkStart w:id="308" w:name="ref-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07">
        <w:r>
          <w:rPr>
            <w:rStyle w:val="Hyperlink"/>
          </w:rPr>
          <w:t xml:space="preserve">https://doi.org/10.2307/2525564</w:t>
        </w:r>
      </w:hyperlink>
      <w:r>
        <w:t xml:space="preserve">.</w:t>
      </w:r>
    </w:p>
    <w:bookmarkEnd w:id="308"/>
    <w:bookmarkStart w:id="309"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09"/>
    <w:bookmarkStart w:id="310" w:name="ref-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10"/>
    <w:bookmarkStart w:id="312" w:name="ref-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11">
        <w:r>
          <w:rPr>
            <w:rStyle w:val="Hyperlink"/>
          </w:rPr>
          <w:t xml:space="preserve">https://doi.org/10.1080/01621459.1943.10501775</w:t>
        </w:r>
      </w:hyperlink>
      <w:r>
        <w:t xml:space="preserve">.</w:t>
      </w:r>
    </w:p>
    <w:bookmarkEnd w:id="312"/>
    <w:bookmarkEnd w:id="313"/>
    <w:bookmarkEnd w:id="314"/>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Por ejemplo, la relación entre la función indirecta de utilidad y la función de utilidad directa (apartado III.1).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r>
        <w:rPr>
          <w:rStyle w:val="Referenciaatema"/>
        </w:rPr>
        <w:t xml:space="preserve">[ver tema 3.A.12]</w:t>
      </w:r>
      <w:r>
        <w:t xml:space="preserve">.</w:t>
      </w:r>
    </w:p>
  </w:footnote>
  <w:footnote w:id="30">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36">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37">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r>
        <w:rPr>
          <w:rStyle w:val="Referenciaatema"/>
        </w:rPr>
        <w:t xml:space="preserve">[ver tema 3.A.21]</w:t>
      </w:r>
      <w:r>
        <w:t xml:space="preserve">.</w:t>
      </w:r>
    </w:p>
  </w:footnote>
  <w:footnote w:id="48">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I.3:</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w:t>
      </w:r>
      <m:oMath>
        <m:r>
          <m:rPr>
            <m:sty m:val="p"/>
          </m:rPr>
          <m:t>◼</m:t>
        </m:r>
      </m:oMath>
    </w:p>
  </w:footnote>
  <w:footnote w:id="54">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55">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71">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81">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r>
        <w:rPr>
          <w:rStyle w:val="Referenciaatema"/>
        </w:rPr>
        <w:t xml:space="preserve">[ver tema 3.A.11]</w:t>
      </w:r>
      <w:r>
        <w:t xml:space="preserve">.</w:t>
      </w:r>
    </w:p>
  </w:footnote>
  <w:footnote w:id="116">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w:t>
      </w:r>
      <m:oMath>
        <m:r>
          <m:rPr>
            <m:sty m:val="p"/>
          </m:rPr>
          <m:t>◼</m:t>
        </m:r>
      </m:oMath>
      <w:r>
        <w:t xml:space="preserve">La integrabilidad solo restringe de verdad con tres bienes o más.</w:t>
      </w:r>
    </w:p>
  </w:footnote>
  <w:footnote w:id="117">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23">
    <w:p>
      <w:pPr>
        <w:pStyle w:val="FootnoteText"/>
      </w:pPr>
      <w:r>
        <w:rPr>
          <w:rStyle w:val="FootnoteReference"/>
        </w:rPr>
        <w:footnoteRef/>
      </w:r>
    </w:p>
    <w:p>
      <w:pPr>
        <w:pStyle w:val="FootnoteText"/>
      </w:pPr>
      <w:r>
        <w:t xml:space="preserve">Paso a paso, multiplicando los dos lados de (29)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w:t>
      </w:r>
      <m:oMath>
        <m:r>
          <m:rPr>
            <m:sty m:val="p"/>
          </m:rPr>
          <m:t>◼</m:t>
        </m:r>
      </m:oMath>
    </w:p>
  </w:footnote>
  <w:footnote w:id="129">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r>
        <w:rPr>
          <w:rStyle w:val="Referenciaatema"/>
        </w:rPr>
        <w:t xml:space="preserve">[ver tema 3.A.3]</w:t>
      </w:r>
      <w:r>
        <w:t xml:space="preserve">.</w:t>
      </w:r>
    </w:p>
  </w:footnote>
  <w:footnote w:id="142">
    <w:p>
      <w:pPr>
        <w:pStyle w:val="FootnoteText"/>
      </w:pPr>
      <w:r>
        <w:rPr>
          <w:rStyle w:val="FootnoteReference"/>
        </w:rPr>
        <w:footnoteRef/>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no las introduce: muestra cuándo el excedente marshalliano las aproxima.</w:t>
      </w:r>
    </w:p>
  </w:footnote>
  <w:footnote w:id="157">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w:t>
      </w:r>
      <m:oMath>
        <m:r>
          <m:rPr>
            <m:sty m:val="p"/>
          </m:rPr>
          <m:t>◼</m:t>
        </m:r>
      </m:oMath>
    </w:p>
  </w:footnote>
  <w:footnote w:id="158">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w:t>
      </w:r>
      <m:oMath>
        <m:r>
          <m:rPr>
            <m:sty m:val="p"/>
          </m:rPr>
          <m:t>◼</m:t>
        </m:r>
      </m:oMath>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56" Target="media/rId56.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73" Target="media/rId73.png" /><Relationship Type="http://schemas.openxmlformats.org/officeDocument/2006/relationships/image" Id="rId22" Target="media/rId22.png" /><Relationship Type="http://schemas.openxmlformats.org/officeDocument/2006/relationships/image" Id="rId159" Target="media/rId159.png" /><Relationship Type="http://schemas.openxmlformats.org/officeDocument/2006/relationships/image" Id="rId66" Target="media/rId66.png" /><Relationship Type="http://schemas.openxmlformats.org/officeDocument/2006/relationships/image" Id="rId31" Target="media/rId31.png" /><Relationship Type="http://schemas.openxmlformats.org/officeDocument/2006/relationships/image" Id="rId118" Target="media/rId118.png" /><Relationship Type="http://schemas.openxmlformats.org/officeDocument/2006/relationships/hyperlink" Id="rId305" Target="https://api.bls.gov/publicAPI/v1/timeseries/data/SUUR0000SA0" TargetMode="External" /><Relationship Type="http://schemas.openxmlformats.org/officeDocument/2006/relationships/hyperlink" Id="rId182" Target="https://argos.gva.es/documents/166658342/166714754/Ejemplar+3070/2957e02b-f135-4235-98a6-bfc909292066" TargetMode="External" /><Relationship Type="http://schemas.openxmlformats.org/officeDocument/2006/relationships/hyperlink" Id="rId192" Target="https://doi.org/10.1016/0014-2921(69)90017-8" TargetMode="External" /><Relationship Type="http://schemas.openxmlformats.org/officeDocument/2006/relationships/hyperlink" Id="rId208" Target="https://doi.org/10.1016/0304-4076(76)90009-9" TargetMode="External" /><Relationship Type="http://schemas.openxmlformats.org/officeDocument/2006/relationships/hyperlink" Id="rId219" Target="https://doi.org/10.1017/CBO9780511984082.003" TargetMode="External" /><Relationship Type="http://schemas.openxmlformats.org/officeDocument/2006/relationships/hyperlink" Id="rId194" Target="https://doi.org/10.1057/9780230226203.0411" TargetMode="External" /><Relationship Type="http://schemas.openxmlformats.org/officeDocument/2006/relationships/hyperlink" Id="rId311" Target="https://doi.org/10.1080/01621459.1943.10501775" TargetMode="External" /><Relationship Type="http://schemas.openxmlformats.org/officeDocument/2006/relationships/hyperlink" Id="rId230" Target="https://doi.org/10.1086/254387" TargetMode="External" /><Relationship Type="http://schemas.openxmlformats.org/officeDocument/2006/relationships/hyperlink" Id="rId210" Target="https://doi.org/10.1086/260489" TargetMode="External" /><Relationship Type="http://schemas.openxmlformats.org/officeDocument/2006/relationships/hyperlink" Id="rId196" Target="https://doi.org/10.1111/1468-0262.00394" TargetMode="External" /><Relationship Type="http://schemas.openxmlformats.org/officeDocument/2006/relationships/hyperlink" Id="rId186" Target="https://doi.org/10.1162/003465397557015" TargetMode="External" /><Relationship Type="http://schemas.openxmlformats.org/officeDocument/2006/relationships/hyperlink" Id="rId203" Target="https://doi.org/10.1596/0-8018-5254-4" TargetMode="External" /><Relationship Type="http://schemas.openxmlformats.org/officeDocument/2006/relationships/hyperlink" Id="rId283" Target="https://doi.org/10.2307/1905479" TargetMode="External" /><Relationship Type="http://schemas.openxmlformats.org/officeDocument/2006/relationships/hyperlink" Id="rId256" Target="https://doi.org/10.2307/1906997" TargetMode="External" /><Relationship Type="http://schemas.openxmlformats.org/officeDocument/2006/relationships/hyperlink" Id="rId259" Target="https://doi.org/10.2307/1909167" TargetMode="External" /><Relationship Type="http://schemas.openxmlformats.org/officeDocument/2006/relationships/hyperlink" Id="rId217" Target="https://doi.org/10.2307/1909472" TargetMode="External" /><Relationship Type="http://schemas.openxmlformats.org/officeDocument/2006/relationships/hyperlink" Id="rId296" Target="https://doi.org/10.2307/1910254" TargetMode="External" /><Relationship Type="http://schemas.openxmlformats.org/officeDocument/2006/relationships/hyperlink" Id="rId280" Target="https://doi.org/10.2307/1911416" TargetMode="External" /><Relationship Type="http://schemas.openxmlformats.org/officeDocument/2006/relationships/hyperlink" Id="rId250" Target="https://doi.org/10.2307/1911539" TargetMode="External" /><Relationship Type="http://schemas.openxmlformats.org/officeDocument/2006/relationships/hyperlink" Id="rId277" Target="https://doi.org/10.2307/1911540" TargetMode="External" /><Relationship Type="http://schemas.openxmlformats.org/officeDocument/2006/relationships/hyperlink" Id="rId301" Target="https://doi.org/10.2307/1911889" TargetMode="External" /><Relationship Type="http://schemas.openxmlformats.org/officeDocument/2006/relationships/hyperlink" Id="rId201" Target="https://doi.org/10.2307/1911983" TargetMode="External" /><Relationship Type="http://schemas.openxmlformats.org/officeDocument/2006/relationships/hyperlink" Id="rId261" Target="https://doi.org/10.2307/1912704" TargetMode="External" /><Relationship Type="http://schemas.openxmlformats.org/officeDocument/2006/relationships/hyperlink" Id="rId188" Target="https://doi.org/10.2307/1913731" TargetMode="External" /><Relationship Type="http://schemas.openxmlformats.org/officeDocument/2006/relationships/hyperlink" Id="rId190" Target="https://doi.org/10.2307/1937885" TargetMode="External" /><Relationship Type="http://schemas.openxmlformats.org/officeDocument/2006/relationships/hyperlink" Id="rId294" Target="https://doi.org/10.2307/2227743" TargetMode="External" /><Relationship Type="http://schemas.openxmlformats.org/officeDocument/2006/relationships/hyperlink" Id="rId252" Target="https://doi.org/10.2307/2295996" TargetMode="External" /><Relationship Type="http://schemas.openxmlformats.org/officeDocument/2006/relationships/hyperlink" Id="rId269" Target="https://doi.org/10.2307/2296067" TargetMode="External" /><Relationship Type="http://schemas.openxmlformats.org/officeDocument/2006/relationships/hyperlink" Id="rId213" Target="https://doi.org/10.2307/2296107" TargetMode="External" /><Relationship Type="http://schemas.openxmlformats.org/officeDocument/2006/relationships/hyperlink" Id="rId275" Target="https://doi.org/10.2307/2296792" TargetMode="External" /><Relationship Type="http://schemas.openxmlformats.org/officeDocument/2006/relationships/hyperlink" Id="rId180" Target="https://doi.org/10.2307/2525382" TargetMode="External" /><Relationship Type="http://schemas.openxmlformats.org/officeDocument/2006/relationships/hyperlink" Id="rId307" Target="https://doi.org/10.2307/2525564" TargetMode="External" /><Relationship Type="http://schemas.openxmlformats.org/officeDocument/2006/relationships/hyperlink" Id="rId228" Target="https://doi.org/10.2307/2548574" TargetMode="External" /><Relationship Type="http://schemas.openxmlformats.org/officeDocument/2006/relationships/hyperlink" Id="rId285" Target="https://doi.org/10.2307/2548836" TargetMode="External" /><Relationship Type="http://schemas.openxmlformats.org/officeDocument/2006/relationships/hyperlink" Id="rId232" Target="https://doi.org/10.2307/2549382" TargetMode="External" /><Relationship Type="http://schemas.openxmlformats.org/officeDocument/2006/relationships/hyperlink" Id="rId287" Target="https://doi.org/10.2307/2549561" TargetMode="External" /><Relationship Type="http://schemas.openxmlformats.org/officeDocument/2006/relationships/hyperlink" Id="rId223" Target="https://doi.org/10.2307/2967467" TargetMode="External" /><Relationship Type="http://schemas.openxmlformats.org/officeDocument/2006/relationships/hyperlink" Id="rId225" Target="https://doi.org/10.2307/2967517" TargetMode="External" /><Relationship Type="http://schemas.openxmlformats.org/officeDocument/2006/relationships/hyperlink" Id="rId215" Target="https://doi.org/10.3386/w12311" TargetMode="External" /><Relationship Type="http://schemas.openxmlformats.org/officeDocument/2006/relationships/hyperlink" Id="rId303" Target="https://eur-lex.europa.eu/legal-content/ES/TXT/?uri=CELEX:32013R0549" TargetMode="External" /><Relationship Type="http://schemas.openxmlformats.org/officeDocument/2006/relationships/hyperlink" Id="rId254" Target="https://ww2.amstat.org/meetings/proceedings/2021/data/assets/pdf/1913738.pdf" TargetMode="External" /><Relationship Type="http://schemas.openxmlformats.org/officeDocument/2006/relationships/hyperlink" Id="rId271" Target="https://www.boe.es/buscar/act.php?id=BOE-A-2015-11724" TargetMode="External" /><Relationship Type="http://schemas.openxmlformats.org/officeDocument/2006/relationships/hyperlink" Id="rId290" Target="https://www.funcas.es/wp-content/uploads/Migracion/Articulos/FUNCAS_CIE/228art02.pdf" TargetMode="External" /><Relationship Type="http://schemas.openxmlformats.org/officeDocument/2006/relationships/hyperlink" Id="rId235" Target="https://www.ine.es/daco/daco42/daco4213/resmeto06.pdf" TargetMode="External" /><Relationship Type="http://schemas.openxmlformats.org/officeDocument/2006/relationships/hyperlink" Id="rId245" Target="https://www.ine.es/dyngs/Prensa/CNA2025.htm" TargetMode="External" /><Relationship Type="http://schemas.openxmlformats.org/officeDocument/2006/relationships/hyperlink" Id="rId243" Target="https://www.ine.es/dyngs/Prensa/EPF2025.htm" TargetMode="External" /><Relationship Type="http://schemas.openxmlformats.org/officeDocument/2006/relationships/hyperlink" Id="rId237" Target="https://www.ine.es/jaxiT3/Tabla.htm?t=76156" TargetMode="External" /><Relationship Type="http://schemas.openxmlformats.org/officeDocument/2006/relationships/hyperlink" Id="rId239" Target="https://www.ine.es/metodologia/t25/metodologia_IPC_base_2025.pdf" TargetMode="External" /><Relationship Type="http://schemas.openxmlformats.org/officeDocument/2006/relationships/hyperlink" Id="rId241" Target="https://www.ine.es/metodologia/t25/principales_caracteristicas_base_2025.pdf" TargetMode="External" /><Relationship Type="http://schemas.openxmlformats.org/officeDocument/2006/relationships/hyperlink" Id="rId247" Target="https://www.ine.es/metodologia/t25/t2530p458.pdf" TargetMode="External" /><Relationship Type="http://schemas.openxmlformats.org/officeDocument/2006/relationships/hyperlink" Id="rId273" Target="https://www.lamoncloa.gob.es/serviciosdeprensa/notasprensa/inclusion/Paginas/2025/121225-revalorizacion-pensiones.aspx" TargetMode="External" /><Relationship Type="http://schemas.openxmlformats.org/officeDocument/2006/relationships/hyperlink" Id="rId265" Target="https://www.marxists.org/reference/subject/economics/marshall/bk1ch01.htm" TargetMode="External" /><Relationship Type="http://schemas.openxmlformats.org/officeDocument/2006/relationships/hyperlink" Id="rId299" Target="https://www.nobelprize.org/prizes/economic-sciences/2015/summary/" TargetMode="External" /><Relationship Type="http://schemas.openxmlformats.org/officeDocument/2006/relationships/hyperlink" Id="rId263" Target="https://www.thelatinlibrary.com/cicero/leg3.shtml" TargetMode="External" /><Relationship Type="http://schemas.openxmlformats.org/officeDocument/2006/relationships/hyperlink" Id="rId178"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5" Target="https://api.bls.gov/publicAPI/v1/timeseries/data/SUUR0000SA0" TargetMode="External" /><Relationship Type="http://schemas.openxmlformats.org/officeDocument/2006/relationships/hyperlink" Id="rId182" Target="https://argos.gva.es/documents/166658342/166714754/Ejemplar+3070/2957e02b-f135-4235-98a6-bfc909292066" TargetMode="External" /><Relationship Type="http://schemas.openxmlformats.org/officeDocument/2006/relationships/hyperlink" Id="rId192" Target="https://doi.org/10.1016/0014-2921(69)90017-8" TargetMode="External" /><Relationship Type="http://schemas.openxmlformats.org/officeDocument/2006/relationships/hyperlink" Id="rId208" Target="https://doi.org/10.1016/0304-4076(76)90009-9" TargetMode="External" /><Relationship Type="http://schemas.openxmlformats.org/officeDocument/2006/relationships/hyperlink" Id="rId219" Target="https://doi.org/10.1017/CBO9780511984082.003" TargetMode="External" /><Relationship Type="http://schemas.openxmlformats.org/officeDocument/2006/relationships/hyperlink" Id="rId194" Target="https://doi.org/10.1057/9780230226203.0411" TargetMode="External" /><Relationship Type="http://schemas.openxmlformats.org/officeDocument/2006/relationships/hyperlink" Id="rId311" Target="https://doi.org/10.1080/01621459.1943.10501775" TargetMode="External" /><Relationship Type="http://schemas.openxmlformats.org/officeDocument/2006/relationships/hyperlink" Id="rId230" Target="https://doi.org/10.1086/254387" TargetMode="External" /><Relationship Type="http://schemas.openxmlformats.org/officeDocument/2006/relationships/hyperlink" Id="rId210" Target="https://doi.org/10.1086/260489" TargetMode="External" /><Relationship Type="http://schemas.openxmlformats.org/officeDocument/2006/relationships/hyperlink" Id="rId196" Target="https://doi.org/10.1111/1468-0262.00394" TargetMode="External" /><Relationship Type="http://schemas.openxmlformats.org/officeDocument/2006/relationships/hyperlink" Id="rId186" Target="https://doi.org/10.1162/003465397557015" TargetMode="External" /><Relationship Type="http://schemas.openxmlformats.org/officeDocument/2006/relationships/hyperlink" Id="rId203" Target="https://doi.org/10.1596/0-8018-5254-4" TargetMode="External" /><Relationship Type="http://schemas.openxmlformats.org/officeDocument/2006/relationships/hyperlink" Id="rId283" Target="https://doi.org/10.2307/1905479" TargetMode="External" /><Relationship Type="http://schemas.openxmlformats.org/officeDocument/2006/relationships/hyperlink" Id="rId256" Target="https://doi.org/10.2307/1906997" TargetMode="External" /><Relationship Type="http://schemas.openxmlformats.org/officeDocument/2006/relationships/hyperlink" Id="rId259" Target="https://doi.org/10.2307/1909167" TargetMode="External" /><Relationship Type="http://schemas.openxmlformats.org/officeDocument/2006/relationships/hyperlink" Id="rId217" Target="https://doi.org/10.2307/1909472" TargetMode="External" /><Relationship Type="http://schemas.openxmlformats.org/officeDocument/2006/relationships/hyperlink" Id="rId296" Target="https://doi.org/10.2307/1910254" TargetMode="External" /><Relationship Type="http://schemas.openxmlformats.org/officeDocument/2006/relationships/hyperlink" Id="rId280" Target="https://doi.org/10.2307/1911416" TargetMode="External" /><Relationship Type="http://schemas.openxmlformats.org/officeDocument/2006/relationships/hyperlink" Id="rId250" Target="https://doi.org/10.2307/1911539" TargetMode="External" /><Relationship Type="http://schemas.openxmlformats.org/officeDocument/2006/relationships/hyperlink" Id="rId277" Target="https://doi.org/10.2307/1911540" TargetMode="External" /><Relationship Type="http://schemas.openxmlformats.org/officeDocument/2006/relationships/hyperlink" Id="rId301" Target="https://doi.org/10.2307/1911889" TargetMode="External" /><Relationship Type="http://schemas.openxmlformats.org/officeDocument/2006/relationships/hyperlink" Id="rId201" Target="https://doi.org/10.2307/1911983" TargetMode="External" /><Relationship Type="http://schemas.openxmlformats.org/officeDocument/2006/relationships/hyperlink" Id="rId261" Target="https://doi.org/10.2307/1912704" TargetMode="External" /><Relationship Type="http://schemas.openxmlformats.org/officeDocument/2006/relationships/hyperlink" Id="rId188" Target="https://doi.org/10.2307/1913731" TargetMode="External" /><Relationship Type="http://schemas.openxmlformats.org/officeDocument/2006/relationships/hyperlink" Id="rId190" Target="https://doi.org/10.2307/1937885" TargetMode="External" /><Relationship Type="http://schemas.openxmlformats.org/officeDocument/2006/relationships/hyperlink" Id="rId294" Target="https://doi.org/10.2307/2227743" TargetMode="External" /><Relationship Type="http://schemas.openxmlformats.org/officeDocument/2006/relationships/hyperlink" Id="rId252" Target="https://doi.org/10.2307/2295996" TargetMode="External" /><Relationship Type="http://schemas.openxmlformats.org/officeDocument/2006/relationships/hyperlink" Id="rId269" Target="https://doi.org/10.2307/2296067" TargetMode="External" /><Relationship Type="http://schemas.openxmlformats.org/officeDocument/2006/relationships/hyperlink" Id="rId213" Target="https://doi.org/10.2307/2296107" TargetMode="External" /><Relationship Type="http://schemas.openxmlformats.org/officeDocument/2006/relationships/hyperlink" Id="rId275" Target="https://doi.org/10.2307/2296792" TargetMode="External" /><Relationship Type="http://schemas.openxmlformats.org/officeDocument/2006/relationships/hyperlink" Id="rId180" Target="https://doi.org/10.2307/2525382" TargetMode="External" /><Relationship Type="http://schemas.openxmlformats.org/officeDocument/2006/relationships/hyperlink" Id="rId307" Target="https://doi.org/10.2307/2525564" TargetMode="External" /><Relationship Type="http://schemas.openxmlformats.org/officeDocument/2006/relationships/hyperlink" Id="rId228" Target="https://doi.org/10.2307/2548574" TargetMode="External" /><Relationship Type="http://schemas.openxmlformats.org/officeDocument/2006/relationships/hyperlink" Id="rId285" Target="https://doi.org/10.2307/2548836" TargetMode="External" /><Relationship Type="http://schemas.openxmlformats.org/officeDocument/2006/relationships/hyperlink" Id="rId232" Target="https://doi.org/10.2307/2549382" TargetMode="External" /><Relationship Type="http://schemas.openxmlformats.org/officeDocument/2006/relationships/hyperlink" Id="rId287" Target="https://doi.org/10.2307/2549561" TargetMode="External" /><Relationship Type="http://schemas.openxmlformats.org/officeDocument/2006/relationships/hyperlink" Id="rId223" Target="https://doi.org/10.2307/2967467" TargetMode="External" /><Relationship Type="http://schemas.openxmlformats.org/officeDocument/2006/relationships/hyperlink" Id="rId225" Target="https://doi.org/10.2307/2967517" TargetMode="External" /><Relationship Type="http://schemas.openxmlformats.org/officeDocument/2006/relationships/hyperlink" Id="rId215" Target="https://doi.org/10.3386/w12311" TargetMode="External" /><Relationship Type="http://schemas.openxmlformats.org/officeDocument/2006/relationships/hyperlink" Id="rId303" Target="https://eur-lex.europa.eu/legal-content/ES/TXT/?uri=CELEX:32013R0549" TargetMode="External" /><Relationship Type="http://schemas.openxmlformats.org/officeDocument/2006/relationships/hyperlink" Id="rId254" Target="https://ww2.amstat.org/meetings/proceedings/2021/data/assets/pdf/1913738.pdf" TargetMode="External" /><Relationship Type="http://schemas.openxmlformats.org/officeDocument/2006/relationships/hyperlink" Id="rId271" Target="https://www.boe.es/buscar/act.php?id=BOE-A-2015-11724" TargetMode="External" /><Relationship Type="http://schemas.openxmlformats.org/officeDocument/2006/relationships/hyperlink" Id="rId290" Target="https://www.funcas.es/wp-content/uploads/Migracion/Articulos/FUNCAS_CIE/228art02.pdf" TargetMode="External" /><Relationship Type="http://schemas.openxmlformats.org/officeDocument/2006/relationships/hyperlink" Id="rId235" Target="https://www.ine.es/daco/daco42/daco4213/resmeto06.pdf" TargetMode="External" /><Relationship Type="http://schemas.openxmlformats.org/officeDocument/2006/relationships/hyperlink" Id="rId245" Target="https://www.ine.es/dyngs/Prensa/CNA2025.htm" TargetMode="External" /><Relationship Type="http://schemas.openxmlformats.org/officeDocument/2006/relationships/hyperlink" Id="rId243" Target="https://www.ine.es/dyngs/Prensa/EPF2025.htm" TargetMode="External" /><Relationship Type="http://schemas.openxmlformats.org/officeDocument/2006/relationships/hyperlink" Id="rId237" Target="https://www.ine.es/jaxiT3/Tabla.htm?t=76156" TargetMode="External" /><Relationship Type="http://schemas.openxmlformats.org/officeDocument/2006/relationships/hyperlink" Id="rId239" Target="https://www.ine.es/metodologia/t25/metodologia_IPC_base_2025.pdf" TargetMode="External" /><Relationship Type="http://schemas.openxmlformats.org/officeDocument/2006/relationships/hyperlink" Id="rId241" Target="https://www.ine.es/metodologia/t25/principales_caracteristicas_base_2025.pdf" TargetMode="External" /><Relationship Type="http://schemas.openxmlformats.org/officeDocument/2006/relationships/hyperlink" Id="rId247" Target="https://www.ine.es/metodologia/t25/t2530p458.pdf" TargetMode="External" /><Relationship Type="http://schemas.openxmlformats.org/officeDocument/2006/relationships/hyperlink" Id="rId273" Target="https://www.lamoncloa.gob.es/serviciosdeprensa/notasprensa/inclusion/Paginas/2025/121225-revalorizacion-pensiones.aspx" TargetMode="External" /><Relationship Type="http://schemas.openxmlformats.org/officeDocument/2006/relationships/hyperlink" Id="rId265" Target="https://www.marxists.org/reference/subject/economics/marshall/bk1ch01.htm" TargetMode="External" /><Relationship Type="http://schemas.openxmlformats.org/officeDocument/2006/relationships/hyperlink" Id="rId299" Target="https://www.nobelprize.org/prizes/economic-sciences/2015/summary/" TargetMode="External" /><Relationship Type="http://schemas.openxmlformats.org/officeDocument/2006/relationships/hyperlink" Id="rId263" Target="https://www.thelatinlibrary.com/cicero/leg3.shtml" TargetMode="External" /><Relationship Type="http://schemas.openxmlformats.org/officeDocument/2006/relationships/hyperlink" Id="rId178"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language>es-ES</dc:language>
  <cp:keywords/>
  <dcterms:created xsi:type="dcterms:W3CDTF">2026-10-17T09:01:43Z</dcterms:created>
  <dcterms:modified xsi:type="dcterms:W3CDTF">2026-10-17T09:01:43Z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3A09</vt:lpwstr>
  </property>
  <property fmtid="{D5CDD505-2E9C-101B-9397-08002B2CF9AE}" pid="4" name="bibliography">
    <vt:lpwstr>C:\Users\vgutierrez\Documents\src\victorgutierrezmarcos.github.io-revision\oposicion\temario\fuentes\3A09\3A09.bib</vt:lpwstr>
  </property>
  <property fmtid="{D5CDD505-2E9C-101B-9397-08002B2CF9AE}" pid="5" name="carpeta">
    <vt:lpwstr>tercer-ejercicio</vt:lpwstr>
  </property>
  <property fmtid="{D5CDD505-2E9C-101B-9397-08002B2CF9AE}" pid="6" name="codigo">
    <vt:lpwstr>3.A.9</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17/10/2026</vt:lpwstr>
  </property>
  <property fmtid="{D5CDD505-2E9C-101B-9397-08002B2CF9AE}" pid="9" name="ejercicio">
    <vt:lpwstr>Tercer ejercicio</vt:lpwstr>
  </property>
  <property fmtid="{D5CDD505-2E9C-101B-9397-08002B2CF9AE}" pid="10" name="fecha">
    <vt:lpwstr>17/10/2026</vt:lpwstr>
  </property>
  <property fmtid="{D5CDD505-2E9C-101B-9397-08002B2CF9AE}" pid="11" name="fecha-cita">
    <vt:lpwstr>2026/10/17</vt:lpwstr>
  </property>
  <property fmtid="{D5CDD505-2E9C-101B-9397-08002B2CF9AE}" pid="12" name="fecha-iso">
    <vt:lpwstr>2026-10-17</vt:lpwstr>
  </property>
  <property fmtid="{D5CDD505-2E9C-101B-9397-08002B2CF9AE}" pid="13" name="graficos-docx">
    <vt:lpwstr>C:\Users\vgutierrez\Documents\src\victorgutierrezmarcos.github.io-revision\oposicion\temario\fuentes\3A09\graficos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40 págs. · Anexos: 5 · Bibliografía: 4</vt:lpwstr>
  </property>
  <property fmtid="{D5CDD505-2E9C-101B-9397-08002B2CF9AE}" pid="17"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18" name="reference-section-title">
    <vt:lpwstr>Bibliografía</vt:lpwstr>
  </property>
  <property fmtid="{D5CDD505-2E9C-101B-9397-08002B2CF9AE}" pid="19" name="resumen">
    <vt:lpwstr>Demanda hicksiana, función de gasto, lema de Shephard e identidad de Roy, integrabilidad, sistemas de demanda (AIDS, Rotterdam) y variación compensatoria.</vt:lpwstr>
  </property>
  <property fmtid="{D5CDD505-2E9C-101B-9397-08002B2CF9AE}" pid="20" name="titulo">
    <vt:lpwstr>Teoría de la demanda del consumidor (II). Dualidad e integrabilidad de las preferencias. Sistemas de demanda utilizados en estudios empíricos. Medidas de cambio en el bienestar.</vt:lpwstr>
  </property>
  <property fmtid="{D5CDD505-2E9C-101B-9397-08002B2CF9AE}" pid="21" name="titulo-seo">
    <vt:lpwstr>Dualidad del consumidor y medidas de bienestar</vt:lpwstr>
  </property>
</Properties>
</file>