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4.png" ContentType="image/png"/>
  <Override PartName="/word/media/rId209.png" ContentType="image/png"/>
  <Override PartName="/word/media/rId77.png" ContentType="image/png"/>
  <Override PartName="/word/media/rId149.png" ContentType="image/png"/>
  <Override PartName="/word/media/rId53.png" ContentType="image/png"/>
  <Override PartName="/word/media/rId118.png" ContentType="image/png"/>
  <Override PartName="/word/media/rId124.png" ContentType="image/png"/>
  <Override PartName="/word/media/rId97.png" ContentType="image/png"/>
  <Override PartName="/word/media/rId90.png" ContentType="image/png"/>
  <Override PartName="/word/media/rId105.png" ContentType="image/png"/>
  <Override PartName="/word/media/rId109.png" ContentType="image/png"/>
  <Override PartName="/word/media/rId129.png" ContentType="image/png"/>
  <Override PartName="/word/media/rId68.png" ContentType="image/png"/>
  <Override PartName="/word/media/rId224.png" ContentType="image/png"/>
  <Override PartName="/word/media/rId24.png" ContentType="image/png"/>
  <Override PartName="/word/media/rId154.png" ContentType="image/png"/>
  <Override PartName="/word/media/rId231.png" ContentType="image/png"/>
  <Override PartName="/word/media/rId64.png" ContentType="image/png"/>
  <Override PartName="/word/media/rId35.png" ContentType="image/png"/>
  <Override PartName="/word/media/rId46.png" ContentType="image/png"/>
  <Override PartName="/word/media/rId164.png" ContentType="image/png"/>
  <Override PartName="/word/media/rId72.png" ContentType="image/png"/>
  <Override PartName="/word/media/rId85.png" ContentType="image/png"/>
  <Override PartName="/word/media/rId185.png" ContentType="image/png"/>
  <Override PartName="/word/media/rId174.png" ContentType="image/png"/>
  <Override PartName="/word/media/rId13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47 págs. · Anexos: 9 · Bibliografía: 5 (PDF)</w:t>
      </w:r>
    </w:p>
    <w:bookmarkStart w:id="22"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IRENA2026CostesGeneracion">
        <w:r>
          <w:rPr>
            <w:rStyle w:val="Hyperlink"/>
            <w:smallCaps/>
          </w:rPr>
          <w:t xml:space="preserve">International Renewable Energy Agency</w:t>
        </w:r>
        <w:r>
          <w:rPr>
            <w:rStyle w:val="Hyperlink"/>
          </w:rPr>
          <w:t xml:space="preserve"> </w:t>
        </w:r>
        <w:r>
          <w:rPr>
            <w:rStyle w:val="Hyperlink"/>
          </w:rPr>
          <w:t xml:space="preserve">2026</w:t>
        </w:r>
      </w:hyperlink>
      <w:r>
        <w:t xml:space="preserve">)</w:t>
      </w:r>
      <w:r>
        <w:t xml:space="preserve">, y cada vez que se ha duplicado la producción mundial acumulada de módulos su precio ha caído alrededor de un 27 %</w:t>
      </w:r>
      <w:r>
        <w:t xml:space="preserve"> </w:t>
      </w:r>
      <w:r>
        <w:t xml:space="preserve">(</w:t>
      </w:r>
      <w:hyperlink w:anchor="ref-FraunhoferISE2026Photovoltaics">
        <w:r>
          <w:rPr>
            <w:rStyle w:val="Hyperlink"/>
            <w:smallCaps/>
          </w:rPr>
          <w:t xml:space="preserve">Fraunhofer Institute for Solar Energy Systems ISE</w:t>
        </w:r>
        <w:r>
          <w:rPr>
            <w:rStyle w:val="Hyperlink"/>
          </w:rPr>
          <w:t xml:space="preserve"> </w:t>
        </w:r>
        <w:r>
          <w:rPr>
            <w:rStyle w:val="Hyperlink"/>
          </w:rPr>
          <w:t xml:space="preserve">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REE2026RenovablesSol">
        <w:r>
          <w:rPr>
            <w:rStyle w:val="Hyperlink"/>
            <w:smallCaps/>
          </w:rPr>
          <w:t xml:space="preserve">Red Eléctrica</w:t>
        </w:r>
        <w:r>
          <w:rPr>
            <w:rStyle w:val="Hyperlink"/>
          </w:rPr>
          <w:t xml:space="preserve"> </w:t>
        </w:r>
        <w:r>
          <w:rPr>
            <w:rStyle w:val="Hyperlink"/>
          </w:rPr>
          <w:t xml:space="preserve">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r>
        <w:rPr>
          <w:rStyle w:val="Referenciaatema"/>
        </w:rPr>
        <w:t xml:space="preserve">[ver tema 3.A.8]</w:t>
      </w:r>
      <w:r>
        <w:t xml:space="preserve">. La microeconomía estudia dos agentes, consumidores y productores,</w:t>
      </w:r>
      <w:r>
        <w:rPr>
          <w:rStyle w:val="FootnoteReference"/>
        </w:rPr>
        <w:footnoteReference w:id="21"/>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r>
        <w:rPr>
          <w:rStyle w:val="Referenciaatema"/>
        </w:rPr>
        <w:t xml:space="preserve">[ver tema 3.A.11]</w:t>
      </w:r>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Dos definiciones básicas. 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 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r>
        <w:rPr>
          <w:rStyle w:val="Referenciaatema"/>
        </w:rPr>
        <w:t xml:space="preserve">[ver tema 3.A.16]</w:t>
      </w:r>
      <w:r>
        <w:t xml:space="preserve">, y su forma (economías de escala, subaditividad, economías de alcance) condiciona cuántas empresas caben en un mercado</w:t>
      </w:r>
      <w:r>
        <w:t xml:space="preserve"> </w:t>
      </w:r>
      <w:r>
        <w:rPr>
          <w:rStyle w:val="Referenciaatema"/>
        </w:rPr>
        <w:t xml:space="preserve">[ver tema 3.A.17]</w:t>
      </w:r>
      <w:r>
        <w:t xml:space="preserve">.</w:t>
      </w:r>
    </w:p>
    <w:p>
      <w:pPr>
        <w:numPr>
          <w:ilvl w:val="1"/>
          <w:numId w:val="1004"/>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numPr>
          <w:ilvl w:val="1"/>
          <w:numId w:val="1004"/>
        </w:numPr>
      </w:pPr>
      <w:r>
        <w:rPr>
          <w:i/>
          <w:iCs/>
        </w:rPr>
        <w:t xml:space="preserve">De política económica</w:t>
      </w:r>
      <w:r>
        <w:t xml:space="preserve">: los reguladores de redes fijan los ingresos permitidos comparando la eficiencia en costes de las empresas</w:t>
      </w:r>
      <w:r>
        <w:t xml:space="preserve"> </w:t>
      </w:r>
      <w:r>
        <w:rPr>
          <w:rStyle w:val="Referenciaatema"/>
        </w:rPr>
        <w:t xml:space="preserve">[ver tema 3.A.20]</w:t>
      </w:r>
      <w:r>
        <w:t xml:space="preserve">; las autoridades de competencia usan los costes para juzgar si un precio es predatorio</w:t>
      </w:r>
      <w:r>
        <w:t xml:space="preserve"> </w:t>
      </w:r>
      <w:r>
        <w:t xml:space="preserve">(</w:t>
      </w:r>
      <w:hyperlink w:anchor="ref-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w:t>
        </w:r>
        <w:r>
          <w:rPr>
            <w:rStyle w:val="Hyperlink"/>
          </w:rPr>
          <w:t xml:space="preserve">1975</w:t>
        </w:r>
      </w:hyperlink>
      <w:r>
        <w:t xml:space="preserve">)</w:t>
      </w:r>
      <w:r>
        <w:t xml:space="preserve">, y las economías de escala explican buena parte del comercio intraindustrial</w:t>
      </w:r>
      <w:r>
        <w:t xml:space="preserve"> </w:t>
      </w:r>
      <w:r>
        <w:rPr>
          <w:rStyle w:val="Referenciaatema"/>
        </w:rPr>
        <w:t xml:space="preserve">[ver tema 3.B.6]</w:t>
      </w:r>
      <w:r>
        <w:t xml:space="preserve">.</w:t>
      </w:r>
    </w:p>
    <w:p>
      <w:pPr>
        <w:keepNext/>
        <w:numPr>
          <w:ilvl w:val="0"/>
          <w:numId w:val="1001"/>
        </w:numPr>
      </w:pPr>
      <w:r>
        <w:rPr>
          <w:b/>
          <w:bCs/>
          <w:i/>
          <w:iCs/>
        </w:rPr>
        <w:t xml:space="preserve">Contextualización</w:t>
      </w:r>
      <w:r>
        <w:t xml:space="preserve">:</w:t>
      </w:r>
    </w:p>
    <w:p>
      <w:pPr>
        <w:numPr>
          <w:ilvl w:val="1"/>
          <w:numId w:val="1005"/>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Wicksell1901Forelasningar">
        <w:r>
          <w:rPr>
            <w:rStyle w:val="Hyperlink"/>
            <w:smallCaps/>
          </w:rPr>
          <w:t xml:space="preserve">Wicksell</w:t>
        </w:r>
        <w:r>
          <w:rPr>
            <w:rStyle w:val="Hyperlink"/>
          </w:rPr>
          <w:t xml:space="preserve"> </w:t>
        </w:r>
        <w:r>
          <w:rPr>
            <w:rStyle w:val="Hyperlink"/>
          </w:rPr>
          <w:t xml:space="preserve">1901</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w:t>
      </w:r>
      <w:r>
        <w:t xml:space="preserve">construye las curvas de coste a corto y a largo plazo que hoy se dibujan.</w:t>
      </w:r>
    </w:p>
    <w:p>
      <w:pPr>
        <w:numPr>
          <w:ilvl w:val="1"/>
          <w:numId w:val="1005"/>
        </w:numPr>
      </w:pPr>
      <w:r>
        <w:t xml:space="preserve">El problema de minimización del coste se formaliza en los años 30 y 40</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Hicks1939Value">
        <w:r>
          <w:rPr>
            <w:rStyle w:val="Hyperlink"/>
            <w:smallCaps/>
          </w:rPr>
          <w:t xml:space="preserve">Hicks</w:t>
        </w:r>
        <w:r>
          <w:rPr>
            <w:rStyle w:val="Hyperlink"/>
          </w:rPr>
          <w:t xml:space="preserve"> </w:t>
        </w:r>
        <w:r>
          <w:rPr>
            <w:rStyle w:val="Hyperlink"/>
          </w:rPr>
          <w:t xml:space="preserve">1939</w:t>
        </w:r>
      </w:hyperlink>
      <w:r>
        <w:t xml:space="preserve">;</w:t>
      </w:r>
      <w:r>
        <w:t xml:space="preserve"> </w:t>
      </w:r>
      <w:hyperlink w:anchor="ref-Samuelson1947Foundations">
        <w:r>
          <w:rPr>
            <w:rStyle w:val="Hyperlink"/>
            <w:smallCaps/>
          </w:rPr>
          <w:t xml:space="preserve">Samuelson</w:t>
        </w:r>
        <w:r>
          <w:rPr>
            <w:rStyle w:val="Hyperlink"/>
          </w:rPr>
          <w:t xml:space="preserve"> </w:t>
        </w:r>
        <w:r>
          <w:rPr>
            <w:rStyle w:val="Hyperlink"/>
          </w:rPr>
          <w:t xml:space="preserve">1947</w:t>
        </w:r>
      </w:hyperlink>
      <w:r>
        <w:t xml:space="preserve">)</w:t>
      </w:r>
      <w:r>
        <w:t xml:space="preserve">. La</w:t>
      </w:r>
      <w:r>
        <w:t xml:space="preserve"> </w:t>
      </w:r>
      <w:r>
        <w:rPr>
          <w:b/>
          <w:bCs/>
        </w:rPr>
        <w:t xml:space="preserve">teoría de la dualidad</w:t>
      </w:r>
      <w:r>
        <w:t xml:space="preserve"> </w:t>
      </w:r>
      <w:r>
        <w:t xml:space="preserve">arranca con</w:t>
      </w:r>
      <w:r>
        <w:t xml:space="preserve"> </w:t>
      </w:r>
      <w:r>
        <w:rPr>
          <w:smallCaps/>
        </w:rPr>
        <w:t xml:space="preserve">Hotelling</w:t>
      </w:r>
      <w:r>
        <w:t xml:space="preserve"> </w:t>
      </w:r>
      <w:r>
        <w:t xml:space="preserve">(</w:t>
      </w:r>
      <w:hyperlink w:anchor="ref-Hotelling1932Edgeworth">
        <w:r>
          <w:rPr>
            <w:rStyle w:val="Hyperlink"/>
          </w:rPr>
          <w:t xml:space="preserve">1932</w:t>
        </w:r>
      </w:hyperlink>
      <w:r>
        <w:t xml:space="preserve">)</w:t>
      </w:r>
      <w:r>
        <w:t xml:space="preserve">, que obtiene la oferta y las demandas de factores derivando la función de beneficio;</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 y la generalizan</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Diewert1971Application">
        <w:r>
          <w:rPr>
            <w:rStyle w:val="Hyperlink"/>
          </w:rPr>
          <w:t xml:space="preserve">1971</w:t>
        </w:r>
      </w:hyperlink>
      <w:r>
        <w:t xml:space="preserve">,</w:t>
      </w:r>
      <w:r>
        <w:t xml:space="preserve"> </w:t>
      </w:r>
      <w:hyperlink w:anchor="ref-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McFadden1978Cost">
        <w:r>
          <w:rPr>
            <w:rStyle w:val="Hyperlink"/>
          </w:rPr>
          <w:t xml:space="preserve">1978</w:t>
        </w:r>
      </w:hyperlink>
      <w:r>
        <w:t xml:space="preserve">)</w:t>
      </w:r>
      <w:r>
        <w:t xml:space="preserve">.</w:t>
      </w:r>
    </w:p>
    <w:p>
      <w:pPr>
        <w:numPr>
          <w:ilvl w:val="1"/>
          <w:numId w:val="1005"/>
        </w:numPr>
      </w:pPr>
      <w:r>
        <w:t xml:space="preserve">La dualidad abre la puerta a la estimación:</w:t>
      </w:r>
      <w:r>
        <w:t xml:space="preserve"> </w:t>
      </w: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w:t>
      </w:r>
      <w:r>
        <w:t xml:space="preserve">estima una función de costes para la electricidad,</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X3912afbe19fb4eb5a412d0575e10cb0aa993b54">
        <w:r>
          <w:rPr>
            <w:rStyle w:val="Hyperlink"/>
          </w:rPr>
          <w:t xml:space="preserve">1973</w:t>
        </w:r>
      </w:hyperlink>
      <w:r>
        <w:t xml:space="preserve">)</w:t>
      </w:r>
      <w:r>
        <w:t xml:space="preserve"> </w:t>
      </w:r>
      <w:r>
        <w:t xml:space="preserve">proponen la forma translogarítmica y</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w:t>
      </w:r>
      <w:r>
        <w:t xml:space="preserve">la aplican a los costes. En paralelo,</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w:t>
        </w:r>
        <w:r>
          <w:rPr>
            <w:rStyle w:val="Hyperlink"/>
          </w:rPr>
          <w:t xml:space="preserve">1977</w:t>
        </w:r>
      </w:hyperlink>
      <w:r>
        <w:t xml:space="preserve">;</w:t>
      </w:r>
      <w:r>
        <w:t xml:space="preserve"> </w:t>
      </w:r>
      <w:hyperlink w:anchor="ref-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w:t>
        </w:r>
        <w:r>
          <w:rPr>
            <w:rStyle w:val="Hyperlink"/>
          </w:rPr>
          <w:t xml:space="preserve">1977</w:t>
        </w:r>
      </w:hyperlink>
      <w:r>
        <w:t xml:space="preserve">)</w:t>
      </w:r>
      <w:r>
        <w:t xml:space="preserve"> </w:t>
      </w:r>
      <w:r>
        <w:t xml:space="preserve">y el análisis envolvente de datos</w:t>
      </w:r>
      <w:r>
        <w:t xml:space="preserve"> </w:t>
      </w:r>
      <w:r>
        <w:t xml:space="preserve">(</w:t>
      </w:r>
      <w:hyperlink w:anchor="ref-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w:t>
        </w:r>
        <w:r>
          <w:rPr>
            <w:rStyle w:val="Hyperlink"/>
          </w:rPr>
          <w:t xml:space="preserve">1978</w:t>
        </w:r>
      </w:hyperlink>
      <w:r>
        <w:t xml:space="preserve">)</w:t>
      </w:r>
      <w:r>
        <w:t xml:space="preserve">.</w:t>
      </w:r>
    </w:p>
    <w:p>
      <w:pPr>
        <w:numPr>
          <w:ilvl w:val="1"/>
          <w:numId w:val="1005"/>
        </w:numPr>
      </w:pPr>
      <w:r>
        <w:t xml:space="preserve">Desde la organización industrial,</w:t>
      </w:r>
      <w:r>
        <w:t xml:space="preserve"> </w:t>
      </w: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 que las empresas minimicen el coste.</w:t>
      </w:r>
    </w:p>
    <w:p>
      <w:pPr>
        <w:numPr>
          <w:ilvl w:val="1"/>
          <w:numId w:val="1005"/>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06"/>
        </w:numPr>
      </w:pPr>
      <w:r>
        <w:t xml:space="preserve">¿Cómo elige la empresa la forma más barata de producir y qué información contiene la función de costes que resulta?</w:t>
      </w:r>
    </w:p>
    <w:p>
      <w:pPr>
        <w:numPr>
          <w:ilvl w:val="1"/>
          <w:numId w:val="1006"/>
        </w:numPr>
      </w:pPr>
      <w:r>
        <w:t xml:space="preserve">¿Qué relación hay entre maximizar el beneficio, minimizar el coste y la tecnología? ¿En qué sentido son «duales»? ¿Basta conocer los costes para conocer la tecnología?</w:t>
      </w:r>
    </w:p>
    <w:p>
      <w:pPr>
        <w:numPr>
          <w:ilvl w:val="1"/>
          <w:numId w:val="1006"/>
        </w:numPr>
      </w:pPr>
      <w:r>
        <w:t xml:space="preserve">¿Cómo responden los costes y la demanda de factores a la producción, a los precios de los factores y al plazo?</w:t>
      </w:r>
    </w:p>
    <w:p>
      <w:pPr>
        <w:numPr>
          <w:ilvl w:val="1"/>
          <w:numId w:val="1006"/>
        </w:numPr>
      </w:pPr>
      <w:r>
        <w:t xml:space="preserve">¿Cómo se estiman los costes y se mide la eficiencia con datos?</w:t>
      </w:r>
    </w:p>
    <w:p>
      <w:pPr>
        <w:numPr>
          <w:ilvl w:val="1"/>
          <w:numId w:val="1006"/>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07"/>
        </w:numPr>
      </w:pPr>
      <w:r>
        <w:rPr>
          <w:b/>
          <w:bCs/>
        </w:rPr>
        <w:t xml:space="preserve">I. «Dualidad» entre maximización del beneficio y minimización del coste</w:t>
      </w:r>
      <w:r>
        <w:t xml:space="preserve">:</w:t>
      </w:r>
    </w:p>
    <w:p>
      <w:pPr>
        <w:numPr>
          <w:ilvl w:val="2"/>
          <w:numId w:val="1008"/>
        </w:numPr>
      </w:pPr>
      <w:r>
        <w:t xml:space="preserve">partiremos de los ingredientes comunes (I.1);</w:t>
      </w:r>
    </w:p>
    <w:p>
      <w:pPr>
        <w:numPr>
          <w:ilvl w:val="2"/>
          <w:numId w:val="1008"/>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(I.2);</w:t>
      </w:r>
    </w:p>
    <w:p>
      <w:pPr>
        <w:numPr>
          <w:ilvl w:val="2"/>
          <w:numId w:val="1008"/>
        </w:numPr>
      </w:pPr>
      <w:r>
        <w:t xml:space="preserve">y estableceremos las relaciones de «dualidad» entre los dos problemas y con la tecnología (I.3).</w:t>
      </w:r>
    </w:p>
    <w:p>
      <w:pPr>
        <w:keepNext/>
        <w:numPr>
          <w:ilvl w:val="1"/>
          <w:numId w:val="1007"/>
        </w:numPr>
      </w:pPr>
      <w:r>
        <w:rPr>
          <w:b/>
          <w:bCs/>
        </w:rPr>
        <w:t xml:space="preserve">II. Análisis de los costes: estática comparativa, plazos y aplicaciones empíricas</w:t>
      </w:r>
      <w:r>
        <w:t xml:space="preserve">:</w:t>
      </w:r>
    </w:p>
    <w:p>
      <w:pPr>
        <w:numPr>
          <w:ilvl w:val="2"/>
          <w:numId w:val="1009"/>
        </w:numPr>
      </w:pPr>
      <w:r>
        <w:t xml:space="preserve">veremos cómo responden las demandas de factores y la función de costes a cambios en la producción y en los precios de los factores (II.1), y pasaremos del largo al corto plazo (II.2);</w:t>
      </w:r>
    </w:p>
    <w:p>
      <w:pPr>
        <w:numPr>
          <w:ilvl w:val="2"/>
          <w:numId w:val="1009"/>
        </w:numPr>
      </w:pPr>
      <w:r>
        <w:t xml:space="preserve">y cómo se estiman esas funciones de costes con datos (II.3), qué dicen los datos sobre las economías de escala (II.4) y cómo se mide la eficiencia de las empresas (II.5).</w:t>
      </w:r>
    </w:p>
    <w:p>
      <w:pPr>
        <w:numPr>
          <w:ilvl w:val="1"/>
          <w:numId w:val="1007"/>
        </w:numPr>
      </w:pPr>
      <w:r>
        <w:rPr>
          <w:b/>
          <w:bCs/>
        </w:rPr>
        <w:t xml:space="preserve">III. Extensiones y críticas</w:t>
      </w:r>
      <w:r>
        <w:t xml:space="preserve">: qué implica la forma de los costes para la estructura del mercado (III.1), las economías externas (III.2), las críticas de la organización industrial a sus supuestos (III.3) y otras extensiones (III.4).</w:t>
      </w:r>
    </w:p>
    <w:p>
      <w:pPr>
        <w:numPr>
          <w:ilvl w:val="0"/>
          <w:numId w:val="1000"/>
        </w:numPr>
      </w:pPr>
      <w:r>
        <w:t xml:space="preserve">Las aplicaciones empíricas van con el análisis de los costes porque lo que se estima son las mismas funciones de costes que caracteriza el bloque II: su elasticidad respecto a la producción (las economías de escala), sus derivadas respecto a los precios de los factores (las participaciones y la sustitución) y la distancia entre el coste observado y el mínimo (la eficiencia). El bloque III abre después la teoría hacia el mercado, sus extensiones y sus críticas, que los datos del II ayudan a valorar.</w:t>
      </w:r>
    </w:p>
    <w:p>
      <w:pPr>
        <w:pStyle w:val="Esquema"/>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Châtelier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pPr>
      <w:r>
        <w:rPr>
          <w:b/>
          <w:bCs/>
        </w:rPr>
        <w:t xml:space="preserve">Nota al opositor. </w:t>
      </w:r>
      <w:r>
        <w:t xml:space="preserve">La exposición va de los dos problemas de la empresa y su «dualidad» (I) a cómo cambian los costes y cómo se estiman (II), y a las extensiones y críticas de la teoría (III). Reparto del cante: introducción, 2′30″; I, 9′ (I.1, 1′30″; I.2, 5′; I.3, 2′30″); II, 14′ (II.1, 4′; II.2, 4′30″; II.3, 2′; II.4, 1′30″; II.5, 2′); III, 3′30″ (III.1 y III.2, 1′; III.3, 2′; III.4, 0′30″), y conclusión, 1′. El bloque I se centra en la minimización del coste, porque el título solo pide costes; el II es el centro de la exposición, y el III va rápido. Conviene escribir este esquema en la pizarra al empezar.</w:t>
      </w:r>
    </w:p>
    <w:bookmarkEnd w:id="22"/>
    <w:bookmarkStart w:id="83" w:name="X40737bd3bc96bf1fc235bdfb2e13e1e645eef9e"/>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II 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A),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B) y el problema dual en sentido estricto (anexo D) son de profundización.</w:t>
      </w:r>
    </w:p>
    <w:p>
      <w:pPr>
        <w:numPr>
          <w:ilvl w:val="0"/>
          <w:numId w:val="1010"/>
        </w:numPr>
      </w:pPr>
      <w:r>
        <w:t xml:space="preserve">Una vez planteadas las preguntas clave, pasamos a analizar los dos problemas de la empresa. 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32" w:name="Xadf3614fecccd08a3ec2ecd90481c1f5511b388"/>
    <w:p>
      <w:pPr>
        <w:pStyle w:val="Heading2"/>
      </w:pPr>
      <w:r>
        <w:t xml:space="preserve">I.1.</w:t>
      </w:r>
      <w:r>
        <w:t xml:space="preserve"> </w:t>
      </w:r>
      <w:r>
        <w:t xml:space="preserve">Ingredientes comunes del problema primal y el problema dual</w:t>
      </w:r>
    </w:p>
    <w:p>
      <w:pPr>
        <w:numPr>
          <w:ilvl w:val="0"/>
          <w:numId w:val="1011"/>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23"/>
      </w:r>
      <w:r>
        <w:t xml:space="preserve"> </w:t>
      </w:r>
      <w:r>
        <w:t xml:space="preserve">pero deja muchos eficientes: todos los puntos de una isocuanta</w:t>
      </w:r>
      <w:r>
        <w:t xml:space="preserve"> </w:t>
      </w:r>
      <w:r>
        <w:rPr>
          <w:rStyle w:val="Referenciaatema"/>
        </w:rPr>
        <w:t xml:space="preserve">[ver tema 3.A.11]</w:t>
      </w:r>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1"/>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1).</w:t>
      </w:r>
    </w:p>
    <w:bookmarkStart w:id="27" w:name="fig:esquema-ingredientes-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 title="" id="25" name="Picture"/>
            <a:graphic>
              <a:graphicData uri="http://schemas.openxmlformats.org/drawingml/2006/picture">
                <pic:pic>
                  <pic:nvPicPr>
                    <pic:cNvPr descr="C:\Users\vgutierrez\Documents\src\victorgutierrezmarcos.github.io-revision\oposicion\temario\fuentes\3A12\graficos/esquema-ingredientes-empresa.png" id="26" name="Picture"/>
                    <pic:cNvPicPr>
                      <a:picLocks noChangeArrowheads="1" noChangeAspect="1"/>
                    </pic:cNvPicPr>
                  </pic:nvPicPr>
                  <pic:blipFill>
                    <a:blip r:embed="rId24"/>
                    <a:stretch>
                      <a:fillRect/>
                    </a:stretch>
                  </pic:blipFill>
                  <pic:spPr bwMode="auto">
                    <a:xfrm>
                      <a:off x="0" y="0"/>
                      <a:ext cx="5670550" cy="1814371"/>
                    </a:xfrm>
                    <a:prstGeom prst="rect">
                      <a:avLst/>
                    </a:prstGeom>
                    <a:noFill/>
                    <a:ln w="9525">
                      <a:noFill/>
                      <a:headEnd/>
                      <a:tailEnd/>
                    </a:ln>
                  </pic:spPr>
                </pic:pic>
              </a:graphicData>
            </a:graphic>
          </wp:inline>
        </w:drawing>
      </w:r>
    </w:p>
    <w:bookmarkEnd w:id="2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w:t>
      </w:r>
    </w:p>
    <w:p>
      <w:pPr>
        <w:keepNext/>
        <w:numPr>
          <w:ilvl w:val="0"/>
          <w:numId w:val="1012"/>
        </w:numPr>
      </w:pPr>
      <w:r>
        <w:t xml:space="preserve">Recorremos el esquema parte por parte:</w:t>
      </w:r>
    </w:p>
    <w:p>
      <w:pPr>
        <w:numPr>
          <w:ilvl w:val="1"/>
          <w:numId w:val="1013"/>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r>
        <w:rPr>
          <w:rStyle w:val="Referenciaatema"/>
        </w:rPr>
        <w:t xml:space="preserve">[ver tema 3.A.11]</w:t>
      </w:r>
      <w:r>
        <w:t xml:space="preserve">.</w:t>
      </w:r>
    </w:p>
    <w:p>
      <w:pPr>
        <w:keepNext/>
        <w:numPr>
          <w:ilvl w:val="1"/>
          <w:numId w:val="1013"/>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 Sus propiedades:</w:t>
      </w:r>
    </w:p>
    <w:p>
      <w:pPr>
        <w:numPr>
          <w:ilvl w:val="2"/>
          <w:numId w:val="1014"/>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14"/>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14"/>
        </w:numPr>
      </w:pPr>
      <w:r>
        <w:t xml:space="preserve">es</w:t>
      </w:r>
      <w:r>
        <w:t xml:space="preserve"> </w:t>
      </w:r>
      <w:r>
        <w:rPr>
          <w:i/>
          <w:iCs/>
        </w:rPr>
        <w:t xml:space="preserve">no decreciente</w:t>
      </w:r>
      <w:r>
        <w:t xml:space="preserve"> </w:t>
      </w:r>
      <w:r>
        <w:t xml:space="preserve">en los factores, por la eliminación gratuita;</w:t>
      </w:r>
    </w:p>
    <w:p>
      <w:pPr>
        <w:numPr>
          <w:ilvl w:val="2"/>
          <w:numId w:val="1014"/>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28"/>
      </w:r>
    </w:p>
    <w:p>
      <w:pPr>
        <w:numPr>
          <w:ilvl w:val="2"/>
          <w:numId w:val="1014"/>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29"/>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0"/>
      </w:r>
      <w:r>
        <w:t xml:space="preserve"> </w:t>
      </w:r>
      <w:r>
        <w:t xml:space="preserve">para el del coste basta la cuasiconcavidad, y por eso la función de costes existe con cualquier tipo de rendimientos (I.2).</w:t>
      </w:r>
    </w:p>
    <w:p>
      <w:pPr>
        <w:numPr>
          <w:ilvl w:val="1"/>
          <w:numId w:val="1013"/>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2"/>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1).</w:t>
      </w:r>
    </w:p>
    <w:bookmarkStart w:id="31" w:name="tab: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Maximización del beneficio</w:t>
            </w:r>
          </w:p>
        </w:tc>
        <w:tc>
          <w:tcPr/>
          <w:p>
            <w:pPr>
              <w:pStyle w:val="Celdatceeazulpalido"/>
              <w:jc w:val="left"/>
            </w:pPr>
            <w:r>
              <w:rPr>
                <w:b/>
                <w:bCs/>
              </w:rPr>
              <w:t xml:space="preserve">Minimización del coste</w:t>
            </w:r>
          </w:p>
        </w:tc>
      </w:tr>
      <w:t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1"/>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MatePerez2007Microeconomia">
        <w:r>
          <w:rPr>
            <w:rStyle w:val="Hyperlink"/>
            <w:i/>
            <w:iCs/>
          </w:rPr>
          <w:t xml:space="preserve">2007, cap. 7</w:t>
        </w:r>
      </w:hyperlink>
      <w:r>
        <w:rPr>
          <w:i/>
          <w:iCs/>
        </w:rPr>
        <w:t xml:space="preserve">)</w:t>
      </w:r>
      <w:r>
        <w:rPr>
          <w:i/>
          <w:iCs/>
        </w:rPr>
        <w:t xml:space="preserve">.</w:t>
      </w:r>
    </w:p>
    <w:p>
      <w:pPr>
        <w:numPr>
          <w:ilvl w:val="0"/>
          <w:numId w:val="1015"/>
        </w:numPr>
      </w:pPr>
      <w:r>
        <w:t xml:space="preserve">A diferencia del consumidor</w:t>
      </w:r>
      <w:r>
        <w:t xml:space="preserve"> </w:t>
      </w:r>
      <w:r>
        <w:rPr>
          <w:rStyle w:val="Referenciaatema"/>
        </w:rPr>
        <w:t xml:space="preserve">[ver tema 3.A.9]</w:t>
      </w:r>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 es correcto, pero poco habitual, y se resume en el anexo D. En la teoría de la empresa es más habitual, y más útil, la «dualidad» en sentido amplio entre maximizar el beneficio y minimizar el coste. Es la que seguimos.</w:t>
      </w:r>
    </w:p>
    <w:bookmarkEnd w:id="32"/>
    <w:bookmarkStart w:id="62" w:name="problemas-primal-y-dual"/>
    <w:p>
      <w:pPr>
        <w:pStyle w:val="Heading2"/>
      </w:pPr>
      <w:r>
        <w:t xml:space="preserve">I.2.</w:t>
      </w:r>
      <w:r>
        <w:t xml:space="preserve"> </w:t>
      </w:r>
      <w:r>
        <w:t xml:space="preserve">Problemas primal y dual</w:t>
      </w:r>
    </w:p>
    <w:p>
      <w:pPr>
        <w:numPr>
          <w:ilvl w:val="0"/>
          <w:numId w:val="1016"/>
        </w:numPr>
      </w:pPr>
      <w:r>
        <w:t xml:space="preserve">Con los ingredientes ya definidos, planteamos primero la maximización del beneficio y después la minimización del coste.</w:t>
      </w:r>
    </w:p>
    <w:bookmarkStart w:id="43" w:name="Xa841bf3ea16b9bb67b8ff55789e5741d292fadb"/>
    <w:p>
      <w:pPr>
        <w:pStyle w:val="Heading3"/>
      </w:pPr>
      <w:r>
        <w:t xml:space="preserve">I.2.1.</w:t>
      </w:r>
      <w:r>
        <w:t xml:space="preserve"> </w:t>
      </w:r>
      <w:r>
        <w:t xml:space="preserve">Problema de maximización del beneficio en una etapa</w:t>
      </w:r>
    </w:p>
    <w:bookmarkStart w:id="33" w:name="a-idea"/>
    <w:p>
      <w:pPr>
        <w:pStyle w:val="Heading4"/>
      </w:pPr>
      <w:r>
        <w:t xml:space="preserve">a) Idea</w:t>
      </w:r>
    </w:p>
    <w:p>
      <w:pPr>
        <w:numPr>
          <w:ilvl w:val="0"/>
          <w:numId w:val="1017"/>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33"/>
    <w:bookmarkStart w:id="41" w:name="b-modelo"/>
    <w:p>
      <w:pPr>
        <w:pStyle w:val="Heading4"/>
      </w:pPr>
      <w:r>
        <w:t xml:space="preserve">b) Modelo</w:t>
      </w:r>
    </w:p>
    <w:bookmarkStart w:id="34" w:name="i-supuestos"/>
    <w:p>
      <w:pPr>
        <w:pStyle w:val="Heading5"/>
      </w:pPr>
      <w:r>
        <w:t xml:space="preserve">i) Supuestos</w:t>
      </w:r>
    </w:p>
    <w:p>
      <w:pPr>
        <w:numPr>
          <w:ilvl w:val="0"/>
          <w:numId w:val="1018"/>
        </w:numPr>
      </w:pPr>
      <w:r>
        <w:t xml:space="preserve">Los ingredientes de I.1,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34"/>
    <w:bookmarkStart w:id="39" w:name="ii-desarrollo"/>
    <w:p>
      <w:pPr>
        <w:pStyle w:val="Heading5"/>
      </w:pPr>
      <w:r>
        <w:t xml:space="preserve">ii) Desarrollo</w:t>
      </w:r>
    </w:p>
    <w:p>
      <w:pPr>
        <w:numPr>
          <w:ilvl w:val="0"/>
          <w:numId w:val="1019"/>
        </w:numPr>
      </w:pPr>
      <w:r>
        <w:rPr>
          <w:i/>
          <w:iCs/>
        </w:rPr>
        <w:t xml:space="preserve">Analítico</w:t>
      </w:r>
      <w:r>
        <w:t xml:space="preserve">. La empresa elige directamente los factores,</w:t>
      </w:r>
      <w:r>
        <w:t xml:space="preserve"> </w:t>
      </w:r>
      <w:r>
        <w:rPr>
          <w:i/>
          <w:iCs/>
        </w:rPr>
        <w:t xml:space="preserve">en una etapa</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20"/>
        </w:numPr>
      </w:pPr>
      <w:r>
        <w:rPr>
          <w:i/>
          <w:iCs/>
        </w:rPr>
        <w:t xml:space="preserve">Condiciones de primer orden</w:t>
      </w:r>
      <w:r>
        <w:t xml:space="preserve">: 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A). En una solución interior,</w:t>
      </w:r>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20"/>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C).</w:t>
      </w:r>
    </w:p>
    <w:p>
      <w:pPr>
        <w:numPr>
          <w:ilvl w:val="1"/>
          <w:numId w:val="1020"/>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La maximización del beneficio de una empresa precio-aceptante exige, por tanto, rendimientos decrecientes, al menos a partir de cierta escala.</w:t>
      </w:r>
    </w:p>
    <w:p>
      <w:pPr>
        <w:numPr>
          <w:ilvl w:val="0"/>
          <w:numId w:val="1019"/>
        </w:numPr>
      </w:pPr>
      <w:r>
        <w:rPr>
          <w:i/>
          <w:iCs/>
        </w:rPr>
        <w:t xml:space="preserve">Gráfico</w:t>
      </w:r>
      <w:r>
        <w:t xml:space="preserve">, con un solo factor (gráfico 2).</w:t>
      </w:r>
    </w:p>
    <w:p>
      <w:pPr>
        <w:pStyle w:val="Cajadeanotacio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 la demanda del factor</w:t>
      </w:r>
      <w:r>
        <w:t xml:space="preserve"> </w:t>
      </w:r>
      <m:oMath>
        <m:r>
          <m:t>z</m:t>
        </m:r>
        <m:d>
          <m:dPr>
            <m:begChr m:val="("/>
            <m:sepChr m:val=""/>
            <m:endChr m:val=")"/>
            <m:grow/>
          </m:dPr>
          <m:e>
            <m:r>
              <m:t>p</m:t>
            </m:r>
            <m:r>
              <m:rPr>
                <m:sty m:val="p"/>
              </m:rPr>
              <m:t>,</m:t>
            </m:r>
            <m:r>
              <m:t>w</m:t>
            </m:r>
          </m:e>
        </m:d>
      </m:oMath>
      <w:r>
        <w:t xml:space="preserve">, 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 </w:t>
      </w:r>
      <w:r>
        <w:t xml:space="preserve">y 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38" w:name="fig: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 title="" id="36" name="Picture"/>
            <a:graphic>
              <a:graphicData uri="http://schemas.openxmlformats.org/drawingml/2006/picture">
                <pic:pic>
                  <pic:nvPicPr>
                    <pic:cNvPr descr="C:\Users\vgutierrez\Documents\src\victorgutierrezmarcos.github.io-revision\oposicion\temario\fuentes\3A12\graficos/mb-un-factor.png" id="37" name="Picture"/>
                    <pic:cNvPicPr>
                      <a:picLocks noChangeArrowheads="1" noChangeAspect="1"/>
                    </pic:cNvPicPr>
                  </pic:nvPicPr>
                  <pic:blipFill>
                    <a:blip r:embed="rId35"/>
                    <a:stretch>
                      <a:fillRect/>
                    </a:stretch>
                  </pic:blipFill>
                  <pic:spPr bwMode="auto">
                    <a:xfrm>
                      <a:off x="0" y="0"/>
                      <a:ext cx="2984500" cy="2466282"/>
                    </a:xfrm>
                    <a:prstGeom prst="rect">
                      <a:avLst/>
                    </a:prstGeom>
                    <a:noFill/>
                    <a:ln w="9525">
                      <a:noFill/>
                      <a:headEnd/>
                      <a:tailEnd/>
                    </a:ln>
                  </pic:spPr>
                </pic:pic>
              </a:graphicData>
            </a:graphic>
          </wp:inline>
        </w:drawing>
      </w:r>
    </w:p>
    <w:bookmarkEnd w:id="38"/>
    <w:p>
      <w:pPr>
        <w:pStyle w:val="Piedeimagen"/>
      </w:pPr>
      <w:r>
        <w:t xml:space="preserve">Fuente: elaboración propia a partir de</w:t>
      </w:r>
      <w:r>
        <w:t xml:space="preserve"> </w:t>
      </w:r>
      <w:r>
        <w:rPr>
          <w:smallCaps/>
        </w:rPr>
        <w:t xml:space="preserve">Pérez Domínguez</w:t>
      </w:r>
      <w:r>
        <w:t xml:space="preserve"> </w:t>
      </w:r>
      <w:r>
        <w:t xml:space="preserve">(</w:t>
      </w:r>
      <w:hyperlink w:anchor="ref-Perez2004Microeconomia">
        <w:r>
          <w:rPr>
            <w:rStyle w:val="Hyperlink"/>
          </w:rPr>
          <w:t xml:space="preserve">2004, 23</w:t>
        </w:r>
      </w:hyperlink>
      <w:r>
        <w:t xml:space="preserve">)</w:t>
      </w:r>
      <w:r>
        <w:t xml:space="preserve">.</w:t>
      </w:r>
    </w:p>
    <w:bookmarkEnd w:id="39"/>
    <w:bookmarkStart w:id="40" w:name="X510f324870f0816c73b3b00aa9592f64a0dea51"/>
    <w:p>
      <w:pPr>
        <w:pStyle w:val="Heading5"/>
      </w:pPr>
      <w:r>
        <w:t xml:space="preserve">iii) Implicaciones: demandas no condicionadas, oferta y función de beneficio</w:t>
      </w:r>
    </w:p>
    <w:p>
      <w:pPr>
        <w:numPr>
          <w:ilvl w:val="0"/>
          <w:numId w:val="1021"/>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2004, 26</w:t>
        </w:r>
      </w:hyperlink>
      <w:r>
        <w:t xml:space="preserve">)</w:t>
      </w:r>
      <w:r>
        <w:t xml:space="preserve">:</w:t>
      </w:r>
    </w:p>
    <w:p>
      <w:pPr>
        <w:numPr>
          <w:ilvl w:val="1"/>
          <w:numId w:val="1022"/>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2"/>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2"/>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1"/>
        </w:numPr>
      </w:pPr>
      <w:r>
        <w:t xml:space="preserve">Sustituyéndolas en el objetivo se obtiene la función valor del problema, la</w:t>
      </w:r>
      <w:r>
        <w:t xml:space="preserve"> </w:t>
      </w:r>
      <w:r>
        <w:rPr>
          <w:b/>
          <w:bCs/>
        </w:rPr>
        <w:t xml:space="preserve">función de beneficio</w:t>
      </w:r>
      <w:r>
        <w:t xml:space="preserve">:</w:t>
      </w:r>
    </w:p>
    <w:p>
      <w:pPr>
        <w:pStyle w:val="Funcionclave"/>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2004, 24</w:t>
        </w:r>
      </w:hyperlink>
      <w:r>
        <w:t xml:space="preserve">)</w:t>
      </w:r>
      <w:r>
        <w:t xml:space="preserve">:</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23"/>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23"/>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Hotelling1932Edgeworth">
        <w:r>
          <w:rPr>
            <w:rStyle w:val="Hyperlink"/>
            <w:smallCaps/>
          </w:rPr>
          <w:t xml:space="preserve">Hotelling</w:t>
        </w:r>
        <w:r>
          <w:rPr>
            <w:rStyle w:val="Hyperlink"/>
          </w:rPr>
          <w:t xml:space="preserve"> </w:t>
        </w:r>
        <w:r>
          <w:rPr>
            <w:rStyle w:val="Hyperlink"/>
          </w:rPr>
          <w:t xml:space="preserve">1932</w:t>
        </w:r>
      </w:hyperlink>
      <w:r>
        <w:t xml:space="preserve">)</w:t>
      </w:r>
      <w:r>
        <w:t xml:space="preserve">: si</w:t>
      </w:r>
      <w:r>
        <w:t xml:space="preserve"> </w:t>
      </w:r>
      <m:oMath>
        <m:r>
          <m:t>B</m:t>
        </m:r>
      </m:oMath>
      <w:r>
        <w:t xml:space="preserve"> </w:t>
      </w:r>
      <w:r>
        <w:t xml:space="preserve">es diferenciable,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B);</w:t>
      </w:r>
    </w:p>
    <w:p>
      <w:pPr>
        <w:numPr>
          <w:ilvl w:val="1"/>
          <w:numId w:val="1023"/>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24"/>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24"/>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26"/>
        </w:numPr>
      </w:pPr>
      <w:r>
        <w:t xml:space="preserve">la oferta nunca tiene pendiente negativa (</w:t>
      </w:r>
      <w:r>
        <w:rPr>
          <w:i/>
          <w:iCs/>
        </w:rPr>
        <w:t xml:space="preserve">ley de la oferta</w:t>
      </w:r>
      <w:r>
        <w:t xml:space="preserve">);</w:t>
      </w:r>
    </w:p>
    <w:p>
      <w:pPr>
        <w:numPr>
          <w:ilvl w:val="3"/>
          <w:numId w:val="1026"/>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r>
        <w:rPr>
          <w:rStyle w:val="Referenciaatema"/>
        </w:rPr>
        <w:t xml:space="preserve">[ver tema 3.A.8]</w:t>
      </w:r>
      <w:r>
        <w:t xml:space="preserve">. Estas demandas son la base de la demanda derivada de trabajo</w:t>
      </w:r>
      <w:r>
        <w:t xml:space="preserve"> </w:t>
      </w:r>
      <w:r>
        <w:rPr>
          <w:rStyle w:val="Referenciaatema"/>
        </w:rPr>
        <w:t xml:space="preserve">[ver tema 3.A.25]</w:t>
      </w:r>
      <w:r>
        <w:t xml:space="preserve">.</w:t>
      </w:r>
    </w:p>
    <w:bookmarkEnd w:id="40"/>
    <w:bookmarkEnd w:id="41"/>
    <w:bookmarkStart w:id="42" w:name="c-valoración"/>
    <w:p>
      <w:pPr>
        <w:pStyle w:val="Heading4"/>
      </w:pPr>
      <w:r>
        <w:t xml:space="preserve">c) Valoración</w:t>
      </w:r>
    </w:p>
    <w:p>
      <w:pPr>
        <w:numPr>
          <w:ilvl w:val="0"/>
          <w:numId w:val="1027"/>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42"/>
    <w:bookmarkEnd w:id="43"/>
    <w:bookmarkStart w:id="61" w:name="problema-dual-minimización-del-coste"/>
    <w:p>
      <w:pPr>
        <w:pStyle w:val="Heading3"/>
      </w:pPr>
      <w:r>
        <w:t xml:space="preserve">I.2.2.</w:t>
      </w:r>
      <w:r>
        <w:t xml:space="preserve"> </w:t>
      </w:r>
      <w:r>
        <w:t xml:space="preserve">Problema dual: minimización del coste</w:t>
      </w:r>
    </w:p>
    <w:bookmarkStart w:id="44" w:name="a-idea-1"/>
    <w:p>
      <w:pPr>
        <w:pStyle w:val="Heading4"/>
      </w:pPr>
      <w:r>
        <w:t xml:space="preserve">a) Idea</w:t>
      </w:r>
    </w:p>
    <w:p>
      <w:pPr>
        <w:numPr>
          <w:ilvl w:val="0"/>
          <w:numId w:val="1028"/>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w:t>
      </w:r>
    </w:p>
    <w:bookmarkEnd w:id="44"/>
    <w:bookmarkStart w:id="59" w:name="b-modelo-1"/>
    <w:p>
      <w:pPr>
        <w:pStyle w:val="Heading4"/>
      </w:pPr>
      <w:r>
        <w:t xml:space="preserve">b) Modelo</w:t>
      </w:r>
    </w:p>
    <w:bookmarkStart w:id="45" w:name="i-supuestos-1"/>
    <w:p>
      <w:pPr>
        <w:pStyle w:val="Heading5"/>
      </w:pPr>
      <w:r>
        <w:t xml:space="preserve">i) Supuestos</w:t>
      </w:r>
    </w:p>
    <w:p>
      <w:pPr>
        <w:numPr>
          <w:ilvl w:val="0"/>
          <w:numId w:val="1029"/>
        </w:numPr>
      </w:pPr>
      <w:r>
        <w:t xml:space="preserve">Los ingredientes de I.1: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45"/>
    <w:bookmarkStart w:id="50" w:name="ii-desarrollo-1"/>
    <w:p>
      <w:pPr>
        <w:pStyle w:val="Heading5"/>
      </w:pPr>
      <w:r>
        <w:t xml:space="preserve">ii) Desarrollo</w:t>
      </w:r>
    </w:p>
    <w:p>
      <w:pPr>
        <w:numPr>
          <w:ilvl w:val="0"/>
          <w:numId w:val="1030"/>
        </w:numPr>
      </w:pPr>
      <w:r>
        <w:rPr>
          <w:i/>
          <w:iCs/>
        </w:rPr>
        <w:t xml:space="preserve">Analítico</w:t>
      </w:r>
      <w:r>
        <w:t xml:space="preserve">. El</w:t>
      </w:r>
      <w:r>
        <w:t xml:space="preserve"> </w:t>
      </w:r>
      <w:r>
        <w:rPr>
          <w:b/>
          <w:bCs/>
        </w:rPr>
        <w:t xml:space="preserve">problema de minimización del coste</w:t>
      </w:r>
      <w:r>
        <w:t xml:space="preserve"> </w:t>
      </w:r>
      <w:r>
        <w:t xml:space="preserve">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1"/>
        </w:numPr>
      </w:pPr>
      <w:r>
        <w:rPr>
          <w:i/>
          <w:iCs/>
        </w:rPr>
        <w:t xml:space="preserve">Lagrangiana</w:t>
      </w:r>
      <w:r>
        <w:t xml:space="preserve">: se resuelve con el método de</w:t>
      </w:r>
      <w:r>
        <w:t xml:space="preserve"> </w:t>
      </w:r>
      <w:r>
        <w:rPr>
          <w:smallCaps/>
        </w:rPr>
        <w:t xml:space="preserve">Kuhn</w:t>
      </w:r>
      <w:r>
        <w:t xml:space="preserve">-</w:t>
      </w:r>
      <w:r>
        <w:rPr>
          <w:smallCaps/>
        </w:rPr>
        <w:t xml:space="preserve">Tucker</w:t>
      </w:r>
      <w:r>
        <w:t xml:space="preserve">, a partir de</w:t>
      </w:r>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1"/>
        </w:numPr>
      </w:pPr>
      <w:r>
        <w:rPr>
          <w:i/>
          <w:iCs/>
        </w:rPr>
        <w:t xml:space="preserve">Condiciones de primer orden</w:t>
      </w:r>
      <w:r>
        <w:t xml:space="preserve">:</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1"/>
        </w:numPr>
      </w:pPr>
      <w:r>
        <w:rPr>
          <w:i/>
          <w:iCs/>
        </w:rPr>
        <w:t xml:space="preserve">Multiplicador</w:t>
      </w:r>
      <w:r>
        <w:t xml:space="preserve">:</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r>
        <w:rPr>
          <w:rStyle w:val="Referenciaatema"/>
        </w:rPr>
        <w:t xml:space="preserve">[ver tema 3.A.9]</w:t>
      </w:r>
      <w:r>
        <w:t xml:space="preserve">.</w:t>
      </w:r>
    </w:p>
    <w:p>
      <w:pPr>
        <w:numPr>
          <w:ilvl w:val="1"/>
          <w:numId w:val="1031"/>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A).</w:t>
      </w:r>
    </w:p>
    <w:p>
      <w:pPr>
        <w:numPr>
          <w:ilvl w:val="0"/>
          <w:numId w:val="1030"/>
        </w:numPr>
      </w:pPr>
      <w:r>
        <w:rPr>
          <w:i/>
          <w:iCs/>
        </w:rPr>
        <w:t xml:space="preserve">Gráfico</w:t>
      </w:r>
      <w:r>
        <w:t xml:space="preserve"> </w:t>
      </w:r>
      <w:r>
        <w:t xml:space="preserve">(gráfico 3):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49" w:name="fig: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 title="" id="47" name="Picture"/>
            <a:graphic>
              <a:graphicData uri="http://schemas.openxmlformats.org/drawingml/2006/picture">
                <pic:pic>
                  <pic:nvPicPr>
                    <pic:cNvPr descr="C:\Users\vgutierrez\Documents\src\victorgutierrezmarcos.github.io-revision\oposicion\temario\fuentes\3A12\graficos/mc.png" id="48" name="Picture"/>
                    <pic:cNvPicPr>
                      <a:picLocks noChangeArrowheads="1" noChangeAspect="1"/>
                    </pic:cNvPicPr>
                  </pic:nvPicPr>
                  <pic:blipFill>
                    <a:blip r:embed="rId46"/>
                    <a:stretch>
                      <a:fillRect/>
                    </a:stretch>
                  </pic:blipFill>
                  <pic:spPr bwMode="auto">
                    <a:xfrm>
                      <a:off x="0" y="0"/>
                      <a:ext cx="2718734" cy="1993942"/>
                    </a:xfrm>
                    <a:prstGeom prst="rect">
                      <a:avLst/>
                    </a:prstGeom>
                    <a:noFill/>
                    <a:ln w="9525">
                      <a:noFill/>
                      <a:headEnd/>
                      <a:tailEnd/>
                    </a:ln>
                  </pic:spPr>
                </pic:pic>
              </a:graphicData>
            </a:graphic>
          </wp:inline>
        </w:drawing>
      </w:r>
    </w:p>
    <w:bookmarkEnd w:id="4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bookmarkEnd w:id="50"/>
    <w:bookmarkStart w:id="58" w:name="X8320997957883f719326460eac4668886aca544"/>
    <w:p>
      <w:pPr>
        <w:pStyle w:val="Heading5"/>
      </w:pPr>
      <w:r>
        <w:t xml:space="preserve">iii) Implicaciones: demandas condicionadas y función de costes</w:t>
      </w:r>
    </w:p>
    <w:p>
      <w:pPr>
        <w:numPr>
          <w:ilvl w:val="0"/>
          <w:numId w:val="1032"/>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r>
        <w:rPr>
          <w:rStyle w:val="Referenciaatema"/>
        </w:rPr>
        <w:t xml:space="preserve">[ver tema 3.A.9]</w:t>
      </w:r>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2004, 15</w:t>
        </w:r>
      </w:hyperlink>
      <w:r>
        <w:t xml:space="preserve">)</w:t>
      </w:r>
      <w:r>
        <w:t xml:space="preserve">:</w:t>
      </w:r>
    </w:p>
    <w:p>
      <w:pPr>
        <w:numPr>
          <w:ilvl w:val="1"/>
          <w:numId w:val="1033"/>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33"/>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33"/>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33"/>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33"/>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2"/>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p>
      <w:pPr>
        <w:pStyle w:val="Funcionclave"/>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w:p>
    <w:p>
      <w:pPr>
        <w:numPr>
          <w:ilvl w:val="1"/>
          <w:numId w:val="1034"/>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34"/>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34"/>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34"/>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34"/>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4).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51"/>
      </w:r>
    </w:p>
    <w:p>
      <w:pPr>
        <w:numPr>
          <w:ilvl w:val="1"/>
          <w:numId w:val="1034"/>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p>
      <w:pPr>
        <w:pStyle w:val="Funcionclave"/>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B;</w:t>
      </w:r>
    </w:p>
    <w:p>
      <w:pPr>
        <w:numPr>
          <w:ilvl w:val="1"/>
          <w:numId w:val="1034"/>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35"/>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35"/>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52"/>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35"/>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r>
        <w:rPr>
          <w:rStyle w:val="Referenciaatema"/>
        </w:rPr>
        <w:t xml:space="preserve">[ver tema 3.A.9]</w:t>
      </w:r>
      <w:r>
        <w:t xml:space="preserve">.</w:t>
      </w:r>
    </w:p>
    <w:p>
      <w:pPr>
        <w:numPr>
          <w:ilvl w:val="0"/>
          <w:numId w:val="1032"/>
        </w:numPr>
      </w:pPr>
      <w:r>
        <w:rPr>
          <w:i/>
          <w:iCs/>
        </w:rPr>
        <w:t xml:space="preserve">Ejemplos</w:t>
      </w:r>
      <w:r>
        <w:t xml:space="preserve"> </w:t>
      </w:r>
      <w:r>
        <w:rPr>
          <w:rStyle w:val="Referenciaatema"/>
        </w:rPr>
        <w:t xml:space="preserve">[ver tema 3.A.11]</w:t>
      </w:r>
      <w:r>
        <w:t xml:space="preserve">: 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0"/>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 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5</w:t>
        </w:r>
      </w:hyperlink>
      <w:r>
        <w:t xml:space="preserve">)</w:t>
      </w:r>
      <w:r>
        <w:t xml:space="preserve">.</w:t>
      </w:r>
    </w:p>
    <w:bookmarkStart w:id="56" w:name="fig:concavidad-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 title="" id="54" name="Picture"/>
            <a:graphic>
              <a:graphicData uri="http://schemas.openxmlformats.org/drawingml/2006/picture">
                <pic:pic>
                  <pic:nvPicPr>
                    <pic:cNvPr descr="C:\Users\vgutierrez\Documents\src\victorgutierrezmarcos.github.io-revision\oposicion\temario\fuentes\3A12\graficos/concavidad-c.png" id="55" name="Picture"/>
                    <pic:cNvPicPr>
                      <a:picLocks noChangeArrowheads="1" noChangeAspect="1"/>
                    </pic:cNvPicPr>
                  </pic:nvPicPr>
                  <pic:blipFill>
                    <a:blip r:embed="rId53"/>
                    <a:stretch>
                      <a:fillRect/>
                    </a:stretch>
                  </pic:blipFill>
                  <pic:spPr bwMode="auto">
                    <a:xfrm>
                      <a:off x="0" y="0"/>
                      <a:ext cx="3282950" cy="3017999"/>
                    </a:xfrm>
                    <a:prstGeom prst="rect">
                      <a:avLst/>
                    </a:prstGeom>
                    <a:noFill/>
                    <a:ln w="9525">
                      <a:noFill/>
                      <a:headEnd/>
                      <a:tailEnd/>
                    </a:ln>
                  </pic:spPr>
                </pic:pic>
              </a:graphicData>
            </a:graphic>
          </wp:inline>
        </w:drawing>
      </w:r>
    </w:p>
    <w:bookmarkEnd w:id="56"/>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p>
      <w:pPr>
        <w:numPr>
          <w:ilvl w:val="0"/>
          <w:numId w:val="1036"/>
        </w:numPr>
      </w:pPr>
      <w:r>
        <w:t xml:space="preserve">Las propiedades de los dos problemas forman pares (tabla 2): cada propiedad de la función de beneficio tiene su correspondiente en la función de costes.</w:t>
      </w:r>
    </w:p>
    <w:bookmarkStart w:id="57" w:name="tab:pares-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tblHeader w:val="on"/>
        </w:trPr>
        <w:tc>
          <w:tcPr/>
          <w:p>
            <w:pPr>
              <w:pStyle w:val="Celdatceeazulpalido"/>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p>
            <w:pPr>
              <w:pStyle w:val="Celdatceeazulpalido"/>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57"/>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w:t>
        </w:r>
      </w:hyperlink>
      <w:r>
        <w:rPr>
          <w:i/>
          <w:iCs/>
        </w:rPr>
        <w:t xml:space="preserve">, prop. 5.C.1 y 5.C.2)</w:t>
      </w:r>
      <w:r>
        <w:rPr>
          <w:i/>
          <w:iCs/>
        </w:rPr>
        <w:t xml:space="preserve">.</w:t>
      </w:r>
    </w:p>
    <w:bookmarkEnd w:id="58"/>
    <w:bookmarkEnd w:id="59"/>
    <w:bookmarkStart w:id="60" w:name="c-valoración-1"/>
    <w:p>
      <w:pPr>
        <w:pStyle w:val="Heading4"/>
      </w:pPr>
      <w:r>
        <w:t xml:space="preserve">c) Valoración</w:t>
      </w:r>
    </w:p>
    <w:p>
      <w:pPr>
        <w:numPr>
          <w:ilvl w:val="0"/>
          <w:numId w:val="1037"/>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60"/>
    <w:bookmarkEnd w:id="61"/>
    <w:bookmarkEnd w:id="62"/>
    <w:bookmarkStart w:id="82" w:name="X31262ea8cf107e611735322004c6940b839f0d5"/>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38"/>
        </w:numPr>
      </w:pPr>
      <w:r>
        <w:t xml:space="preserve">Resueltos los dos problemas por separado, pasamos a ver cómo se relacionan. Como en la teoría del consumidor</w:t>
      </w:r>
      <w:r>
        <w:t xml:space="preserve"> </w:t>
      </w:r>
      <w:r>
        <w:rPr>
          <w:rStyle w:val="Referenciaatema"/>
        </w:rPr>
        <w:t xml:space="preserve">[ver tema 3.A.9]</w:t>
      </w:r>
      <w:r>
        <w:t xml:space="preserve">, entre ellos se dan unas relaciones que permiten obtener cualquier función de comportamiento de la empresa a partir de otra, sin volver a resolver ningún problema.</w:t>
      </w:r>
    </w:p>
    <w:p>
      <w:pPr>
        <w:numPr>
          <w:ilvl w:val="0"/>
          <w:numId w:val="1038"/>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39"/>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63"/>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39"/>
        </w:numPr>
      </w:pPr>
      <w:r>
        <w:t xml:space="preserve">La oferta de la empresa precio-aceptante es, por tanto, la inversa del tramo creciente del coste marginal por encima del mínimo del coste medio: la teoría de los costes, sin mirar los ingresos, ya contiene la oferta competitiva</w:t>
      </w:r>
      <w:r>
        <w:t xml:space="preserve"> </w:t>
      </w:r>
      <w:r>
        <w:rPr>
          <w:rStyle w:val="Referenciaatema"/>
        </w:rPr>
        <w:t xml:space="preserve">[ver tema 3.A.16]</w:t>
      </w:r>
      <w:r>
        <w:t xml:space="preserve">. Los casos según la forma de los costes están en el anexo F.</w:t>
      </w:r>
    </w:p>
    <w:p>
      <w:pPr>
        <w:numPr>
          <w:ilvl w:val="0"/>
          <w:numId w:val="1038"/>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w:t>
      </w:r>
      <w:hyperlink w:anchor="ref-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w:t>
        </w:r>
        <w:r>
          <w:rPr>
            <w:rStyle w:val="Hyperlink"/>
          </w:rPr>
          <w:t xml:space="preserve">2007, cap. 7</w:t>
        </w:r>
      </w:hyperlink>
      <w:r>
        <w:t xml:space="preserve">)</w:t>
      </w:r>
      <w:r>
        <w:t xml:space="preserve">:</w:t>
      </w:r>
    </w:p>
    <w:p>
      <w:pPr>
        <w:pStyle w:val="BodyT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pStyle w:val="FirstParagraph"/>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40"/>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II.1.2).</w:t>
      </w:r>
    </w:p>
    <w:p>
      <w:pPr>
        <w:numPr>
          <w:ilvl w:val="1"/>
          <w:numId w:val="1040"/>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38"/>
        </w:numPr>
      </w:pPr>
      <w:r>
        <w:t xml:space="preserve">Gráficamente (gráfico 5),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67" w:name="fig:mb-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 title="" id="65" name="Picture"/>
            <a:graphic>
              <a:graphicData uri="http://schemas.openxmlformats.org/drawingml/2006/picture">
                <pic:pic>
                  <pic:nvPicPr>
                    <pic:cNvPr descr="C:\Users\vgutierrez\Documents\src\victorgutierrezmarcos.github.io-revision\oposicion\temario\fuentes\3A12\graficos/mb-mc.png" id="66" name="Picture"/>
                    <pic:cNvPicPr>
                      <a:picLocks noChangeArrowheads="1" noChangeAspect="1"/>
                    </pic:cNvPicPr>
                  </pic:nvPicPr>
                  <pic:blipFill>
                    <a:blip r:embed="rId64"/>
                    <a:stretch>
                      <a:fillRect/>
                    </a:stretch>
                  </pic:blipFill>
                  <pic:spPr bwMode="auto">
                    <a:xfrm>
                      <a:off x="0" y="0"/>
                      <a:ext cx="5670550" cy="2355542"/>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 </w:t>
      </w:r>
      <w:r>
        <w:t xml:space="preserve">y 5.D)</w:t>
      </w:r>
      <w:r>
        <w:t xml:space="preserve">.</w:t>
      </w:r>
    </w:p>
    <w:p>
      <w:pPr>
        <w:numPr>
          <w:ilvl w:val="0"/>
          <w:numId w:val="1041"/>
        </w:numPr>
      </w:pPr>
      <w:r>
        <w:rPr>
          <w:i/>
          <w:iCs/>
        </w:rPr>
        <w:t xml:space="preserve">Asimetría</w:t>
      </w:r>
      <w:r>
        <w:t xml:space="preserve">: 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1"/>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(16) con</w:t>
      </w:r>
      <w:r>
        <w:t xml:space="preserve"> </w:t>
      </w:r>
      <m:oMath>
        <m:r>
          <m:t>q</m:t>
        </m:r>
        <m:r>
          <m:rPr>
            <m:sty m:val="p"/>
          </m:rPr>
          <m:t>=</m:t>
        </m:r>
        <m:r>
          <m:t>1</m:t>
        </m:r>
      </m:oMath>
      <w:r>
        <w:t xml:space="preserve">.</w:t>
      </w:r>
    </w:p>
    <w:p>
      <w:pPr>
        <w:numPr>
          <w:ilvl w:val="0"/>
          <w:numId w:val="1041"/>
        </w:numPr>
      </w:pPr>
      <w:r>
        <w:rPr>
          <w:i/>
          <w:iCs/>
        </w:rPr>
        <w:t xml:space="preserve">Esquema</w:t>
      </w:r>
      <w:r>
        <w:t xml:space="preserve">: todas estas relaciones se resumen en el gráfico 6: la maximización del beneficio en una etapa a la izquierda, la minimización del coste a la derecha, la maximización en dos etapas que las une y, abajo, la tecnología, que puede recuperarse a partir de las funciones valor (I.3.1 y I.3.2).</w:t>
      </w:r>
    </w:p>
    <w:bookmarkStart w:id="71" w:name="fig:esquema-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 title="" id="69" name="Picture"/>
            <a:graphic>
              <a:graphicData uri="http://schemas.openxmlformats.org/drawingml/2006/picture">
                <pic:pic>
                  <pic:nvPicPr>
                    <pic:cNvPr descr="C:\Users\vgutierrez\Documents\src\victorgutierrezmarcos.github.io-revision\oposicion\temario\fuentes\3A12\graficos/esquema-dualidad-empresa.png" id="70" name="Picture"/>
                    <pic:cNvPicPr>
                      <a:picLocks noChangeArrowheads="1" noChangeAspect="1"/>
                    </pic:cNvPicPr>
                  </pic:nvPicPr>
                  <pic:blipFill>
                    <a:blip r:embed="rId68"/>
                    <a:stretch>
                      <a:fillRect/>
                    </a:stretch>
                  </pic:blipFill>
                  <pic:spPr bwMode="auto">
                    <a:xfrm>
                      <a:off x="0" y="0"/>
                      <a:ext cx="5969000" cy="4591169"/>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bookmarkStart w:id="76" w:name="X604c25ba6164bd5e71dfe01a72c85cf853f4dce"/>
    <w:p>
      <w:pPr>
        <w:pStyle w:val="Heading3"/>
      </w:pPr>
      <w:r>
        <w:t xml:space="preserve">I.3.1.</w:t>
      </w:r>
      <w:r>
        <w:t xml:space="preserve"> </w:t>
      </w:r>
      <w:r>
        <w:t xml:space="preserve">Dualidad entre la función de costes y la función de producción</w:t>
      </w:r>
    </w:p>
    <w:p>
      <w:pPr>
        <w:numPr>
          <w:ilvl w:val="0"/>
          <w:numId w:val="1042"/>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McFadden1978Cost">
        <w:r>
          <w:rPr>
            <w:rStyle w:val="Hyperlink"/>
            <w:smallCaps/>
          </w:rPr>
          <w:t xml:space="preserve">McFadden</w:t>
        </w:r>
        <w:r>
          <w:rPr>
            <w:rStyle w:val="Hyperlink"/>
          </w:rPr>
          <w:t xml:space="preserve"> </w:t>
        </w:r>
        <w:r>
          <w:rPr>
            <w:rStyle w:val="Hyperlink"/>
          </w:rPr>
          <w:t xml:space="preserve">1978</w:t>
        </w:r>
      </w:hyperlink>
      <w:r>
        <w:t xml:space="preserve">)</w:t>
      </w:r>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43"/>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7).</w:t>
      </w:r>
    </w:p>
    <w:p>
      <w:pPr>
        <w:numPr>
          <w:ilvl w:val="1"/>
          <w:numId w:val="1043"/>
        </w:numPr>
      </w:pPr>
      <w:r>
        <w:rPr>
          <w:i/>
          <w:iCs/>
        </w:rPr>
        <w:t xml:space="preserve">Recuperación exacta</w:t>
      </w:r>
      <w:r>
        <w:t xml:space="preserve">: 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w:t>
      </w:r>
    </w:p>
    <w:p>
      <w:pPr>
        <w:numPr>
          <w:ilvl w:val="0"/>
          <w:numId w:val="1042"/>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Uzawa1964Duality">
        <w:r>
          <w:rPr>
            <w:rStyle w:val="Hyperlink"/>
            <w:smallCaps/>
          </w:rPr>
          <w:t xml:space="preserve">Uzawa</w:t>
        </w:r>
        <w:r>
          <w:rPr>
            <w:rStyle w:val="Hyperlink"/>
          </w:rPr>
          <w:t xml:space="preserve"> </w:t>
        </w:r>
        <w:r>
          <w:rPr>
            <w:rStyle w:val="Hyperlink"/>
          </w:rPr>
          <w:t xml:space="preserve">1964</w:t>
        </w:r>
      </w:hyperlink>
      <w:r>
        <w:t xml:space="preserve">)</w:t>
      </w:r>
      <w:r>
        <w:t xml:space="preserve">.</w:t>
      </w:r>
    </w:p>
    <w:p>
      <w:pPr>
        <w:numPr>
          <w:ilvl w:val="0"/>
          <w:numId w:val="1042"/>
        </w:numPr>
      </w:pPr>
      <w:r>
        <w:t xml:space="preserve">Es la base de las aplicaciones empíricas (apartados II.3 a II.5):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Diewert1971Application">
        <w:r>
          <w:rPr>
            <w:rStyle w:val="Hyperlink"/>
            <w:smallCaps/>
          </w:rPr>
          <w:t xml:space="preserve">Diewert</w:t>
        </w:r>
        <w:r>
          <w:rPr>
            <w:rStyle w:val="Hyperlink"/>
          </w:rPr>
          <w:t xml:space="preserve"> </w:t>
        </w:r>
        <w:r>
          <w:rPr>
            <w:rStyle w:val="Hyperlink"/>
          </w:rPr>
          <w:t xml:space="preserve">1971</w:t>
        </w:r>
      </w:hyperlink>
      <w:r>
        <w:t xml:space="preserve">,</w:t>
      </w:r>
      <w:r>
        <w:t xml:space="preserve"> </w:t>
      </w:r>
      <w:hyperlink w:anchor="ref-Diewert1974Applications">
        <w:r>
          <w:rPr>
            <w:rStyle w:val="Hyperlink"/>
          </w:rPr>
          <w:t xml:space="preserve">1974</w:t>
        </w:r>
      </w:hyperlink>
      <w:r>
        <w:t xml:space="preserve">)</w:t>
      </w:r>
      <w:r>
        <w:t xml:space="preserve">.</w:t>
      </w:r>
    </w:p>
    <w:p>
      <w:pPr>
        <w:pStyle w:val="Cajadeanotaciones"/>
      </w:pPr>
      <w:r>
        <w:rPr>
          <w:b/>
          <w:bCs/>
        </w:rPr>
        <w:t xml:space="preserve">Un procedimiento equivalente al de la integrabilidad de la demanda</w:t>
      </w:r>
      <w:r>
        <w:t xml:space="preserve"> </w:t>
      </w:r>
      <w:r>
        <w:rPr>
          <w:rStyle w:val="Referenciaatema"/>
        </w:rPr>
        <w:t xml:space="preserve">[ver tema 3.A.9]</w:t>
      </w:r>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(20).</w:t>
      </w:r>
    </w:p>
    <w:bookmarkStart w:id="75" w:name="fig:recuperar-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 title="" id="73" name="Picture"/>
            <a:graphic>
              <a:graphicData uri="http://schemas.openxmlformats.org/drawingml/2006/picture">
                <pic:pic>
                  <pic:nvPicPr>
                    <pic:cNvPr descr="C:\Users\vgutierrez\Documents\src\victorgutierrezmarcos.github.io-revision\oposicion\temario\fuentes\3A12\graficos/recuperar-isocuanta.png" id="74" name="Picture"/>
                    <pic:cNvPicPr>
                      <a:picLocks noChangeArrowheads="1" noChangeAspect="1"/>
                    </pic:cNvPicPr>
                  </pic:nvPicPr>
                  <pic:blipFill>
                    <a:blip r:embed="rId72"/>
                    <a:stretch>
                      <a:fillRect/>
                    </a:stretch>
                  </pic:blipFill>
                  <pic:spPr bwMode="auto">
                    <a:xfrm>
                      <a:off x="0" y="0"/>
                      <a:ext cx="2388449" cy="2272238"/>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Varian1992Microeconomic">
        <w:r>
          <w:rPr>
            <w:rStyle w:val="Hyperlink"/>
          </w:rPr>
          <w:t xml:space="preserve">1992, cap. 6</w:t>
        </w:r>
      </w:hyperlink>
      <w:r>
        <w:t xml:space="preserve">)</w:t>
      </w:r>
      <w:r>
        <w:t xml:space="preserve">.</w:t>
      </w:r>
    </w:p>
    <w:bookmarkEnd w:id="76"/>
    <w:bookmarkStart w:id="81" w:name="Xbbeba539a8e3ca26b06d52f26ed712d33f7d3ed"/>
    <w:p>
      <w:pPr>
        <w:pStyle w:val="Heading3"/>
      </w:pPr>
      <w:r>
        <w:t xml:space="preserve">I.3.2.</w:t>
      </w:r>
      <w:r>
        <w:t xml:space="preserve"> </w:t>
      </w:r>
      <w:r>
        <w:t xml:space="preserve">Dualidad entre la función de beneficio y la de producción</w:t>
      </w:r>
    </w:p>
    <w:p>
      <w:pPr>
        <w:numPr>
          <w:ilvl w:val="0"/>
          <w:numId w:val="1044"/>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r>
        <w:rPr>
          <w:rStyle w:val="Referenciaatema"/>
        </w:rPr>
        <w:t xml:space="preserve">[ver tema 3.A.11]</w:t>
      </w:r>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8).</w:t>
      </w:r>
    </w:p>
    <w:p>
      <w:pPr>
        <w:numPr>
          <w:ilvl w:val="0"/>
          <w:numId w:val="1044"/>
        </w:numPr>
      </w:pPr>
      <w:r>
        <w:t xml:space="preserve">Por eso puede recorrerse el camino inverso: la tecnología queda dentro de todos los semiespacios limitados por las isobeneficio máximas,</w:t>
      </w:r>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44"/>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80" w:name="fig:beneficio-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 title="" id="78" name="Picture"/>
            <a:graphic>
              <a:graphicData uri="http://schemas.openxmlformats.org/drawingml/2006/picture">
                <pic:pic>
                  <pic:nvPicPr>
                    <pic:cNvPr descr="C:\Users\vgutierrez\Documents\src\victorgutierrezmarcos.github.io-revision\oposicion\temario\fuentes\3A12\graficos/beneficio-soporte.png" id="79" name="Picture"/>
                    <pic:cNvPicPr>
                      <a:picLocks noChangeArrowheads="1" noChangeAspect="1"/>
                    </pic:cNvPicPr>
                  </pic:nvPicPr>
                  <pic:blipFill>
                    <a:blip r:embed="rId77"/>
                    <a:stretch>
                      <a:fillRect/>
                    </a:stretch>
                  </pic:blipFill>
                  <pic:spPr bwMode="auto">
                    <a:xfrm>
                      <a:off x="0" y="0"/>
                      <a:ext cx="3282950" cy="2032736"/>
                    </a:xfrm>
                    <a:prstGeom prst="rect">
                      <a:avLst/>
                    </a:prstGeom>
                    <a:noFill/>
                    <a:ln w="9525">
                      <a:noFill/>
                      <a:headEnd/>
                      <a:tailEnd/>
                    </a:ln>
                  </pic:spPr>
                </pic:pic>
              </a:graphicData>
            </a:graphic>
          </wp:inline>
        </w:drawing>
      </w:r>
    </w:p>
    <w:bookmarkEnd w:id="8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p>
      <w:pPr>
        <w:pStyle w:val="Ideaclave"/>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45"/>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81"/>
    <w:bookmarkEnd w:id="82"/>
    <w:bookmarkEnd w:id="83"/>
    <w:bookmarkStart w:id="172" w:name="X6812533d2ec4fe823537b02622234494eec95e8"/>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Châtelier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46"/>
        </w:numPr>
      </w:pPr>
      <w:r>
        <w:t xml:space="preserve">Una vez obtenida la función de costes y sus propiedades, pasamos a analizar cómo cambia y cómo se mide. Este bloque responde a la tercera y a la cuarta preguntas. Su conclusión anticipada:</w:t>
      </w:r>
    </w:p>
    <w:p>
      <w:pPr>
        <w:numPr>
          <w:ilvl w:val="1"/>
          <w:numId w:val="1047"/>
        </w:numPr>
      </w:pPr>
      <w:r>
        <w:t xml:space="preserve">la demanda condicionada de un factor nunca crece con su precio;</w:t>
      </w:r>
    </w:p>
    <w:p>
      <w:pPr>
        <w:numPr>
          <w:ilvl w:val="1"/>
          <w:numId w:val="1047"/>
        </w:numPr>
      </w:pPr>
      <w:r>
        <w:t xml:space="preserve">a largo plazo, la forma de los costes refleja los rendimientos a escala de la tecnología y, a corto, los rendimientos del factor variable, y a largo plazo la empresa responde más que a corto;</w:t>
      </w:r>
    </w:p>
    <w:p>
      <w:pPr>
        <w:numPr>
          <w:ilvl w:val="1"/>
          <w:numId w:val="1047"/>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46"/>
        </w:numPr>
      </w:pPr>
      <w:r>
        <w:t xml:space="preserve">Partimos de la función de costes del bloque I, con 2 factores:</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(II.1.1) y los precios</w:t>
      </w:r>
      <w:r>
        <w:t xml:space="preserve"> </w:t>
      </w:r>
      <m:oMath>
        <m:acc>
          <m:accPr>
            <m:chr m:val="⃗"/>
          </m:accPr>
          <m:e>
            <m:r>
              <m:t>w</m:t>
            </m:r>
          </m:e>
        </m:acc>
      </m:oMath>
      <w:r>
        <w:t xml:space="preserve"> </w:t>
      </w:r>
      <w:r>
        <w:t xml:space="preserve">(II.1.2). Empezamos por</w:t>
      </w:r>
      <w:r>
        <w:t xml:space="preserve"> </w:t>
      </w:r>
      <m:oMath>
        <m:r>
          <m:t>q</m:t>
        </m:r>
      </m:oMath>
      <w:r>
        <w:t xml:space="preserve"> </w:t>
      </w:r>
      <w:r>
        <w:t xml:space="preserve">porque es la base del análisis de plazos (II.2). Después veremos cómo se estima con datos (II.3 a II.5).</w:t>
      </w:r>
    </w:p>
    <w:p>
      <w:pPr>
        <w:numPr>
          <w:ilvl w:val="0"/>
          <w:numId w:val="1046"/>
        </w:numPr>
      </w:pPr>
      <w:r>
        <w:t xml:space="preserve">El análisis sigue el esquema de la estática comparativa de la demanda</w:t>
      </w:r>
      <w:r>
        <w:t xml:space="preserve"> </w:t>
      </w:r>
      <w:r>
        <w:rPr>
          <w:rStyle w:val="Referenciaatema"/>
        </w:rPr>
        <w:t xml:space="preserve">[ver tema 3.A.8]</w:t>
      </w:r>
      <w:r>
        <w:t xml:space="preserve">, pero sobre las demandas</w:t>
      </w:r>
      <w:r>
        <w:t xml:space="preserve"> </w:t>
      </w:r>
      <w:r>
        <w:rPr>
          <w:i/>
          <w:iCs/>
        </w:rPr>
        <w:t xml:space="preserve">condicionadas</w:t>
      </w:r>
      <w:r>
        <w:t xml:space="preserve">, análogas a las hicksianas</w:t>
      </w:r>
      <w:r>
        <w:t xml:space="preserve"> </w:t>
      </w:r>
      <w:r>
        <w:rPr>
          <w:rStyle w:val="Referenciaatema"/>
        </w:rPr>
        <w:t xml:space="preserve">[ver tema 3.A.9]</w:t>
      </w:r>
      <w:r>
        <w:t xml:space="preserve">: el parámetro que cambia es</w:t>
      </w:r>
      <w:r>
        <w:t xml:space="preserve"> </w:t>
      </w:r>
      <m:oMath>
        <m:r>
          <m:t>q</m:t>
        </m:r>
      </m:oMath>
      <w:r>
        <w:t xml:space="preserve">, no la renta, y no hay efecto renta.</w:t>
      </w:r>
    </w:p>
    <w:bookmarkStart w:id="117" w:name="análisis-de-estática-comparativa"/>
    <w:p>
      <w:pPr>
        <w:pStyle w:val="Heading2"/>
      </w:pPr>
      <w:r>
        <w:t xml:space="preserve">II.1.</w:t>
      </w:r>
      <w:r>
        <w:t xml:space="preserve"> </w:t>
      </w:r>
      <w:r>
        <w:t xml:space="preserve">Análisis de estática comparativa</w:t>
      </w:r>
    </w:p>
    <w:bookmarkStart w:id="104" w:name="X992ec349f6fe9064e230fe486079bf23a175d33"/>
    <w:p>
      <w:pPr>
        <w:pStyle w:val="Heading3"/>
      </w:pPr>
      <w:r>
        <w:t xml:space="preserve">II.1.1.</w:t>
      </w:r>
      <w:r>
        <w:t xml:space="preserve"> </w:t>
      </w:r>
      <w:r>
        <w:t xml:space="preserve">Análisis de estática comparativa ante variaciones en el nivel de producción (</w:t>
      </w:r>
      <m:oMath>
        <m:r>
          <m:t>q</m:t>
        </m:r>
      </m:oMath>
      <w:r>
        <w:t xml:space="preserve">)</w:t>
      </w:r>
    </w:p>
    <w:bookmarkStart w:id="94" w:name="sobre-las-demandas-de-factores"/>
    <w:p>
      <w:pPr>
        <w:pStyle w:val="Heading4"/>
      </w:pPr>
      <w:r>
        <w:t xml:space="preserve">Sobre las demandas de factores</w:t>
      </w:r>
    </w:p>
    <w:p>
      <w:pPr>
        <w:keepNext/>
        <w:numPr>
          <w:ilvl w:val="0"/>
          <w:numId w:val="1048"/>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9).</w:t>
      </w:r>
    </w:p>
    <w:p>
      <w:pPr>
        <w:numPr>
          <w:ilvl w:val="1"/>
          <w:numId w:val="1049"/>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r>
        <w:rPr>
          <w:rStyle w:val="Referenciaatema"/>
        </w:rPr>
        <w:t xml:space="preserve">[ver tema 3.A.11]</w:t>
      </w:r>
      <w:r>
        <w:t xml:space="preserve">. Indica cómo cambian las proporciones de los factores al cambiar la producción. Es el análogo formal de la curva renta-consumo del consumidor.</w:t>
      </w:r>
    </w:p>
    <w:p>
      <w:pPr>
        <w:numPr>
          <w:ilvl w:val="1"/>
          <w:numId w:val="1049"/>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84"/>
      </w:r>
    </w:p>
    <w:bookmarkStart w:id="88" w:name="fig:senda-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 title="" id="86" name="Picture"/>
            <a:graphic>
              <a:graphicData uri="http://schemas.openxmlformats.org/drawingml/2006/picture">
                <pic:pic>
                  <pic:nvPicPr>
                    <pic:cNvPr descr="C:\Users\vgutierrez\Documents\src\victorgutierrezmarcos.github.io-revision\oposicion\temario\fuentes\3A12\graficos/senda-expansion.png" id="87" name="Picture"/>
                    <pic:cNvPicPr>
                      <a:picLocks noChangeArrowheads="1" noChangeAspect="1"/>
                    </pic:cNvPicPr>
                  </pic:nvPicPr>
                  <pic:blipFill>
                    <a:blip r:embed="rId85"/>
                    <a:stretch>
                      <a:fillRect/>
                    </a:stretch>
                  </pic:blipFill>
                  <pic:spPr bwMode="auto">
                    <a:xfrm>
                      <a:off x="0" y="0"/>
                      <a:ext cx="3282950" cy="2412770"/>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keepNext/>
        <w:numPr>
          <w:ilvl w:val="0"/>
          <w:numId w:val="1050"/>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10).</w:t>
      </w:r>
    </w:p>
    <w:p>
      <w:pPr>
        <w:numPr>
          <w:ilvl w:val="1"/>
          <w:numId w:val="1051"/>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51"/>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89"/>
      </w:r>
    </w:p>
    <w:p>
      <w:pPr>
        <w:numPr>
          <w:ilvl w:val="1"/>
          <w:numId w:val="1051"/>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w:t>
      </w:r>
      <m:oMath>
        <m:r>
          <m:rPr>
            <m:sty m:val="p"/>
          </m:rPr>
          <m:t>◼</m:t>
        </m:r>
      </m:oMath>
    </w:p>
    <w:p>
      <w:pPr>
        <w:numPr>
          <w:ilvl w:val="0"/>
          <w:numId w:val="1050"/>
        </w:numPr>
      </w:pPr>
      <w:r>
        <w:t xml:space="preserve">Analíticamente, la</w:t>
      </w:r>
      <w:r>
        <w:t xml:space="preserve"> </w:t>
      </w:r>
      <w:r>
        <w:rPr>
          <w:b/>
          <w:bCs/>
        </w:rPr>
        <w:t xml:space="preserve">elasticidad de la demanda condicionada respecto a la producción</w:t>
      </w:r>
      <w:r>
        <w:t xml:space="preserve">,</w:t>
      </w:r>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E).</w:t>
      </w:r>
    </w:p>
    <w:bookmarkStart w:id="93" w:name="fig:curva-engel-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 title="" id="91" name="Picture"/>
            <a:graphic>
              <a:graphicData uri="http://schemas.openxmlformats.org/drawingml/2006/picture">
                <pic:pic>
                  <pic:nvPicPr>
                    <pic:cNvPr descr="C:\Users\vgutierrez\Documents\src\victorgutierrezmarcos.github.io-revision\oposicion\temario\fuentes\3A12\graficos/curva-engel-factor.png" id="92" name="Picture"/>
                    <pic:cNvPicPr>
                      <a:picLocks noChangeArrowheads="1" noChangeAspect="1"/>
                    </pic:cNvPicPr>
                  </pic:nvPicPr>
                  <pic:blipFill>
                    <a:blip r:embed="rId90"/>
                    <a:stretch>
                      <a:fillRect/>
                    </a:stretch>
                  </pic:blipFill>
                  <pic:spPr bwMode="auto">
                    <a:xfrm>
                      <a:off x="0" y="0"/>
                      <a:ext cx="2672861" cy="1969476"/>
                    </a:xfrm>
                    <a:prstGeom prst="rect">
                      <a:avLst/>
                    </a:prstGeom>
                    <a:noFill/>
                    <a:ln w="9525">
                      <a:noFill/>
                      <a:headEnd/>
                      <a:tailEnd/>
                    </a:ln>
                  </pic:spPr>
                </pic:pic>
              </a:graphicData>
            </a:graphic>
          </wp:inline>
        </w:drawing>
      </w:r>
    </w:p>
    <w:bookmarkEnd w:id="93"/>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94"/>
    <w:bookmarkStart w:id="103" w:name="sobre-la-función-de-costes"/>
    <w:p>
      <w:pPr>
        <w:pStyle w:val="Heading4"/>
      </w:pPr>
      <w:r>
        <w:t xml:space="preserve">Sobre la función de costes</w:t>
      </w:r>
    </w:p>
    <w:p>
      <w:pPr>
        <w:numPr>
          <w:ilvl w:val="0"/>
          <w:numId w:val="1052"/>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11, arriba).</w:t>
      </w:r>
    </w:p>
    <w:p>
      <w:pPr>
        <w:numPr>
          <w:ilvl w:val="0"/>
          <w:numId w:val="1052"/>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95"/>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96"/>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11, abajo):</w:t>
      </w:r>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52"/>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53"/>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53"/>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53"/>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II.3).</w:t>
      </w:r>
    </w:p>
    <w:bookmarkStart w:id="100" w:name="fig:costes-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 title="" id="98" name="Picture"/>
            <a:graphic>
              <a:graphicData uri="http://schemas.openxmlformats.org/drawingml/2006/picture">
                <pic:pic>
                  <pic:nvPicPr>
                    <pic:cNvPr descr="C:\Users\vgutierrez\Documents\src\victorgutierrezmarcos.github.io-revision\oposicion\temario\fuentes\3A12\graficos/costes-largo.png" id="99" name="Picture"/>
                    <pic:cNvPicPr>
                      <a:picLocks noChangeArrowheads="1" noChangeAspect="1"/>
                    </pic:cNvPicPr>
                  </pic:nvPicPr>
                  <pic:blipFill>
                    <a:blip r:embed="rId97"/>
                    <a:stretch>
                      <a:fillRect/>
                    </a:stretch>
                  </pic:blipFill>
                  <pic:spPr bwMode="auto">
                    <a:xfrm>
                      <a:off x="0" y="0"/>
                      <a:ext cx="3370129" cy="4483312"/>
                    </a:xfrm>
                    <a:prstGeom prst="rect">
                      <a:avLst/>
                    </a:prstGeom>
                    <a:noFill/>
                    <a:ln w="9525">
                      <a:noFill/>
                      <a:headEnd/>
                      <a:tailEnd/>
                    </a:ln>
                  </pic:spPr>
                </pic:pic>
              </a:graphicData>
            </a:graphic>
          </wp:inline>
        </w:drawing>
      </w:r>
    </w:p>
    <w:bookmarkEnd w:id="100"/>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pStyle w:val="Notaalopositor"/>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54"/>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r>
        <w:rPr>
          <w:rStyle w:val="Referenciaatema"/>
        </w:rPr>
        <w:t xml:space="preserve">[ver tema 3.A.11]</w:t>
      </w:r>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Hanoch1975Elasticity">
        <w:r>
          <w:rPr>
            <w:rStyle w:val="Hyperlink"/>
            <w:smallCaps/>
          </w:rPr>
          <w:t xml:space="preserve">Hanoch</w:t>
        </w:r>
        <w:r>
          <w:rPr>
            <w:rStyle w:val="Hyperlink"/>
          </w:rPr>
          <w:t xml:space="preserve"> </w:t>
        </w:r>
        <w:r>
          <w:rPr>
            <w:rStyle w:val="Hyperlink"/>
          </w:rPr>
          <w:t xml:space="preserve">1975</w:t>
        </w:r>
      </w:hyperlink>
      <w:r>
        <w:t xml:space="preserve">)</w:t>
      </w:r>
      <w:r>
        <w:t xml:space="preserve">:</w:t>
      </w:r>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55"/>
        </w:numPr>
      </w:pPr>
      <w:r>
        <w:rPr>
          <w:i/>
          <w:iCs/>
        </w:rPr>
        <w:t xml:space="preserve">Demostración</w:t>
      </w:r>
      <w:r>
        <w:t xml:space="preserve">: por la condición de primer orden (10),</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w:t>
      </w:r>
      <m:oMath>
        <m:r>
          <m:rPr>
            <m:sty m:val="p"/>
          </m:rPr>
          <m:t>◼</m:t>
        </m:r>
      </m:oMath>
    </w:p>
    <w:p>
      <w:pPr>
        <w:numPr>
          <w:ilvl w:val="1"/>
          <w:numId w:val="1055"/>
        </w:numPr>
      </w:pPr>
      <w:r>
        <w:rPr>
          <w:i/>
          <w:iCs/>
        </w:rPr>
        <w:t xml:space="preserve">Sin homoteticidad</w:t>
      </w:r>
      <w:r>
        <w:t xml:space="preserve">: no hace falta; la relación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55"/>
        </w:numPr>
      </w:pPr>
      <w:r>
        <w:rPr>
          <w:i/>
          <w:iCs/>
        </w:rPr>
        <w:t xml:space="preserve">Con homoteticidad</w:t>
      </w:r>
      <w:r>
        <w:t xml:space="preserve">: lo que añade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55"/>
        </w:numPr>
      </w:pPr>
      <w:r>
        <w:rPr>
          <w:i/>
          <w:iCs/>
        </w:rPr>
        <w:t xml:space="preserve">Rendimientos globales</w:t>
      </w:r>
      <w:r>
        <w:t xml:space="preserve">: solo se cumplen implicaciones en un sentido (tabla 3):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01" w:name="tab:rendimientos-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tblHeader w:val="on"/>
        </w:trPr>
        <w:tc>
          <w:tcPr>
            <w:vAlign w:val="center"/>
          </w:tcPr>
          <w:p>
            <w:pPr>
              <w:pStyle w:val="Celdatceeazulpalido"/>
              <w:jc w:val="center"/>
            </w:pPr>
            <w:r>
              <w:rPr>
                <w:b/>
                <w:bCs/>
              </w:rPr>
              <w:t xml:space="preserve">Rendimientos a escala</w:t>
            </w:r>
          </w:p>
        </w:tc>
        <w:tc>
          <w:tcPr>
            <w:vAlign w:val="center"/>
          </w:tcPr>
          <w:p>
            <w:pPr>
              <w:pStyle w:val="Celdatceeazulpalido"/>
              <w:jc w:val="center"/>
            </w:pPr>
            <w:r>
              <w:rPr>
                <w:b/>
                <w:bCs/>
              </w:rPr>
              <w:t xml:space="preserve">Locales, en la combinación de mínimo coste</w:t>
            </w:r>
          </w:p>
        </w:tc>
        <w:tc>
          <w:tcPr>
            <w:vAlign w:val="center"/>
          </w:tcPr>
          <w:p>
            <w:pPr>
              <w:pStyle w:val="Celdatceeazulpalido"/>
              <w:jc w:val="center"/>
            </w:pPr>
            <w:r>
              <w:rPr>
                <w:b/>
                <w:bCs/>
              </w:rPr>
              <w:t xml:space="preserve">Globales (en todo punto)</w:t>
            </w:r>
          </w:p>
        </w:tc>
      </w:tr>
      <w:tr>
        <w:tc>
          <w:tcPr>
            <w:gridSpan w:val="3"/>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01"/>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3</w:t>
        </w:r>
      </w:hyperlink>
      <w:r>
        <w:rPr>
          <w:i/>
          <w:iCs/>
        </w:rPr>
        <w:t xml:space="preserve">)</w:t>
      </w:r>
      <w:r>
        <w:rPr>
          <w:i/>
          <w:iCs/>
        </w:rPr>
        <w:t xml:space="preserve">.</w:t>
      </w:r>
    </w:p>
    <w:p>
      <w:pPr>
        <w:numPr>
          <w:ilvl w:val="0"/>
          <w:numId w:val="1056"/>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02"/>
      </w:r>
      <w:r>
        <w:t xml:space="preserve"> </w:t>
      </w:r>
      <w:r>
        <w:t xml:space="preserve">crecientes a escala baja (indivisibilidades, especialización) y decrecientes a escala alta (dificultades de dirección y coordinación), la tecnología «en S»</w:t>
      </w:r>
      <w:r>
        <w:t xml:space="preserve"> </w:t>
      </w:r>
      <w:r>
        <w:rPr>
          <w:rStyle w:val="Referenciaatema"/>
        </w:rPr>
        <w:t xml:space="preserve">[ver tema 3.A.11]</w:t>
      </w:r>
      <w:r>
        <w:t xml:space="preserve">. No se debe a la ley de proporciones variables, que es de corto plazo (apartado II.2).</w:t>
      </w:r>
    </w:p>
    <w:p>
      <w:pPr>
        <w:numPr>
          <w:ilvl w:val="0"/>
          <w:numId w:val="1056"/>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 decreciente si</w:t>
      </w:r>
      <w:r>
        <w:t xml:space="preserve"> </w:t>
      </w:r>
      <m:oMath>
        <m:r>
          <m:t>k</m:t>
        </m:r>
        <m:r>
          <m:rPr>
            <m:sty m:val="p"/>
          </m:rPr>
          <m:t>&gt;</m:t>
        </m:r>
        <m:r>
          <m:t>1</m:t>
        </m:r>
      </m:oMath>
      <w:r>
        <w:t xml:space="preserve">, constante si</w:t>
      </w:r>
      <w:r>
        <w:t xml:space="preserve"> </w:t>
      </w:r>
      <m:oMath>
        <m:r>
          <m:t>k</m:t>
        </m:r>
        <m:r>
          <m:rPr>
            <m:sty m:val="p"/>
          </m:rPr>
          <m:t>=</m:t>
        </m:r>
        <m:r>
          <m:t>1</m:t>
        </m:r>
      </m:oMath>
      <w:r>
        <w:t xml:space="preserve"> </w:t>
      </w:r>
      <w:r>
        <w:t xml:space="preserve">y creciente si</w:t>
      </w:r>
      <w:r>
        <w:t xml:space="preserve"> </w:t>
      </w:r>
      <m:oMath>
        <m:r>
          <m:t>k</m:t>
        </m:r>
        <m:r>
          <m:rPr>
            <m:sty m:val="p"/>
          </m:rPr>
          <m:t>&lt;</m:t>
        </m:r>
        <m:r>
          <m:t>1</m:t>
        </m:r>
      </m:oMath>
      <w:r>
        <w:t xml:space="preserve">. 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r>
        <w:rPr>
          <w:rStyle w:val="Referenciaatema"/>
        </w:rPr>
        <w:t xml:space="preserve">[ver tema 3.A.16]</w:t>
      </w:r>
      <w:r>
        <w:t xml:space="preserve">.</w:t>
      </w:r>
    </w:p>
    <w:p>
      <w:pPr>
        <w:pStyle w:val="Cajadeanotacio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II.2).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03"/>
    <w:bookmarkEnd w:id="104"/>
    <w:bookmarkStart w:id="116" w:name="X59e0a71db0f8b9332fb012fa1db879904d75009"/>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13" w:name="sobre-las-demandas-de-factores-1"/>
    <w:p>
      <w:pPr>
        <w:pStyle w:val="Heading4"/>
      </w:pPr>
      <w:r>
        <w:t xml:space="preserve">Sobre las demandas de factores</w:t>
      </w:r>
    </w:p>
    <w:p>
      <w:pPr>
        <w:numPr>
          <w:ilvl w:val="0"/>
          <w:numId w:val="1057"/>
        </w:numPr>
      </w:pPr>
      <w:r>
        <w:t xml:space="preserve">Una vez vistos los cambios en la producción, pasamos a los cambios en los precios de los factores, con</w:t>
      </w:r>
      <w:r>
        <w:t xml:space="preserve"> </w:t>
      </w:r>
      <m:oMath>
        <m:r>
          <m:t>q</m:t>
        </m:r>
      </m:oMath>
      <w:r>
        <w:t xml:space="preserve"> </w:t>
      </w:r>
      <w:r>
        <w:t xml:space="preserve">fijo.</w:t>
      </w:r>
    </w:p>
    <w:p>
      <w:pPr>
        <w:numPr>
          <w:ilvl w:val="0"/>
          <w:numId w:val="1057"/>
        </w:numPr>
      </w:pPr>
      <w:r>
        <w:rPr>
          <w:i/>
          <w:iCs/>
        </w:rPr>
        <w:t xml:space="preserve">Gráficamente</w:t>
      </w:r>
      <w:r>
        <w:t xml:space="preserve"> </w:t>
      </w:r>
      <w:r>
        <w:t xml:space="preserve">(gráfico 12),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13).</w:t>
      </w:r>
    </w:p>
    <w:bookmarkStart w:id="108" w:name="fig:demanda-condicionada-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 title="" id="106" name="Picture"/>
            <a:graphic>
              <a:graphicData uri="http://schemas.openxmlformats.org/drawingml/2006/picture">
                <pic:pic>
                  <pic:nvPicPr>
                    <pic:cNvPr descr="C:\Users\vgutierrez\Documents\src\victorgutierrezmarcos.github.io-revision\oposicion\temario\fuentes\3A12\graficos/demanda-condicionada-w.png" id="107" name="Picture"/>
                    <pic:cNvPicPr>
                      <a:picLocks noChangeArrowheads="1" noChangeAspect="1"/>
                    </pic:cNvPicPr>
                  </pic:nvPicPr>
                  <pic:blipFill>
                    <a:blip r:embed="rId105"/>
                    <a:stretch>
                      <a:fillRect/>
                    </a:stretch>
                  </pic:blipFill>
                  <pic:spPr bwMode="auto">
                    <a:xfrm>
                      <a:off x="0" y="0"/>
                      <a:ext cx="2715676" cy="2538301"/>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numPr>
          <w:ilvl w:val="0"/>
          <w:numId w:val="1058"/>
        </w:numPr>
      </w:pPr>
      <w:r>
        <w:rPr>
          <w:i/>
          <w:iCs/>
        </w:rPr>
        <w:t xml:space="preserve">Analíticamente</w:t>
      </w:r>
      <w:r>
        <w:t xml:space="preserve">, las elasticidades de la demanda condicionada respecto a los precios,</w:t>
      </w:r>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Uzawa1962Production">
        <w:r>
          <w:rPr>
            <w:rStyle w:val="Hyperlink"/>
            <w:smallCaps/>
          </w:rPr>
          <w:t xml:space="preserve">Uzawa</w:t>
        </w:r>
        <w:r>
          <w:rPr>
            <w:rStyle w:val="Hyperlink"/>
          </w:rPr>
          <w:t xml:space="preserve"> </w:t>
        </w:r>
        <w:r>
          <w:rPr>
            <w:rStyle w:val="Hyperlink"/>
          </w:rPr>
          <w:t xml:space="preserve">1962</w:t>
        </w:r>
      </w:hyperlink>
      <w:r>
        <w:t xml:space="preserve">)</w:t>
      </w:r>
      <w:r>
        <w:t xml:space="preserve">.</w:t>
      </w:r>
    </w:p>
    <w:p>
      <w:pPr>
        <w:numPr>
          <w:ilvl w:val="0"/>
          <w:numId w:val="1058"/>
        </w:numPr>
      </w:pPr>
      <w:r>
        <w:rPr>
          <w:i/>
          <w:iCs/>
        </w:rPr>
        <w:t xml:space="preserve">¿Hay factores</w:t>
      </w:r>
      <w:r>
        <w:rPr>
          <w:i/>
          <w:iCs/>
        </w:rPr>
        <w:t xml:space="preserve"> </w:t>
      </w:r>
      <w:r>
        <w:rPr>
          <w:i/>
          <w:iCs/>
          <w:smallCaps/>
        </w:rPr>
        <w:t xml:space="preserve">Giffen</w:t>
      </w:r>
      <w:r>
        <w:rPr>
          <w:i/>
          <w:i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(I.2). Un factor sí puede ser inferior.</w:t>
      </w:r>
    </w:p>
    <w:p>
      <w:pPr>
        <w:numPr>
          <w:ilvl w:val="0"/>
          <w:numId w:val="1058"/>
        </w:numPr>
      </w:pPr>
      <w:r>
        <w:rPr>
          <w:i/>
          <w:iCs/>
        </w:rPr>
        <w:t xml:space="preserve">Relación entre las dos demandas</w:t>
      </w:r>
      <w:r>
        <w:t xml:space="preserve">: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(18).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r>
        <w:rPr>
          <w:rStyle w:val="Referenciaatema"/>
        </w:rPr>
        <w:t xml:space="preserve">[ver tema 3.A.9]</w:t>
      </w:r>
      <w:r>
        <w:t xml:space="preserve">:</w:t>
      </w:r>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59"/>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59"/>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Châtelier</w:t>
      </w:r>
      <w:r>
        <w:t xml:space="preserve">-</w:t>
      </w:r>
      <w:r>
        <w:rPr>
          <w:smallCaps/>
        </w:rPr>
        <w:t xml:space="preserve">Samuelson</w:t>
      </w:r>
      <w:r>
        <w:t xml:space="preserve">, II.2) y no hay factores</w:t>
      </w:r>
      <w:r>
        <w:t xml:space="preserve"> </w:t>
      </w:r>
      <w:r>
        <w:rPr>
          <w:smallCaps/>
        </w:rPr>
        <w:t xml:space="preserve">Giffen</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w:t>
        </w:r>
      </w:hyperlink>
      <w:r>
        <w:t xml:space="preserve"> </w:t>
      </w:r>
      <w:r>
        <w:t xml:space="preserve">y 5;</w:t>
      </w:r>
      <w:r>
        <w:t xml:space="preserve"> </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Start w:id="112" w:name="fig:demanda-factor-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 title="" id="110" name="Picture"/>
            <a:graphic>
              <a:graphicData uri="http://schemas.openxmlformats.org/drawingml/2006/picture">
                <pic:pic>
                  <pic:nvPicPr>
                    <pic:cNvPr descr="C:\Users\vgutierrez\Documents\src\victorgutierrezmarcos.github.io-revision\oposicion\temario\fuentes\3A12\graficos/demanda-factor-precio.png" id="111" name="Picture"/>
                    <pic:cNvPicPr>
                      <a:picLocks noChangeArrowheads="1" noChangeAspect="1"/>
                    </pic:cNvPicPr>
                  </pic:nvPicPr>
                  <pic:blipFill>
                    <a:blip r:embed="rId109"/>
                    <a:stretch>
                      <a:fillRect/>
                    </a:stretch>
                  </pic:blipFill>
                  <pic:spPr bwMode="auto">
                    <a:xfrm>
                      <a:off x="0" y="0"/>
                      <a:ext cx="2686050" cy="1955610"/>
                    </a:xfrm>
                    <a:prstGeom prst="rect">
                      <a:avLst/>
                    </a:prstGeom>
                    <a:noFill/>
                    <a:ln w="9525">
                      <a:noFill/>
                      <a:headEnd/>
                      <a:tailEnd/>
                    </a:ln>
                  </pic:spPr>
                </pic:pic>
              </a:graphicData>
            </a:graphic>
          </wp:inline>
        </w:drawing>
      </w:r>
    </w:p>
    <w:bookmarkEnd w:id="112"/>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w:t>
        </w:r>
      </w:hyperlink>
      <w:r>
        <w:t xml:space="preserve"> </w:t>
      </w:r>
      <w:r>
        <w:t xml:space="preserve">y 5)</w:t>
      </w:r>
      <w:r>
        <w:t xml:space="preserve">.</w:t>
      </w:r>
    </w:p>
    <w:p>
      <w:pPr>
        <w:pStyle w:val="Notaalopositor"/>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13"/>
    <w:bookmarkStart w:id="115" w:name="sobre-la-función-de-costes-1"/>
    <w:p>
      <w:pPr>
        <w:pStyle w:val="Heading4"/>
      </w:pPr>
      <w:r>
        <w:t xml:space="preserve">Sobre la función de costes</w:t>
      </w:r>
    </w:p>
    <w:p>
      <w:pPr>
        <w:numPr>
          <w:ilvl w:val="0"/>
          <w:numId w:val="1060"/>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14"/>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60"/>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115"/>
    <w:bookmarkEnd w:id="116"/>
    <w:bookmarkEnd w:id="117"/>
    <w:bookmarkStart w:id="140" w:name="análisis-de-plazos"/>
    <w:p>
      <w:pPr>
        <w:pStyle w:val="Heading2"/>
      </w:pPr>
      <w:r>
        <w:t xml:space="preserve">II.2.</w:t>
      </w:r>
      <w:r>
        <w:t xml:space="preserve"> </w:t>
      </w:r>
      <w:r>
        <w:t xml:space="preserve">Análisis de plazos</w:t>
      </w:r>
    </w:p>
    <w:p>
      <w:pPr>
        <w:keepNext/>
        <w:numPr>
          <w:ilvl w:val="0"/>
          <w:numId w:val="1061"/>
        </w:numPr>
      </w:pPr>
      <w:r>
        <w:t xml:space="preserve">La teoría económica distingue, siguiendo 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dos plazos:</w:t>
      </w:r>
    </w:p>
    <w:p>
      <w:pPr>
        <w:numPr>
          <w:ilvl w:val="1"/>
          <w:numId w:val="1062"/>
        </w:numPr>
      </w:pPr>
      <w:r>
        <w:rPr>
          <w:b/>
          <w:bCs/>
        </w:rPr>
        <w:t xml:space="preserve">corto plazo</w:t>
      </w:r>
      <w:r>
        <w:t xml:space="preserve">: algún factor es fijo (normalmente el capital, el tamaño de la planta);</w:t>
      </w:r>
    </w:p>
    <w:p>
      <w:pPr>
        <w:numPr>
          <w:ilvl w:val="1"/>
          <w:numId w:val="1062"/>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61"/>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22" w:name="análisis-de-corto-plazo"/>
    <w:p>
      <w:pPr>
        <w:pStyle w:val="Heading4"/>
      </w:pPr>
      <w:r>
        <w:t xml:space="preserve">Análisis de corto plazo</w:t>
      </w:r>
    </w:p>
    <w:p>
      <w:pPr>
        <w:numPr>
          <w:ilvl w:val="0"/>
          <w:numId w:val="1063"/>
        </w:numPr>
      </w:pPr>
      <w:r>
        <w:rPr>
          <w:i/>
          <w:iCs/>
        </w:rPr>
        <w:t xml:space="preserve">Problema</w:t>
      </w:r>
      <w:r>
        <w:t xml:space="preserve">: es el mismo de antes con una restricción adicional, el factor fijo</w:t>
      </w:r>
      <w:r>
        <w:t xml:space="preserve"> </w:t>
      </w:r>
      <m:oMath>
        <m:sSub>
          <m:e>
            <m:bar>
              <m:barPr>
                <m:pos m:val="top"/>
              </m:barPr>
              <m:e>
                <m:r>
                  <m:t>z</m:t>
                </m:r>
              </m:e>
            </m:ba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63"/>
        </w:numPr>
      </w:pPr>
      <w:r>
        <w:rPr>
          <w:i/>
          <w:iCs/>
        </w:rPr>
        <w:t xml:space="preserve">Relación entre corto y largo plazo</w:t>
      </w:r>
      <w:r>
        <w:t xml:space="preserve"> </w:t>
      </w:r>
      <w:r>
        <w:t xml:space="preserve">(gráfico 14).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64"/>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64"/>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64"/>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21" w:name="fig:corto-largo-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 title="" id="119" name="Picture"/>
            <a:graphic>
              <a:graphicData uri="http://schemas.openxmlformats.org/drawingml/2006/picture">
                <pic:pic>
                  <pic:nvPicPr>
                    <pic:cNvPr descr="C:\Users\vgutierrez\Documents\src\victorgutierrezmarcos.github.io-revision\oposicion\temario\fuentes\3A12\graficos/corto-largo-senda.png" id="120" name="Picture"/>
                    <pic:cNvPicPr>
                      <a:picLocks noChangeArrowheads="1" noChangeAspect="1"/>
                    </pic:cNvPicPr>
                  </pic:nvPicPr>
                  <pic:blipFill>
                    <a:blip r:embed="rId118"/>
                    <a:stretch>
                      <a:fillRect/>
                    </a:stretch>
                  </pic:blipFill>
                  <pic:spPr bwMode="auto">
                    <a:xfrm>
                      <a:off x="0" y="0"/>
                      <a:ext cx="5670550" cy="2470739"/>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keepNext/>
        <w:numPr>
          <w:ilvl w:val="0"/>
          <w:numId w:val="1065"/>
        </w:numPr>
      </w:pPr>
      <w:r>
        <w:rPr>
          <w:i/>
          <w:iCs/>
        </w:rPr>
        <w:t xml:space="preserve">Costes a corto plazo</w:t>
      </w:r>
      <w:r>
        <w:t xml:space="preserve"> </w:t>
      </w:r>
      <w:r>
        <w:t xml:space="preserve">(gráfico 15):</w:t>
      </w:r>
    </w:p>
    <w:p>
      <w:pPr>
        <w:numPr>
          <w:ilvl w:val="1"/>
          <w:numId w:val="1066"/>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66"/>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65"/>
        </w:numPr>
      </w:pPr>
      <w:r>
        <w:rPr>
          <w:i/>
          <w:iCs/>
        </w:rPr>
        <w:t xml:space="preserve">Coste marginal y coste variable medio</w:t>
      </w:r>
      <w:r>
        <w:t xml:space="preserve">: 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r>
        <w:rPr>
          <w:rStyle w:val="Referenciaatema"/>
        </w:rPr>
        <w:t xml:space="preserve">[ver tema 3.A.11]</w:t>
      </w:r>
      <w:r>
        <w:t xml:space="preserve">. De ahí la forma de U del CMg y la de S invertida de los costes variables: primero crecen cada vez más despacio, alcanzan un punto de inflexión (el mínimo del CMg) y después crecen cada vez más deprisa. El CMg corta al CVMe y al CMe en sus mínimos.</w:t>
      </w:r>
    </w:p>
    <w:p>
      <w:pPr>
        <w:numPr>
          <w:ilvl w:val="0"/>
          <w:numId w:val="1065"/>
        </w:numPr>
      </w:pPr>
      <w:r>
        <w:rPr>
          <w:i/>
          <w:iCs/>
        </w:rPr>
        <w:t xml:space="preserve">Coste medio</w:t>
      </w:r>
      <w:r>
        <w:t xml:space="preserve">: el CMe a corto plazo baja al principio por dos razones: 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 y la productividad creciente del trabajo;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65"/>
        </w:numPr>
      </w:pPr>
      <w:r>
        <w:rPr>
          <w:i/>
          <w:iCs/>
        </w:rPr>
        <w:t xml:space="preserve">Mínimo y óptimo de explotación</w:t>
      </w:r>
      <w:r>
        <w:t xml:space="preserve">: dos puntos que usa la teoría de los mercados</w:t>
      </w:r>
      <w:r>
        <w:t xml:space="preserve"> </w:t>
      </w:r>
      <w:r>
        <w:rPr>
          <w:rStyle w:val="Referenciaatema"/>
        </w:rPr>
        <w:t xml:space="preserve">[ver tema 3.A.16]</w:t>
      </w:r>
      <w:r>
        <w:t xml:space="preserve">:</w:t>
      </w:r>
    </w:p>
    <w:p>
      <w:pPr>
        <w:numPr>
          <w:ilvl w:val="1"/>
          <w:numId w:val="1067"/>
        </w:numPr>
      </w:pPr>
      <w:r>
        <w:t xml:space="preserve">el mínimo del CVMe (</w:t>
      </w:r>
      <w:r>
        <w:rPr>
          <w:i/>
          <w:iCs/>
        </w:rPr>
        <w:t xml:space="preserve">mínimo de explotación</w:t>
      </w:r>
      <w:r>
        <w:t xml:space="preserve">): por debajo de ese precio, la empresa competitiva cierra a corto plazo;</w:t>
      </w:r>
    </w:p>
    <w:p>
      <w:pPr>
        <w:numPr>
          <w:ilvl w:val="1"/>
          <w:numId w:val="1067"/>
        </w:numPr>
      </w:pPr>
      <w:r>
        <w:t xml:space="preserve">el mínimo del CMe (</w:t>
      </w:r>
      <w:r>
        <w:rPr>
          <w:i/>
          <w:iCs/>
        </w:rPr>
        <w:t xml:space="preserve">óptimo de explotación</w:t>
      </w:r>
      <w:r>
        <w:t xml:space="preserve">): por encima, hay beneficio.</w:t>
      </w:r>
    </w:p>
    <w:bookmarkEnd w:id="122"/>
    <w:bookmarkStart w:id="128" w:name="Xbb793a24f28ed07a23adf94e6e582862d037bc7"/>
    <w:p>
      <w:pPr>
        <w:pStyle w:val="Heading4"/>
      </w:pPr>
      <w:r>
        <w:t xml:space="preserve">Fases del coste a corto plazo en términos de elasticidades</w:t>
      </w:r>
    </w:p>
    <w:p>
      <w:pPr>
        <w:numPr>
          <w:ilvl w:val="0"/>
          <w:numId w:val="1068"/>
        </w:numPr>
      </w:pPr>
      <w:r>
        <w:t xml:space="preserve">Las fases de los costes a corto plazo son las</w:t>
      </w:r>
      <w:r>
        <w:t xml:space="preserve"> </w:t>
      </w:r>
      <w:r>
        <w:rPr>
          <w:i/>
          <w:iCs/>
        </w:rPr>
        <w:t xml:space="preserve">etapas de la producción</w:t>
      </w:r>
      <w:r>
        <w:t xml:space="preserve"> </w:t>
      </w:r>
      <w:r>
        <w:rPr>
          <w:rStyle w:val="Referenciaatema"/>
        </w:rPr>
        <w:t xml:space="preserve">[ver tema 3.A.11]</w:t>
      </w:r>
      <w:r>
        <w:t xml:space="preserve"> </w:t>
      </w:r>
      <w:r>
        <w:t xml:space="preserve">vistas desde los costes. Se ordenan con la</w:t>
      </w:r>
      <w:r>
        <w:t xml:space="preserve"> </w:t>
      </w:r>
      <w:r>
        <w:rPr>
          <w:b/>
          <w:bCs/>
        </w:rPr>
        <w:t xml:space="preserve">elasticidad del coste variable respecto a la producción</w:t>
      </w:r>
      <w:r>
        <w:t xml:space="preserve">, que por (34) es la inversa de la elasticidad-producto del trabajo:</w:t>
      </w:r>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69"/>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69"/>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69"/>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69"/>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68"/>
        </w:numPr>
      </w:pPr>
      <w:r>
        <w:t xml:space="preserve">La tabla 4 recoge la correspondencia, con los mismos tramos y colores que la de las etapas de la producción</w:t>
      </w:r>
      <w:r>
        <w:t xml:space="preserve"> </w:t>
      </w:r>
      <w:r>
        <w:rPr>
          <w:rStyle w:val="Referenciaatema"/>
        </w:rPr>
        <w:t xml:space="preserve">[ver tema 3.A.11]</w:t>
      </w:r>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3.</w:t>
      </w:r>
    </w:p>
    <w:bookmarkStart w:id="123" w:name="tab:fases-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Costes</w:t>
            </w:r>
          </w:p>
        </w:tc>
        <w:tc>
          <w:tcPr>
            <w:vAlign w:val="center"/>
          </w:tcPr>
          <w:p>
            <w:pPr>
              <w:pStyle w:val="Celdatceeazulpalido"/>
              <w:jc w:val="center"/>
            </w:pPr>
            <m:oMath>
              <m:sSub>
                <m:e>
                  <m:r>
                    <m:t>ε</m:t>
                  </m:r>
                </m:e>
                <m:sub>
                  <m:r>
                    <m:rPr>
                      <m:sty m:val="p"/>
                    </m:rPr>
                    <m:t>C</m:t>
                  </m:r>
                  <m:r>
                    <m:rPr>
                      <m:sty m:val="p"/>
                    </m:rPr>
                    <m:t>V</m:t>
                  </m:r>
                  <m:r>
                    <m:rPr>
                      <m:sty m:val="p"/>
                    </m:rPr>
                    <m:t>,</m:t>
                  </m:r>
                  <m:r>
                    <m:t>q</m:t>
                  </m:r>
                </m:sub>
              </m:sSub>
            </m:oMath>
          </w:p>
        </w:tc>
        <w:tc>
          <w:tcPr>
            <w:vAlign w:val="center"/>
          </w:tcPr>
          <w:p>
            <w:pPr>
              <w:pStyle w:val="Celdatceeazulpalido"/>
              <w:jc w:val="center"/>
            </w:pPr>
            <w:r>
              <w:rPr>
                <w:i/>
                <w:iCs/>
              </w:rPr>
              <w:t xml:space="preserve">Producción</w:t>
            </w:r>
          </w:p>
        </w:tc>
      </w:tr>
      <w:tr>
        <w:tc>
          <w:tcPr>
            <w:gridSpan w:val="6"/>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23"/>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5</w:t>
        </w:r>
      </w:hyperlink>
      <w:r>
        <w:rPr>
          <w:i/>
          <w:iCs/>
        </w:rPr>
        <w:t xml:space="preserve">)</w:t>
      </w:r>
      <w:r>
        <w:rPr>
          <w:i/>
          <w:iCs/>
        </w:rPr>
        <w:t xml:space="preserve">.</w:t>
      </w:r>
    </w:p>
    <w:bookmarkStart w:id="127" w:name="fig:costes-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 title="" id="125" name="Picture"/>
            <a:graphic>
              <a:graphicData uri="http://schemas.openxmlformats.org/drawingml/2006/picture">
                <pic:pic>
                  <pic:nvPicPr>
                    <pic:cNvPr descr="C:\Users\vgutierrez\Documents\src\victorgutierrezmarcos.github.io-revision\oposicion\temario\fuentes\3A12\graficos/costes-corto.png" id="126" name="Picture"/>
                    <pic:cNvPicPr>
                      <a:picLocks noChangeArrowheads="1" noChangeAspect="1"/>
                    </pic:cNvPicPr>
                  </pic:nvPicPr>
                  <pic:blipFill>
                    <a:blip r:embed="rId124"/>
                    <a:stretch>
                      <a:fillRect/>
                    </a:stretch>
                  </pic:blipFill>
                  <pic:spPr bwMode="auto">
                    <a:xfrm>
                      <a:off x="0" y="0"/>
                      <a:ext cx="3879850" cy="3876904"/>
                    </a:xfrm>
                    <a:prstGeom prst="rect">
                      <a:avLst/>
                    </a:prstGeom>
                    <a:noFill/>
                    <a:ln w="9525">
                      <a:noFill/>
                      <a:headEnd/>
                      <a:tailEnd/>
                    </a:ln>
                  </pic:spPr>
                </pic:pic>
              </a:graphicData>
            </a:graphic>
          </wp:inline>
        </w:drawing>
      </w:r>
    </w:p>
    <w:bookmarkEnd w:id="127"/>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128"/>
    <w:bookmarkStart w:id="133" w:name="análisis-de-largo-plazo"/>
    <w:p>
      <w:pPr>
        <w:pStyle w:val="Heading4"/>
      </w:pPr>
      <w:r>
        <w:t xml:space="preserve">Análisis de largo plazo</w:t>
      </w:r>
    </w:p>
    <w:p>
      <w:pPr>
        <w:keepNext/>
        <w:numPr>
          <w:ilvl w:val="0"/>
          <w:numId w:val="1070"/>
        </w:numPr>
      </w:pPr>
      <w:r>
        <w:t xml:space="preserve">A largo plazo, la curva de costes totales es la envolvente de las de corto plazo (gráfico 16,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71"/>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71"/>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que la trazó pasando por todos ellos, cosa imposible salvo en ese punto.</w:t>
      </w:r>
    </w:p>
    <w:p>
      <w:pPr>
        <w:numPr>
          <w:ilvl w:val="1"/>
          <w:numId w:val="1071"/>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32" w:name="fig: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 title="" id="130" name="Picture"/>
            <a:graphic>
              <a:graphicData uri="http://schemas.openxmlformats.org/drawingml/2006/picture">
                <pic:pic>
                  <pic:nvPicPr>
                    <pic:cNvPr descr="C:\Users\vgutierrez\Documents\src\victorgutierrezmarcos.github.io-revision\oposicion\temario\fuentes\3A12\graficos/envolvente.png" id="131" name="Picture"/>
                    <pic:cNvPicPr>
                      <a:picLocks noChangeArrowheads="1" noChangeAspect="1"/>
                    </pic:cNvPicPr>
                  </pic:nvPicPr>
                  <pic:blipFill>
                    <a:blip r:embed="rId129"/>
                    <a:stretch>
                      <a:fillRect/>
                    </a:stretch>
                  </pic:blipFill>
                  <pic:spPr bwMode="auto">
                    <a:xfrm>
                      <a:off x="0" y="0"/>
                      <a:ext cx="4134678" cy="4260064"/>
                    </a:xfrm>
                    <a:prstGeom prst="rect">
                      <a:avLst/>
                    </a:prstGeom>
                    <a:noFill/>
                    <a:ln w="9525">
                      <a:noFill/>
                      <a:headEnd/>
                      <a:tailEnd/>
                    </a:ln>
                  </pic:spPr>
                </pic:pic>
              </a:graphicData>
            </a:graphic>
          </wp:inline>
        </w:drawing>
      </w:r>
    </w:p>
    <w:bookmarkEnd w:id="132"/>
    <w:p>
      <w:pPr>
        <w:pStyle w:val="Piedeimagen"/>
      </w:pPr>
      <w:r>
        <w:t xml:space="preserve">Fuente: elaboración propia a partir de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133"/>
    <w:bookmarkStart w:id="139" w:name="X238511a90c85eabbcb67b882f863e2bbc09ee4d"/>
    <w:p>
      <w:pPr>
        <w:pStyle w:val="Heading4"/>
      </w:pPr>
      <w:r>
        <w:t xml:space="preserve">Comparación entre corto plazo y largo plazo. Principio de</w:t>
      </w:r>
      <w:r>
        <w:t xml:space="preserve"> </w:t>
      </w:r>
      <w:r>
        <w:rPr>
          <w:smallCaps/>
        </w:rPr>
        <w:t xml:space="preserve">Le Châtelier</w:t>
      </w:r>
      <w:r>
        <w:t xml:space="preserve">-</w:t>
      </w:r>
      <w:r>
        <w:rPr>
          <w:smallCaps/>
        </w:rPr>
        <w:t xml:space="preserve">Samuelson</w:t>
      </w:r>
    </w:p>
    <w:p>
      <w:pPr>
        <w:numPr>
          <w:ilvl w:val="0"/>
          <w:numId w:val="1072"/>
        </w:numPr>
      </w:pPr>
      <w:r>
        <w:t xml:space="preserve">En el gráfico 16 se ve además que, en el punto de tangencia, el CMg a corto plazo tiene más pendiente que el de largo (lo corta desde abajo).</w:t>
      </w:r>
      <w:r>
        <w:rPr>
          <w:rStyle w:val="FootnoteReference"/>
        </w:rPr>
        <w:footnoteReference w:id="134"/>
      </w:r>
      <w:r>
        <w:t xml:space="preserve"> </w:t>
      </w:r>
      <w:r>
        <w:t xml:space="preserve">Importa porque en competencia perfecta el tramo creciente del CMg, por encima del umbral de cierre, es la curva de oferta de la empresa.</w:t>
      </w:r>
    </w:p>
    <w:p>
      <w:pPr>
        <w:numPr>
          <w:ilvl w:val="0"/>
          <w:numId w:val="1072"/>
        </w:numPr>
      </w:pPr>
      <w:r>
        <w:t xml:space="preserve">Lo explica el</w:t>
      </w:r>
      <w:r>
        <w:t xml:space="preserve"> </w:t>
      </w:r>
      <w:r>
        <w:rPr>
          <w:b/>
          <w:bCs/>
        </w:rPr>
        <w:t xml:space="preserve">principio de</w:t>
      </w:r>
      <w:r>
        <w:rPr>
          <w:b/>
          <w:bCs/>
        </w:rPr>
        <w:t xml:space="preserve"> </w:t>
      </w:r>
      <w:r>
        <w:rPr>
          <w:b/>
          <w:bCs/>
          <w:smallCaps/>
        </w:rPr>
        <w:t xml:space="preserve">Le Châtelier</w:t>
      </w:r>
      <w:r>
        <w:rPr>
          <w:b/>
          <w:bCs/>
        </w:rPr>
        <w:t xml:space="preserve">-</w:t>
      </w:r>
      <w:r>
        <w:rPr>
          <w:b/>
          <w:bCs/>
          <w:smallCaps/>
        </w:rPr>
        <w:t xml:space="preserve">Samuelson</w:t>
      </w:r>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 cuantas más restricciones tiene la empresa, menos responde a los precios. A largo plazo, las demandas de factores y la oferta son más elásticas que a corto,</w:t>
      </w:r>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Châtelier</w:t>
      </w:r>
      <w:r>
        <w:t xml:space="preserve"> </w:t>
      </w:r>
      <w:r>
        <w:t xml:space="preserve">enunció en 1884 para los equilibrios químicos</w:t>
      </w:r>
      <w:r>
        <w:t xml:space="preserve"> </w:t>
      </w:r>
      <w:r>
        <w:t xml:space="preserve">(</w:t>
      </w:r>
      <w:hyperlink w:anchor="ref-LeChatelier1884Enonce">
        <w:r>
          <w:rPr>
            <w:rStyle w:val="Hyperlink"/>
            <w:smallCaps/>
          </w:rPr>
          <w:t xml:space="preserve">Le Chatelier</w:t>
        </w:r>
        <w:r>
          <w:rPr>
            <w:rStyle w:val="Hyperlink"/>
          </w:rPr>
          <w:t xml:space="preserve"> </w:t>
        </w:r>
        <w:r>
          <w:rPr>
            <w:rStyle w:val="Hyperlink"/>
          </w:rPr>
          <w:t xml:space="preserve">1884</w:t>
        </w:r>
      </w:hyperlink>
      <w:r>
        <w:t xml:space="preserve">)</w:t>
      </w:r>
      <w:r>
        <w:t xml:space="preserve">: un sistema con menos variables libres responde menos a una perturbación.</w:t>
      </w:r>
      <w:r>
        <w:rPr>
          <w:rStyle w:val="FootnoteReference"/>
        </w:rPr>
        <w:footnoteReference w:id="138"/>
      </w:r>
    </w:p>
    <w:p>
      <w:pPr>
        <w:pStyle w:val="Ideaclave"/>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numPr>
          <w:ilvl w:val="0"/>
          <w:numId w:val="1073"/>
        </w:numPr>
      </w:pPr>
      <w:r>
        <w:t xml:space="preserve">Recapitulando lo visto hasta aquí: la demanda condicionada de un factor nunca crece con su precio, y la no condicionada responde todavía más; los costes medios a largo plazo son en U si la tecnología tiene rendimientos a escala primero crecientes y después decrecientes, y los de corto plazo, por la ley de proporciones variables. 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39"/>
    <w:bookmarkEnd w:id="140"/>
    <w:bookmarkStart w:id="148" w:name="X4307d63b9f1d1c14c8a4bb92d9cae6bf065647e"/>
    <w:p>
      <w:pPr>
        <w:pStyle w:val="Heading2"/>
      </w:pPr>
      <w:r>
        <w:t xml:space="preserve">II.3.</w:t>
      </w:r>
      <w:r>
        <w:t xml:space="preserve"> </w:t>
      </w:r>
      <w:r>
        <w:t xml:space="preserve">Estimación de funciones de costes por dualidad</w:t>
      </w:r>
    </w:p>
    <w:bookmarkStart w:id="141" w:name="a-idea-2"/>
    <w:p>
      <w:pPr>
        <w:pStyle w:val="Heading4"/>
      </w:pPr>
      <w:r>
        <w:t xml:space="preserve">a) Idea</w:t>
      </w:r>
    </w:p>
    <w:p>
      <w:pPr>
        <w:numPr>
          <w:ilvl w:val="0"/>
          <w:numId w:val="1074"/>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Por la dualidad (I.3.1),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41"/>
    <w:bookmarkStart w:id="145" w:name="b-modelo-2"/>
    <w:p>
      <w:pPr>
        <w:pStyle w:val="Heading4"/>
      </w:pPr>
      <w:r>
        <w:t xml:space="preserve">b) Modelo</w:t>
      </w:r>
    </w:p>
    <w:bookmarkStart w:id="142" w:name="i-supuestos-2"/>
    <w:p>
      <w:pPr>
        <w:pStyle w:val="Heading5"/>
      </w:pPr>
      <w:r>
        <w:t xml:space="preserve">i) Supuestos</w:t>
      </w:r>
    </w:p>
    <w:p>
      <w:pPr>
        <w:numPr>
          <w:ilvl w:val="0"/>
          <w:numId w:val="1075"/>
        </w:numPr>
      </w:pPr>
      <w:r>
        <w:t xml:space="preserve">La empresa minimiza costes, es precio-aceptante en los mercados de factores y su producción es exógena; los datos son de corte transversal o de panel de empresas del mismo sector.</w:t>
      </w:r>
    </w:p>
    <w:bookmarkEnd w:id="142"/>
    <w:bookmarkStart w:id="143" w:name="ii-desarrollo-2"/>
    <w:p>
      <w:pPr>
        <w:pStyle w:val="Heading5"/>
      </w:pPr>
      <w:r>
        <w:t xml:space="preserve">ii) Desarrollo</w:t>
      </w:r>
    </w:p>
    <w:p>
      <w:pPr>
        <w:numPr>
          <w:ilvl w:val="0"/>
          <w:numId w:val="1076"/>
        </w:numPr>
      </w:pPr>
      <w:r>
        <w:rPr>
          <w:i/>
          <w:iCs/>
        </w:rPr>
        <w:t xml:space="preserve">Forma Cobb-Douglas</w:t>
      </w:r>
      <w:r>
        <w:t xml:space="preserve">. De (16), en logaritmos,</w:t>
      </w:r>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76"/>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X3912afbe19fb4eb5a412d0575e10cb0aa993b54">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1973</w:t>
        </w:r>
      </w:hyperlink>
      <w:r>
        <w:t xml:space="preserve">;</w:t>
      </w:r>
      <w:r>
        <w:t xml:space="preserve"> </w:t>
      </w:r>
      <w:hyperlink w:anchor="ref-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r>
        <w:t xml:space="preserve">:</w:t>
      </w:r>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r>
        <w:rPr>
          <w:rStyle w:val="Referenciaatema"/>
        </w:rPr>
        <w:t xml:space="preserve">[ver tema 3.A.9]</w:t>
      </w:r>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77"/>
        </w:numPr>
      </w:pPr>
      <w:r>
        <w:rPr>
          <w:i/>
          <w:iCs/>
        </w:rPr>
        <w:t xml:space="preserve">Participaciones en el coste</w:t>
      </w:r>
      <w:r>
        <w:t xml:space="preserve">: por el lema de</w:t>
      </w:r>
      <w:r>
        <w:t xml:space="preserve"> </w:t>
      </w:r>
      <w:r>
        <w:rPr>
          <w:smallCaps/>
        </w:rPr>
        <w:t xml:space="preserve">Shephard</w:t>
      </w:r>
      <w:r>
        <w:t xml:space="preserve">, son lineales en los parámetros:</w:t>
      </w:r>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77"/>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77"/>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numPr>
          <w:ilvl w:val="1"/>
          <w:numId w:val="1077"/>
        </w:numPr>
      </w:pPr>
      <w:r>
        <w:rPr>
          <w:i/>
          <w:iCs/>
        </w:rPr>
        <w:t xml:space="preserve">Casos anidados</w:t>
      </w:r>
      <w:r>
        <w:t xml:space="preserve">: con todos los</w:t>
      </w:r>
      <w:r>
        <w:t xml:space="preserve"> </w:t>
      </w:r>
      <m:oMath>
        <m:r>
          <m:t>β</m:t>
        </m:r>
        <m:r>
          <m:rPr>
            <m:sty m:val="p"/>
          </m:rPr>
          <m:t>=</m:t>
        </m:r>
        <m:r>
          <m:t>0</m:t>
        </m:r>
      </m:oMath>
      <w:r>
        <w:t xml:space="preserve"> </w:t>
      </w:r>
      <w:r>
        <w:t xml:space="preserve">es la Cobb-Douglas; con</w:t>
      </w:r>
      <w:r>
        <w:t xml:space="preserve"> </w:t>
      </w:r>
      <m:oMath>
        <m:sSub>
          <m:e>
            <m:r>
              <m:t>β</m:t>
            </m:r>
          </m:e>
          <m:sub>
            <m:r>
              <m:t>i</m:t>
            </m:r>
            <m:r>
              <m:t>q</m:t>
            </m:r>
          </m:sub>
        </m:sSub>
        <m:r>
          <m:rPr>
            <m:sty m:val="p"/>
          </m:rPr>
          <m:t>=</m:t>
        </m:r>
        <m:r>
          <m:t>0</m:t>
        </m:r>
      </m:oMath>
      <w:r>
        <w:t xml:space="preserve">, homotética; con además</w:t>
      </w:r>
      <w:r>
        <w:t xml:space="preserve"> </w:t>
      </w:r>
      <m:oMath>
        <m:sSub>
          <m:e>
            <m:r>
              <m:t>β</m:t>
            </m:r>
          </m:e>
          <m:sub>
            <m:r>
              <m:t>q</m:t>
            </m:r>
            <m:r>
              <m:t>q</m:t>
            </m:r>
          </m:sub>
        </m:sSub>
        <m:r>
          <m:rPr>
            <m:sty m:val="p"/>
          </m:rPr>
          <m:t>=</m:t>
        </m:r>
        <m:r>
          <m:t>0</m:t>
        </m:r>
      </m:oMath>
      <w:r>
        <w:t xml:space="preserve">, homogénea.</w:t>
      </w:r>
    </w:p>
    <w:p>
      <w:pPr>
        <w:numPr>
          <w:ilvl w:val="0"/>
          <w:numId w:val="1076"/>
        </w:numPr>
      </w:pPr>
      <w:r>
        <w:rPr>
          <w:i/>
          <w:iCs/>
        </w:rPr>
        <w:t xml:space="preserve">Otra forma flexible</w:t>
      </w:r>
      <w:r>
        <w:t xml:space="preserve">: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G.</w:t>
      </w:r>
    </w:p>
    <w:bookmarkEnd w:id="143"/>
    <w:bookmarkStart w:id="144" w:name="iii-implicaciones"/>
    <w:p>
      <w:pPr>
        <w:pStyle w:val="Heading5"/>
      </w:pPr>
      <w:r>
        <w:t xml:space="preserve">iii) Implicaciones</w:t>
      </w:r>
    </w:p>
    <w:p>
      <w:pPr>
        <w:numPr>
          <w:ilvl w:val="0"/>
          <w:numId w:val="1078"/>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 I.3.1. Y las estimaciones dan lo que interesa a la política económica: economías de escala, elasticidades de sustitución y costes marginales.</w:t>
      </w:r>
    </w:p>
    <w:bookmarkEnd w:id="144"/>
    <w:bookmarkEnd w:id="145"/>
    <w:bookmarkStart w:id="146" w:name="c-evidencia-empírica"/>
    <w:p>
      <w:pPr>
        <w:pStyle w:val="Heading4"/>
      </w:pPr>
      <w:r>
        <w:t xml:space="preserve">c) Evidencia empírica</w:t>
      </w:r>
    </w:p>
    <w:p>
      <w:pPr>
        <w:numPr>
          <w:ilvl w:val="0"/>
          <w:numId w:val="1079"/>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46"/>
    <w:bookmarkStart w:id="147" w:name="d-valoración"/>
    <w:p>
      <w:pPr>
        <w:pStyle w:val="Heading4"/>
      </w:pPr>
      <w:r>
        <w:t xml:space="preserve">d) Valoración</w:t>
      </w:r>
    </w:p>
    <w:p>
      <w:pPr>
        <w:numPr>
          <w:ilvl w:val="0"/>
          <w:numId w:val="1080"/>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II.5.</w:t>
      </w:r>
    </w:p>
    <w:bookmarkEnd w:id="147"/>
    <w:bookmarkEnd w:id="148"/>
    <w:bookmarkStart w:id="153" w:name="X9ef19a6c4f12f10de2b3d362cf1da602249c78b"/>
    <w:p>
      <w:pPr>
        <w:pStyle w:val="Heading2"/>
      </w:pPr>
      <w:r>
        <w:t xml:space="preserve">II.4.</w:t>
      </w:r>
      <w:r>
        <w:t xml:space="preserve"> </w:t>
      </w:r>
      <w:r>
        <w:t xml:space="preserve">Economías de escala y forma de los costes en los datos</w:t>
      </w:r>
    </w:p>
    <w:p>
      <w:pPr>
        <w:numPr>
          <w:ilvl w:val="0"/>
          <w:numId w:val="1081"/>
        </w:numPr>
      </w:pPr>
      <w:r>
        <w:t xml:space="preserve">Planteado el método de estimación, veamos qué dicen los datos sobre la forma de los costes.</w:t>
      </w:r>
    </w:p>
    <w:p>
      <w:pPr>
        <w:keepNext/>
        <w:numPr>
          <w:ilvl w:val="0"/>
          <w:numId w:val="1081"/>
        </w:numPr>
      </w:pPr>
      <w:r>
        <w:rPr>
          <w:i/>
          <w:iCs/>
        </w:rPr>
        <w:t xml:space="preserve">Métodos</w:t>
      </w:r>
      <w:r>
        <w:t xml:space="preserve">: la forma de la curva de costes a largo plazo se ha estudiado de tres maneras</w:t>
      </w:r>
      <w:r>
        <w:t xml:space="preserve"> </w:t>
      </w:r>
      <w:r>
        <w:t xml:space="preserve">(</w:t>
      </w:r>
      <w:hyperlink w:anchor="ref-Stigler1958Economies">
        <w:r>
          <w:rPr>
            <w:rStyle w:val="Hyperlink"/>
            <w:smallCaps/>
          </w:rPr>
          <w:t xml:space="preserve">Stigler</w:t>
        </w:r>
        <w:r>
          <w:rPr>
            <w:rStyle w:val="Hyperlink"/>
          </w:rPr>
          <w:t xml:space="preserve"> </w:t>
        </w:r>
        <w:r>
          <w:rPr>
            <w:rStyle w:val="Hyperlink"/>
          </w:rPr>
          <w:t xml:space="preserve">1958</w:t>
        </w:r>
      </w:hyperlink>
      <w:r>
        <w:t xml:space="preserve">)</w:t>
      </w:r>
      <w:r>
        <w:t xml:space="preserve">:</w:t>
      </w:r>
    </w:p>
    <w:p>
      <w:pPr>
        <w:numPr>
          <w:ilvl w:val="1"/>
          <w:numId w:val="1082"/>
        </w:numPr>
      </w:pPr>
      <w:r>
        <w:rPr>
          <w:i/>
          <w:iCs/>
        </w:rPr>
        <w:t xml:space="preserve">estadístico</w:t>
      </w:r>
      <w:r>
        <w:t xml:space="preserve">: estimar funciones de costes con datos de empresas o plantas (II.3);</w:t>
      </w:r>
    </w:p>
    <w:p>
      <w:pPr>
        <w:numPr>
          <w:ilvl w:val="1"/>
          <w:numId w:val="1082"/>
        </w:numPr>
      </w:pPr>
      <w:r>
        <w:rPr>
          <w:i/>
          <w:iCs/>
        </w:rPr>
        <w:t xml:space="preserve">de ingeniería</w:t>
      </w:r>
      <w:r>
        <w:t xml:space="preserve">: calcular, con los datos técnicos de los procesos, el coste de plantas de distinto tamaño;</w:t>
      </w:r>
    </w:p>
    <w:p>
      <w:pPr>
        <w:numPr>
          <w:ilvl w:val="1"/>
          <w:numId w:val="1082"/>
        </w:numPr>
      </w:pPr>
      <w:r>
        <w:rPr>
          <w:i/>
          <w:iCs/>
        </w:rPr>
        <w:t xml:space="preserve">del superviviente</w:t>
      </w:r>
      <w:r>
        <w:t xml:space="preserve">:</w:t>
      </w:r>
      <w:r>
        <w:t xml:space="preserve"> </w:t>
      </w:r>
      <w:r>
        <w:rPr>
          <w:smallCaps/>
        </w:rPr>
        <w:t xml:space="preserve">Stigler</w:t>
      </w:r>
      <w:r>
        <w:t xml:space="preserve"> </w:t>
      </w:r>
      <w:r>
        <w:t xml:space="preserve">(</w:t>
      </w:r>
      <w:hyperlink w:anchor="ref-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81"/>
        </w:numPr>
      </w:pPr>
      <w:r>
        <w:rPr>
          <w:i/>
          <w:iCs/>
        </w:rPr>
        <w:t xml:space="preserve">Resultados</w:t>
      </w:r>
      <w:r>
        <w:t xml:space="preserve">:</w:t>
      </w:r>
    </w:p>
    <w:p>
      <w:pPr>
        <w:numPr>
          <w:ilvl w:val="1"/>
          <w:numId w:val="1083"/>
        </w:numPr>
      </w:pP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83"/>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17).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r>
        <w:rPr>
          <w:rStyle w:val="Referenciaatema"/>
        </w:rPr>
        <w:t xml:space="preserve">[ver tema 3.A.17]</w:t>
      </w:r>
      <w:r>
        <w:t xml:space="preserve"> </w:t>
      </w:r>
      <w:r>
        <w:rPr>
          <w:rStyle w:val="Referenciaatema"/>
        </w:rPr>
        <w:t xml:space="preserve">[ver tema 3.A.20]</w:t>
      </w:r>
      <w:r>
        <w:t xml:space="preserve">.</w:t>
      </w:r>
    </w:p>
    <w:p>
      <w:pPr>
        <w:numPr>
          <w:ilvl w:val="1"/>
          <w:numId w:val="1083"/>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83"/>
        </w:numPr>
      </w:pPr>
      <w:r>
        <w:t xml:space="preserve">Los repasos clásicos de la evidencia estadística</w:t>
      </w:r>
      <w:r>
        <w:t xml:space="preserve"> </w:t>
      </w:r>
      <w:r>
        <w:t xml:space="preserve">(</w:t>
      </w:r>
      <w:hyperlink w:anchor="ref-Johnston1960Statistical">
        <w:r>
          <w:rPr>
            <w:rStyle w:val="Hyperlink"/>
            <w:smallCaps/>
          </w:rPr>
          <w:t xml:space="preserve">Johnston</w:t>
        </w:r>
        <w:r>
          <w:rPr>
            <w:rStyle w:val="Hyperlink"/>
          </w:rPr>
          <w:t xml:space="preserve"> </w:t>
        </w:r>
        <w:r>
          <w:rPr>
            <w:rStyle w:val="Hyperlink"/>
          </w:rPr>
          <w:t xml:space="preserve">1960</w:t>
        </w:r>
      </w:hyperlink>
      <w:r>
        <w:t xml:space="preserve">;</w:t>
      </w:r>
      <w:r>
        <w:t xml:space="preserve"> </w:t>
      </w:r>
      <w:hyperlink w:anchor="ref-Walters1963Production">
        <w:r>
          <w:rPr>
            <w:rStyle w:val="Hyperlink"/>
            <w:smallCaps/>
          </w:rPr>
          <w:t xml:space="preserve">Walters</w:t>
        </w:r>
        <w:r>
          <w:rPr>
            <w:rStyle w:val="Hyperlink"/>
          </w:rPr>
          <w:t xml:space="preserve"> </w:t>
        </w:r>
        <w:r>
          <w:rPr>
            <w:rStyle w:val="Hyperlink"/>
          </w:rPr>
          <w:t xml:space="preserve">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(III.3.1).</w:t>
      </w:r>
    </w:p>
    <w:p>
      <w:pPr>
        <w:numPr>
          <w:ilvl w:val="1"/>
          <w:numId w:val="1083"/>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Lieberman1984Learning">
        <w:r>
          <w:rPr>
            <w:rStyle w:val="Hyperlink"/>
            <w:smallCaps/>
          </w:rPr>
          <w:t xml:space="preserve">Lieberman</w:t>
        </w:r>
        <w:r>
          <w:rPr>
            <w:rStyle w:val="Hyperlink"/>
          </w:rPr>
          <w:t xml:space="preserve"> </w:t>
        </w:r>
        <w:r>
          <w:rPr>
            <w:rStyle w:val="Hyperlink"/>
          </w:rPr>
          <w:t xml:space="preserve">1984</w:t>
        </w:r>
      </w:hyperlink>
      <w:r>
        <w:t xml:space="preserve">)</w:t>
      </w:r>
      <w:r>
        <w:t xml:space="preserve">.</w:t>
      </w:r>
    </w:p>
    <w:bookmarkStart w:id="152" w:name="fig:christensen-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 title="" id="150" name="Picture"/>
            <a:graphic>
              <a:graphicData uri="http://schemas.openxmlformats.org/drawingml/2006/picture">
                <pic:pic>
                  <pic:nvPicPr>
                    <pic:cNvPr descr="C:\Users\vgutierrez\Documents\src\victorgutierrezmarcos.github.io-revision\oposicion\temario\fuentes\3A12\graficos/christensen-greene-1970.png" id="151" name="Picture"/>
                    <pic:cNvPicPr>
                      <a:picLocks noChangeArrowheads="1" noChangeAspect="1"/>
                    </pic:cNvPicPr>
                  </pic:nvPicPr>
                  <pic:blipFill>
                    <a:blip r:embed="rId149"/>
                    <a:stretch>
                      <a:fillRect/>
                    </a:stretch>
                  </pic:blipFill>
                  <pic:spPr bwMode="auto">
                    <a:xfrm>
                      <a:off x="0" y="0"/>
                      <a:ext cx="3727938" cy="2415973"/>
                    </a:xfrm>
                    <a:prstGeom prst="rect">
                      <a:avLst/>
                    </a:prstGeom>
                    <a:noFill/>
                    <a:ln w="9525">
                      <a:noFill/>
                      <a:headEnd/>
                      <a:tailEnd/>
                    </a:ln>
                  </pic:spPr>
                </pic:pic>
              </a:graphicData>
            </a:graphic>
          </wp:inline>
        </w:drawing>
      </w:r>
    </w:p>
    <w:bookmarkEnd w:id="152"/>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Greene2026TablaF44">
        <w:r>
          <w:rPr>
            <w:rStyle w:val="Hyperlink"/>
          </w:rPr>
          <w:t xml:space="preserve">2026</w:t>
        </w:r>
      </w:hyperlink>
      <w:r>
        <w:t xml:space="preserve">)</w:t>
      </w:r>
      <w:r>
        <w:t xml:space="preserve">; 123 empresas (sin los grupos de empresas).</w:t>
      </w:r>
    </w:p>
    <w:bookmarkEnd w:id="153"/>
    <w:bookmarkStart w:id="171" w:name="X490c285057c92fab5ca4083b7c63f9c0c9eba26"/>
    <w:p>
      <w:pPr>
        <w:pStyle w:val="Heading2"/>
      </w:pPr>
      <w:r>
        <w:t xml:space="preserve">II.5.</w:t>
      </w:r>
      <w:r>
        <w:t xml:space="preserve"> </w:t>
      </w:r>
      <w:r>
        <w:t xml:space="preserve">Medición de la eficiencia:</w:t>
      </w:r>
      <w:r>
        <w:br/>
      </w:r>
      <w:r>
        <w:t xml:space="preserve">frontera estocástica frente a análisis envolvente de datos</w:t>
      </w:r>
    </w:p>
    <w:bookmarkStart w:id="158" w:name="a-idea-3"/>
    <w:p>
      <w:pPr>
        <w:pStyle w:val="Heading4"/>
      </w:pPr>
      <w:r>
        <w:t xml:space="preserve">a) Idea</w:t>
      </w:r>
    </w:p>
    <w:p>
      <w:pPr>
        <w:numPr>
          <w:ilvl w:val="0"/>
          <w:numId w:val="1084"/>
        </w:numPr>
      </w:pPr>
      <w:r>
        <w:t xml:space="preserve">Hasta aquí hemos supuesto que la empresa produce sobre su función de costes; ahora medimos cuánto se aleja de ella. 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(III.3.2).</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18).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85"/>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85"/>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85"/>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84"/>
        </w:numPr>
      </w:pPr>
      <w:r>
        <w:t xml:space="preserve">La frontera no se conoce: hay que estimarla con las propias observaciones, y hay dos familias de métodos.</w:t>
      </w:r>
    </w:p>
    <w:bookmarkStart w:id="157" w:name="fig: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 title="" id="155" name="Picture"/>
            <a:graphic>
              <a:graphicData uri="http://schemas.openxmlformats.org/drawingml/2006/picture">
                <pic:pic>
                  <pic:nvPicPr>
                    <pic:cNvPr descr="C:\Users\vgutierrez\Documents\src\victorgutierrezmarcos.github.io-revision\oposicion\temario\fuentes\3A12\graficos/farrell.png" id="156" name="Picture"/>
                    <pic:cNvPicPr>
                      <a:picLocks noChangeArrowheads="1" noChangeAspect="1"/>
                    </pic:cNvPicPr>
                  </pic:nvPicPr>
                  <pic:blipFill>
                    <a:blip r:embed="rId154"/>
                    <a:stretch>
                      <a:fillRect/>
                    </a:stretch>
                  </pic:blipFill>
                  <pic:spPr bwMode="auto">
                    <a:xfrm>
                      <a:off x="0" y="0"/>
                      <a:ext cx="2886935" cy="2379274"/>
                    </a:xfrm>
                    <a:prstGeom prst="rect">
                      <a:avLst/>
                    </a:prstGeom>
                    <a:noFill/>
                    <a:ln w="9525">
                      <a:noFill/>
                      <a:headEnd/>
                      <a:tailEnd/>
                    </a:ln>
                  </pic:spPr>
                </pic:pic>
              </a:graphicData>
            </a:graphic>
          </wp:inline>
        </w:drawing>
      </w:r>
    </w:p>
    <w:bookmarkEnd w:id="157"/>
    <w:p>
      <w:pPr>
        <w:pStyle w:val="Piedeimagen"/>
      </w:pPr>
      <w:r>
        <w:t xml:space="preserve">Fuente: elaboración propia a partir de</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CoelliEtAl2005Introduction">
        <w:r>
          <w:rPr>
            <w:rStyle w:val="Hyperlink"/>
          </w:rPr>
          <w:t xml:space="preserve">2005</w:t>
        </w:r>
      </w:hyperlink>
      <w:r>
        <w:t xml:space="preserve">)</w:t>
      </w:r>
      <w:r>
        <w:t xml:space="preserve">.</w:t>
      </w:r>
    </w:p>
    <w:bookmarkEnd w:id="158"/>
    <w:bookmarkStart w:id="162" w:name="b-modelo-3"/>
    <w:p>
      <w:pPr>
        <w:pStyle w:val="Heading4"/>
      </w:pPr>
      <w:r>
        <w:t xml:space="preserve">b) Modelo</w:t>
      </w:r>
    </w:p>
    <w:bookmarkStart w:id="159" w:name="i-frontera-estocástica-paramétrica"/>
    <w:p>
      <w:pPr>
        <w:pStyle w:val="Heading5"/>
      </w:pPr>
      <w:r>
        <w:t xml:space="preserve">i) Frontera estocástica (paramétrica)</w:t>
      </w:r>
    </w:p>
    <w:p>
      <w:pPr>
        <w:numPr>
          <w:ilvl w:val="0"/>
          <w:numId w:val="1086"/>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w:t>
        </w:r>
        <w:r>
          <w:rPr>
            <w:rStyle w:val="Hyperlink"/>
          </w:rPr>
          <w:t xml:space="preserve">1995</w:t>
        </w:r>
      </w:hyperlink>
      <w:r>
        <w:t xml:space="preserve">)</w:t>
      </w:r>
      <w:r>
        <w:t xml:space="preserve">.</w:t>
      </w:r>
    </w:p>
    <w:bookmarkEnd w:id="159"/>
    <w:bookmarkStart w:id="161" w:name="X162397ed4fb857993d775b15d45b1da5b15edf2"/>
    <w:p>
      <w:pPr>
        <w:pStyle w:val="Heading5"/>
      </w:pPr>
      <w:r>
        <w:t xml:space="preserve">ii) Análisis envolvente de datos (no paramétrico)</w:t>
      </w:r>
    </w:p>
    <w:p>
      <w:pPr>
        <w:numPr>
          <w:ilvl w:val="0"/>
          <w:numId w:val="1087"/>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w:t>
        </w:r>
        <w:r>
          <w:rPr>
            <w:rStyle w:val="Hyperlink"/>
          </w:rPr>
          <w:t xml:space="preserve">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160" w:name="tab:sfa-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tblHeader w:val="on"/>
        </w:trPr>
        <w:tc>
          <w:tcPr/>
          <w:p/>
        </w:tc>
        <w:tc>
          <w:tcPr/>
          <w:p>
            <w:pPr>
              <w:pStyle w:val="Celdatceeazulpalido"/>
              <w:jc w:val="left"/>
            </w:pPr>
            <w:r>
              <w:rPr>
                <w:b/>
                <w:bCs/>
              </w:rPr>
              <w:t xml:space="preserve">Frontera estocástica (SFA)</w:t>
            </w:r>
          </w:p>
        </w:tc>
        <w:tc>
          <w:tcPr/>
          <w:p>
            <w:pPr>
              <w:pStyle w:val="Celdatceeazulpalido"/>
              <w:jc w:val="left"/>
            </w:pPr>
            <w:r>
              <w:rPr>
                <w:b/>
                <w:bCs/>
              </w:rPr>
              <w:t xml:space="preserve">Análisis envolvente de datos (DEA)</w:t>
            </w:r>
          </w:p>
        </w:tc>
      </w:tr>
      <w:t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160"/>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KumbhakarLovell2000Stochastic">
        <w:r>
          <w:rPr>
            <w:rStyle w:val="Hyperlink"/>
            <w:i/>
            <w:iCs/>
          </w:rPr>
          <w:t xml:space="preserve">2000</w:t>
        </w:r>
      </w:hyperlink>
      <w:r>
        <w:rPr>
          <w:i/>
          <w:iCs/>
        </w:rPr>
        <w:t xml:space="preserve">)</w:t>
      </w:r>
      <w:r>
        <w:rPr>
          <w:i/>
          <w:iCs/>
        </w:rPr>
        <w:t xml:space="preserve">.</w:t>
      </w:r>
    </w:p>
    <w:bookmarkEnd w:id="161"/>
    <w:bookmarkEnd w:id="162"/>
    <w:bookmarkStart w:id="163" w:name="c-extensiones"/>
    <w:p>
      <w:pPr>
        <w:pStyle w:val="Heading4"/>
      </w:pPr>
      <w:r>
        <w:t xml:space="preserve">c) Extensiones</w:t>
      </w:r>
    </w:p>
    <w:p>
      <w:pPr>
        <w:numPr>
          <w:ilvl w:val="0"/>
          <w:numId w:val="1088"/>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163"/>
    <w:bookmarkStart w:id="168" w:name="d-evidencia-empírica"/>
    <w:p>
      <w:pPr>
        <w:pStyle w:val="Heading4"/>
      </w:pPr>
      <w:r>
        <w:t xml:space="preserve">d) Evidencia empírica</w:t>
      </w:r>
    </w:p>
    <w:p>
      <w:pPr>
        <w:numPr>
          <w:ilvl w:val="0"/>
          <w:numId w:val="1089"/>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w:t>
        </w:r>
        <w:r>
          <w:rPr>
            <w:rStyle w:val="Hyperlink"/>
          </w:rPr>
          <w:t xml:space="preserve">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r>
        <w:t xml:space="preserve"> </w:t>
      </w:r>
      <w:hyperlink w:anchor="ref-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w:t>
        </w:r>
        <w:r>
          <w:rPr>
            <w:rStyle w:val="Hyperlink"/>
          </w:rPr>
          <w:t xml:space="preserve">2014</w:t>
        </w:r>
      </w:hyperlink>
      <w:r>
        <w:t xml:space="preserve">)</w:t>
      </w:r>
      <w:r>
        <w:t xml:space="preserve">.</w:t>
      </w:r>
    </w:p>
    <w:p>
      <w:pPr>
        <w:numPr>
          <w:ilvl w:val="0"/>
          <w:numId w:val="1089"/>
        </w:numPr>
      </w:pPr>
      <w:r>
        <w:rPr>
          <w:i/>
          <w:iCs/>
        </w:rPr>
        <w:t xml:space="preserve">Indicadores contables</w:t>
      </w:r>
      <w:r>
        <w:t xml:space="preserve">: dan solo una idea aproximada: en el segundo trimestre de 2026 los gastos de explotación absorbían el 42,9 % del margen bruto de los grandes bancos españoles, frente al 53,1 % del conjunto de la supervisión europea (gráfico 19)</w:t>
      </w:r>
      <w:r>
        <w:t xml:space="preserve"> </w:t>
      </w:r>
      <w:r>
        <w:t xml:space="preserve">(</w:t>
      </w:r>
      <w:hyperlink w:anchor="ref-BCE2026SBSNota">
        <w:r>
          <w:rPr>
            <w:rStyle w:val="Hyperlink"/>
            <w:smallCaps/>
          </w:rPr>
          <w:t xml:space="preserve">Banco Central Europeo</w:t>
        </w:r>
        <w:r>
          <w:rPr>
            <w:rStyle w:val="Hyperlink"/>
          </w:rPr>
          <w:t xml:space="preserve"> </w:t>
        </w:r>
        <w:r>
          <w:rPr>
            <w:rStyle w:val="Hyperlink"/>
          </w:rPr>
          <w:t xml:space="preserve">2026c</w:t>
        </w:r>
      </w:hyperlink>
      <w:r>
        <w:t xml:space="preserve">,</w:t>
      </w:r>
      <w:r>
        <w:t xml:space="preserve"> </w:t>
      </w:r>
      <w:hyperlink w:anchor="ref-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089"/>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Shleifer1985Theory">
        <w:r>
          <w:rPr>
            <w:rStyle w:val="Hyperlink"/>
          </w:rPr>
          <w:t xml:space="preserve">1985</w:t>
        </w:r>
      </w:hyperlink>
      <w:r>
        <w:t xml:space="preserve">)</w:t>
      </w:r>
      <w:r>
        <w:t xml:space="preserve"> </w:t>
      </w:r>
      <w:r>
        <w:rPr>
          <w:rStyle w:val="Referenciaatema"/>
        </w:rPr>
        <w:t xml:space="preserve">[ver tema 3.A.17]</w:t>
      </w:r>
      <w:r>
        <w:t xml:space="preserve"> </w:t>
      </w:r>
      <w:r>
        <w:rPr>
          <w:rStyle w:val="Referenciaatema"/>
        </w:rPr>
        <w:t xml:space="preserve">[ver tema 3.A.20]</w:t>
      </w:r>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r>
        <w:t xml:space="preserve"> </w:t>
      </w:r>
      <w:hyperlink w:anchor="ref-ARegV2007">
        <w:r>
          <w:rPr>
            <w:rStyle w:val="Hyperlink"/>
            <w:smallCaps/>
          </w:rPr>
          <w:t xml:space="preserve">Bundesministerium der Justiz</w:t>
        </w:r>
        <w:r>
          <w:rPr>
            <w:rStyle w:val="Hyperlink"/>
          </w:rPr>
          <w:t xml:space="preserve"> </w:t>
        </w:r>
        <w:r>
          <w:rPr>
            <w:rStyle w:val="Hyperlink"/>
          </w:rPr>
          <w:t xml:space="preserve">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JamasbPollitt2001Benchmarking">
        <w:r>
          <w:rPr>
            <w:rStyle w:val="Hyperlink"/>
          </w:rPr>
          <w:t xml:space="preserve">2001</w:t>
        </w:r>
      </w:hyperlink>
      <w:r>
        <w:t xml:space="preserve">)</w:t>
      </w:r>
      <w:r>
        <w:t xml:space="preserve"> </w:t>
      </w:r>
      <w:r>
        <w:t xml:space="preserve">repasan la experiencia internacional en electricidad.</w:t>
      </w:r>
    </w:p>
    <w:p>
      <w:pPr>
        <w:numPr>
          <w:ilvl w:val="0"/>
          <w:numId w:val="1089"/>
        </w:numPr>
      </w:pPr>
      <w:r>
        <w:rPr>
          <w:i/>
          <w:iCs/>
        </w:rPr>
        <w:t xml:space="preserve">Sector público</w:t>
      </w:r>
      <w:r>
        <w:t xml:space="preserve">. La Comisión Europea aplica frontera estocástica y DEA al gasto en educación y sanidad de los Estados miembros (2000-2022): casi todos están cerca de la frontera en los indicadores de cantidad y lejos en los de calidad, el gasto muestra rendimientos decrecientes a escala y España está entre los más eficientes en la proporción de titulados superiores</w:t>
      </w:r>
      <w:r>
        <w:t xml:space="preserve"> </w:t>
      </w:r>
      <w:r>
        <w:t xml:space="preserve">(</w:t>
      </w:r>
      <w:hyperlink w:anchor="ref-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r>
        <w:t xml:space="preserve">. En España se han medido así la eficiencia de los puertos de contenedores, cuyas reformas de los 90 impulsaron más el progreso técnico que la eficiencia</w:t>
      </w:r>
      <w:r>
        <w:t xml:space="preserve"> </w:t>
      </w:r>
      <w:r>
        <w:t xml:space="preserve">(</w:t>
      </w:r>
      <w:hyperlink w:anchor="ref-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w:t>
        </w:r>
        <w:r>
          <w:rPr>
            <w:rStyle w:val="Hyperlink"/>
          </w:rPr>
          <w:t xml:space="preserve">2008</w:t>
        </w:r>
      </w:hyperlink>
      <w:r>
        <w:t xml:space="preserve">)</w:t>
      </w:r>
      <w:r>
        <w:t xml:space="preserve">, y la de los ayuntamientos valencianos, con DEA</w:t>
      </w:r>
      <w:r>
        <w:t xml:space="preserve"> </w:t>
      </w:r>
      <w:r>
        <w:t xml:space="preserve">(</w:t>
      </w:r>
      <w:hyperlink w:anchor="Xad89b75ea959a97c0291c344480b9c682707b1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w:t>
        </w:r>
        <w:r>
          <w:rPr>
            <w:rStyle w:val="Hyperlink"/>
          </w:rPr>
          <w:t xml:space="preserve">2007</w:t>
        </w:r>
      </w:hyperlink>
      <w:r>
        <w:t xml:space="preserve">)</w:t>
      </w:r>
      <w:r>
        <w:t xml:space="preserve">.</w:t>
      </w:r>
    </w:p>
    <w:bookmarkStart w:id="167" w:name="fig:ratio-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 title="" id="165" name="Picture"/>
            <a:graphic>
              <a:graphicData uri="http://schemas.openxmlformats.org/drawingml/2006/picture">
                <pic:pic>
                  <pic:nvPicPr>
                    <pic:cNvPr descr="C:\Users\vgutierrez\Documents\src\victorgutierrezmarcos.github.io-revision\oposicion\temario\fuentes\3A12\graficos/ratio-eficiencia-bancos.png" id="166" name="Picture"/>
                    <pic:cNvPicPr>
                      <a:picLocks noChangeArrowheads="1" noChangeAspect="1"/>
                    </pic:cNvPicPr>
                  </pic:nvPicPr>
                  <pic:blipFill>
                    <a:blip r:embed="rId164"/>
                    <a:stretch>
                      <a:fillRect/>
                    </a:stretch>
                  </pic:blipFill>
                  <pic:spPr bwMode="auto">
                    <a:xfrm>
                      <a:off x="0" y="0"/>
                      <a:ext cx="4030699" cy="1917487"/>
                    </a:xfrm>
                    <a:prstGeom prst="rect">
                      <a:avLst/>
                    </a:prstGeom>
                    <a:noFill/>
                    <a:ln w="9525">
                      <a:noFill/>
                      <a:headEnd/>
                      <a:tailEnd/>
                    </a:ln>
                  </pic:spPr>
                </pic:pic>
              </a:graphicData>
            </a:graphic>
          </wp:inline>
        </w:drawing>
      </w:r>
    </w:p>
    <w:bookmarkEnd w:id="167"/>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BCE2026SBSDatos">
        <w:r>
          <w:rPr>
            <w:rStyle w:val="Hyperlink"/>
          </w:rPr>
          <w:t xml:space="preserve">2026b</w:t>
        </w:r>
      </w:hyperlink>
      <w:r>
        <w:t xml:space="preserve">)</w:t>
      </w:r>
      <w:r>
        <w:t xml:space="preserve">; último dato, segundo trimestre de 2026.</w:t>
      </w:r>
    </w:p>
    <w:bookmarkEnd w:id="168"/>
    <w:bookmarkStart w:id="170" w:name="e-valoración"/>
    <w:p>
      <w:pPr>
        <w:pStyle w:val="Heading4"/>
      </w:pPr>
      <w:r>
        <w:t xml:space="preserve">e) Valoración</w:t>
      </w:r>
    </w:p>
    <w:p>
      <w:pPr>
        <w:numPr>
          <w:ilvl w:val="0"/>
          <w:numId w:val="1090"/>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r>
        <w:rPr>
          <w:rStyle w:val="Referenciaatema"/>
        </w:rPr>
        <w:t xml:space="preserve">[ver tema 3.A.15]</w:t>
      </w:r>
      <w:r>
        <w:t xml:space="preserve">. Aun así, han convertido la ineficiencia X de una hipótesis en una magnitud medible y útil para la regulación.</w:t>
      </w:r>
    </w:p>
    <w:bookmarkStart w:id="169" w:name="tab:ejemplos-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tblHeader w:val="on"/>
        </w:trPr>
        <w:tc>
          <w:tcPr/>
          <w:p>
            <w:pPr>
              <w:pStyle w:val="Celdatceeazulpalido"/>
              <w:jc w:val="left"/>
            </w:pPr>
            <w:r>
              <w:rPr>
                <w:b/>
                <w:bCs/>
              </w:rPr>
              <w:t xml:space="preserve">Sector</w:t>
            </w:r>
          </w:p>
        </w:tc>
        <w:tc>
          <w:tcPr/>
          <w:p>
            <w:pPr>
              <w:pStyle w:val="Celdatceeazulpalido"/>
              <w:jc w:val="left"/>
            </w:pPr>
            <w:r>
              <w:rPr>
                <w:b/>
                <w:bCs/>
              </w:rPr>
              <w:t xml:space="preserve">Pregunta</w:t>
            </w:r>
          </w:p>
        </w:tc>
        <w:tc>
          <w:tcPr/>
          <w:p>
            <w:pPr>
              <w:pStyle w:val="Celdatceeazulpalido"/>
              <w:jc w:val="left"/>
            </w:pPr>
            <w:r>
              <w:rPr>
                <w:b/>
                <w:bCs/>
              </w:rPr>
              <w:t xml:space="preserve">Método</w:t>
            </w:r>
          </w:p>
        </w:tc>
        <w:tc>
          <w:tcPr/>
          <w:p>
            <w:pPr>
              <w:pStyle w:val="Celdatceeazulpalido"/>
              <w:jc w:val="left"/>
            </w:pPr>
            <w:r>
              <w:rPr>
                <w:b/>
                <w:bCs/>
              </w:rPr>
              <w:t xml:space="preserve">Resultado</w:t>
            </w:r>
          </w:p>
        </w:tc>
      </w:tr>
      <w:t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translog</w:t>
            </w:r>
            <w:r>
              <w:t xml:space="preserve"> </w:t>
            </w:r>
            <w:r>
              <w:t xml:space="preserve">(</w:t>
            </w:r>
            <w:hyperlink w:anchor="ref-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w:t>
              </w:r>
              <w:r>
                <w:rPr>
                  <w:rStyle w:val="Hyperlink"/>
                </w:rPr>
                <w:t xml:space="preserve">1975</w:t>
              </w:r>
            </w:hyperlink>
            <w:r>
              <w:t xml:space="preserve">)</w:t>
            </w:r>
          </w:p>
        </w:tc>
        <w:tc>
          <w:tcPr/>
          <w:p>
            <w:pPr>
              <w:pStyle w:val="Compact"/>
              <w:jc w:val="left"/>
            </w:pPr>
            <w:r>
              <w:t xml:space="preserve">Energía y capital, complementarios; energía y trabajo, sustitutivos</w:t>
            </w:r>
          </w:p>
        </w:tc>
      </w:tr>
      <w:t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w:t>
              </w:r>
              <w:r>
                <w:rPr>
                  <w:rStyle w:val="Hyperlink"/>
                </w:rPr>
                <w:t xml:space="preserve">1984</w:t>
              </w:r>
            </w:hyperlink>
            <w:r>
              <w:t xml:space="preserve">)</w:t>
            </w:r>
          </w:p>
        </w:tc>
        <w:tc>
          <w:tcPr/>
          <w:p>
            <w:pPr>
              <w:pStyle w:val="Compact"/>
              <w:jc w:val="left"/>
            </w:pPr>
            <w:r>
              <w:t xml:space="preserve">Los costes dependen de la densidad de tráfico, no del tamaño de la red</w:t>
            </w:r>
          </w:p>
        </w:tc>
      </w:tr>
      <w:t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p>
        </w:tc>
        <w:tc>
          <w:tcPr/>
          <w:p>
            <w:pPr>
              <w:pStyle w:val="Compact"/>
              <w:jc w:val="left"/>
            </w:pPr>
            <w:r>
              <w:t xml:space="preserve">Eficiencia en costes del 84 % en el banco mediano; más economías de escala en las entidades pequeñas</w:t>
            </w:r>
          </w:p>
        </w:tc>
      </w:tr>
      <w:t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p>
        </w:tc>
        <w:tc>
          <w:tcPr/>
          <w:p>
            <w:pPr>
              <w:pStyle w:val="Compact"/>
              <w:jc w:val="left"/>
            </w:pPr>
            <w:r>
              <w:t xml:space="preserve">Objetivos de eficiencia individuales en los ingresos permitidos</w:t>
            </w:r>
          </w:p>
        </w:tc>
      </w:tr>
      <w:t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p>
        </w:tc>
        <w:tc>
          <w:tcPr/>
          <w:p>
            <w:pPr>
              <w:pStyle w:val="Compact"/>
              <w:jc w:val="left"/>
            </w:pPr>
            <w:r>
              <w:t xml:space="preserve">Cerca de la frontera en cantidad, lejos en calidad; rendimientos decrecientes</w:t>
            </w:r>
          </w:p>
        </w:tc>
      </w:tr>
      <w:t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Lieberman1984Learning">
              <w:r>
                <w:rPr>
                  <w:rStyle w:val="Hyperlink"/>
                  <w:smallCaps/>
                </w:rPr>
                <w:t xml:space="preserve">Lieberman</w:t>
              </w:r>
              <w:r>
                <w:rPr>
                  <w:rStyle w:val="Hyperlink"/>
                </w:rPr>
                <w:t xml:space="preserve"> </w:t>
              </w:r>
              <w:r>
                <w:rPr>
                  <w:rStyle w:val="Hyperlink"/>
                </w:rPr>
                <w:t xml:space="preserve">1984</w:t>
              </w:r>
            </w:hyperlink>
            <w:r>
              <w:t xml:space="preserve">)</w:t>
            </w:r>
          </w:p>
        </w:tc>
        <w:tc>
          <w:tcPr/>
          <w:p>
            <w:pPr>
              <w:pStyle w:val="Compact"/>
              <w:jc w:val="left"/>
            </w:pPr>
            <w:r>
              <w:t xml:space="preserve">El coste baja con la producción acumulada; las economías de escala estáticas son menores</w:t>
            </w:r>
          </w:p>
        </w:tc>
      </w:tr>
    </w:tbl>
    <w:bookmarkEnd w:id="169"/>
    <w:p>
      <w:pPr>
        <w:pStyle w:val="BodyText"/>
      </w:pPr>
      <w:r>
        <w:rPr>
          <w:i/>
          <w:iCs/>
        </w:rPr>
        <w:t xml:space="preserve">Fuente: elaboración propia a partir de las obras citadas.</w:t>
      </w:r>
    </w:p>
    <w:p>
      <w:pPr>
        <w:pStyle w:val="Ideaclave"/>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091"/>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 Los datos muestran costes medios en L más que en U, economías de escala que se agotan pronto en muchos sectores y diferencias de eficiencia grandes y persistentes, menores con más competencia. Queda ver qué implica la forma de los costes para el mercado y cómo se extiende y se critica la teoría.</w:t>
      </w:r>
    </w:p>
    <w:bookmarkEnd w:id="170"/>
    <w:bookmarkEnd w:id="171"/>
    <w:bookmarkEnd w:id="172"/>
    <w:bookmarkStart w:id="215" w:name="X6d540329479354bad5947241929cd844b74e220"/>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numPr>
          <w:ilvl w:val="0"/>
          <w:numId w:val="1092"/>
        </w:numPr>
      </w:pPr>
      <w:r>
        <w:t xml:space="preserve">Una vez analizados los costes y lo que dicen los datos, pasamos a sus extensiones y a sus críticas. Este bloque responde a la última pregunta. Su conclusión anticipada: la forma de los costes condiciona la estructura del mercado y el tamaño de la empresa; la teoría se extiende a las economías externas, a varias plantas o productos y al aprendizaje, y sus dos supuestos más discutidos, el coste medio en U y la minimización del coste, son en el fondo cuestiones empíricas, que los datos del bloque II matizan.</w:t>
      </w:r>
    </w:p>
    <w:bookmarkStart w:id="180" w:name="X4ffff0c37423106ecae7d28c8ae5d92ebf84ab1"/>
    <w:p>
      <w:pPr>
        <w:pStyle w:val="Heading2"/>
      </w:pPr>
      <w:r>
        <w:t xml:space="preserve">III.1.</w:t>
      </w:r>
      <w:r>
        <w:t xml:space="preserve"> </w:t>
      </w:r>
      <w:r>
        <w:t xml:space="preserve">Implicaciones sobre la estructura de mercado</w:t>
      </w:r>
    </w:p>
    <w:p>
      <w:pPr>
        <w:numPr>
          <w:ilvl w:val="0"/>
          <w:numId w:val="1093"/>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r>
        <w:rPr>
          <w:rStyle w:val="Referenciaatema"/>
        </w:rPr>
        <w:t xml:space="preserve">[ver tema 3.A.16]</w:t>
      </w:r>
      <w:r>
        <w:t xml:space="preserve"> </w:t>
      </w:r>
      <w:r>
        <w:rPr>
          <w:rStyle w:val="Referenciaatema"/>
        </w:rPr>
        <w:t xml:space="preserve">[ver tema 3.A.17]</w:t>
      </w:r>
      <w:r>
        <w:t xml:space="preserve">.</w:t>
      </w:r>
    </w:p>
    <w:bookmarkStart w:id="173" w:name="X97b6802fe97947600c32dbd2808cbe05dd4891c"/>
    <w:p>
      <w:pPr>
        <w:pStyle w:val="Heading3"/>
      </w:pPr>
      <w:r>
        <w:t xml:space="preserve">III.1.1.</w:t>
      </w:r>
      <w:r>
        <w:t xml:space="preserve"> </w:t>
      </w:r>
      <w:r>
        <w:t xml:space="preserve">Competencia perfecta en el mercado de bienes</w:t>
      </w:r>
    </w:p>
    <w:p>
      <w:pPr>
        <w:numPr>
          <w:ilvl w:val="0"/>
          <w:numId w:val="1094"/>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(I.3 y anexo F). Para que haya muchas empresas, las deseconomías de escala tienen que aparecer pronto, a un tamaño pequeño respecto al mercado; con rendimientos constantes, el tamaño de cada empresa queda indeterminado</w:t>
      </w:r>
      <w:r>
        <w:t xml:space="preserve"> </w:t>
      </w:r>
      <w:r>
        <w:rPr>
          <w:rStyle w:val="Referenciaatema"/>
        </w:rPr>
        <w:t xml:space="preserve">[ver tema 3.A.16]</w:t>
      </w:r>
      <w:r>
        <w:t xml:space="preserve">.</w:t>
      </w:r>
    </w:p>
    <w:bookmarkEnd w:id="173"/>
    <w:bookmarkStart w:id="178" w:name="monopolio-natural-uniproducto"/>
    <w:p>
      <w:pPr>
        <w:pStyle w:val="Heading3"/>
      </w:pPr>
      <w:r>
        <w:t xml:space="preserve">III.1.2.</w:t>
      </w:r>
      <w:r>
        <w:t xml:space="preserve"> </w:t>
      </w:r>
      <w:r>
        <w:t xml:space="preserve">Monopolio natural uniproducto</w:t>
      </w:r>
    </w:p>
    <w:p>
      <w:pPr>
        <w:numPr>
          <w:ilvl w:val="0"/>
          <w:numId w:val="1095"/>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Baumol1977Proper">
        <w:r>
          <w:rPr>
            <w:rStyle w:val="Hyperlink"/>
            <w:smallCaps/>
          </w:rPr>
          <w:t xml:space="preserve">Baumol</w:t>
        </w:r>
        <w:r>
          <w:rPr>
            <w:rStyle w:val="Hyperlink"/>
          </w:rPr>
          <w:t xml:space="preserve"> </w:t>
        </w:r>
        <w:r>
          <w:rPr>
            <w:rStyle w:val="Hyperlink"/>
          </w:rPr>
          <w:t xml:space="preserve">1977</w:t>
        </w:r>
      </w:hyperlink>
      <w:r>
        <w:t xml:space="preserve">)</w:t>
      </w:r>
      <w:r>
        <w:t xml:space="preserve">.</w:t>
      </w:r>
    </w:p>
    <w:p>
      <w:pPr>
        <w:numPr>
          <w:ilvl w:val="0"/>
          <w:numId w:val="1095"/>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20). La regulación del monopolio natural queda fuera de esta exposición</w:t>
      </w:r>
      <w:r>
        <w:t xml:space="preserve"> </w:t>
      </w:r>
      <w:r>
        <w:rPr>
          <w:rStyle w:val="Referenciaatema"/>
        </w:rPr>
        <w:t xml:space="preserve">[ver tema 3.A.17]</w:t>
      </w:r>
      <w:r>
        <w:t xml:space="preserve"> </w:t>
      </w:r>
      <w:r>
        <w:rPr>
          <w:rStyle w:val="Referenciaatema"/>
        </w:rPr>
        <w:t xml:space="preserve">[ver tema 3.A.20]</w:t>
      </w:r>
      <w:r>
        <w:t xml:space="preserve">.</w:t>
      </w:r>
    </w:p>
    <w:bookmarkStart w:id="177" w:name="fig: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 title="" id="175" name="Picture"/>
            <a:graphic>
              <a:graphicData uri="http://schemas.openxmlformats.org/drawingml/2006/picture">
                <pic:pic>
                  <pic:nvPicPr>
                    <pic:cNvPr descr="C:\Users\vgutierrez\Documents\src\victorgutierrezmarcos.github.io-revision\oposicion\temario\fuentes\3A12\graficos/subaditividad.png" id="176" name="Picture"/>
                    <pic:cNvPicPr>
                      <a:picLocks noChangeArrowheads="1" noChangeAspect="1"/>
                    </pic:cNvPicPr>
                  </pic:nvPicPr>
                  <pic:blipFill>
                    <a:blip r:embed="rId174"/>
                    <a:stretch>
                      <a:fillRect/>
                    </a:stretch>
                  </pic:blipFill>
                  <pic:spPr bwMode="auto">
                    <a:xfrm>
                      <a:off x="0" y="0"/>
                      <a:ext cx="3260034" cy="2626988"/>
                    </a:xfrm>
                    <a:prstGeom prst="rect">
                      <a:avLst/>
                    </a:prstGeom>
                    <a:noFill/>
                    <a:ln w="9525">
                      <a:noFill/>
                      <a:headEnd/>
                      <a:tailEnd/>
                    </a:ln>
                  </pic:spPr>
                </pic:pic>
              </a:graphicData>
            </a:graphic>
          </wp:inline>
        </w:drawing>
      </w:r>
    </w:p>
    <w:bookmarkEnd w:id="177"/>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178"/>
    <w:bookmarkStart w:id="179" w:name="monopolio-natural-multiproducto"/>
    <w:p>
      <w:pPr>
        <w:pStyle w:val="Heading3"/>
      </w:pPr>
      <w:r>
        <w:t xml:space="preserve">III.1.3.</w:t>
      </w:r>
      <w:r>
        <w:t xml:space="preserve"> </w:t>
      </w:r>
      <w:r>
        <w:t xml:space="preserve">Monopolio natural multiproducto</w:t>
      </w:r>
    </w:p>
    <w:p>
      <w:pPr>
        <w:numPr>
          <w:ilvl w:val="0"/>
          <w:numId w:val="1096"/>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(III.4.2)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r>
        <w:rPr>
          <w:rStyle w:val="Referenciaatema"/>
        </w:rPr>
        <w:t xml:space="preserve">[ver tema 3.A.17]</w:t>
      </w:r>
      <w:r>
        <w:t xml:space="preserve">.</w:t>
      </w:r>
    </w:p>
    <w:bookmarkEnd w:id="179"/>
    <w:bookmarkEnd w:id="180"/>
    <w:bookmarkStart w:id="181" w:name="economías-de-escala"/>
    <w:p>
      <w:pPr>
        <w:pStyle w:val="Heading2"/>
      </w:pPr>
      <w:r>
        <w:t xml:space="preserve">III.2.</w:t>
      </w:r>
      <w:r>
        <w:t xml:space="preserve"> </w:t>
      </w:r>
      <w:r>
        <w:t xml:space="preserve">Economías de escala</w:t>
      </w:r>
    </w:p>
    <w:p>
      <w:pPr>
        <w:numPr>
          <w:ilvl w:val="0"/>
          <w:numId w:val="1097"/>
        </w:numPr>
      </w:pPr>
      <w:r>
        <w:t xml:space="preserve">Una vez vista la forma de los costes de cada empresa, pasamos a los que dependen de la industria. 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numPr>
          <w:ilvl w:val="0"/>
          <w:numId w:val="1097"/>
        </w:numPr>
      </w:pPr>
      <w:r>
        <w:t xml:space="preserve">Sus fuentes son las de la aglomeración que describe</w:t>
      </w:r>
      <w:r>
        <w:t xml:space="preserve"> </w:t>
      </w:r>
      <w:r>
        <w:rPr>
          <w:smallCaps/>
        </w:rPr>
        <w:t xml:space="preserve">Marshall</w:t>
      </w:r>
      <w:r>
        <w:t xml:space="preserve">: un mercado de trabajo especializado, proveedores de factores especializados y la difusión de conocimientos entre empresas cercanas (</w:t>
      </w:r>
      <w:r>
        <w:rPr>
          <w:i/>
          <w:iCs/>
        </w:rPr>
        <w:t xml:space="preserve">clusters</w:t>
      </w:r>
      <w:r>
        <w:t xml:space="preserve"> </w:t>
      </w:r>
      <w:r>
        <w:t xml:space="preserve">industriales).</w:t>
      </w:r>
    </w:p>
    <w:p>
      <w:pPr>
        <w:numPr>
          <w:ilvl w:val="0"/>
          <w:numId w:val="1097"/>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(III.4.3). Solo son externas en la medida en que lo aprendido se difunde a las demás empresas de la industria.</w:t>
      </w:r>
    </w:p>
    <w:p>
      <w:pPr>
        <w:numPr>
          <w:ilvl w:val="0"/>
          <w:numId w:val="1097"/>
        </w:numPr>
      </w:pPr>
      <w:r>
        <w:t xml:space="preserve">Las economías externas son compatibles con la competencia perfecta (cada empresa sigue siendo pequeña) y explican la especialización y el comercio entre países parecidos</w:t>
      </w:r>
      <w:r>
        <w:t xml:space="preserve"> </w:t>
      </w:r>
      <w:r>
        <w:rPr>
          <w:rStyle w:val="Referenciaatema"/>
        </w:rPr>
        <w:t xml:space="preserve">[ver tema 3.B.6]</w:t>
      </w:r>
      <w:r>
        <w:t xml:space="preserve">; junto con el aprendizaje, se han usado para justificar la protección de la industria naciente</w:t>
      </w:r>
      <w:r>
        <w:t xml:space="preserve"> </w:t>
      </w:r>
      <w:r>
        <w:rPr>
          <w:rStyle w:val="Referenciaatema"/>
        </w:rPr>
        <w:t xml:space="preserve">[ver tema 3.B.8]</w:t>
      </w:r>
      <w:r>
        <w:t xml:space="preserve">.</w:t>
      </w:r>
    </w:p>
    <w:bookmarkEnd w:id="181"/>
    <w:bookmarkStart w:id="202" w:name="X539131bfc836ed51c2ba677d3876f5d834d4a5b"/>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098"/>
        </w:numPr>
      </w:pPr>
      <w:r>
        <w:t xml:space="preserve">La teoría expuesta ha sido cuestionada en sus fundamentos y en sus implicaciones empíricas, sobre todo desde la organización industrial</w:t>
      </w:r>
      <w:r>
        <w:t xml:space="preserve"> </w:t>
      </w:r>
      <w:r>
        <w:rPr>
          <w:rStyle w:val="Referenciaatema"/>
        </w:rPr>
        <w:t xml:space="preserve">[ver tema 3.A.15]</w:t>
      </w:r>
      <w:r>
        <w:t xml:space="preserve">. Dos críticas atacan sus dos supuestos centrales: la forma en U del coste medio y la minimización del coste.</w:t>
      </w:r>
    </w:p>
    <w:bookmarkStart w:id="193" w:name="X2deba3010a160a1fc9a6e259624394cc8716a55"/>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182" w:name="a-idea-4"/>
    <w:p>
      <w:pPr>
        <w:pStyle w:val="Heading4"/>
      </w:pPr>
      <w:r>
        <w:t xml:space="preserve">a) Idea</w:t>
      </w:r>
    </w:p>
    <w:p>
      <w:pPr>
        <w:numPr>
          <w:ilvl w:val="0"/>
          <w:numId w:val="1099"/>
        </w:numPr>
      </w:pP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182"/>
    <w:bookmarkStart w:id="190" w:name="b-modelo-4"/>
    <w:p>
      <w:pPr>
        <w:pStyle w:val="Heading4"/>
      </w:pPr>
      <w:r>
        <w:t xml:space="preserve">b) Modelo</w:t>
      </w:r>
    </w:p>
    <w:bookmarkStart w:id="183" w:name="i-supuestos-3"/>
    <w:p>
      <w:pPr>
        <w:pStyle w:val="Heading5"/>
      </w:pPr>
      <w:r>
        <w:t xml:space="preserve">i) Supuestos</w:t>
      </w:r>
    </w:p>
    <w:p>
      <w:pPr>
        <w:numPr>
          <w:ilvl w:val="0"/>
          <w:numId w:val="1100"/>
        </w:numPr>
      </w:pPr>
      <w:r>
        <w:t xml:space="preserve">La empresa puede elegir entre una planta con un coste medio mínimo muy bajo en un nivel de producción (una U cerrada) y otra con un coste medio algo mayor en el mínimo pero casi constante en un intervalo amplio.</w:t>
      </w:r>
    </w:p>
    <w:p>
      <w:pPr>
        <w:numPr>
          <w:ilvl w:val="0"/>
          <w:numId w:val="1100"/>
        </w:numPr>
      </w:pPr>
      <w:r>
        <w:t xml:space="preserve">El factor «fijo» es divisible en la práctica (más o menos máquinas, turnos o líneas en uso), y la demanda fluctúa.</w:t>
      </w:r>
    </w:p>
    <w:bookmarkEnd w:id="183"/>
    <w:bookmarkStart w:id="184" w:name="ii-desarrollo-3"/>
    <w:p>
      <w:pPr>
        <w:pStyle w:val="Heading5"/>
      </w:pPr>
      <w:r>
        <w:t xml:space="preserve">ii) Desarrollo</w:t>
      </w:r>
    </w:p>
    <w:p>
      <w:pPr>
        <w:numPr>
          <w:ilvl w:val="0"/>
          <w:numId w:val="1101"/>
        </w:numPr>
      </w:pPr>
      <w:r>
        <w:t xml:space="preserve">El factor «fijo»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21).</w:t>
      </w:r>
    </w:p>
    <w:bookmarkEnd w:id="184"/>
    <w:bookmarkStart w:id="189" w:name="iii-implicaciones-1"/>
    <w:p>
      <w:pPr>
        <w:pStyle w:val="Heading5"/>
      </w:pPr>
      <w:r>
        <w:t xml:space="preserve">iii) Implicaciones</w:t>
      </w:r>
    </w:p>
    <w:p>
      <w:pPr>
        <w:numPr>
          <w:ilvl w:val="0"/>
          <w:numId w:val="1102"/>
        </w:numPr>
      </w:pPr>
      <w:r>
        <w:t xml:space="preserve">Con la demanda fluctuante, la planta flexible tiene un coste esperado menor aunque su mínimo sea mayor. No hay un tamaño óptimo, sino una horquilla de tamaños óptimos.</w:t>
      </w:r>
    </w:p>
    <w:bookmarkStart w:id="188" w:name="fig: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 title="" id="186" name="Picture"/>
            <a:graphic>
              <a:graphicData uri="http://schemas.openxmlformats.org/drawingml/2006/picture">
                <pic:pic>
                  <pic:nvPicPr>
                    <pic:cNvPr descr="C:\Users\vgutierrez\Documents\src\victorgutierrezmarcos.github.io-revision\oposicion\temario\fuentes\3A12\graficos/stigler.png" id="187" name="Picture"/>
                    <pic:cNvPicPr>
                      <a:picLocks noChangeArrowheads="1" noChangeAspect="1"/>
                    </pic:cNvPicPr>
                  </pic:nvPicPr>
                  <pic:blipFill>
                    <a:blip r:embed="rId185"/>
                    <a:stretch>
                      <a:fillRect/>
                    </a:stretch>
                  </pic:blipFill>
                  <pic:spPr bwMode="auto">
                    <a:xfrm>
                      <a:off x="0" y="0"/>
                      <a:ext cx="3282950" cy="2080966"/>
                    </a:xfrm>
                    <a:prstGeom prst="rect">
                      <a:avLst/>
                    </a:prstGeom>
                    <a:noFill/>
                    <a:ln w="9525">
                      <a:noFill/>
                      <a:headEnd/>
                      <a:tailEnd/>
                    </a:ln>
                  </pic:spPr>
                </pic:pic>
              </a:graphicData>
            </a:graphic>
          </wp:inline>
        </w:drawing>
      </w:r>
    </w:p>
    <w:bookmarkEnd w:id="188"/>
    <w:p>
      <w:pPr>
        <w:pStyle w:val="Piedeimagen"/>
      </w:pPr>
      <w:r>
        <w:t xml:space="preserve">Fuente: elaboración propia a partir de</w:t>
      </w:r>
      <w:r>
        <w:t xml:space="preserve"> </w:t>
      </w: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w:t>
      </w:r>
    </w:p>
    <w:bookmarkEnd w:id="189"/>
    <w:bookmarkEnd w:id="190"/>
    <w:bookmarkStart w:id="191" w:name="c-evidencia-empírica-1"/>
    <w:p>
      <w:pPr>
        <w:pStyle w:val="Heading4"/>
      </w:pPr>
      <w:r>
        <w:t xml:space="preserve">c) Evidencia empírica</w:t>
      </w:r>
    </w:p>
    <w:p>
      <w:pPr>
        <w:numPr>
          <w:ilvl w:val="0"/>
          <w:numId w:val="1103"/>
        </w:numPr>
      </w:pPr>
      <w:r>
        <w:t xml:space="preserve">Los estudios estadísticos y de ingeniería encuentran a menudo costes medios a largo plazo en forma de L: decrecientes hasta una escala mínima eficiente y casi constantes después (apartado II.4).</w:t>
      </w:r>
    </w:p>
    <w:bookmarkEnd w:id="191"/>
    <w:bookmarkStart w:id="192" w:name="d-valoración-1"/>
    <w:p>
      <w:pPr>
        <w:pStyle w:val="Heading4"/>
      </w:pPr>
      <w:r>
        <w:t xml:space="preserve">d) Valoración</w:t>
      </w:r>
    </w:p>
    <w:p>
      <w:pPr>
        <w:numPr>
          <w:ilvl w:val="0"/>
          <w:numId w:val="1104"/>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192"/>
    <w:bookmarkEnd w:id="193"/>
    <w:bookmarkStart w:id="201" w:name="ineficiencia-x-de-leibenstein-1966"/>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194" w:name="a-idea-5"/>
    <w:p>
      <w:pPr>
        <w:pStyle w:val="Heading4"/>
      </w:pPr>
      <w:r>
        <w:t xml:space="preserve">a) Idea</w:t>
      </w:r>
    </w:p>
    <w:p>
      <w:pPr>
        <w:numPr>
          <w:ilvl w:val="0"/>
          <w:numId w:val="1105"/>
        </w:numPr>
      </w:pPr>
      <w:r>
        <w:t xml:space="preserve">¿Producen las empresas sobre su función de costes?</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194"/>
    <w:bookmarkStart w:id="198" w:name="b-modelo-5"/>
    <w:p>
      <w:pPr>
        <w:pStyle w:val="Heading4"/>
      </w:pPr>
      <w:r>
        <w:t xml:space="preserve">b) Modelo</w:t>
      </w:r>
    </w:p>
    <w:bookmarkStart w:id="195" w:name="i-supuestos-4"/>
    <w:p>
      <w:pPr>
        <w:pStyle w:val="Heading5"/>
      </w:pPr>
      <w:r>
        <w:t xml:space="preserve">i) Supuestos</w:t>
      </w:r>
    </w:p>
    <w:p>
      <w:pPr>
        <w:numPr>
          <w:ilvl w:val="0"/>
          <w:numId w:val="1106"/>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06"/>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06"/>
        </w:numPr>
      </w:pPr>
      <w:r>
        <w:t xml:space="preserve">La función de producción no está completamente especificada ni es conocida por la empresa, y no todos los factores (por ejemplo, la capacidad de dirección) se compran en mercados.</w:t>
      </w:r>
    </w:p>
    <w:bookmarkEnd w:id="195"/>
    <w:bookmarkStart w:id="196" w:name="ii-desarrollo-4"/>
    <w:p>
      <w:pPr>
        <w:pStyle w:val="Heading5"/>
      </w:pPr>
      <w:r>
        <w:t xml:space="preserve">ii) Desarrollo</w:t>
      </w:r>
    </w:p>
    <w:p>
      <w:pPr>
        <w:numPr>
          <w:ilvl w:val="0"/>
          <w:numId w:val="1107"/>
        </w:numPr>
      </w:pPr>
      <w:r>
        <w:t xml:space="preserve">Una forma sencilla de recogerlo: el coste observado es</w:t>
      </w:r>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196"/>
    <w:bookmarkStart w:id="197" w:name="iii-implicaciones-2"/>
    <w:p>
      <w:pPr>
        <w:pStyle w:val="Heading5"/>
      </w:pPr>
      <w:r>
        <w:t xml:space="preserve">iii) Implicaciones</w:t>
      </w:r>
    </w:p>
    <w:p>
      <w:pPr>
        <w:numPr>
          <w:ilvl w:val="0"/>
          <w:numId w:val="1108"/>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r>
        <w:rPr>
          <w:rStyle w:val="Referenciaatema"/>
        </w:rPr>
        <w:t xml:space="preserve">[ver tema 3.A.17]</w:t>
      </w:r>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Leibenstein1982CitationClassic">
        <w:r>
          <w:rPr>
            <w:rStyle w:val="Hyperlink"/>
            <w:smallCaps/>
          </w:rPr>
          <w:t xml:space="preserve">Leibenstein</w:t>
        </w:r>
        <w:r>
          <w:rPr>
            <w:rStyle w:val="Hyperlink"/>
          </w:rPr>
          <w:t xml:space="preserve"> </w:t>
        </w:r>
        <w:r>
          <w:rPr>
            <w:rStyle w:val="Hyperlink"/>
          </w:rPr>
          <w:t xml:space="preserve">1982</w:t>
        </w:r>
      </w:hyperlink>
      <w:r>
        <w:t xml:space="preserve">)</w:t>
      </w:r>
      <w:r>
        <w:t xml:space="preserve">.</w:t>
      </w:r>
    </w:p>
    <w:p>
      <w:pPr>
        <w:numPr>
          <w:ilvl w:val="0"/>
          <w:numId w:val="1108"/>
        </w:numPr>
      </w:pPr>
      <w:r>
        <w:t xml:space="preserve">Una subida del precio del producto debida a menos competencia puede traducirse en más costes, y no en más beneficio, si los trabajadores se relajan.</w:t>
      </w:r>
    </w:p>
    <w:bookmarkEnd w:id="197"/>
    <w:bookmarkEnd w:id="198"/>
    <w:bookmarkStart w:id="199" w:name="c-evidencia-empírica-2"/>
    <w:p>
      <w:pPr>
        <w:pStyle w:val="Heading4"/>
      </w:pPr>
      <w:r>
        <w:t xml:space="preserve">c) Evidencia empírica</w:t>
      </w:r>
    </w:p>
    <w:p>
      <w:pPr>
        <w:numPr>
          <w:ilvl w:val="0"/>
          <w:numId w:val="1109"/>
        </w:numPr>
      </w:pPr>
      <w:r>
        <w:rPr>
          <w:smallCaps/>
        </w:rPr>
        <w:t xml:space="preserve">Nickell</w:t>
      </w:r>
      <w:r>
        <w:t xml:space="preserve"> </w:t>
      </w:r>
      <w:r>
        <w:t xml:space="preserve">(</w:t>
      </w:r>
      <w:hyperlink w:anchor="ref-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w:t>
        </w:r>
        <w:r>
          <w:rPr>
            <w:rStyle w:val="Hyperlink"/>
          </w:rPr>
          <w:t xml:space="preserve">2007</w:t>
        </w:r>
      </w:hyperlink>
      <w:r>
        <w:t xml:space="preserve">)</w:t>
      </w:r>
      <w:r>
        <w:t xml:space="preserve">. Las fronteras de eficiencia del apartado II.5 miden precisamente la distancia al coste mínimo.</w:t>
      </w:r>
    </w:p>
    <w:bookmarkEnd w:id="199"/>
    <w:bookmarkStart w:id="200" w:name="d-valoración-2"/>
    <w:p>
      <w:pPr>
        <w:pStyle w:val="Heading4"/>
      </w:pPr>
      <w:r>
        <w:t xml:space="preserve">d) Valoración</w:t>
      </w:r>
    </w:p>
    <w:p>
      <w:pPr>
        <w:numPr>
          <w:ilvl w:val="0"/>
          <w:numId w:val="1110"/>
        </w:numPr>
      </w:pPr>
      <w:r>
        <w:rPr>
          <w:smallCaps/>
        </w:rPr>
        <w:t xml:space="preserve">Stigler</w:t>
      </w:r>
      <w:r>
        <w:t xml:space="preserve"> </w:t>
      </w:r>
      <w:r>
        <w:t xml:space="preserve">(</w:t>
      </w:r>
      <w:hyperlink w:anchor="ref-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r>
        <w:rPr>
          <w:rStyle w:val="Referenciaatema"/>
        </w:rPr>
        <w:t xml:space="preserve">[ver tema 3.A.15]</w:t>
      </w:r>
      <w:r>
        <w:t xml:space="preserve">.</w:t>
      </w:r>
    </w:p>
    <w:bookmarkEnd w:id="200"/>
    <w:bookmarkEnd w:id="201"/>
    <w:bookmarkEnd w:id="202"/>
    <w:bookmarkStart w:id="214" w:name="Xf22a55af6a0a660ca54a93dbbb355417c4b4bca"/>
    <w:p>
      <w:pPr>
        <w:pStyle w:val="Heading2"/>
      </w:pPr>
      <w:r>
        <w:t xml:space="preserve">III.4.</w:t>
      </w:r>
      <w:r>
        <w:t xml:space="preserve"> </w:t>
      </w:r>
      <w:r>
        <w:t xml:space="preserve">Otras extensiones a la teoría neoclásica de los costes</w:t>
      </w:r>
    </w:p>
    <w:p>
      <w:pPr>
        <w:numPr>
          <w:ilvl w:val="0"/>
          <w:numId w:val="1111"/>
        </w:numPr>
      </w:pPr>
      <w:r>
        <w:t xml:space="preserve">Más allá de las críticas, la teoría se extiende a empresas con varias plantas, con varios productos y que aprenden con el tiempo.</w:t>
      </w:r>
    </w:p>
    <w:bookmarkStart w:id="203" w:name="X966e208eee070648d8c6006975cbbe6008d4ef3"/>
    <w:p>
      <w:pPr>
        <w:pStyle w:val="Heading3"/>
      </w:pPr>
      <w:r>
        <w:t xml:space="preserve">III.4.1.</w:t>
      </w:r>
      <w:r>
        <w:t xml:space="preserve"> </w:t>
      </w:r>
      <w:r>
        <w:t xml:space="preserve">Análisis de costes de la empresa multiplanta</w:t>
      </w:r>
    </w:p>
    <w:p>
      <w:pPr>
        <w:numPr>
          <w:ilvl w:val="0"/>
          <w:numId w:val="1112"/>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203"/>
    <w:bookmarkStart w:id="208" w:name="análisis-de-la-empresa-multiproducto"/>
    <w:p>
      <w:pPr>
        <w:pStyle w:val="Heading3"/>
      </w:pPr>
      <w:r>
        <w:t xml:space="preserve">III.4.2.</w:t>
      </w:r>
      <w:r>
        <w:t xml:space="preserve"> </w:t>
      </w:r>
      <w:r>
        <w:t xml:space="preserve">Análisis de la empresa multiproducto</w:t>
      </w:r>
    </w:p>
    <w:p>
      <w:pPr>
        <w:keepNext/>
        <w:numPr>
          <w:ilvl w:val="0"/>
          <w:numId w:val="1113"/>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w:t>
      </w:r>
    </w:p>
    <w:p>
      <w:pPr>
        <w:numPr>
          <w:ilvl w:val="1"/>
          <w:numId w:val="1114"/>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22). Surgen de factores compartidos o «cuasipúblicos» (una red, una marca, un conocimiento) que, adquiridos para un producto, sirven para otro sin coste o con poco</w:t>
      </w:r>
      <w:r>
        <w:t xml:space="preserve"> </w:t>
      </w:r>
      <w:r>
        <w:t xml:space="preserve">(</w:t>
      </w:r>
      <w:hyperlink w:anchor="ref-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1981</w:t>
        </w:r>
      </w:hyperlink>
      <w:r>
        <w:t xml:space="preserve">)</w:t>
      </w:r>
      <w:r>
        <w:t xml:space="preserve">;</w:t>
      </w:r>
    </w:p>
    <w:p>
      <w:pPr>
        <w:numPr>
          <w:ilvl w:val="1"/>
          <w:numId w:val="1114"/>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14"/>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13"/>
        </w:numPr>
      </w:pPr>
      <w:r>
        <w:t xml:space="preserve">Explican la diversificación y el tamaño eficiente de la empresa, que abarca más o menos actividades según la intensidad de las economías de alcance</w:t>
      </w:r>
      <w:r>
        <w:t xml:space="preserve"> </w:t>
      </w:r>
      <w:r>
        <w:rPr>
          <w:rStyle w:val="Referenciaatema"/>
        </w:rPr>
        <w:t xml:space="preserve">[ver tema 3.A.11]</w:t>
      </w:r>
      <w:r>
        <w:t xml:space="preserve"> </w:t>
      </w:r>
      <w:r>
        <w:rPr>
          <w:rStyle w:val="Referenciaatema"/>
        </w:rPr>
        <w:t xml:space="preserve">[ver tema 3.A.15]</w:t>
      </w:r>
      <w:r>
        <w:t xml:space="preserve">.</w:t>
      </w:r>
    </w:p>
    <w:bookmarkStart w:id="207" w:name="fig: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 title="" id="205" name="Picture"/>
            <a:graphic>
              <a:graphicData uri="http://schemas.openxmlformats.org/drawingml/2006/picture">
                <pic:pic>
                  <pic:nvPicPr>
                    <pic:cNvPr descr="C:\Users\vgutierrez\Documents\src\victorgutierrezmarcos.github.io-revision\oposicion\temario\fuentes\3A12\graficos/alcance.png" id="206" name="Picture"/>
                    <pic:cNvPicPr>
                      <a:picLocks noChangeArrowheads="1" noChangeAspect="1"/>
                    </pic:cNvPicPr>
                  </pic:nvPicPr>
                  <pic:blipFill>
                    <a:blip r:embed="rId204"/>
                    <a:stretch>
                      <a:fillRect/>
                    </a:stretch>
                  </pic:blipFill>
                  <pic:spPr bwMode="auto">
                    <a:xfrm>
                      <a:off x="0" y="0"/>
                      <a:ext cx="2984500" cy="1893907"/>
                    </a:xfrm>
                    <a:prstGeom prst="rect">
                      <a:avLst/>
                    </a:prstGeom>
                    <a:noFill/>
                    <a:ln w="9525">
                      <a:noFill/>
                      <a:headEnd/>
                      <a:tailEnd/>
                    </a:ln>
                  </pic:spPr>
                </pic:pic>
              </a:graphicData>
            </a:graphic>
          </wp:inline>
        </w:drawing>
      </w:r>
    </w:p>
    <w:bookmarkEnd w:id="207"/>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208"/>
    <w:bookmarkStart w:id="213" w:name="análisis-dinámico-curvas-de-aprendizaje"/>
    <w:p>
      <w:pPr>
        <w:pStyle w:val="Heading3"/>
      </w:pPr>
      <w:r>
        <w:t xml:space="preserve">III.4.3.</w:t>
      </w:r>
      <w:r>
        <w:t xml:space="preserve"> </w:t>
      </w:r>
      <w:r>
        <w:t xml:space="preserve">Análisis dinámico: curvas de aprendizaje</w:t>
      </w:r>
    </w:p>
    <w:p>
      <w:pPr>
        <w:numPr>
          <w:ilvl w:val="0"/>
          <w:numId w:val="1115"/>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FraunhoferISE2026Photovoltaics">
        <w:r>
          <w:rPr>
            <w:rStyle w:val="Hyperlink"/>
            <w:smallCaps/>
          </w:rPr>
          <w:t xml:space="preserve">Fraunhofer Institute for Solar Energy Systems ISE</w:t>
        </w:r>
        <w:r>
          <w:rPr>
            <w:rStyle w:val="Hyperlink"/>
          </w:rPr>
          <w:t xml:space="preserve"> </w:t>
        </w:r>
        <w:r>
          <w:rPr>
            <w:rStyle w:val="Hyperlink"/>
          </w:rPr>
          <w:t xml:space="preserve">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15"/>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23). Dan ventaja a quien entra primero, pueden justificar precios iniciales por debajo del coste para aprender antes y fundamentan el argumento de la industria naciente</w:t>
      </w:r>
      <w:r>
        <w:t xml:space="preserve"> </w:t>
      </w:r>
      <w:r>
        <w:rPr>
          <w:rStyle w:val="Referenciaatema"/>
        </w:rPr>
        <w:t xml:space="preserve">[ver tema 3.B.8]</w:t>
      </w:r>
      <w:r>
        <w:t xml:space="preserve">.</w:t>
      </w:r>
    </w:p>
    <w:bookmarkStart w:id="212" w:name="fig: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 title="" id="210" name="Picture"/>
            <a:graphic>
              <a:graphicData uri="http://schemas.openxmlformats.org/drawingml/2006/picture">
                <pic:pic>
                  <pic:nvPicPr>
                    <pic:cNvPr descr="C:\Users\vgutierrez\Documents\src\victorgutierrezmarcos.github.io-revision\oposicion\temario\fuentes\3A12\graficos/aprendizaje.png" id="211" name="Picture"/>
                    <pic:cNvPicPr>
                      <a:picLocks noChangeArrowheads="1" noChangeAspect="1"/>
                    </pic:cNvPicPr>
                  </pic:nvPicPr>
                  <pic:blipFill>
                    <a:blip r:embed="rId209"/>
                    <a:stretch>
                      <a:fillRect/>
                    </a:stretch>
                  </pic:blipFill>
                  <pic:spPr bwMode="auto">
                    <a:xfrm>
                      <a:off x="0" y="0"/>
                      <a:ext cx="5073650" cy="1833882"/>
                    </a:xfrm>
                    <a:prstGeom prst="rect">
                      <a:avLst/>
                    </a:prstGeom>
                    <a:noFill/>
                    <a:ln w="9525">
                      <a:noFill/>
                      <a:headEnd/>
                      <a:tailEnd/>
                    </a:ln>
                  </pic:spPr>
                </pic:pic>
              </a:graphicData>
            </a:graphic>
          </wp:inline>
        </w:drawing>
      </w:r>
    </w:p>
    <w:bookmarkEnd w:id="212"/>
    <w:p>
      <w:pPr>
        <w:pStyle w:val="Piedeimagen"/>
      </w:pPr>
      <w:r>
        <w:t xml:space="preserve">Fuente: elaboración propia a partir de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Lieberman1984Learning">
        <w:r>
          <w:rPr>
            <w:rStyle w:val="Hyperlink"/>
          </w:rPr>
          <w:t xml:space="preserve">1984</w:t>
        </w:r>
      </w:hyperlink>
      <w:r>
        <w:t xml:space="preserve">)</w:t>
      </w:r>
      <w:r>
        <w:t xml:space="preserve">.</w:t>
      </w:r>
    </w:p>
    <w:p>
      <w:pPr>
        <w:numPr>
          <w:ilvl w:val="0"/>
          <w:numId w:val="1116"/>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II les dan en buena parte la razón: costes en L y empresas que no siempre producen al coste mínimo.</w:t>
      </w:r>
    </w:p>
    <w:bookmarkEnd w:id="213"/>
    <w:bookmarkEnd w:id="214"/>
    <w:bookmarkEnd w:id="215"/>
    <w:bookmarkStart w:id="216" w:name="conclusión"/>
    <w:p>
      <w:pPr>
        <w:pStyle w:val="Heading1"/>
      </w:pPr>
      <w:r>
        <w:t xml:space="preserve">Conclusión</w:t>
      </w:r>
      <w:r>
        <w:t xml:space="preserve"> </w:t>
      </w:r>
      <w:r>
        <w:rPr>
          <w:rStyle w:val="Minutos"/>
        </w:rPr>
        <w:t xml:space="preserve">1′</w:t>
      </w:r>
    </w:p>
    <w:p>
      <w:pPr>
        <w:keepNext/>
        <w:numPr>
          <w:ilvl w:val="0"/>
          <w:numId w:val="1117"/>
        </w:numPr>
      </w:pPr>
      <w:r>
        <w:rPr>
          <w:b/>
          <w:bCs/>
          <w:i/>
          <w:iCs/>
        </w:rPr>
        <w:t xml:space="preserve">Recapitulación (ideas clave)</w:t>
      </w:r>
      <w:r>
        <w:t xml:space="preserve">:</w:t>
      </w:r>
    </w:p>
    <w:p>
      <w:pPr>
        <w:numPr>
          <w:ilvl w:val="1"/>
          <w:numId w:val="1118"/>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(I).</w:t>
      </w:r>
    </w:p>
    <w:p>
      <w:pPr>
        <w:numPr>
          <w:ilvl w:val="1"/>
          <w:numId w:val="1118"/>
        </w:numPr>
      </w:pPr>
      <w:r>
        <w:t xml:space="preserve">Su forma depende del plazo: 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de la productividad del factor variable; y la curva de largo plazo envuelve a las de corto. Gracias a la dualidad se estima con datos de costes, precios y producción: la evidencia apoya costes medios en L y muestra diferencias de eficiencia persistentes entre empresas (II).</w:t>
      </w:r>
    </w:p>
    <w:p>
      <w:pPr>
        <w:numPr>
          <w:ilvl w:val="1"/>
          <w:numId w:val="1118"/>
        </w:numPr>
      </w:pPr>
      <w:r>
        <w:t xml:space="preserve">La forma de los costes decide la estructura del mercado; la teoría se extiende a las economías externas, a varias plantas o productos y al aprendizaje, y</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 (III).</w:t>
      </w:r>
    </w:p>
    <w:p>
      <w:pPr>
        <w:numPr>
          <w:ilvl w:val="0"/>
          <w:numId w:val="1117"/>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17"/>
        </w:numPr>
      </w:pPr>
      <w:r>
        <w:rPr>
          <w:b/>
          <w:bCs/>
          <w:i/>
          <w:iCs/>
        </w:rPr>
        <w:t xml:space="preserve">Extensiones y relación con otras partes del temario</w:t>
      </w:r>
      <w:r>
        <w:t xml:space="preserve">:</w:t>
      </w:r>
    </w:p>
    <w:p>
      <w:pPr>
        <w:numPr>
          <w:ilvl w:val="1"/>
          <w:numId w:val="1119"/>
        </w:numPr>
      </w:pPr>
      <w:r>
        <w:t xml:space="preserve">la función de costes y la estructura del mercado dan la oferta: en competencia perfecta</w:t>
      </w:r>
      <w:r>
        <w:t xml:space="preserve"> </w:t>
      </w:r>
      <w:r>
        <w:rPr>
          <w:rStyle w:val="Referenciaatema"/>
        </w:rPr>
        <w:t xml:space="preserve">[ver tema 3.A.16]</w:t>
      </w:r>
      <w:r>
        <w:t xml:space="preserve">, en monopolio y monopolio natural</w:t>
      </w:r>
      <w:r>
        <w:t xml:space="preserve"> </w:t>
      </w:r>
      <w:r>
        <w:rPr>
          <w:rStyle w:val="Referenciaatema"/>
        </w:rPr>
        <w:t xml:space="preserve">[ver tema 3.A.17]</w:t>
      </w:r>
      <w:r>
        <w:t xml:space="preserve"> </w:t>
      </w:r>
      <w:r>
        <w:t xml:space="preserve">y en oligopolio</w:t>
      </w:r>
      <w:r>
        <w:t xml:space="preserve"> </w:t>
      </w:r>
      <w:r>
        <w:rPr>
          <w:rStyle w:val="Referenciaatema"/>
        </w:rPr>
        <w:t xml:space="preserve">[ver tema 3.A.19]</w:t>
      </w:r>
      <w:r>
        <w:t xml:space="preserve">;</w:t>
      </w:r>
    </w:p>
    <w:p>
      <w:pPr>
        <w:numPr>
          <w:ilvl w:val="1"/>
          <w:numId w:val="1119"/>
        </w:numPr>
      </w:pPr>
      <w:r>
        <w:t xml:space="preserve">el tamaño eficiente y los límites de la empresa</w:t>
      </w:r>
      <w:r>
        <w:t xml:space="preserve"> </w:t>
      </w:r>
      <w:r>
        <w:rPr>
          <w:rStyle w:val="Referenciaatema"/>
        </w:rPr>
        <w:t xml:space="preserve">[ver tema 3.A.15]</w:t>
      </w:r>
      <w:r>
        <w:t xml:space="preserve"> </w:t>
      </w:r>
      <w:r>
        <w:t xml:space="preserve">y la regulación del poder de mercado, donde la medición de la eficiencia sirve para regular por comparación</w:t>
      </w:r>
      <w:r>
        <w:t xml:space="preserve"> </w:t>
      </w:r>
      <w:r>
        <w:rPr>
          <w:rStyle w:val="Referenciaatema"/>
        </w:rPr>
        <w:t xml:space="preserve">[ver tema 3.A.20]</w:t>
      </w:r>
      <w:r>
        <w:t xml:space="preserve">;</w:t>
      </w:r>
    </w:p>
    <w:p>
      <w:pPr>
        <w:numPr>
          <w:ilvl w:val="1"/>
          <w:numId w:val="1119"/>
        </w:numPr>
      </w:pPr>
      <w:r>
        <w:t xml:space="preserve">la misma dualidad del consumidor</w:t>
      </w:r>
      <w:r>
        <w:t xml:space="preserve"> </w:t>
      </w:r>
      <w:r>
        <w:rPr>
          <w:rStyle w:val="Referenciaatema"/>
        </w:rPr>
        <w:t xml:space="preserve">[ver tema 3.A.9]</w:t>
      </w:r>
      <w:r>
        <w:t xml:space="preserve">, y la demanda derivada de factores en el mercado de trabajo</w:t>
      </w:r>
      <w:r>
        <w:t xml:space="preserve"> </w:t>
      </w:r>
      <w:r>
        <w:rPr>
          <w:rStyle w:val="Referenciaatema"/>
        </w:rPr>
        <w:t xml:space="preserve">[ver tema 3.A.25]</w:t>
      </w:r>
      <w:r>
        <w:t xml:space="preserve">;</w:t>
      </w:r>
    </w:p>
    <w:p>
      <w:pPr>
        <w:numPr>
          <w:ilvl w:val="1"/>
          <w:numId w:val="1119"/>
        </w:numPr>
      </w:pPr>
      <w:r>
        <w:t xml:space="preserve">las economías de escala internas y externas en el comercio internacional</w:t>
      </w:r>
      <w:r>
        <w:t xml:space="preserve"> </w:t>
      </w:r>
      <w:r>
        <w:rPr>
          <w:rStyle w:val="Referenciaatema"/>
        </w:rPr>
        <w:t xml:space="preserve">[ver tema 3.B.6]</w:t>
      </w:r>
      <w:r>
        <w:t xml:space="preserve"> </w:t>
      </w:r>
      <w:r>
        <w:t xml:space="preserve">y las de aprendizaje en la protección de la industria naciente</w:t>
      </w:r>
      <w:r>
        <w:t xml:space="preserve"> </w:t>
      </w:r>
      <w:r>
        <w:rPr>
          <w:rStyle w:val="Referenciaatema"/>
        </w:rPr>
        <w:t xml:space="preserve">[ver tema 3.B.8]</w:t>
      </w:r>
      <w:r>
        <w:t xml:space="preserve">.</w:t>
      </w:r>
    </w:p>
    <w:p>
      <w:pPr>
        <w:numPr>
          <w:ilvl w:val="0"/>
          <w:numId w:val="1117"/>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r>
        <w:rPr>
          <w:rStyle w:val="Referenciaatema"/>
        </w:rPr>
        <w:t xml:space="preserve">[ver tema 3.A.17]</w:t>
      </w:r>
      <w:r>
        <w:t xml:space="preserve">; en equilibrio general, los precios de los factores dejan de ser datos</w:t>
      </w:r>
      <w:r>
        <w:t xml:space="preserve"> </w:t>
      </w:r>
      <w:r>
        <w:rPr>
          <w:rStyle w:val="Referenciaatema"/>
        </w:rPr>
        <w:t xml:space="preserve">[ver tema 3.A.21]</w:t>
      </w:r>
      <w:r>
        <w:t xml:space="preserve">. Y la ineficiencia X recuerda que el coste mínimo es un objetivo que la competencia ayuda a alcanzar, no un dato.</w:t>
      </w:r>
    </w:p>
    <w:p>
      <w:pPr>
        <w:numPr>
          <w:ilvl w:val="0"/>
          <w:numId w:val="1117"/>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que desplaza la curva de costes hacia abajo; pero en 2025 los equipos se abarataron un 6 % y el coste nivelado no bajó, porque subió el coste del capital</w:t>
      </w:r>
      <w:r>
        <w:t xml:space="preserve"> </w:t>
      </w:r>
      <w:r>
        <w:t xml:space="preserve">(</w:t>
      </w:r>
      <w:hyperlink w:anchor="ref-IRENA2026CostesGeneracion">
        <w:r>
          <w:rPr>
            <w:rStyle w:val="Hyperlink"/>
            <w:smallCaps/>
          </w:rPr>
          <w:t xml:space="preserve">International Renewable Energy Agency</w:t>
        </w:r>
        <w:r>
          <w:rPr>
            <w:rStyle w:val="Hyperlink"/>
          </w:rPr>
          <w:t xml:space="preserve"> </w:t>
        </w:r>
        <w:r>
          <w:rPr>
            <w:rStyle w:val="Hyperlink"/>
          </w:rPr>
          <w:t xml:space="preserve">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pPr>
      <w:r>
        <w:rPr>
          <w:b/>
          <w:bCs/>
        </w:rPr>
        <w:t xml:space="preserve">Lecturas complementarias</w:t>
      </w:r>
    </w:p>
    <w:p>
      <w:pPr>
        <w:pStyle w:val="Cajadeanotaciones"/>
        <w:numPr>
          <w:ilvl w:val="0"/>
          <w:numId w:val="1120"/>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numPr>
          <w:ilvl w:val="0"/>
          <w:numId w:val="1120"/>
        </w:numPr>
      </w:pPr>
      <w:r>
        <w:rPr>
          <w:smallCaps/>
        </w:rPr>
        <w:t xml:space="preserve">Varian</w:t>
      </w:r>
      <w:r>
        <w:t xml:space="preserve"> </w:t>
      </w:r>
      <w:r>
        <w:t xml:space="preserve">(</w:t>
      </w:r>
      <w:hyperlink w:anchor="ref-Varian1992Microeconomic">
        <w:r>
          <w:rPr>
            <w:rStyle w:val="Hyperlink"/>
          </w:rPr>
          <w:t xml:space="preserve">1992, cap. 4–6</w:t>
        </w:r>
      </w:hyperlink>
      <w:r>
        <w:t xml:space="preserve">)</w:t>
      </w:r>
      <w:r>
        <w:t xml:space="preserve">: costes, geometría de los costes y dualidad.</w:t>
      </w:r>
    </w:p>
    <w:p>
      <w:pPr>
        <w:pStyle w:val="Cajadeanotaciones"/>
        <w:numPr>
          <w:ilvl w:val="0"/>
          <w:numId w:val="1120"/>
        </w:numPr>
      </w:pPr>
      <w:r>
        <w:rPr>
          <w:smallCaps/>
        </w:rPr>
        <w:t xml:space="preserve">Coelli</w:t>
      </w:r>
      <w:r>
        <w:t xml:space="preserve"> </w:t>
      </w:r>
      <w:r>
        <w:t xml:space="preserve">et al. (</w:t>
      </w:r>
      <w:hyperlink w:anchor="ref-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numPr>
          <w:ilvl w:val="0"/>
          <w:numId w:val="1120"/>
        </w:numPr>
      </w:pPr>
      <w:r>
        <w:t xml:space="preserve">Tema ICEX-CECO de teoría de los costes y dualidad, que sigue el enfoque de</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 </w:t>
      </w:r>
      <w:r>
        <w:t xml:space="preserve">(el primal del anexo D).</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6"/>
    <w:bookmarkStart w:id="219" w:name="anexo: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21"/>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7.</w:t>
      </w:r>
    </w:p>
    <w:bookmarkStart w:id="217" w:name="tab: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vAlign w:val="center"/>
          </w:tcPr>
          <w:p>
            <w:pPr>
              <w:pStyle w:val="Celdatceeazulpalido"/>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17"/>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5.C</w:t>
        </w:r>
      </w:hyperlink>
      <w:r>
        <w:rPr>
          <w:i/>
          <w:iCs/>
        </w:rPr>
        <w:t xml:space="preserve">)</w:t>
      </w:r>
      <w:r>
        <w:rPr>
          <w:i/>
          <w:iCs/>
        </w:rPr>
        <w:t xml:space="preserve">.</w:t>
      </w:r>
    </w:p>
    <w:p>
      <w:pPr>
        <w:numPr>
          <w:ilvl w:val="0"/>
          <w:numId w:val="1122"/>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22"/>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22"/>
        </w:numPr>
      </w:pPr>
      <w:r>
        <w:rPr>
          <w:i/>
          <w:iCs/>
        </w:rPr>
        <w:t xml:space="preserve">Holgura complementaria</w:t>
      </w:r>
      <w:r>
        <w:t xml:space="preserve">: para cada factor, o se usa y la estacionariedad se cumple con igualdad, o no se usa (solución de esquina) y la desigualdad puede ser estricta.</w:t>
      </w:r>
    </w:p>
    <w:bookmarkStart w:id="218" w:name="a.1.-condiciones-de-segundo-orden"/>
    <w:p>
      <w:pPr>
        <w:pStyle w:val="Heading2"/>
      </w:pPr>
      <w:r>
        <w:t xml:space="preserve">A.1. Condiciones de segundo orden</w:t>
      </w:r>
    </w:p>
    <w:p>
      <w:pPr>
        <w:numPr>
          <w:ilvl w:val="0"/>
          <w:numId w:val="1123"/>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23"/>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r>
        <w:rPr>
          <w:rStyle w:val="Referenciaatema"/>
        </w:rPr>
        <w:t xml:space="preserve">[ver tema 3.A.9]</w:t>
      </w:r>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23"/>
        </w:numPr>
      </w:pPr>
      <w:r>
        <w:rPr>
          <w:i/>
          <w:iCs/>
        </w:rPr>
        <w:t xml:space="preserve">Con</w:t>
      </w:r>
      <w:r>
        <w:rPr>
          <w:i/>
          <w:iCs/>
        </w:rPr>
        <w:t xml:space="preserve"> </w:t>
      </w:r>
      <m:oMath>
        <m:r>
          <m:t>n</m:t>
        </m:r>
      </m:oMath>
      <w:r>
        <w:rPr>
          <w:i/>
          <w:iCs/>
        </w:rPr>
        <w:t xml:space="preserve"> </w:t>
      </w:r>
      <w:r>
        <w:rPr>
          <w:i/>
          <w:iCs/>
        </w:rPr>
        <w:t xml:space="preserve">factores</w:t>
      </w:r>
      <w:r>
        <w:t xml:space="preserve">: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18"/>
    <w:bookmarkEnd w:id="219"/>
    <w:bookmarkStart w:id="222" w:name="anexo: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24"/>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20" w:name="b.1.-lema-de-hotelling"/>
    <w:p>
      <w:pPr>
        <w:pStyle w:val="Heading2"/>
      </w:pPr>
      <w:r>
        <w:t xml:space="preserve">B.1. Lema de</w:t>
      </w:r>
      <w:r>
        <w:t xml:space="preserve"> </w:t>
      </w:r>
      <w:r>
        <w:rPr>
          <w:smallCaps/>
        </w:rPr>
        <w:t xml:space="preserve">Hotelling</w:t>
      </w:r>
    </w:p>
    <w:p>
      <w:pPr>
        <w:numPr>
          <w:ilvl w:val="0"/>
          <w:numId w:val="1125"/>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000"/>
        </w:numPr>
      </w:pPr>
      <w:r>
        <w:t xml:space="preserve">Es el lema.</w:t>
      </w:r>
      <m:oMath>
        <m:r>
          <m:rPr>
            <m:sty m:val="p"/>
          </m:rPr>
          <m:t>◼</m:t>
        </m:r>
      </m:oMath>
    </w:p>
    <w:p>
      <w:pPr>
        <w:numPr>
          <w:ilvl w:val="0"/>
          <w:numId w:val="1125"/>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w:t>
      </w:r>
      <m:oMath>
        <m:r>
          <m:rPr>
            <m:sty m:val="p"/>
          </m:rPr>
          <m:t>◼</m:t>
        </m:r>
      </m:oMath>
    </w:p>
    <w:bookmarkEnd w:id="220"/>
    <w:bookmarkStart w:id="221" w:name="b.2.-lema-de-shephard"/>
    <w:p>
      <w:pPr>
        <w:pStyle w:val="Heading2"/>
      </w:pPr>
      <w:r>
        <w:t xml:space="preserve">B.2. Lema de</w:t>
      </w:r>
      <w:r>
        <w:t xml:space="preserve"> </w:t>
      </w:r>
      <w:r>
        <w:rPr>
          <w:smallCaps/>
        </w:rPr>
        <w:t xml:space="preserve">Shephard</w:t>
      </w:r>
    </w:p>
    <w:p>
      <w:pPr>
        <w:numPr>
          <w:ilvl w:val="0"/>
          <w:numId w:val="1126"/>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w:t>
      </w:r>
      <m:oMath>
        <m:r>
          <m:rPr>
            <m:sty m:val="p"/>
          </m:rPr>
          <m:t>◼</m:t>
        </m:r>
      </m:oMath>
    </w:p>
    <w:p>
      <w:pPr>
        <w:numPr>
          <w:ilvl w:val="0"/>
          <w:numId w:val="1126"/>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m:oMath>
        <m:r>
          <m:rPr>
            <m:sty m:val="p"/>
          </m:rPr>
          <m:t>◼</m:t>
        </m:r>
      </m:oMath>
    </w:p>
    <w:p>
      <w:pPr>
        <w:numPr>
          <w:ilvl w:val="0"/>
          <w:numId w:val="1126"/>
        </w:numPr>
      </w:pPr>
      <w:r>
        <w:rPr>
          <w:i/>
          <w:iCs/>
        </w:rPr>
        <w:t xml:space="preserve">Intuición</w:t>
      </w:r>
      <w:r>
        <w:t xml:space="preserve">: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21"/>
    <w:bookmarkEnd w:id="222"/>
    <w:bookmarkStart w:id="223" w:name="anexo:hessiana"/>
    <w:p>
      <w:pPr>
        <w:pStyle w:val="Heading1"/>
      </w:pPr>
      <w:r>
        <w:t xml:space="preserve">C. Anexo: matriz hessiana, concavidad y cuasiconcavidad</w:t>
      </w:r>
    </w:p>
    <w:p>
      <w:pPr>
        <w:numPr>
          <w:ilvl w:val="0"/>
          <w:numId w:val="1127"/>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7"/>
        </w:numPr>
      </w:pPr>
      <w:r>
        <w:rPr>
          <w:b/>
          <w:bCs/>
        </w:rPr>
        <w:t xml:space="preserve">Concavidad y convexidad</w:t>
      </w:r>
      <w:r>
        <w:t xml:space="preserve">:</w:t>
      </w:r>
    </w:p>
    <w:p>
      <w:pPr>
        <w:numPr>
          <w:ilvl w:val="1"/>
          <w:numId w:val="1128"/>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8"/>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7"/>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7"/>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27"/>
        </w:numPr>
      </w:pPr>
      <w:r>
        <w:rPr>
          <w:b/>
          <w:bCs/>
        </w:rPr>
        <w:t xml:space="preserve">Uso en la teoría de la empresa</w:t>
      </w:r>
      <w:r>
        <w:t xml:space="preserve">:</w:t>
      </w:r>
    </w:p>
    <w:p>
      <w:pPr>
        <w:numPr>
          <w:ilvl w:val="1"/>
          <w:numId w:val="1129"/>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(I.2.1).</w:t>
      </w:r>
    </w:p>
    <w:p>
      <w:pPr>
        <w:numPr>
          <w:ilvl w:val="1"/>
          <w:numId w:val="1129"/>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(I.2.2).</w:t>
      </w:r>
    </w:p>
    <w:p>
      <w:pPr>
        <w:numPr>
          <w:ilvl w:val="1"/>
          <w:numId w:val="1129"/>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r>
        <w:rPr>
          <w:rStyle w:val="Referenciaatema"/>
        </w:rPr>
        <w:t xml:space="preserve">[ver tema 3.A.9]</w:t>
      </w:r>
      <w:r>
        <w:t xml:space="preserve">.</w:t>
      </w:r>
    </w:p>
    <w:p>
      <w:pPr>
        <w:numPr>
          <w:ilvl w:val="1"/>
          <w:numId w:val="1129"/>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23"/>
    <w:bookmarkStart w:id="228" w:name="anexo: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30"/>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30"/>
        </w:numPr>
      </w:pPr>
      <w:r>
        <w:t xml:space="preserve">Las relaciones son las del consumidor</w:t>
      </w:r>
      <w:r>
        <w:t xml:space="preserve"> </w:t>
      </w:r>
      <w:r>
        <w:rPr>
          <w:rStyle w:val="Referenciaatema"/>
        </w:rPr>
        <w:t xml:space="preserve">[ver tema 3.A.9]</w:t>
      </w:r>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30"/>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numPr>
          <w:ilvl w:val="0"/>
          <w:numId w:val="1130"/>
        </w:numPr>
      </w:pPr>
      <w:r>
        <w:t xml:space="preserve">Es correcto, pero poco habitual: la empresa no tiene un presupuesto fijo que la obligue a producir lo máximo posible con él, 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 y no hay una restricción presupuestaria que dé un efecto renta. Los manuales de referencia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5</w:t>
        </w:r>
      </w:hyperlink>
      <w:r>
        <w:t xml:space="preserve">;</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w:t>
      </w:r>
      <w:r>
        <w:t xml:space="preserve">estudian, en su lugar, la minimización del coste (dual de la tecnología) y la maximización del beneficio, cuya descomposición tiene un efecto escala (apartado II.1.2).</w:t>
      </w:r>
    </w:p>
    <w:p>
      <w:pPr>
        <w:keepNext/>
        <w:numPr>
          <w:ilvl w:val="0"/>
          <w:numId w:val="1130"/>
        </w:numPr>
      </w:pPr>
      <w:r>
        <w:t xml:space="preserve">El gráfico 24 reúne los tres problemas: el primal de</w:t>
      </w:r>
      <w:r>
        <w:t xml:space="preserve"> </w:t>
      </w:r>
      <w:r>
        <w:rPr>
          <w:smallCaps/>
        </w:rPr>
        <w:t xml:space="preserve">Segura</w:t>
      </w:r>
      <w:r>
        <w:t xml:space="preserve"> </w:t>
      </w:r>
      <w:r>
        <w:t xml:space="preserve">(en azul), la minimización del coste (en verde), la maximización del beneficio en dos etapas y en una (a la derecha) y, en la franja central, las relaciones entre los dos primeros. Respecto al cuadro de la versión anterior de este tema, del que parte, se corrigen cuatro erratas:</w:t>
      </w:r>
    </w:p>
    <w:p>
      <w:pPr>
        <w:numPr>
          <w:ilvl w:val="1"/>
          <w:numId w:val="1131"/>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31"/>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31"/>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31"/>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27" w:name="fig:esquema-dualidad-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 title="" id="225" name="Picture"/>
            <a:graphic>
              <a:graphicData uri="http://schemas.openxmlformats.org/drawingml/2006/picture">
                <pic:pic>
                  <pic:nvPicPr>
                    <pic:cNvPr descr="C:\Users\vgutierrez\Documents\src\victorgutierrezmarcos.github.io-revision\oposicion\temario\fuentes\3A12\graficos/esquema-dualidad-segura.png" id="226" name="Picture"/>
                    <pic:cNvPicPr>
                      <a:picLocks noChangeArrowheads="1" noChangeAspect="1"/>
                    </pic:cNvPicPr>
                  </pic:nvPicPr>
                  <pic:blipFill>
                    <a:blip r:embed="rId224"/>
                    <a:stretch>
                      <a:fillRect/>
                    </a:stretch>
                  </pic:blipFill>
                  <pic:spPr bwMode="auto">
                    <a:xfrm>
                      <a:off x="0" y="0"/>
                      <a:ext cx="5969000" cy="2607689"/>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2007, 108</w:t>
        </w:r>
      </w:hyperlink>
      <w:r>
        <w:t xml:space="preserve">)</w:t>
      </w:r>
      <w:r>
        <w:t xml:space="preserve">.</w:t>
      </w:r>
    </w:p>
    <w:bookmarkEnd w:id="228"/>
    <w:bookmarkStart w:id="229" w:name="anexo:estatica"/>
    <w:p>
      <w:pPr>
        <w:pStyle w:val="Heading1"/>
      </w:pPr>
      <w:r>
        <w:t xml:space="preserve">E. Anexo: estática comparativa de las demandas de factores</w:t>
      </w:r>
      <w:r>
        <w:br/>
      </w:r>
      <w:r>
        <w:t xml:space="preserve">y de la función de costes</w:t>
      </w:r>
    </w:p>
    <w:p>
      <w:pPr>
        <w:keepNext/>
        <w:numPr>
          <w:ilvl w:val="0"/>
          <w:numId w:val="1132"/>
        </w:numPr>
      </w:pPr>
      <w:r>
        <w:rPr>
          <w:b/>
          <w:bCs/>
        </w:rPr>
        <w:t xml:space="preserve">Elasticidades de las demandas condicionadas</w:t>
      </w:r>
      <w:r>
        <w:t xml:space="preserve">:</w:t>
      </w:r>
    </w:p>
    <w:p>
      <w:pPr>
        <w:numPr>
          <w:ilvl w:val="1"/>
          <w:numId w:val="1133"/>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33"/>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32"/>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10);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13).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32"/>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(18),</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(29).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w:t>
      </w:r>
      <m:oMath>
        <m:r>
          <m:rPr>
            <m:sty m:val="p"/>
          </m:rPr>
          <m:t>◼</m:t>
        </m:r>
      </m:oMath>
    </w:p>
    <w:p>
      <w:pPr>
        <w:numPr>
          <w:ilvl w:val="0"/>
          <w:numId w:val="1132"/>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32"/>
        </w:numPr>
      </w:pPr>
      <w:r>
        <w:rPr>
          <w:b/>
          <w:bCs/>
        </w:rPr>
        <w:t xml:space="preserve">Principio de</w:t>
      </w:r>
      <w:r>
        <w:rPr>
          <w:b/>
          <w:bCs/>
        </w:rPr>
        <w:t xml:space="preserve"> </w:t>
      </w:r>
      <w:r>
        <w:rPr>
          <w:b/>
          <w:bCs/>
          <w:smallCaps/>
        </w:rPr>
        <w:t xml:space="preserve">Le Châtelier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w:t>
      </w:r>
      <m:oMath>
        <m:r>
          <m:rPr>
            <m:sty m:val="p"/>
          </m:rPr>
          <m:t>◼</m:t>
        </m:r>
      </m:oMath>
    </w:p>
    <w:bookmarkEnd w:id="229"/>
    <w:bookmarkStart w:id="235" w:name="anexo: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(I.3). Según la forma de</w:t>
      </w:r>
      <w:r>
        <w:t xml:space="preserve"> </w:t>
      </w:r>
      <m:oMath>
        <m:r>
          <m:t>C</m:t>
        </m:r>
        <m:d>
          <m:dPr>
            <m:begChr m:val="("/>
            <m:sepChr m:val=""/>
            <m:endChr m:val=")"/>
            <m:grow/>
          </m:dPr>
          <m:e>
            <m:r>
              <m:t>q</m:t>
            </m:r>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5.D</w:t>
        </w:r>
      </w:hyperlink>
      <w:r>
        <w:t xml:space="preserve">)</w:t>
      </w:r>
      <w:r>
        <w:t xml:space="preserve"> </w:t>
      </w:r>
      <w:r>
        <w:t xml:space="preserve">se distinguen seis casos (gráfico 25). Cada uno tiene dos pisos:</w:t>
      </w:r>
    </w:p>
    <w:p>
      <w:pPr>
        <w:numPr>
          <w:ilvl w:val="0"/>
          <w:numId w:val="1134"/>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34"/>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30"/>
      </w:r>
    </w:p>
    <w:p>
      <w:pPr>
        <w:numPr>
          <w:ilvl w:val="0"/>
          <w:numId w:val="1135"/>
        </w:numPr>
      </w:pPr>
      <w:r>
        <w:rPr>
          <w:i/>
          <w:iCs/>
        </w:rPr>
        <w:t xml:space="preserve">Costes estrictamente convexos</w:t>
      </w:r>
      <w:r>
        <w:t xml:space="preserve"> </w:t>
      </w:r>
      <w:r>
        <w:t xml:space="preserve">(rendimientos decrecientes): la oferta es toda la curva de CMg.</w:t>
      </w:r>
    </w:p>
    <w:p>
      <w:pPr>
        <w:numPr>
          <w:ilvl w:val="0"/>
          <w:numId w:val="1135"/>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35"/>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35"/>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35"/>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r>
        <w:rPr>
          <w:rStyle w:val="Referenciaatema"/>
        </w:rPr>
        <w:t xml:space="preserve">[ver tema 3.A.17]</w:t>
      </w:r>
      <w:r>
        <w:t xml:space="preserve">.</w:t>
      </w:r>
    </w:p>
    <w:p>
      <w:pPr>
        <w:numPr>
          <w:ilvl w:val="0"/>
          <w:numId w:val="1135"/>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34" w:name="fig:geometria-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 title="" id="232" name="Picture"/>
            <a:graphic>
              <a:graphicData uri="http://schemas.openxmlformats.org/drawingml/2006/picture">
                <pic:pic>
                  <pic:nvPicPr>
                    <pic:cNvPr descr="C:\Users\vgutierrez\Documents\src\victorgutierrezmarcos.github.io-revision\oposicion\temario\fuentes\3A12\graficos/geometria-costes.png" id="233" name="Picture"/>
                    <pic:cNvPicPr>
                      <a:picLocks noChangeArrowheads="1" noChangeAspect="1"/>
                    </pic:cNvPicPr>
                  </pic:nvPicPr>
                  <pic:blipFill>
                    <a:blip r:embed="rId231"/>
                    <a:stretch>
                      <a:fillRect/>
                    </a:stretch>
                  </pic:blipFill>
                  <pic:spPr bwMode="auto">
                    <a:xfrm>
                      <a:off x="0" y="0"/>
                      <a:ext cx="5491480" cy="5468178"/>
                    </a:xfrm>
                    <a:prstGeom prst="rect">
                      <a:avLst/>
                    </a:prstGeom>
                    <a:noFill/>
                    <a:ln w="9525">
                      <a:noFill/>
                      <a:headEnd/>
                      <a:tailEnd/>
                    </a:ln>
                  </pic:spPr>
                </pic:pic>
              </a:graphicData>
            </a:graphic>
          </wp:inline>
        </w:drawing>
      </w:r>
    </w:p>
    <w:bookmarkEnd w:id="23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w:t>
      </w:r>
    </w:p>
    <w:bookmarkEnd w:id="235"/>
    <w:bookmarkStart w:id="237" w:name="anexo:formas-costes"/>
    <w:p>
      <w:pPr>
        <w:pStyle w:val="Heading1"/>
      </w:pPr>
      <w:r>
        <w:t xml:space="preserve">G. Anexo: funciones de costes</w:t>
      </w:r>
      <w:r>
        <w:br/>
      </w:r>
      <w:r>
        <w:t xml:space="preserve">de las formas funcionales habituales</w:t>
      </w:r>
    </w:p>
    <w:bookmarkStart w:id="236" w:name="tab:formas-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tblHeader w:val="on"/>
        </w:trPr>
        <w:tc>
          <w:tcPr/>
          <w:p>
            <w:pPr>
              <w:pStyle w:val="Compact"/>
              <w:jc w:val="left"/>
            </w:pPr>
            <w:r>
              <w:rPr>
                <w:b/>
                <w:bCs/>
              </w:rPr>
              <w:t xml:space="preserve">Tecnología</w:t>
            </w:r>
          </w:p>
        </w:tc>
        <w:tc>
          <w:tcPr/>
          <w:p>
            <w:pPr>
              <w:pStyle w:val="Compact"/>
              <w:jc w:val="left"/>
            </w:pPr>
            <w:r>
              <w:rPr>
                <w:b/>
                <w:bCs/>
              </w:rPr>
              <w:t xml:space="preserve">Producción</w:t>
            </w:r>
          </w:p>
        </w:tc>
        <w:tc>
          <w:tcPr/>
          <w:p>
            <w:pPr>
              <w:pStyle w:val="Compact"/>
              <w:jc w:val="left"/>
            </w:pPr>
            <w:r>
              <w:rPr>
                <w:b/>
                <w:bCs/>
              </w:rPr>
              <w:t xml:space="preserve">Función de costes</w:t>
            </w:r>
          </w:p>
        </w:tc>
        <w:tc>
          <w:tcPr/>
          <w:p>
            <w:pPr>
              <w:pStyle w:val="Compact"/>
              <w:jc w:val="left"/>
            </w:pPr>
            <w:r>
              <w:rPr>
                <w:b/>
                <w:bCs/>
              </w:rPr>
              <w:t xml:space="preserve">CMe a largo plazo</w:t>
            </w:r>
          </w:p>
        </w:tc>
      </w:tr>
      <w:t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(38)</w:t>
            </w:r>
          </w:p>
        </w:tc>
        <w:tc>
          <w:tcPr/>
          <w:p>
            <w:pPr>
              <w:pStyle w:val="Compact"/>
              <w:jc w:val="left"/>
            </w:pPr>
            <w:r>
              <w:t xml:space="preserve">U, L o monótono</w:t>
            </w:r>
          </w:p>
        </w:tc>
      </w:tr>
    </w:tbl>
    <w:bookmarkEnd w:id="236"/>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w:t>
      </w:r>
    </w:p>
    <w:bookmarkEnd w:id="237"/>
    <w:bookmarkStart w:id="239" w:name="anexo:test"/>
    <w:p>
      <w:pPr>
        <w:pStyle w:val="Heading1"/>
      </w:pPr>
      <w:r>
        <w:t xml:space="preserve">H. Anexo: aspectos relevantes para el test</w:t>
      </w:r>
    </w:p>
    <w:p>
      <w:pPr>
        <w:pStyle w:val="Cajadeanotaciones"/>
      </w:pPr>
      <w:r>
        <w:t xml:space="preserve">Preguntas tipo test:</w:t>
      </w:r>
      <w:r>
        <w:t xml:space="preserve"> </w:t>
      </w:r>
      <w:hyperlink r:id="rId238">
        <w:r>
          <w:rPr>
            <w:rStyle w:val="Hyperlink"/>
          </w:rPr>
          <w:t xml:space="preserve">simulador de test</w:t>
        </w:r>
      </w:hyperlink>
      <w:r>
        <w:t xml:space="preserve">.</w:t>
      </w:r>
    </w:p>
    <w:p>
      <w:pPr>
        <w:numPr>
          <w:ilvl w:val="0"/>
          <w:numId w:val="1136"/>
        </w:numPr>
      </w:pPr>
      <w:r>
        <w:t xml:space="preserve">Homogeneidad:</w:t>
      </w:r>
      <w:r>
        <w:t xml:space="preserve"> </w:t>
      </w: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36"/>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36"/>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36"/>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36"/>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36"/>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36"/>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36"/>
        </w:numPr>
      </w:pPr>
      <w:r>
        <w:t xml:space="preserve">A corto plazo no hay economías de escala: la U del CMe a corto se debe a la ley de proporciones variables; la del CMe a largo, a los rendimientos a escala variables.</w:t>
      </w:r>
    </w:p>
    <w:p>
      <w:pPr>
        <w:numPr>
          <w:ilvl w:val="0"/>
          <w:numId w:val="1136"/>
        </w:numPr>
      </w:pPr>
      <w:r>
        <w:t xml:space="preserve">Monopolio natural: subaditividad; las economías de escala son suficientes, no necesarias; las de alcance, necesarias, no suficientes, con varios productos.</w:t>
      </w:r>
    </w:p>
    <w:p>
      <w:pPr>
        <w:numPr>
          <w:ilvl w:val="0"/>
          <w:numId w:val="1136"/>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9"/>
    <w:bookmarkStart w:id="372" w:name="bibliography"/>
    <w:p>
      <w:pPr>
        <w:pStyle w:val="Heading1"/>
      </w:pPr>
      <w:r>
        <w:t xml:space="preserve">Bibliografía</w:t>
      </w:r>
    </w:p>
    <w:bookmarkStart w:id="371" w:name="refs"/>
    <w:bookmarkStart w:id="241" w:name="ref-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40">
        <w:r>
          <w:rPr>
            <w:rStyle w:val="Hyperlink"/>
          </w:rPr>
          <w:t xml:space="preserve">https://doi.org/10.1016/0304-4076(77)90052-5</w:t>
        </w:r>
      </w:hyperlink>
      <w:r>
        <w:t xml:space="preserve">.</w:t>
      </w:r>
    </w:p>
    <w:bookmarkEnd w:id="241"/>
    <w:bookmarkStart w:id="242" w:name="ref-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42"/>
    <w:bookmarkStart w:id="244"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43">
        <w:r>
          <w:rPr>
            <w:rStyle w:val="Hyperlink"/>
          </w:rPr>
          <w:t xml:space="preserve">https://doi.org/10.2307/1927286</w:t>
        </w:r>
      </w:hyperlink>
      <w:r>
        <w:t xml:space="preserve">.</w:t>
      </w:r>
    </w:p>
    <w:bookmarkEnd w:id="244"/>
    <w:bookmarkStart w:id="246" w:name="ref-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245">
        <w:r>
          <w:rPr>
            <w:rStyle w:val="Hyperlink"/>
          </w:rPr>
          <w:t xml:space="preserve">https://doi.org/10.1257/jel.53.2.326</w:t>
        </w:r>
      </w:hyperlink>
      <w:r>
        <w:t xml:space="preserve">.</w:t>
      </w:r>
    </w:p>
    <w:bookmarkEnd w:id="246"/>
    <w:bookmarkStart w:id="248" w:name="Xad89b75ea959a97c0291c344480b9c682707b1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247">
        <w:r>
          <w:rPr>
            <w:rStyle w:val="Hyperlink"/>
          </w:rPr>
          <w:t xml:space="preserve">https://doi.org/10.1016/j.euroecorev.2006.01.007</w:t>
        </w:r>
      </w:hyperlink>
      <w:r>
        <w:t xml:space="preserve">.</w:t>
      </w:r>
    </w:p>
    <w:bookmarkEnd w:id="248"/>
    <w:bookmarkStart w:id="250" w:name="ref-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249">
        <w:r>
          <w:rPr>
            <w:rStyle w:val="Hyperlink"/>
          </w:rPr>
          <w:t xml:space="preserve">https://www.bankingsupervision.europa.eu/ecb/pub/pdf/ssm.supervisorybankingstatistics_second_quarter_2026_202609.en.pdf</w:t>
        </w:r>
      </w:hyperlink>
      <w:r>
        <w:t xml:space="preserve">.</w:t>
      </w:r>
    </w:p>
    <w:bookmarkEnd w:id="250"/>
    <w:bookmarkStart w:id="252" w:name="ref-BCE2026SBSDatos"/>
    <w:p>
      <w:pPr>
        <w:pStyle w:val="Bibliography"/>
      </w:pPr>
      <w:r>
        <w:t xml:space="preserve">———.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251">
        <w:r>
          <w:rPr>
            <w:rStyle w:val="Hyperlink"/>
          </w:rPr>
          <w:t xml:space="preserve">https://data.ecb.europa.eu/data/datasets/SUP</w:t>
        </w:r>
      </w:hyperlink>
      <w:r>
        <w:t xml:space="preserve">.</w:t>
      </w:r>
    </w:p>
    <w:bookmarkEnd w:id="252"/>
    <w:bookmarkStart w:id="254" w:name="ref-BCE2026SBSNota"/>
    <w:p>
      <w:pPr>
        <w:pStyle w:val="Bibliography"/>
      </w:pPr>
      <w:r>
        <w:t xml:space="preserve">———. 2026c.</w:t>
      </w:r>
      <w:r>
        <w:t xml:space="preserve"> </w:t>
      </w:r>
      <w:r>
        <w:t xml:space="preserve">«ECB publishes supervisory banking statistics on significant institutions for the second quarter of 2026»</w:t>
      </w:r>
      <w:r>
        <w:t xml:space="preserve">. 15 de septiembre de 2026.</w:t>
      </w:r>
      <w:r>
        <w:t xml:space="preserve"> </w:t>
      </w:r>
      <w:hyperlink r:id="rId253">
        <w:r>
          <w:rPr>
            <w:rStyle w:val="Hyperlink"/>
          </w:rPr>
          <w:t xml:space="preserve">https://www.bankingsupervision.europa.eu/press/pr/date/2026/html/ssm.pr260915~7917ca1416.en.html</w:t>
        </w:r>
      </w:hyperlink>
      <w:r>
        <w:t xml:space="preserve">.</w:t>
      </w:r>
    </w:p>
    <w:bookmarkEnd w:id="254"/>
    <w:bookmarkStart w:id="255" w:name="ref-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255"/>
    <w:bookmarkStart w:id="257" w:name="ref-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256">
        <w:r>
          <w:rPr>
            <w:rStyle w:val="Hyperlink"/>
          </w:rPr>
          <w:t xml:space="preserve">https://doi.org/10.1007/BF01205442</w:t>
        </w:r>
      </w:hyperlink>
      <w:r>
        <w:t xml:space="preserve">.</w:t>
      </w:r>
    </w:p>
    <w:bookmarkEnd w:id="257"/>
    <w:bookmarkStart w:id="258" w:name="ref-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58"/>
    <w:bookmarkStart w:id="259" w:name="ref-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259"/>
    <w:bookmarkStart w:id="261"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0">
        <w:r>
          <w:rPr>
            <w:rStyle w:val="Hyperlink"/>
          </w:rPr>
          <w:t xml:space="preserve">https://doi.org/10.2307/2228949</w:t>
        </w:r>
      </w:hyperlink>
      <w:r>
        <w:t xml:space="preserve">.</w:t>
      </w:r>
    </w:p>
    <w:bookmarkEnd w:id="261"/>
    <w:bookmarkStart w:id="263" w:name="ref-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262">
        <w:r>
          <w:rPr>
            <w:rStyle w:val="Hyperlink"/>
          </w:rPr>
          <w:t xml:space="preserve">https://doi.org/10.1016/S0377-2217(96)00342-6</w:t>
        </w:r>
      </w:hyperlink>
      <w:r>
        <w:t xml:space="preserve">.</w:t>
      </w:r>
    </w:p>
    <w:bookmarkEnd w:id="263"/>
    <w:bookmarkStart w:id="264" w:name="ref-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264"/>
    <w:bookmarkStart w:id="265" w:name="ref-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265"/>
    <w:bookmarkStart w:id="267"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66">
        <w:r>
          <w:rPr>
            <w:rStyle w:val="Hyperlink"/>
          </w:rPr>
          <w:t xml:space="preserve">https://doi.org/10.1057/9780230226203.0411</w:t>
        </w:r>
      </w:hyperlink>
      <w:r>
        <w:t xml:space="preserve">.</w:t>
      </w:r>
    </w:p>
    <w:bookmarkEnd w:id="267"/>
    <w:bookmarkStart w:id="269" w:name="ref-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268">
        <w:r>
          <w:rPr>
            <w:rStyle w:val="Hyperlink"/>
          </w:rPr>
          <w:t xml:space="preserve">https://www.gesetze-im-internet.de/aregv/anlage_3.html</w:t>
        </w:r>
      </w:hyperlink>
      <w:r>
        <w:t xml:space="preserve">.</w:t>
      </w:r>
    </w:p>
    <w:bookmarkEnd w:id="269"/>
    <w:bookmarkStart w:id="271" w:name="ref-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270">
        <w:r>
          <w:rPr>
            <w:rStyle w:val="Hyperlink"/>
          </w:rPr>
          <w:t xml:space="preserve">https://www.bundesnetzagentur.de/DE/Beschlusskammern/BK08/BK8_05_EOG/54_Effizienzvgl/start.html</w:t>
        </w:r>
      </w:hyperlink>
      <w:r>
        <w:t xml:space="preserve">.</w:t>
      </w:r>
    </w:p>
    <w:bookmarkEnd w:id="271"/>
    <w:bookmarkStart w:id="273" w:name="ref-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272">
        <w:r>
          <w:rPr>
            <w:rStyle w:val="Hyperlink"/>
          </w:rPr>
          <w:t xml:space="preserve">https://doi.org/10.2765/2628664</w:t>
        </w:r>
      </w:hyperlink>
      <w:r>
        <w:t xml:space="preserve">.</w:t>
      </w:r>
    </w:p>
    <w:bookmarkEnd w:id="273"/>
    <w:bookmarkStart w:id="275" w:name="ref-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274">
        <w:r>
          <w:rPr>
            <w:rStyle w:val="Hyperlink"/>
          </w:rPr>
          <w:t xml:space="preserve">https://www.funcas.es/wp-content/uploads/Migracion/Articulos/FUNCAS_PEE/EXT0114art04.pdf</w:t>
        </w:r>
      </w:hyperlink>
      <w:r>
        <w:t xml:space="preserve">.</w:t>
      </w:r>
    </w:p>
    <w:bookmarkEnd w:id="275"/>
    <w:bookmarkStart w:id="276" w:name="ref-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76"/>
    <w:bookmarkStart w:id="278" w:name="ref-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277">
        <w:r>
          <w:rPr>
            <w:rStyle w:val="Hyperlink"/>
          </w:rPr>
          <w:t xml:space="preserve">https://doi.org/10.2307/2555519</w:t>
        </w:r>
      </w:hyperlink>
      <w:r>
        <w:t xml:space="preserve">.</w:t>
      </w:r>
    </w:p>
    <w:bookmarkEnd w:id="278"/>
    <w:bookmarkStart w:id="280" w:name="ref-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279">
        <w:r>
          <w:rPr>
            <w:rStyle w:val="Hyperlink"/>
          </w:rPr>
          <w:t xml:space="preserve">https://doi.org/10.1016/0377-2217(78)90138-8</w:t>
        </w:r>
      </w:hyperlink>
      <w:r>
        <w:t xml:space="preserve">.</w:t>
      </w:r>
    </w:p>
    <w:bookmarkEnd w:id="280"/>
    <w:bookmarkStart w:id="282" w:name="ref-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281">
        <w:r>
          <w:rPr>
            <w:rStyle w:val="Hyperlink"/>
          </w:rPr>
          <w:t xml:space="preserve">https://doi.org/10.1086/260470</w:t>
        </w:r>
      </w:hyperlink>
      <w:r>
        <w:t xml:space="preserve">.</w:t>
      </w:r>
    </w:p>
    <w:bookmarkEnd w:id="282"/>
    <w:bookmarkStart w:id="284"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83">
        <w:r>
          <w:rPr>
            <w:rStyle w:val="Hyperlink"/>
          </w:rPr>
          <w:t xml:space="preserve">https://doi.org/10.2307/1927992</w:t>
        </w:r>
      </w:hyperlink>
      <w:r>
        <w:t xml:space="preserve">.</w:t>
      </w:r>
    </w:p>
    <w:bookmarkEnd w:id="284"/>
    <w:bookmarkStart w:id="286" w:name="ref-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285">
        <w:r>
          <w:rPr>
            <w:rStyle w:val="Hyperlink"/>
          </w:rPr>
          <w:t xml:space="preserve">https://doi.org/10.1007/b136381</w:t>
        </w:r>
      </w:hyperlink>
      <w:r>
        <w:t xml:space="preserve">.</w:t>
      </w:r>
    </w:p>
    <w:bookmarkEnd w:id="286"/>
    <w:bookmarkStart w:id="287"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287"/>
    <w:bookmarkStart w:id="288" w:name="ref-Diewert1974Applications"/>
    <w:p>
      <w:pPr>
        <w:pStyle w:val="Bibliography"/>
      </w:pPr>
      <w:r>
        <w:t xml:space="preserve">———.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88"/>
    <w:bookmarkStart w:id="289"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9"/>
    <w:bookmarkStart w:id="291" w:name="ref-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290">
        <w:r>
          <w:rPr>
            <w:rStyle w:val="Hyperlink"/>
          </w:rPr>
          <w:t xml:space="preserve">https://doi.org/10.2307/2343100</w:t>
        </w:r>
      </w:hyperlink>
      <w:r>
        <w:t xml:space="preserve">.</w:t>
      </w:r>
    </w:p>
    <w:bookmarkEnd w:id="291"/>
    <w:bookmarkStart w:id="293" w:name="ref-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292">
        <w:r>
          <w:rPr>
            <w:rStyle w:val="Hyperlink"/>
          </w:rPr>
          <w:t xml:space="preserve">https://www.ise.fraunhofer.de/en/publications/studies/photovoltaics-report.html</w:t>
        </w:r>
      </w:hyperlink>
      <w:r>
        <w:t xml:space="preserve">.</w:t>
      </w:r>
    </w:p>
    <w:bookmarkEnd w:id="293"/>
    <w:bookmarkStart w:id="295" w:name="ref-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294">
        <w:r>
          <w:rPr>
            <w:rStyle w:val="Hyperlink"/>
          </w:rPr>
          <w:t xml:space="preserve">https://ideas.repec.org/a/eee/transa/v42y2008i1p243-257.html</w:t>
        </w:r>
      </w:hyperlink>
      <w:r>
        <w:t xml:space="preserve">.</w:t>
      </w:r>
    </w:p>
    <w:bookmarkEnd w:id="295"/>
    <w:bookmarkStart w:id="296"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96"/>
    <w:bookmarkStart w:id="298" w:name="ref-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297">
        <w:r>
          <w:rPr>
            <w:rStyle w:val="Hyperlink"/>
          </w:rPr>
          <w:t xml:space="preserve">https://pages.stern.nyu.edu/~wgreene/Text/Edition7/tablelist8new.htm</w:t>
        </w:r>
      </w:hyperlink>
      <w:r>
        <w:t xml:space="preserve">.</w:t>
      </w:r>
    </w:p>
    <w:bookmarkEnd w:id="298"/>
    <w:bookmarkStart w:id="300"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99">
        <w:r>
          <w:rPr>
            <w:rStyle w:val="Hyperlink"/>
          </w:rPr>
          <w:t xml:space="preserve">https://doi.org/10.1086/260629</w:t>
        </w:r>
      </w:hyperlink>
      <w:r>
        <w:t xml:space="preserve">.</w:t>
      </w:r>
    </w:p>
    <w:bookmarkEnd w:id="300"/>
    <w:bookmarkStart w:id="301"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01"/>
    <w:bookmarkStart w:id="302"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02"/>
    <w:bookmarkStart w:id="304"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03">
        <w:r>
          <w:rPr>
            <w:rStyle w:val="Hyperlink"/>
          </w:rPr>
          <w:t xml:space="preserve">https://doi.org/10.1086/254387</w:t>
        </w:r>
      </w:hyperlink>
      <w:r>
        <w:t xml:space="preserve">.</w:t>
      </w:r>
    </w:p>
    <w:bookmarkEnd w:id="304"/>
    <w:bookmarkStart w:id="306" w:name="ref-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05">
        <w:r>
          <w:rPr>
            <w:rStyle w:val="Hyperlink"/>
          </w:rPr>
          <w:t xml:space="preserve">https://www.ecb.europa.eu/pub/financial-stability/fsr/focus/2018/pdf/ecb~946b338dda.fsrbox201805_06.pdf</w:t>
        </w:r>
      </w:hyperlink>
      <w:r>
        <w:t xml:space="preserve">.</w:t>
      </w:r>
    </w:p>
    <w:bookmarkEnd w:id="306"/>
    <w:bookmarkStart w:id="308" w:name="ref-BCE2019EficienciaBancos"/>
    <w:p>
      <w:pPr>
        <w:pStyle w:val="Bibliography"/>
      </w:pPr>
      <w:r>
        <w:t xml:space="preserve">———. 2019.</w:t>
      </w:r>
      <w:r>
        <w:t xml:space="preserve"> </w:t>
      </w:r>
      <w:r>
        <w:t xml:space="preserve">«The Cost-Efficiency and Productivity Growth of Euro Area Banks»</w:t>
      </w:r>
      <w:r>
        <w:t xml:space="preserve">. ECB Working Paper Series 2305. Fráncfort del Meno: Banco Central Europeo.</w:t>
      </w:r>
      <w:r>
        <w:t xml:space="preserve"> </w:t>
      </w:r>
      <w:hyperlink r:id="rId307">
        <w:r>
          <w:rPr>
            <w:rStyle w:val="Hyperlink"/>
          </w:rPr>
          <w:t xml:space="preserve">https://www.ecb.europa.eu/pub/pdf/scpwps/ecb.wp2305~f2c93ab1af.en.pdf</w:t>
        </w:r>
      </w:hyperlink>
      <w:r>
        <w:t xml:space="preserve">.</w:t>
      </w:r>
    </w:p>
    <w:bookmarkEnd w:id="308"/>
    <w:bookmarkStart w:id="310"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09">
        <w:r>
          <w:rPr>
            <w:rStyle w:val="Hyperlink"/>
          </w:rPr>
          <w:t xml:space="preserve">https://www.richmondfed.org/publications/research/economic_quarterly/1997/winter/humphrey</w:t>
        </w:r>
      </w:hyperlink>
      <w:r>
        <w:t xml:space="preserve">.</w:t>
      </w:r>
    </w:p>
    <w:bookmarkEnd w:id="310"/>
    <w:bookmarkStart w:id="312" w:name="ref-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11">
        <w:r>
          <w:rPr>
            <w:rStyle w:val="Hyperlink"/>
          </w:rPr>
          <w:t xml:space="preserve">https://www.irena.org/Publications/2026/Jul/Renewable-Power-Generation-Costs-in-2025</w:t>
        </w:r>
      </w:hyperlink>
      <w:r>
        <w:t xml:space="preserve">.</w:t>
      </w:r>
    </w:p>
    <w:bookmarkEnd w:id="312"/>
    <w:bookmarkStart w:id="313" w:name="ref-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13"/>
    <w:bookmarkStart w:id="314"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14"/>
    <w:bookmarkStart w:id="315" w:name="ref-Johnston1960Statistical"/>
    <w:p>
      <w:pPr>
        <w:pStyle w:val="Bibliography"/>
      </w:pPr>
      <w:r>
        <w:t xml:space="preserve">Johnston, John. 1960.</w:t>
      </w:r>
      <w:r>
        <w:t xml:space="preserve"> </w:t>
      </w:r>
      <w:r>
        <w:rPr>
          <w:i/>
          <w:iCs/>
        </w:rPr>
        <w:t xml:space="preserve">Statistical Cost Analysis</w:t>
      </w:r>
      <w:r>
        <w:t xml:space="preserve">. Nueva York: McGraw-Hill.</w:t>
      </w:r>
    </w:p>
    <w:bookmarkEnd w:id="315"/>
    <w:bookmarkStart w:id="316" w:name="ref-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16"/>
    <w:bookmarkStart w:id="318" w:name="ref-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17">
        <w:r>
          <w:rPr>
            <w:rStyle w:val="Hyperlink"/>
          </w:rPr>
          <w:t xml:space="preserve">https://doi.org/10.1017/CBO9781139174411</w:t>
        </w:r>
      </w:hyperlink>
      <w:r>
        <w:t xml:space="preserve">.</w:t>
      </w:r>
    </w:p>
    <w:bookmarkEnd w:id="318"/>
    <w:bookmarkStart w:id="320"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9">
        <w:r>
          <w:rPr>
            <w:rStyle w:val="Hyperlink"/>
          </w:rPr>
          <w:t xml:space="preserve">https://doi.org/10.1086/259131</w:t>
        </w:r>
      </w:hyperlink>
      <w:r>
        <w:t xml:space="preserve">.</w:t>
      </w:r>
    </w:p>
    <w:bookmarkEnd w:id="320"/>
    <w:bookmarkStart w:id="321" w:name="ref-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21"/>
    <w:bookmarkStart w:id="323" w:name="ref-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22">
        <w:r>
          <w:rPr>
            <w:rStyle w:val="Hyperlink"/>
          </w:rPr>
          <w:t xml:space="preserve">https://www.jstor.org/stable/1823775</w:t>
        </w:r>
      </w:hyperlink>
      <w:r>
        <w:t xml:space="preserve">.</w:t>
      </w:r>
    </w:p>
    <w:bookmarkEnd w:id="323"/>
    <w:bookmarkStart w:id="325" w:name="ref-Leibenstein1982CitationClassic"/>
    <w:p>
      <w:pPr>
        <w:pStyle w:val="Bibliography"/>
      </w:pPr>
      <w:r>
        <w:t xml:space="preserve">———.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24">
        <w:r>
          <w:rPr>
            <w:rStyle w:val="Hyperlink"/>
          </w:rPr>
          <w:t xml:space="preserve">https://garfield.library.upenn.edu/classics1982/A1982PA25300001.pdf</w:t>
        </w:r>
      </w:hyperlink>
      <w:r>
        <w:t xml:space="preserve">.</w:t>
      </w:r>
    </w:p>
    <w:bookmarkEnd w:id="325"/>
    <w:bookmarkStart w:id="327" w:name="ref-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26">
        <w:r>
          <w:rPr>
            <w:rStyle w:val="Hyperlink"/>
          </w:rPr>
          <w:t xml:space="preserve">https://doi.org/10.2307/2555676</w:t>
        </w:r>
      </w:hyperlink>
      <w:r>
        <w:t xml:space="preserve">.</w:t>
      </w:r>
    </w:p>
    <w:bookmarkEnd w:id="327"/>
    <w:bookmarkStart w:id="329"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8">
        <w:r>
          <w:rPr>
            <w:rStyle w:val="Hyperlink"/>
          </w:rPr>
          <w:t xml:space="preserve">https://www.marxists.org/reference/subject/economics/marshall/bk1ch01.htm</w:t>
        </w:r>
      </w:hyperlink>
      <w:r>
        <w:t xml:space="preserve">.</w:t>
      </w:r>
    </w:p>
    <w:bookmarkEnd w:id="329"/>
    <w:bookmarkStart w:id="330"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30"/>
    <w:bookmarkStart w:id="331"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31"/>
    <w:bookmarkStart w:id="333" w:name="ref-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32">
        <w:r>
          <w:rPr>
            <w:rStyle w:val="Hyperlink"/>
          </w:rPr>
          <w:t xml:space="preserve">https://eml.berkeley.edu/~mcfadden/prodecon1.html</w:t>
        </w:r>
      </w:hyperlink>
      <w:r>
        <w:t xml:space="preserve">.</w:t>
      </w:r>
    </w:p>
    <w:bookmarkEnd w:id="333"/>
    <w:bookmarkStart w:id="335" w:name="ref-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34">
        <w:r>
          <w:rPr>
            <w:rStyle w:val="Hyperlink"/>
          </w:rPr>
          <w:t xml:space="preserve">https://doi.org/10.2307/2525757</w:t>
        </w:r>
      </w:hyperlink>
      <w:r>
        <w:t xml:space="preserve">.</w:t>
      </w:r>
    </w:p>
    <w:bookmarkEnd w:id="335"/>
    <w:bookmarkStart w:id="336" w:name="ref-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36"/>
    <w:bookmarkStart w:id="337" w:name="ref-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37"/>
    <w:bookmarkStart w:id="338"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38"/>
    <w:bookmarkStart w:id="339"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39"/>
    <w:bookmarkStart w:id="341" w:name="ref-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40">
        <w:r>
          <w:rPr>
            <w:rStyle w:val="Hyperlink"/>
          </w:rPr>
          <w:t xml:space="preserve">https://www.sistemaelectrico-ree.es/es/informe-de-energias-renovables/sol/generacion/solar-fotovoltaica-solgeneracion</w:t>
        </w:r>
      </w:hyperlink>
      <w:r>
        <w:t xml:space="preserve">.</w:t>
      </w:r>
    </w:p>
    <w:bookmarkEnd w:id="341"/>
    <w:bookmarkStart w:id="342"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42"/>
    <w:bookmarkStart w:id="344" w:name="ref-Samuelson1970Maximum"/>
    <w:p>
      <w:pPr>
        <w:pStyle w:val="Bibliography"/>
      </w:pPr>
      <w:r>
        <w:t xml:space="preserve">———. 1970.</w:t>
      </w:r>
      <w:r>
        <w:t xml:space="preserve"> </w:t>
      </w:r>
      <w:r>
        <w:t xml:space="preserve">«Maximum Principles in Analytical Economics: Nobel Memorial Lecture, December 11, 1970»</w:t>
      </w:r>
      <w:r>
        <w:t xml:space="preserve">. 1970.</w:t>
      </w:r>
      <w:r>
        <w:t xml:space="preserve"> </w:t>
      </w:r>
      <w:hyperlink r:id="rId343">
        <w:r>
          <w:rPr>
            <w:rStyle w:val="Hyperlink"/>
          </w:rPr>
          <w:t xml:space="preserve">https://www.nobelprize.org/uploads/2018/06/samuelson-lecture.pdf</w:t>
        </w:r>
      </w:hyperlink>
      <w:r>
        <w:t xml:space="preserve">.</w:t>
      </w:r>
    </w:p>
    <w:bookmarkEnd w:id="344"/>
    <w:bookmarkStart w:id="345"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45"/>
    <w:bookmarkStart w:id="346"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6"/>
    <w:bookmarkStart w:id="347" w:name="ref-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347"/>
    <w:bookmarkStart w:id="349"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48">
        <w:r>
          <w:rPr>
            <w:rStyle w:val="Hyperlink"/>
          </w:rPr>
          <w:t xml:space="preserve">https://doi.org/10.1086/255387</w:t>
        </w:r>
      </w:hyperlink>
      <w:r>
        <w:t xml:space="preserve">.</w:t>
      </w:r>
    </w:p>
    <w:bookmarkEnd w:id="349"/>
    <w:bookmarkStart w:id="351" w:name="ref-Stigler1958Economies"/>
    <w:p>
      <w:pPr>
        <w:pStyle w:val="Bibliography"/>
      </w:pPr>
      <w:r>
        <w:t xml:space="preserve">———.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50">
        <w:r>
          <w:rPr>
            <w:rStyle w:val="Hyperlink"/>
          </w:rPr>
          <w:t xml:space="preserve">https://doi.org/10.1086/466541</w:t>
        </w:r>
      </w:hyperlink>
      <w:r>
        <w:t xml:space="preserve">.</w:t>
      </w:r>
    </w:p>
    <w:bookmarkEnd w:id="351"/>
    <w:bookmarkStart w:id="353"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52">
        <w:r>
          <w:rPr>
            <w:rStyle w:val="Hyperlink"/>
          </w:rPr>
          <w:t xml:space="preserve">https://doi.org/10.1086/258464</w:t>
        </w:r>
      </w:hyperlink>
      <w:r>
        <w:t xml:space="preserve">.</w:t>
      </w:r>
    </w:p>
    <w:bookmarkEnd w:id="353"/>
    <w:bookmarkStart w:id="354" w:name="ref-Stigler1976Xistence"/>
    <w:p>
      <w:pPr>
        <w:pStyle w:val="Bibliography"/>
      </w:pPr>
      <w:r>
        <w:t xml:space="preserve">———.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354"/>
    <w:bookmarkStart w:id="355"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5"/>
    <w:bookmarkStart w:id="357"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356">
        <w:r>
          <w:rPr>
            <w:rStyle w:val="Hyperlink"/>
          </w:rPr>
          <w:t xml:space="preserve">https://www.nobelprize.org/prizes/economic-sciences/1970/summary/</w:t>
        </w:r>
      </w:hyperlink>
      <w:r>
        <w:t xml:space="preserve">.</w:t>
      </w:r>
    </w:p>
    <w:bookmarkEnd w:id="357"/>
    <w:bookmarkStart w:id="359" w:name="ref-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58">
        <w:r>
          <w:rPr>
            <w:rStyle w:val="Hyperlink"/>
          </w:rPr>
          <w:t xml:space="preserve">https://doi.org/10.2307/2296305</w:t>
        </w:r>
      </w:hyperlink>
      <w:r>
        <w:t xml:space="preserve">.</w:t>
      </w:r>
    </w:p>
    <w:bookmarkEnd w:id="359"/>
    <w:bookmarkStart w:id="361"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60">
        <w:r>
          <w:rPr>
            <w:rStyle w:val="Hyperlink"/>
          </w:rPr>
          <w:t xml:space="preserve">https://doi.org/10.2307/2525564</w:t>
        </w:r>
      </w:hyperlink>
      <w:r>
        <w:t xml:space="preserve">.</w:t>
      </w:r>
    </w:p>
    <w:bookmarkEnd w:id="361"/>
    <w:bookmarkStart w:id="362"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62"/>
    <w:bookmarkStart w:id="363"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63"/>
    <w:bookmarkStart w:id="365" w:name="ref-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364">
        <w:r>
          <w:rPr>
            <w:rStyle w:val="Hyperlink"/>
          </w:rPr>
          <w:t xml:space="preserve">https://doi.org/10.2307/1910949</w:t>
        </w:r>
      </w:hyperlink>
      <w:r>
        <w:t xml:space="preserve">.</w:t>
      </w:r>
    </w:p>
    <w:bookmarkEnd w:id="365"/>
    <w:bookmarkStart w:id="366"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66"/>
    <w:bookmarkStart w:id="368" w:name="ref-Wicksell1934Lectures"/>
    <w:p>
      <w:pPr>
        <w:pStyle w:val="Bibliography"/>
      </w:pPr>
      <w:r>
        <w:t xml:space="preserve">———. 1934.</w:t>
      </w:r>
      <w:r>
        <w:t xml:space="preserve"> </w:t>
      </w:r>
      <w:r>
        <w:rPr>
          <w:i/>
          <w:iCs/>
        </w:rPr>
        <w:t xml:space="preserve">Lectures on Political Economy</w:t>
      </w:r>
      <w:r>
        <w:t xml:space="preserve">. Editado por Lionel Robbins. Traducido por E. Classen. Vol. 1. Londres: George Routledge; Sons.</w:t>
      </w:r>
      <w:r>
        <w:t xml:space="preserve"> </w:t>
      </w:r>
      <w:hyperlink r:id="rId367">
        <w:r>
          <w:rPr>
            <w:rStyle w:val="Hyperlink"/>
          </w:rPr>
          <w:t xml:space="preserve">https://archive.org/details/in.ernet.dli.2015.73614</w:t>
        </w:r>
      </w:hyperlink>
      <w:r>
        <w:t xml:space="preserve">.</w:t>
      </w:r>
    </w:p>
    <w:bookmarkEnd w:id="368"/>
    <w:bookmarkStart w:id="370" w:name="ref-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369">
        <w:r>
          <w:rPr>
            <w:rStyle w:val="Hyperlink"/>
          </w:rPr>
          <w:t xml:space="preserve">https://doi.org/10.2514/8.155</w:t>
        </w:r>
      </w:hyperlink>
      <w:r>
        <w:t xml:space="preserve">.</w:t>
      </w:r>
    </w:p>
    <w:bookmarkEnd w:id="370"/>
    <w:bookmarkEnd w:id="371"/>
    <w:bookmarkEnd w:id="37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1">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28">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29">
    <w:p>
      <w:pPr>
        <w:pStyle w:val="FootnoteText"/>
      </w:pPr>
      <w:r>
        <w:rPr>
          <w:rStyle w:val="FootnoteReference"/>
        </w:rPr>
        <w:footnoteRef/>
      </w:r>
      <w:r>
        <w:t xml:space="preserve"> </w:t>
      </w:r>
      <w:r>
        <w:t xml:space="preserve">Como la convexidad estricta de las preferencias en el consumidor</w:t>
      </w:r>
      <w:r>
        <w:t xml:space="preserve"> </w:t>
      </w:r>
      <w:r>
        <w:rPr>
          <w:rStyle w:val="Referenciaatema"/>
        </w:rPr>
        <w:t xml:space="preserve">[ver tema 3.A.8]</w:t>
      </w:r>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0">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r>
        <w:rPr>
          <w:rStyle w:val="Referenciaatema"/>
        </w:rPr>
        <w:t xml:space="preserve">[ver tema 3.A.11]</w:t>
      </w:r>
      <w:r>
        <w:t xml:space="preserve">: entonces el beneficio máximo es nulo y se trabaja con la función de costes.</w:t>
      </w:r>
    </w:p>
  </w:footnote>
  <w:footnote w:id="51">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r>
        <w:rPr>
          <w:rStyle w:val="Referenciaatema"/>
        </w:rPr>
        <w:t xml:space="preserve">[ver tema 3.A.11]</w:t>
      </w:r>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52">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C).</w:t>
      </w:r>
    </w:p>
  </w:footnote>
  <w:footnote w:id="63">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84">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89">
    <w:p>
      <w:pPr>
        <w:pStyle w:val="FootnoteText"/>
      </w:pPr>
      <w:r>
        <w:rPr>
          <w:rStyle w:val="FootnoteReference"/>
        </w:rPr>
        <w:footnoteRef/>
      </w:r>
      <w:r>
        <w:t xml:space="preserve"> </w:t>
      </w:r>
      <w:r>
        <w:t xml:space="preserve">En el gráfico 9,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95">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96">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02">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Wicksell1934Lectures">
        <w:r>
          <w:rPr>
            <w:rStyle w:val="Hyperlink"/>
            <w:smallCaps/>
          </w:rPr>
          <w:t xml:space="preserve">Wicksell</w:t>
        </w:r>
        <w:r>
          <w:rPr>
            <w:rStyle w:val="Hyperlink"/>
          </w:rPr>
          <w:t xml:space="preserve"> </w:t>
        </w:r>
        <w:r>
          <w:rPr>
            <w:rStyle w:val="Hyperlink"/>
          </w:rPr>
          <w:t xml:space="preserve">1934, 1:126-31</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14">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34">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 title="" id="136" name="Picture"/>
            <a:graphic>
              <a:graphicData uri="http://schemas.openxmlformats.org/drawingml/2006/picture">
                <pic:pic>
                  <pic:nvPicPr>
                    <pic:cNvPr descr="C:\Users\vgutierrez\Documents\src\victorgutierrezmarcos.github.io-revision\oposicion\temario\fuentes\3A12\graficos/tangencia-corto-largo.png" id="137" name="Picture"/>
                    <pic:cNvPicPr>
                      <a:picLocks noChangeArrowheads="1" noChangeAspect="1"/>
                    </pic:cNvPicPr>
                  </pic:nvPicPr>
                  <pic:blipFill>
                    <a:blip r:embed="rId135"/>
                    <a:stretch>
                      <a:fillRect/>
                    </a:stretch>
                  </pic:blipFill>
                  <pic:spPr bwMode="auto">
                    <a:xfrm>
                      <a:off x="0" y="0"/>
                      <a:ext cx="2089150" cy="1778688"/>
                    </a:xfrm>
                    <a:prstGeom prst="rect">
                      <a:avLst/>
                    </a:prstGeom>
                    <a:noFill/>
                    <a:ln w="9525">
                      <a:noFill/>
                      <a:headEnd/>
                      <a:tailEnd/>
                    </a:ln>
                  </pic:spPr>
                </pic:pic>
              </a:graphicData>
            </a:graphic>
          </wp:inline>
        </w:drawing>
      </w:r>
    </w:p>
  </w:footnote>
  <w:footnote w:id="138">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Châtelier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Samuelson1970Maximum">
        <w:r>
          <w:rPr>
            <w:rStyle w:val="Hyperlink"/>
            <w:smallCaps/>
          </w:rPr>
          <w:t xml:space="preserve">Samuelson</w:t>
        </w:r>
        <w:r>
          <w:rPr>
            <w:rStyle w:val="Hyperlink"/>
          </w:rPr>
          <w:t xml:space="preserve"> </w:t>
        </w:r>
        <w:r>
          <w:rPr>
            <w:rStyle w:val="Hyperlink"/>
          </w:rPr>
          <w:t xml:space="preserve">1970, 67-68</w:t>
        </w:r>
      </w:hyperlink>
      <w:r>
        <w:t xml:space="preserve">;</w:t>
      </w:r>
      <w:r>
        <w:t xml:space="preserve"> </w:t>
      </w:r>
      <w:hyperlink w:anchor="ref-Backhouse2015Revisiting">
        <w:r>
          <w:rPr>
            <w:rStyle w:val="Hyperlink"/>
            <w:smallCaps/>
          </w:rPr>
          <w:t xml:space="preserve">Backhouse</w:t>
        </w:r>
        <w:r>
          <w:rPr>
            <w:rStyle w:val="Hyperlink"/>
          </w:rPr>
          <w:t xml:space="preserve"> </w:t>
        </w:r>
        <w:r>
          <w:rPr>
            <w:rStyle w:val="Hyperlink"/>
          </w:rPr>
          <w:t xml:space="preserve">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230">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4" Target="media/rId204.png" /><Relationship Type="http://schemas.openxmlformats.org/officeDocument/2006/relationships/image" Id="rId209" Target="media/rId209.png" /><Relationship Type="http://schemas.openxmlformats.org/officeDocument/2006/relationships/image" Id="rId77" Target="media/rId77.png" /><Relationship Type="http://schemas.openxmlformats.org/officeDocument/2006/relationships/image" Id="rId149" Target="media/rId149.png" /><Relationship Type="http://schemas.openxmlformats.org/officeDocument/2006/relationships/image" Id="rId53" Target="media/rId53.png" /><Relationship Type="http://schemas.openxmlformats.org/officeDocument/2006/relationships/image" Id="rId118" Target="media/rId118.png" /><Relationship Type="http://schemas.openxmlformats.org/officeDocument/2006/relationships/image" Id="rId124" Target="media/rId124.png" /><Relationship Type="http://schemas.openxmlformats.org/officeDocument/2006/relationships/image" Id="rId97" Target="media/rId97.png" /><Relationship Type="http://schemas.openxmlformats.org/officeDocument/2006/relationships/image" Id="rId90" Target="media/rId90.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29" Target="media/rId129.png" /><Relationship Type="http://schemas.openxmlformats.org/officeDocument/2006/relationships/image" Id="rId68" Target="media/rId68.png" /><Relationship Type="http://schemas.openxmlformats.org/officeDocument/2006/relationships/image" Id="rId224" Target="media/rId224.png" /><Relationship Type="http://schemas.openxmlformats.org/officeDocument/2006/relationships/image" Id="rId24" Target="media/rId24.png" /><Relationship Type="http://schemas.openxmlformats.org/officeDocument/2006/relationships/image" Id="rId154" Target="media/rId154.png" /><Relationship Type="http://schemas.openxmlformats.org/officeDocument/2006/relationships/image" Id="rId231" Target="media/rId231.png" /><Relationship Type="http://schemas.openxmlformats.org/officeDocument/2006/relationships/image" Id="rId64" Target="media/rId64.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164" Target="media/rId164.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85" Target="media/rId185.png" /><Relationship Type="http://schemas.openxmlformats.org/officeDocument/2006/relationships/image" Id="rId174" Target="media/rId174.png" /><Relationship Type="http://schemas.openxmlformats.org/officeDocument/2006/relationships/image" Id="rId135" Target="media/rId135.png" /><Relationship Type="http://schemas.openxmlformats.org/officeDocument/2006/relationships/hyperlink" Id="rId367" Target="https://archive.org/details/in.ernet.dli.2015.73614" TargetMode="External" /><Relationship Type="http://schemas.openxmlformats.org/officeDocument/2006/relationships/hyperlink" Id="rId251" Target="https://data.ecb.europa.eu/data/datasets/SUP" TargetMode="External" /><Relationship Type="http://schemas.openxmlformats.org/officeDocument/2006/relationships/hyperlink" Id="rId256" Target="https://doi.org/10.1007/BF01205442" TargetMode="External" /><Relationship Type="http://schemas.openxmlformats.org/officeDocument/2006/relationships/hyperlink" Id="rId285" Target="https://doi.org/10.1007/b136381" TargetMode="External" /><Relationship Type="http://schemas.openxmlformats.org/officeDocument/2006/relationships/hyperlink" Id="rId240" Target="https://doi.org/10.1016/0304-4076(77)90052-5" TargetMode="External" /><Relationship Type="http://schemas.openxmlformats.org/officeDocument/2006/relationships/hyperlink" Id="rId279" Target="https://doi.org/10.1016/0377-2217(78)90138-8" TargetMode="External" /><Relationship Type="http://schemas.openxmlformats.org/officeDocument/2006/relationships/hyperlink" Id="rId262" Target="https://doi.org/10.1016/S0377-2217(96)00342-6" TargetMode="External" /><Relationship Type="http://schemas.openxmlformats.org/officeDocument/2006/relationships/hyperlink" Id="rId247" Target="https://doi.org/10.1016/j.euroecorev.2006.01.007" TargetMode="External" /><Relationship Type="http://schemas.openxmlformats.org/officeDocument/2006/relationships/hyperlink" Id="rId317" Target="https://doi.org/10.1017/CBO9781139174411" TargetMode="External" /><Relationship Type="http://schemas.openxmlformats.org/officeDocument/2006/relationships/hyperlink" Id="rId266" Target="https://doi.org/10.1057/9780230226203.0411" TargetMode="External" /><Relationship Type="http://schemas.openxmlformats.org/officeDocument/2006/relationships/hyperlink" Id="rId303" Target="https://doi.org/10.1086/254387" TargetMode="External" /><Relationship Type="http://schemas.openxmlformats.org/officeDocument/2006/relationships/hyperlink" Id="rId348" Target="https://doi.org/10.1086/255387" TargetMode="External" /><Relationship Type="http://schemas.openxmlformats.org/officeDocument/2006/relationships/hyperlink" Id="rId352" Target="https://doi.org/10.1086/258464" TargetMode="External" /><Relationship Type="http://schemas.openxmlformats.org/officeDocument/2006/relationships/hyperlink" Id="rId319" Target="https://doi.org/10.1086/259131" TargetMode="External" /><Relationship Type="http://schemas.openxmlformats.org/officeDocument/2006/relationships/hyperlink" Id="rId281" Target="https://doi.org/10.1086/260470" TargetMode="External" /><Relationship Type="http://schemas.openxmlformats.org/officeDocument/2006/relationships/hyperlink" Id="rId299" Target="https://doi.org/10.1086/260629" TargetMode="External" /><Relationship Type="http://schemas.openxmlformats.org/officeDocument/2006/relationships/hyperlink" Id="rId350" Target="https://doi.org/10.1086/466541" TargetMode="External" /><Relationship Type="http://schemas.openxmlformats.org/officeDocument/2006/relationships/hyperlink" Id="rId245" Target="https://doi.org/10.1257/jel.53.2.326" TargetMode="External" /><Relationship Type="http://schemas.openxmlformats.org/officeDocument/2006/relationships/hyperlink" Id="rId364" Target="https://doi.org/10.2307/1910949" TargetMode="External" /><Relationship Type="http://schemas.openxmlformats.org/officeDocument/2006/relationships/hyperlink" Id="rId243" Target="https://doi.org/10.2307/1927286" TargetMode="External" /><Relationship Type="http://schemas.openxmlformats.org/officeDocument/2006/relationships/hyperlink" Id="rId283" Target="https://doi.org/10.2307/1927992" TargetMode="External" /><Relationship Type="http://schemas.openxmlformats.org/officeDocument/2006/relationships/hyperlink" Id="rId260" Target="https://doi.org/10.2307/2228949" TargetMode="External" /><Relationship Type="http://schemas.openxmlformats.org/officeDocument/2006/relationships/hyperlink" Id="rId358" Target="https://doi.org/10.2307/2296305" TargetMode="External" /><Relationship Type="http://schemas.openxmlformats.org/officeDocument/2006/relationships/hyperlink" Id="rId290" Target="https://doi.org/10.2307/2343100" TargetMode="External" /><Relationship Type="http://schemas.openxmlformats.org/officeDocument/2006/relationships/hyperlink" Id="rId360" Target="https://doi.org/10.2307/2525564" TargetMode="External" /><Relationship Type="http://schemas.openxmlformats.org/officeDocument/2006/relationships/hyperlink" Id="rId334" Target="https://doi.org/10.2307/2525757" TargetMode="External" /><Relationship Type="http://schemas.openxmlformats.org/officeDocument/2006/relationships/hyperlink" Id="rId277" Target="https://doi.org/10.2307/2555519" TargetMode="External" /><Relationship Type="http://schemas.openxmlformats.org/officeDocument/2006/relationships/hyperlink" Id="rId326" Target="https://doi.org/10.2307/2555676" TargetMode="External" /><Relationship Type="http://schemas.openxmlformats.org/officeDocument/2006/relationships/hyperlink" Id="rId369" Target="https://doi.org/10.2514/8.155" TargetMode="External" /><Relationship Type="http://schemas.openxmlformats.org/officeDocument/2006/relationships/hyperlink" Id="rId272" Target="https://doi.org/10.2765/2628664" TargetMode="External" /><Relationship Type="http://schemas.openxmlformats.org/officeDocument/2006/relationships/hyperlink" Id="rId332" Target="https://eml.berkeley.edu/~mcfadden/prodecon1.html" TargetMode="External" /><Relationship Type="http://schemas.openxmlformats.org/officeDocument/2006/relationships/hyperlink" Id="rId324" Target="https://garfield.library.upenn.edu/classics1982/A1982PA25300001.pdf" TargetMode="External" /><Relationship Type="http://schemas.openxmlformats.org/officeDocument/2006/relationships/hyperlink" Id="rId294" Target="https://ideas.repec.org/a/eee/transa/v42y2008i1p243-257.html" TargetMode="External" /><Relationship Type="http://schemas.openxmlformats.org/officeDocument/2006/relationships/hyperlink" Id="rId297" Target="https://pages.stern.nyu.edu/~wgreene/Text/Edition7/tablelist8new.htm" TargetMode="External" /><Relationship Type="http://schemas.openxmlformats.org/officeDocument/2006/relationships/hyperlink" Id="rId249" Target="https://www.bankingsupervision.europa.eu/ecb/pub/pdf/ssm.supervisorybankingstatistics_second_quarter_2026_202609.en.pdf" TargetMode="External" /><Relationship Type="http://schemas.openxmlformats.org/officeDocument/2006/relationships/hyperlink" Id="rId253" Target="https://www.bankingsupervision.europa.eu/press/pr/date/2026/html/ssm.pr260915~7917ca1416.en.html" TargetMode="External" /><Relationship Type="http://schemas.openxmlformats.org/officeDocument/2006/relationships/hyperlink" Id="rId270" Target="https://www.bundesnetzagentur.de/DE/Beschlusskammern/BK08/BK8_05_EOG/54_Effizienzvgl/start.html" TargetMode="External" /><Relationship Type="http://schemas.openxmlformats.org/officeDocument/2006/relationships/hyperlink" Id="rId305" Target="https://www.ecb.europa.eu/pub/financial-stability/fsr/focus/2018/pdf/ecb~946b338dda.fsrbox201805_06.pdf" TargetMode="External" /><Relationship Type="http://schemas.openxmlformats.org/officeDocument/2006/relationships/hyperlink" Id="rId307" Target="https://www.ecb.europa.eu/pub/pdf/scpwps/ecb.wp2305~f2c93ab1af.en.pdf" TargetMode="External" /><Relationship Type="http://schemas.openxmlformats.org/officeDocument/2006/relationships/hyperlink" Id="rId274" Target="https://www.funcas.es/wp-content/uploads/Migracion/Articulos/FUNCAS_PEE/EXT0114art04.pdf" TargetMode="External" /><Relationship Type="http://schemas.openxmlformats.org/officeDocument/2006/relationships/hyperlink" Id="rId268" Target="https://www.gesetze-im-internet.de/aregv/anlage_3.html" TargetMode="External" /><Relationship Type="http://schemas.openxmlformats.org/officeDocument/2006/relationships/hyperlink" Id="rId311" Target="https://www.irena.org/Publications/2026/Jul/Renewable-Power-Generation-Costs-in-2025" TargetMode="External" /><Relationship Type="http://schemas.openxmlformats.org/officeDocument/2006/relationships/hyperlink" Id="rId292" Target="https://www.ise.fraunhofer.de/en/publications/studies/photovoltaics-report.html" TargetMode="External" /><Relationship Type="http://schemas.openxmlformats.org/officeDocument/2006/relationships/hyperlink" Id="rId322" Target="https://www.jstor.org/stable/1823775" TargetMode="External" /><Relationship Type="http://schemas.openxmlformats.org/officeDocument/2006/relationships/hyperlink" Id="rId328" Target="https://www.marxists.org/reference/subject/economics/marshall/bk1ch01.htm" TargetMode="External" /><Relationship Type="http://schemas.openxmlformats.org/officeDocument/2006/relationships/hyperlink" Id="rId356" Target="https://www.nobelprize.org/prizes/economic-sciences/1970/summary/" TargetMode="External" /><Relationship Type="http://schemas.openxmlformats.org/officeDocument/2006/relationships/hyperlink" Id="rId343" Target="https://www.nobelprize.org/uploads/2018/06/samuelson-lecture.pdf" TargetMode="External" /><Relationship Type="http://schemas.openxmlformats.org/officeDocument/2006/relationships/hyperlink" Id="rId309" Target="https://www.richmondfed.org/publications/research/economic_quarterly/1997/winter/humphrey" TargetMode="External" /><Relationship Type="http://schemas.openxmlformats.org/officeDocument/2006/relationships/hyperlink" Id="rId340" Target="https://www.sistemaelectrico-ree.es/es/informe-de-energias-renovables/sol/generacion/solar-fotovoltaica-solgeneracion" TargetMode="External" /><Relationship Type="http://schemas.openxmlformats.org/officeDocument/2006/relationships/hyperlink" Id="rId238"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7" Target="https://archive.org/details/in.ernet.dli.2015.73614" TargetMode="External" /><Relationship Type="http://schemas.openxmlformats.org/officeDocument/2006/relationships/hyperlink" Id="rId251" Target="https://data.ecb.europa.eu/data/datasets/SUP" TargetMode="External" /><Relationship Type="http://schemas.openxmlformats.org/officeDocument/2006/relationships/hyperlink" Id="rId256" Target="https://doi.org/10.1007/BF01205442" TargetMode="External" /><Relationship Type="http://schemas.openxmlformats.org/officeDocument/2006/relationships/hyperlink" Id="rId285" Target="https://doi.org/10.1007/b136381" TargetMode="External" /><Relationship Type="http://schemas.openxmlformats.org/officeDocument/2006/relationships/hyperlink" Id="rId240" Target="https://doi.org/10.1016/0304-4076(77)90052-5" TargetMode="External" /><Relationship Type="http://schemas.openxmlformats.org/officeDocument/2006/relationships/hyperlink" Id="rId279" Target="https://doi.org/10.1016/0377-2217(78)90138-8" TargetMode="External" /><Relationship Type="http://schemas.openxmlformats.org/officeDocument/2006/relationships/hyperlink" Id="rId262" Target="https://doi.org/10.1016/S0377-2217(96)00342-6" TargetMode="External" /><Relationship Type="http://schemas.openxmlformats.org/officeDocument/2006/relationships/hyperlink" Id="rId247" Target="https://doi.org/10.1016/j.euroecorev.2006.01.007" TargetMode="External" /><Relationship Type="http://schemas.openxmlformats.org/officeDocument/2006/relationships/hyperlink" Id="rId317" Target="https://doi.org/10.1017/CBO9781139174411" TargetMode="External" /><Relationship Type="http://schemas.openxmlformats.org/officeDocument/2006/relationships/hyperlink" Id="rId266" Target="https://doi.org/10.1057/9780230226203.0411" TargetMode="External" /><Relationship Type="http://schemas.openxmlformats.org/officeDocument/2006/relationships/hyperlink" Id="rId303" Target="https://doi.org/10.1086/254387" TargetMode="External" /><Relationship Type="http://schemas.openxmlformats.org/officeDocument/2006/relationships/hyperlink" Id="rId348" Target="https://doi.org/10.1086/255387" TargetMode="External" /><Relationship Type="http://schemas.openxmlformats.org/officeDocument/2006/relationships/hyperlink" Id="rId352" Target="https://doi.org/10.1086/258464" TargetMode="External" /><Relationship Type="http://schemas.openxmlformats.org/officeDocument/2006/relationships/hyperlink" Id="rId319" Target="https://doi.org/10.1086/259131" TargetMode="External" /><Relationship Type="http://schemas.openxmlformats.org/officeDocument/2006/relationships/hyperlink" Id="rId281" Target="https://doi.org/10.1086/260470" TargetMode="External" /><Relationship Type="http://schemas.openxmlformats.org/officeDocument/2006/relationships/hyperlink" Id="rId299" Target="https://doi.org/10.1086/260629" TargetMode="External" /><Relationship Type="http://schemas.openxmlformats.org/officeDocument/2006/relationships/hyperlink" Id="rId350" Target="https://doi.org/10.1086/466541" TargetMode="External" /><Relationship Type="http://schemas.openxmlformats.org/officeDocument/2006/relationships/hyperlink" Id="rId245" Target="https://doi.org/10.1257/jel.53.2.326" TargetMode="External" /><Relationship Type="http://schemas.openxmlformats.org/officeDocument/2006/relationships/hyperlink" Id="rId364" Target="https://doi.org/10.2307/1910949" TargetMode="External" /><Relationship Type="http://schemas.openxmlformats.org/officeDocument/2006/relationships/hyperlink" Id="rId243" Target="https://doi.org/10.2307/1927286" TargetMode="External" /><Relationship Type="http://schemas.openxmlformats.org/officeDocument/2006/relationships/hyperlink" Id="rId283" Target="https://doi.org/10.2307/1927992" TargetMode="External" /><Relationship Type="http://schemas.openxmlformats.org/officeDocument/2006/relationships/hyperlink" Id="rId260" Target="https://doi.org/10.2307/2228949" TargetMode="External" /><Relationship Type="http://schemas.openxmlformats.org/officeDocument/2006/relationships/hyperlink" Id="rId358" Target="https://doi.org/10.2307/2296305" TargetMode="External" /><Relationship Type="http://schemas.openxmlformats.org/officeDocument/2006/relationships/hyperlink" Id="rId290" Target="https://doi.org/10.2307/2343100" TargetMode="External" /><Relationship Type="http://schemas.openxmlformats.org/officeDocument/2006/relationships/hyperlink" Id="rId360" Target="https://doi.org/10.2307/2525564" TargetMode="External" /><Relationship Type="http://schemas.openxmlformats.org/officeDocument/2006/relationships/hyperlink" Id="rId334" Target="https://doi.org/10.2307/2525757" TargetMode="External" /><Relationship Type="http://schemas.openxmlformats.org/officeDocument/2006/relationships/hyperlink" Id="rId277" Target="https://doi.org/10.2307/2555519" TargetMode="External" /><Relationship Type="http://schemas.openxmlformats.org/officeDocument/2006/relationships/hyperlink" Id="rId326" Target="https://doi.org/10.2307/2555676" TargetMode="External" /><Relationship Type="http://schemas.openxmlformats.org/officeDocument/2006/relationships/hyperlink" Id="rId369" Target="https://doi.org/10.2514/8.155" TargetMode="External" /><Relationship Type="http://schemas.openxmlformats.org/officeDocument/2006/relationships/hyperlink" Id="rId272" Target="https://doi.org/10.2765/2628664" TargetMode="External" /><Relationship Type="http://schemas.openxmlformats.org/officeDocument/2006/relationships/hyperlink" Id="rId332" Target="https://eml.berkeley.edu/~mcfadden/prodecon1.html" TargetMode="External" /><Relationship Type="http://schemas.openxmlformats.org/officeDocument/2006/relationships/hyperlink" Id="rId324" Target="https://garfield.library.upenn.edu/classics1982/A1982PA25300001.pdf" TargetMode="External" /><Relationship Type="http://schemas.openxmlformats.org/officeDocument/2006/relationships/hyperlink" Id="rId294" Target="https://ideas.repec.org/a/eee/transa/v42y2008i1p243-257.html" TargetMode="External" /><Relationship Type="http://schemas.openxmlformats.org/officeDocument/2006/relationships/hyperlink" Id="rId297" Target="https://pages.stern.nyu.edu/~wgreene/Text/Edition7/tablelist8new.htm" TargetMode="External" /><Relationship Type="http://schemas.openxmlformats.org/officeDocument/2006/relationships/hyperlink" Id="rId249" Target="https://www.bankingsupervision.europa.eu/ecb/pub/pdf/ssm.supervisorybankingstatistics_second_quarter_2026_202609.en.pdf" TargetMode="External" /><Relationship Type="http://schemas.openxmlformats.org/officeDocument/2006/relationships/hyperlink" Id="rId253" Target="https://www.bankingsupervision.europa.eu/press/pr/date/2026/html/ssm.pr260915~7917ca1416.en.html" TargetMode="External" /><Relationship Type="http://schemas.openxmlformats.org/officeDocument/2006/relationships/hyperlink" Id="rId270" Target="https://www.bundesnetzagentur.de/DE/Beschlusskammern/BK08/BK8_05_EOG/54_Effizienzvgl/start.html" TargetMode="External" /><Relationship Type="http://schemas.openxmlformats.org/officeDocument/2006/relationships/hyperlink" Id="rId305" Target="https://www.ecb.europa.eu/pub/financial-stability/fsr/focus/2018/pdf/ecb~946b338dda.fsrbox201805_06.pdf" TargetMode="External" /><Relationship Type="http://schemas.openxmlformats.org/officeDocument/2006/relationships/hyperlink" Id="rId307" Target="https://www.ecb.europa.eu/pub/pdf/scpwps/ecb.wp2305~f2c93ab1af.en.pdf" TargetMode="External" /><Relationship Type="http://schemas.openxmlformats.org/officeDocument/2006/relationships/hyperlink" Id="rId274" Target="https://www.funcas.es/wp-content/uploads/Migracion/Articulos/FUNCAS_PEE/EXT0114art04.pdf" TargetMode="External" /><Relationship Type="http://schemas.openxmlformats.org/officeDocument/2006/relationships/hyperlink" Id="rId268" Target="https://www.gesetze-im-internet.de/aregv/anlage_3.html" TargetMode="External" /><Relationship Type="http://schemas.openxmlformats.org/officeDocument/2006/relationships/hyperlink" Id="rId311" Target="https://www.irena.org/Publications/2026/Jul/Renewable-Power-Generation-Costs-in-2025" TargetMode="External" /><Relationship Type="http://schemas.openxmlformats.org/officeDocument/2006/relationships/hyperlink" Id="rId292" Target="https://www.ise.fraunhofer.de/en/publications/studies/photovoltaics-report.html" TargetMode="External" /><Relationship Type="http://schemas.openxmlformats.org/officeDocument/2006/relationships/hyperlink" Id="rId322" Target="https://www.jstor.org/stable/1823775" TargetMode="External" /><Relationship Type="http://schemas.openxmlformats.org/officeDocument/2006/relationships/hyperlink" Id="rId328" Target="https://www.marxists.org/reference/subject/economics/marshall/bk1ch01.htm" TargetMode="External" /><Relationship Type="http://schemas.openxmlformats.org/officeDocument/2006/relationships/hyperlink" Id="rId356" Target="https://www.nobelprize.org/prizes/economic-sciences/1970/summary/" TargetMode="External" /><Relationship Type="http://schemas.openxmlformats.org/officeDocument/2006/relationships/hyperlink" Id="rId343" Target="https://www.nobelprize.org/uploads/2018/06/samuelson-lecture.pdf" TargetMode="External" /><Relationship Type="http://schemas.openxmlformats.org/officeDocument/2006/relationships/hyperlink" Id="rId309" Target="https://www.richmondfed.org/publications/research/economic_quarterly/1997/winter/humphrey" TargetMode="External" /><Relationship Type="http://schemas.openxmlformats.org/officeDocument/2006/relationships/hyperlink" Id="rId340" Target="https://www.sistemaelectrico-ree.es/es/informe-de-energias-renovables/sol/generacion/solar-fotovoltaica-solgeneracion" TargetMode="External" /><Relationship Type="http://schemas.openxmlformats.org/officeDocument/2006/relationships/hyperlink" Id="rId238" Target="https://www.victorgutierrezmarcos.es/oposicion/temario/primer-ejercicio/test/simulador.html" TargetMode="External" /><Relationship Type="http://schemas.openxmlformats.org/officeDocument/2006/relationships/image" Id="rId135" Target="media/rId135.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language>es-ES</dc:language>
  <cp:keywords/>
  <dcterms:created xsi:type="dcterms:W3CDTF">2026-10-17T08:58:05Z</dcterms:created>
  <dcterms:modified xsi:type="dcterms:W3CDTF">2026-10-17T08:58:05Z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3A12</vt:lpwstr>
  </property>
  <property fmtid="{D5CDD505-2E9C-101B-9397-08002B2CF9AE}" pid="4" name="bibliography">
    <vt:lpwstr>C:\Users\vgutierrez\Documents\src\victorgutierrezmarcos.github.io-revision\oposicion\temario\fuentes\3A12\3A12.bib</vt:lpwstr>
  </property>
  <property fmtid="{D5CDD505-2E9C-101B-9397-08002B2CF9AE}" pid="5" name="carpeta">
    <vt:lpwstr>tercer-ejercicio</vt:lpwstr>
  </property>
  <property fmtid="{D5CDD505-2E9C-101B-9397-08002B2CF9AE}" pid="6" name="codigo">
    <vt:lpwstr>3.A.12</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C:\Users\vgutierrez\Documents\src\victorgutierrezmarcos.github.io-revision\oposicion\temario\fuentes\3A12\graficos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47 págs. · Anexos: 9 · Bibliografía: 5</vt:lpwstr>
  </property>
  <property fmtid="{D5CDD505-2E9C-101B-9397-08002B2CF9AE}" pid="17" name="palabras-clave">
    <vt:lpwstr>teoría de los costes, función de costes, dualidad de la empresa, lema de Shephard, lema de Hotelling, principio de Le Châtelier,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18" name="reference-section-title">
    <vt:lpwstr>Bibliografía</vt:lpwstr>
  </property>
  <property fmtid="{D5CDD505-2E9C-101B-9397-08002B2CF9AE}" pid="19" name="resumen">
    <vt:lpwstr>Función de costes, dualidad entre beneficio y coste, lemas de Shephard y Hotelling, economías de escala y de alcance, translog, fronteras y DEA.</vt:lpwstr>
  </property>
  <property fmtid="{D5CDD505-2E9C-101B-9397-08002B2CF9AE}" pid="20" name="titulo">
    <vt:lpwstr>Teoría de los costes. Análisis de dualidad en el ámbito de la empresa. Aplicaciones empíricas.</vt:lpwstr>
  </property>
  <property fmtid="{D5CDD505-2E9C-101B-9397-08002B2CF9AE}" pid="21" name="titulo-seo">
    <vt:lpwstr>Teoría de los costes y dualidad en la empresa</vt:lpwstr>
  </property>
</Properties>
</file>