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47 págs. · Anexos: 9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Dos definiciones básicas. 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 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4"/>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4"/>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numPr>
          <w:ilvl w:val="1"/>
          <w:numId w:val="1004"/>
        </w:numPr>
      </w:pPr>
      <w:r>
        <w:rPr>
          <w:i/>
          <w:iCs/>
        </w:rPr>
        <w:t xml:space="preserve">De política económica</w:t>
      </w:r>
      <w:r>
        <w:t xml:space="preserve">: los reguladores de redes fijan los ingresos permitidos comparando la eficiencia en costes de las empresas</w:t>
      </w:r>
      <w:r>
        <w:t xml:space="preserve"> </w:t>
      </w:r>
      <w:hyperlink r:id="rId27">
        <w:r>
          <w:rPr>
            <w:rStyle w:val="Referenciaatema"/>
          </w:rPr>
          <w:t xml:space="preserve">[ver tema 3.A.20]</w:t>
        </w:r>
      </w:hyperlink>
      <w:r>
        <w:t xml:space="preserve">; 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 y 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5"/>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numPr>
          <w:ilvl w:val="1"/>
          <w:numId w:val="1005"/>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 </w:t>
      </w: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 y 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numPr>
          <w:ilvl w:val="1"/>
          <w:numId w:val="1005"/>
        </w:numPr>
      </w:pPr>
      <w:r>
        <w:t xml:space="preserve">La dualidad abre la puerta a la estimación:</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 y</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 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5"/>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5"/>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06"/>
        </w:numPr>
      </w:pPr>
      <w:r>
        <w:t xml:space="preserve">¿Cómo elige la empresa la forma más barata de producir y qué información contiene la función de costes que resulta?</w:t>
      </w:r>
    </w:p>
    <w:p>
      <w:pPr>
        <w:numPr>
          <w:ilvl w:val="1"/>
          <w:numId w:val="1006"/>
        </w:numPr>
      </w:pPr>
      <w:r>
        <w:t xml:space="preserve">¿Qué relación hay entre maximizar el beneficio, minimizar el coste y la tecnología? ¿En qué sentido son «duales»? ¿Basta conocer los costes para conocer la tecnología?</w:t>
      </w:r>
    </w:p>
    <w:p>
      <w:pPr>
        <w:numPr>
          <w:ilvl w:val="1"/>
          <w:numId w:val="1006"/>
        </w:numPr>
      </w:pPr>
      <w:r>
        <w:t xml:space="preserve">¿Cómo responden los costes y la demanda de factores a la producción, a los precios de los factores y al plazo?</w:t>
      </w:r>
    </w:p>
    <w:p>
      <w:pPr>
        <w:numPr>
          <w:ilvl w:val="1"/>
          <w:numId w:val="1006"/>
        </w:numPr>
      </w:pPr>
      <w:r>
        <w:t xml:space="preserve">¿Cómo se estiman los costes y se mide la eficiencia con datos?</w:t>
      </w:r>
    </w:p>
    <w:p>
      <w:pPr>
        <w:numPr>
          <w:ilvl w:val="1"/>
          <w:numId w:val="1006"/>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07"/>
        </w:numPr>
      </w:pPr>
      <w:r>
        <w:rPr>
          <w:b/>
          <w:bCs/>
        </w:rPr>
        <w:t xml:space="preserve">I. «Dualidad» entre maximización del beneficio y minimización del coste</w:t>
      </w:r>
      <w:r>
        <w:t xml:space="preserve">:</w:t>
      </w:r>
    </w:p>
    <w:p>
      <w:pPr>
        <w:numPr>
          <w:ilvl w:val="2"/>
          <w:numId w:val="1008"/>
        </w:numPr>
      </w:pPr>
      <w:r>
        <w:t xml:space="preserve">partiremos de los ingredientes comunes (</w:t>
      </w:r>
      <w:hyperlink w:anchor="sec_ingredientes_comunes_problema">
        <w:r>
          <w:rPr>
            <w:rStyle w:val="Hyperlink"/>
          </w:rPr>
          <w:t xml:space="preserve">I.1</w:t>
        </w:r>
      </w:hyperlink>
      <w:r>
        <w:t xml:space="preserve">);</w:t>
      </w:r>
    </w:p>
    <w:p>
      <w:pPr>
        <w:numPr>
          <w:ilvl w:val="2"/>
          <w:numId w:val="1008"/>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08"/>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07"/>
        </w:numPr>
      </w:pPr>
      <w:r>
        <w:rPr>
          <w:b/>
          <w:bCs/>
        </w:rPr>
        <w:t xml:space="preserve">II. Análisis de los costes: estática comparativa, plazos y aplicaciones empíricas</w:t>
      </w:r>
      <w:r>
        <w:t xml:space="preserve">:</w:t>
      </w:r>
    </w:p>
    <w:p>
      <w:pPr>
        <w:numPr>
          <w:ilvl w:val="2"/>
          <w:numId w:val="1009"/>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09"/>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numPr>
          <w:ilvl w:val="1"/>
          <w:numId w:val="1007"/>
        </w:numPr>
      </w:pPr>
      <w:r>
        <w:rPr>
          <w:b/>
          <w:bCs/>
        </w:rPr>
        <w:t xml:space="preserve">III. Extensiones y críticas</w:t>
      </w:r>
      <w:r>
        <w:t xml:space="preserve">: qué implica la forma de los costes para la estructura del mercado (</w:t>
      </w:r>
      <w:hyperlink w:anchor="sec_implicaciones_estructura_mercado">
        <w:r>
          <w:rPr>
            <w:rStyle w:val="Hyperlink"/>
          </w:rPr>
          <w:t xml:space="preserve">III.1</w:t>
        </w:r>
      </w:hyperlink>
      <w:r>
        <w:t xml:space="preserve">), las economías externas (</w:t>
      </w:r>
      <w:hyperlink w:anchor="sec_economias_escala">
        <w:r>
          <w:rPr>
            <w:rStyle w:val="Hyperlink"/>
          </w:rPr>
          <w:t xml:space="preserve">III.2</w:t>
        </w:r>
      </w:hyperlink>
      <w:r>
        <w:t xml:space="preserve">), las críticas de la organización industrial a sus supuestos (</w:t>
      </w:r>
      <w:hyperlink w:anchor="sec_criticas_extensiones_teoria">
        <w:r>
          <w:rPr>
            <w:rStyle w:val="Hyperlink"/>
          </w:rPr>
          <w:t xml:space="preserve">III.3</w:t>
        </w:r>
      </w:hyperlink>
      <w:r>
        <w:t xml:space="preserve">) y otras extensiones (</w:t>
      </w:r>
      <w:hyperlink w:anchor="sec_otras_extensiones_teoria">
        <w:r>
          <w:rPr>
            <w:rStyle w:val="Hyperlink"/>
          </w:rPr>
          <w:t xml:space="preserve">III.4</w:t>
        </w:r>
      </w:hyperlink>
      <w:r>
        <w:t xml:space="preserve">).</w:t>
      </w:r>
    </w:p>
    <w:p>
      <w:pPr>
        <w:numPr>
          <w:ilvl w:val="0"/>
          <w:numId w:val="1000"/>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 su elasticidad respecto a la producción (las economías de escala), sus derivadas respecto a los precios de los factores (las participaciones y la sustitución) y la distancia entre el coste observado y el mínimo (la eficiencia). 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0"/>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1"/>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1"/>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2"/>
        </w:numPr>
      </w:pPr>
      <w:r>
        <w:t xml:space="preserve">Recorremos el esquema parte por parte:</w:t>
      </w:r>
    </w:p>
    <w:p>
      <w:pPr>
        <w:numPr>
          <w:ilvl w:val="1"/>
          <w:numId w:val="1013"/>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3"/>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14"/>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14"/>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14"/>
        </w:numPr>
      </w:pPr>
      <w:r>
        <w:t xml:space="preserve">es</w:t>
      </w:r>
      <w:r>
        <w:t xml:space="preserve"> </w:t>
      </w:r>
      <w:r>
        <w:rPr>
          <w:i/>
          <w:iCs/>
        </w:rPr>
        <w:t xml:space="preserve">no decreciente</w:t>
      </w:r>
      <w:r>
        <w:t xml:space="preserve"> </w:t>
      </w:r>
      <w:r>
        <w:t xml:space="preserve">en los factores, por la eliminación gratuita;</w:t>
      </w:r>
    </w:p>
    <w:p>
      <w:pPr>
        <w:numPr>
          <w:ilvl w:val="2"/>
          <w:numId w:val="1014"/>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14"/>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3"/>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2"/>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Maximización del beneficio</w:t>
            </w:r>
          </w:p>
        </w:tc>
        <w:tc>
          <w:tcPr/>
          <w:p>
            <w:pPr>
              <w:pStyle w:val="Celdatceeazulpalido"/>
              <w:jc w:val="left"/>
            </w:pPr>
            <w:r>
              <w:rPr>
                <w:b/>
                <w:bCs/>
              </w:rPr>
              <w:t xml:space="preserve">Minimización del coste</w:t>
            </w:r>
          </w:p>
        </w:tc>
      </w:tr>
      <w:t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15"/>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16"/>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17"/>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18"/>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19"/>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0"/>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0"/>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0"/>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19"/>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 la demanda del factor</w:t>
      </w:r>
      <w:r>
        <w:t xml:space="preserve"> </w:t>
      </w:r>
      <m:oMath>
        <m:r>
          <m:t>z</m:t>
        </m:r>
        <m:d>
          <m:dPr>
            <m:begChr m:val="("/>
            <m:sepChr m:val=""/>
            <m:endChr m:val=")"/>
            <m:grow/>
          </m:dPr>
          <m:e>
            <m:r>
              <m:t>p</m:t>
            </m:r>
            <m:r>
              <m:rPr>
                <m:sty m:val="p"/>
              </m:rPr>
              <m:t>,</m:t>
            </m:r>
            <m:r>
              <m:t>w</m:t>
            </m:r>
          </m:e>
        </m:d>
      </m:oMath>
      <w:r>
        <w:t xml:space="preserve">, 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 </w:t>
      </w:r>
      <w:r>
        <w:t xml:space="preserve">y 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1"/>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2"/>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2"/>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2"/>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1"/>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23"/>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23"/>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23"/>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23"/>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24"/>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25"/>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24"/>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26"/>
        </w:numPr>
      </w:pPr>
      <w:r>
        <w:t xml:space="preserve">la oferta nunca tiene pendiente negativa (</w:t>
      </w:r>
      <w:r>
        <w:rPr>
          <w:i/>
          <w:iCs/>
        </w:rPr>
        <w:t xml:space="preserve">ley de la oferta</w:t>
      </w:r>
      <w:r>
        <w:t xml:space="preserve">);</w:t>
      </w:r>
    </w:p>
    <w:p>
      <w:pPr>
        <w:numPr>
          <w:ilvl w:val="3"/>
          <w:numId w:val="1026"/>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27"/>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28"/>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29"/>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0"/>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1"/>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1"/>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1"/>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1"/>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0"/>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2"/>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33"/>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33"/>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33"/>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33"/>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33"/>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2"/>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34"/>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34"/>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34"/>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34"/>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34"/>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34"/>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4"/>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35"/>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35"/>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35"/>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numPr>
          <w:ilvl w:val="0"/>
          <w:numId w:val="1032"/>
        </w:numPr>
      </w:pPr>
      <w:r>
        <w:rPr>
          <w:i/>
          <w:iCs/>
        </w:rPr>
        <w:t xml:space="preserve">Ejemplos</w:t>
      </w:r>
      <w:r>
        <w:t xml:space="preserve"> </w:t>
      </w:r>
      <w:hyperlink r:id="rId23">
        <w:r>
          <w:rPr>
            <w:rStyle w:val="Referenciaatema"/>
          </w:rPr>
          <w:t xml:space="preserve">[ver tema 3.A.11]</w:t>
        </w:r>
      </w:hyperlink>
      <w:r>
        <w:t xml:space="preserve">: 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0"/>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 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36"/>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tblHeader w:val="on"/>
        </w:trPr>
        <w:tc>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37"/>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38"/>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38"/>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39"/>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39"/>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38"/>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0"/>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0"/>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38"/>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mathrm{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1"/>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1"/>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numPr>
          <w:ilvl w:val="0"/>
          <w:numId w:val="1041"/>
        </w:numPr>
      </w:pPr>
      <w:r>
        <w:rPr>
          <w:i/>
          <w:iCs/>
        </w:rPr>
        <w:t xml:space="preserve">Esquema</w:t>
      </w:r>
      <w:r>
        <w:t xml:space="preserve">: todas estas relaciones se resumen en el gráfico </w:t>
      </w:r>
      <w:hyperlink w:anchor="fig_esquema_dualidad">
        <w:r>
          <w:rPr>
            <w:rStyle w:val="Hyperlink"/>
          </w:rPr>
          <w:t xml:space="preserve">6</w:t>
        </w:r>
      </w:hyperlink>
      <w:r>
        <w:t xml:space="preserve">: la maximización del beneficio en una etapa a la izquierda, la minimización del coste a la derecha, la maximización en dos etapas que las une y, 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42"/>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43"/>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43"/>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42"/>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42"/>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44"/>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44"/>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44"/>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45"/>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46"/>
        </w:numPr>
      </w:pPr>
      <w:r>
        <w:t xml:space="preserve">Una vez obtenida la función de costes y sus propiedades, pasamos a analizar cómo cambia y cómo se mide. Este bloque responde a la tercera y a la cuarta preguntas. Su conclusión anticipada:</w:t>
      </w:r>
    </w:p>
    <w:p>
      <w:pPr>
        <w:numPr>
          <w:ilvl w:val="1"/>
          <w:numId w:val="1047"/>
        </w:numPr>
      </w:pPr>
      <w:r>
        <w:t xml:space="preserve">la demanda condicionada de un factor nunca crece con su precio;</w:t>
      </w:r>
    </w:p>
    <w:p>
      <w:pPr>
        <w:numPr>
          <w:ilvl w:val="1"/>
          <w:numId w:val="1047"/>
        </w:numPr>
      </w:pPr>
      <w:r>
        <w:t xml:space="preserve">a largo plazo, la forma de los costes refleja los rendimientos a escala de la tecnología y, a corto, los rendimientos del factor variable, y a largo plazo la empresa responde más que a corto;</w:t>
      </w:r>
    </w:p>
    <w:p>
      <w:pPr>
        <w:numPr>
          <w:ilvl w:val="1"/>
          <w:numId w:val="1047"/>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46"/>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46"/>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48"/>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49"/>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49"/>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0"/>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51"/>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51"/>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51"/>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0"/>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52"/>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52"/>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52"/>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53"/>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53"/>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53"/>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54"/>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55"/>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55"/>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55"/>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55"/>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tblHeader w:val="on"/>
        </w:trPr>
        <w:tc>
          <w:tcPr>
            <w:vAlign w:val="center"/>
          </w:tcPr>
          <w:p>
            <w:pPr>
              <w:pStyle w:val="Celdatceeazulpalido"/>
              <w:jc w:val="center"/>
            </w:pPr>
            <w:r>
              <w:rPr>
                <w:b/>
                <w:bCs/>
              </w:rPr>
              <w:t xml:space="preserve">Rendimientos a escala</w:t>
            </w:r>
          </w:p>
        </w:tc>
        <w:tc>
          <w:tcPr>
            <w:vAlign w:val="center"/>
          </w:tcPr>
          <w:p>
            <w:pPr>
              <w:pStyle w:val="Celdatceeazulpalido"/>
              <w:jc w:val="center"/>
            </w:pPr>
            <w:r>
              <w:rPr>
                <w:b/>
                <w:bCs/>
              </w:rPr>
              <w:t xml:space="preserve">Locales, en la combinación de mínimo coste</w:t>
            </w:r>
          </w:p>
        </w:tc>
        <w:tc>
          <w:tcPr>
            <w:vAlign w:val="center"/>
          </w:tcPr>
          <w:p>
            <w:pPr>
              <w:pStyle w:val="Celdatceeazulpalido"/>
              <w:jc w:val="center"/>
            </w:pPr>
            <w:r>
              <w:rPr>
                <w:b/>
                <w:bCs/>
              </w:rPr>
              <w:t xml:space="preserve">Globales (en todo punto)</w:t>
            </w:r>
          </w:p>
        </w:tc>
      </w:tr>
      <w:tr>
        <w:tc>
          <w:tcPr>
            <w:gridSpan w:val="3"/>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56"/>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numPr>
          <w:ilvl w:val="0"/>
          <w:numId w:val="1056"/>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 decreciente si</w:t>
      </w:r>
      <w:r>
        <w:t xml:space="preserve"> </w:t>
      </w:r>
      <m:oMath>
        <m:r>
          <m:t>k</m:t>
        </m:r>
        <m:r>
          <m:rPr>
            <m:sty m:val="p"/>
          </m:rPr>
          <m:t>&gt;</m:t>
        </m:r>
        <m:r>
          <m:t>1</m:t>
        </m:r>
      </m:oMath>
      <w:r>
        <w:t xml:space="preserve">, constante si</w:t>
      </w:r>
      <w:r>
        <w:t xml:space="preserve"> </w:t>
      </w:r>
      <m:oMath>
        <m:r>
          <m:t>k</m:t>
        </m:r>
        <m:r>
          <m:rPr>
            <m:sty m:val="p"/>
          </m:rPr>
          <m:t>=</m:t>
        </m:r>
        <m:r>
          <m:t>1</m:t>
        </m:r>
      </m:oMath>
      <w:r>
        <w:t xml:space="preserve"> </w:t>
      </w:r>
      <w:r>
        <w:t xml:space="preserve">y creciente si</w:t>
      </w:r>
      <w:r>
        <w:t xml:space="preserve"> </w:t>
      </w:r>
      <m:oMath>
        <m:r>
          <m:t>k</m:t>
        </m:r>
        <m:r>
          <m:rPr>
            <m:sty m:val="p"/>
          </m:rPr>
          <m:t>&lt;</m:t>
        </m:r>
        <m:r>
          <m:t>1</m:t>
        </m:r>
      </m:oMath>
      <w:r>
        <w:t xml:space="preserve">. 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5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5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5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5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5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5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5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6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6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6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62"/>
        </w:numPr>
      </w:pPr>
      <w:r>
        <w:rPr>
          <w:b/>
          <w:bCs/>
        </w:rPr>
        <w:t xml:space="preserve">corto plazo</w:t>
      </w:r>
      <w:r>
        <w:t xml:space="preserve">: algún factor es fijo (normalmente el capital, el tamaño de la planta);</w:t>
      </w:r>
    </w:p>
    <w:p>
      <w:pPr>
        <w:numPr>
          <w:ilvl w:val="1"/>
          <w:numId w:val="106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6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6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6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6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6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6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6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6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6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6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 primero crecen cada vez más despacio, alcanzan un punto de inflexión (el mínimo del CMg) y después crecen cada vez más deprisa. El CMg corta al CVMe y al CMe en sus mínimos.</w:t>
      </w:r>
    </w:p>
    <w:p>
      <w:pPr>
        <w:numPr>
          <w:ilvl w:val="0"/>
          <w:numId w:val="1065"/>
        </w:numPr>
      </w:pPr>
      <w:r>
        <w:rPr>
          <w:i/>
          <w:iCs/>
        </w:rPr>
        <w:t xml:space="preserve">Coste medio</w:t>
      </w:r>
      <w:r>
        <w:t xml:space="preserve">: el CMe a corto plazo baja al principio por dos razones: 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 y la productividad creciente del trabajo;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6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67"/>
        </w:numPr>
      </w:pPr>
      <w:r>
        <w:t xml:space="preserve">el mínimo del CVMe (</w:t>
      </w:r>
      <w:r>
        <w:rPr>
          <w:i/>
          <w:iCs/>
        </w:rPr>
        <w:t xml:space="preserve">mínimo de explotación</w:t>
      </w:r>
      <w:r>
        <w:t xml:space="preserve">): por debajo de ese precio, la empresa competitiva cierra a corto plazo;</w:t>
      </w:r>
    </w:p>
    <w:p>
      <w:pPr>
        <w:numPr>
          <w:ilvl w:val="1"/>
          <w:numId w:val="1067"/>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68"/>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69"/>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69"/>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69"/>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69"/>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68"/>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Costes</w:t>
            </w:r>
          </w:p>
        </w:tc>
        <w:tc>
          <w:tcPr>
            <w:vAlign w:val="center"/>
          </w:tcPr>
          <w:p>
            <w:pPr>
              <w:pStyle w:val="Celdatceeazulpalido"/>
              <w:jc w:val="center"/>
            </w:pPr>
            <m:oMath>
              <m:sSub>
                <m:e>
                  <m:r>
                    <m:t>ε</m:t>
                  </m:r>
                </m:e>
                <m:sub>
                  <m:r>
                    <m:rPr>
                      <m:sty m:val="p"/>
                    </m:rPr>
                    <m:t>C</m:t>
                  </m:r>
                  <m:r>
                    <m:rPr>
                      <m:sty m:val="p"/>
                    </m:rPr>
                    <m:t>V</m:t>
                  </m:r>
                  <m:r>
                    <m:rPr>
                      <m:sty m:val="p"/>
                    </m:rPr>
                    <m:t>,</m:t>
                  </m:r>
                  <m:r>
                    <m:t>q</m:t>
                  </m:r>
                </m:sub>
              </m:sSub>
            </m:oMath>
          </w:p>
        </w:tc>
        <w:tc>
          <w:tcPr>
            <w:vAlign w:val="center"/>
          </w:tcPr>
          <w:p>
            <w:pPr>
              <w:pStyle w:val="Celdatceeazulpalido"/>
              <w:jc w:val="center"/>
            </w:pPr>
            <w:r>
              <w:rPr>
                <w:i/>
                <w:iCs/>
              </w:rPr>
              <w:t xml:space="preserve">Producción</w:t>
            </w:r>
          </w:p>
        </w:tc>
      </w:tr>
      <w:tr>
        <w:tc>
          <w:tcPr>
            <w:gridSpan w:val="6"/>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70"/>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71"/>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71"/>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71"/>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72"/>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72"/>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numPr>
          <w:ilvl w:val="0"/>
          <w:numId w:val="1073"/>
        </w:numPr>
      </w:pPr>
      <w:r>
        <w:t xml:space="preserve">Recapitulando lo visto hasta aquí: la demanda condicionada de un factor nunca crece con su precio, y la no condicionada responde todavía más; los costes medios a largo plazo son en U si la tecnología tiene rendimientos a escala primero crecientes y después decrecientes, y los de corto plazo, por la ley de proporciones variables. 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74"/>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75"/>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76"/>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76"/>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77"/>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77"/>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77"/>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numPr>
          <w:ilvl w:val="1"/>
          <w:numId w:val="1077"/>
        </w:numPr>
      </w:pPr>
      <w:r>
        <w:rPr>
          <w:i/>
          <w:iCs/>
        </w:rPr>
        <w:t xml:space="preserve">Casos anidados</w:t>
      </w:r>
      <w:r>
        <w:t xml:space="preserve">: con todos los</w:t>
      </w:r>
      <w:r>
        <w:t xml:space="preserve"> </w:t>
      </w:r>
      <m:oMath>
        <m:r>
          <m:t>β</m:t>
        </m:r>
        <m:r>
          <m:rPr>
            <m:sty m:val="p"/>
          </m:rPr>
          <m:t>=</m:t>
        </m:r>
        <m:r>
          <m:t>0</m:t>
        </m:r>
      </m:oMath>
      <w:r>
        <w:t xml:space="preserve"> </w:t>
      </w:r>
      <w:r>
        <w:t xml:space="preserve">es la Cobb-Douglas; con</w:t>
      </w:r>
      <w:r>
        <w:t xml:space="preserve"> </w:t>
      </w:r>
      <m:oMath>
        <m:sSub>
          <m:e>
            <m:r>
              <m:t>β</m:t>
            </m:r>
          </m:e>
          <m:sub>
            <m:r>
              <m:t>i</m:t>
            </m:r>
            <m:r>
              <m:t>q</m:t>
            </m:r>
          </m:sub>
        </m:sSub>
        <m:r>
          <m:rPr>
            <m:sty m:val="p"/>
          </m:rPr>
          <m:t>=</m:t>
        </m:r>
        <m:r>
          <m:t>0</m:t>
        </m:r>
      </m:oMath>
      <w:r>
        <w:t xml:space="preserve">, homotética; con además</w:t>
      </w:r>
      <w:r>
        <w:t xml:space="preserve"> </w:t>
      </w:r>
      <m:oMath>
        <m:sSub>
          <m:e>
            <m:r>
              <m:t>β</m:t>
            </m:r>
          </m:e>
          <m:sub>
            <m:r>
              <m:t>q</m:t>
            </m:r>
            <m:r>
              <m:t>q</m:t>
            </m:r>
          </m:sub>
        </m:sSub>
        <m:r>
          <m:rPr>
            <m:sty m:val="p"/>
          </m:rPr>
          <m:t>=</m:t>
        </m:r>
        <m:r>
          <m:t>0</m:t>
        </m:r>
      </m:oMath>
      <w:r>
        <w:t xml:space="preserve">, homogénea.</w:t>
      </w:r>
    </w:p>
    <w:p>
      <w:pPr>
        <w:numPr>
          <w:ilvl w:val="0"/>
          <w:numId w:val="1076"/>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78"/>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79"/>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80"/>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81"/>
        </w:numPr>
      </w:pPr>
      <w:r>
        <w:t xml:space="preserve">Planteado el método de estimación, veamos qué dicen los datos sobre la forma de los costes.</w:t>
      </w:r>
    </w:p>
    <w:p>
      <w:pPr>
        <w:keepNext/>
        <w:numPr>
          <w:ilvl w:val="0"/>
          <w:numId w:val="1081"/>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82"/>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82"/>
        </w:numPr>
      </w:pPr>
      <w:r>
        <w:rPr>
          <w:i/>
          <w:iCs/>
        </w:rPr>
        <w:t xml:space="preserve">de ingeniería</w:t>
      </w:r>
      <w:r>
        <w:t xml:space="preserve">: calcular, con los datos técnicos de los procesos, el coste de plantas de distinto tamaño;</w:t>
      </w:r>
    </w:p>
    <w:p>
      <w:pPr>
        <w:numPr>
          <w:ilvl w:val="1"/>
          <w:numId w:val="1082"/>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81"/>
        </w:numPr>
      </w:pPr>
      <w:r>
        <w:rPr>
          <w:i/>
          <w:iCs/>
        </w:rPr>
        <w:t xml:space="preserve">Resultados</w:t>
      </w:r>
      <w:r>
        <w:t xml:space="preserve">:</w:t>
      </w:r>
    </w:p>
    <w:p>
      <w:pPr>
        <w:numPr>
          <w:ilvl w:val="1"/>
          <w:numId w:val="1083"/>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83"/>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83"/>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83"/>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83"/>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84"/>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85"/>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85"/>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85"/>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84"/>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086"/>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087"/>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tblHeader w:val="on"/>
        </w:trPr>
        <w:tc>
          <w:tcPr/>
          <w:p/>
        </w:tc>
        <w:tc>
          <w:tcPr/>
          <w:p>
            <w:pPr>
              <w:pStyle w:val="Celdatceeazulpalido"/>
              <w:jc w:val="left"/>
            </w:pPr>
            <w:r>
              <w:rPr>
                <w:b/>
                <w:bCs/>
              </w:rPr>
              <w:t xml:space="preserve">Frontera estocástica (SFA)</w:t>
            </w:r>
          </w:p>
        </w:tc>
        <w:tc>
          <w:tcPr/>
          <w:p>
            <w:pPr>
              <w:pStyle w:val="Celdatceeazulpalido"/>
              <w:jc w:val="left"/>
            </w:pPr>
            <w:r>
              <w:rPr>
                <w:b/>
                <w:bCs/>
              </w:rPr>
              <w:t xml:space="preserve">Análisis envolvente de datos (DEA)</w:t>
            </w:r>
          </w:p>
        </w:tc>
      </w:tr>
      <w:t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088"/>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089"/>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089"/>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089"/>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numPr>
          <w:ilvl w:val="0"/>
          <w:numId w:val="1089"/>
        </w:numPr>
      </w:pPr>
      <w:r>
        <w:rPr>
          <w:i/>
          <w:iCs/>
        </w:rPr>
        <w:t xml:space="preserve">Sector público</w:t>
      </w:r>
      <w:r>
        <w:t xml:space="preserve">. La Comisión Europea aplica frontera estocástica y DEA al gasto en educación y sanidad de los Estados miembros (2000-2022): casi todos están cerca de la frontera en los indicadores de cantidad y lejos en los de calidad, el gasto muestra rendimientos decrecientes a escala y España está entre los más eficientes en la proporción de titulados superiores</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 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090"/>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tblHeader w:val="on"/>
        </w:trPr>
        <w:tc>
          <w:tcPr/>
          <w:p>
            <w:pPr>
              <w:pStyle w:val="Celdatceeazulpalido"/>
              <w:jc w:val="left"/>
            </w:pPr>
            <w:r>
              <w:rPr>
                <w:b/>
                <w:bCs/>
              </w:rPr>
              <w:t xml:space="preserve">Sector</w:t>
            </w:r>
          </w:p>
        </w:tc>
        <w:tc>
          <w:tcPr/>
          <w:p>
            <w:pPr>
              <w:pStyle w:val="Celdatceeazulpalido"/>
              <w:jc w:val="left"/>
            </w:pPr>
            <w:r>
              <w:rPr>
                <w:b/>
                <w:bCs/>
              </w:rPr>
              <w:t xml:space="preserve">Pregunta</w:t>
            </w:r>
          </w:p>
        </w:tc>
        <w:tc>
          <w:tcPr/>
          <w:p>
            <w:pPr>
              <w:pStyle w:val="Celdatceeazulpalido"/>
              <w:jc w:val="left"/>
            </w:pPr>
            <w:r>
              <w:rPr>
                <w:b/>
                <w:bCs/>
              </w:rPr>
              <w:t xml:space="preserve">Método</w:t>
            </w:r>
          </w:p>
        </w:tc>
        <w:tc>
          <w:tcPr/>
          <w:p>
            <w:pPr>
              <w:pStyle w:val="Celdatceeazulpalido"/>
              <w:jc w:val="left"/>
            </w:pPr>
            <w:r>
              <w:rPr>
                <w:b/>
                <w:bCs/>
              </w:rPr>
              <w:t xml:space="preserve">Resultado</w:t>
            </w:r>
          </w:p>
        </w:tc>
      </w:tr>
      <w:t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091"/>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 Los datos muestran costes medios en L más que en U, economías de escala que se agotan pronto en muchos sectores y diferencias de eficiencia grandes y persistentes, menores con más competencia. 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numPr>
          <w:ilvl w:val="0"/>
          <w:numId w:val="1092"/>
        </w:numPr>
      </w:pPr>
      <w:r>
        <w:t xml:space="preserve">Una vez analizados los costes y lo que dicen los datos, pasamos a sus extensiones y a sus críticas. Este bloque responde a la última pregunta. Su conclusión anticipada: la forma de los costes condiciona la estructura del mercado y el tamaño de la empresa; la teoría se extiende a las economías externas, a varias plantas o productos y al aprendizaje, y 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093"/>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094"/>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095"/>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095"/>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096"/>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097"/>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numPr>
          <w:ilvl w:val="0"/>
          <w:numId w:val="1097"/>
        </w:numPr>
      </w:pPr>
      <w:r>
        <w:t xml:space="preserve">Sus fuentes son las de la aglomeración que describe</w:t>
      </w:r>
      <w:r>
        <w:t xml:space="preserve"> </w:t>
      </w:r>
      <w:r>
        <w:rPr>
          <w:smallCaps/>
        </w:rPr>
        <w:t xml:space="preserve">Marshall</w:t>
      </w:r>
      <w:r>
        <w:t xml:space="preserve">: un mercado de trabajo especializado, proveedores de factores especializados y la difusión de conocimientos entre empresas cercanas (</w:t>
      </w:r>
      <w:r>
        <w:rPr>
          <w:i/>
          <w:iCs/>
        </w:rPr>
        <w:t xml:space="preserve">clusters</w:t>
      </w:r>
      <w:r>
        <w:t xml:space="preserve"> </w:t>
      </w:r>
      <w:r>
        <w:t xml:space="preserve">industriales).</w:t>
      </w:r>
    </w:p>
    <w:p>
      <w:pPr>
        <w:numPr>
          <w:ilvl w:val="0"/>
          <w:numId w:val="1097"/>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097"/>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098"/>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099"/>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00"/>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00"/>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01"/>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02"/>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03"/>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04"/>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05"/>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06"/>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06"/>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06"/>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07"/>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08"/>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08"/>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09"/>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10"/>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11"/>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12"/>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13"/>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14"/>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14"/>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14"/>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13"/>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15"/>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15"/>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 Dan ventaja a quien entra primero, pueden justificar precios iniciales por debajo del coste para aprender antes y 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16"/>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17"/>
        </w:numPr>
      </w:pPr>
      <w:r>
        <w:rPr>
          <w:b/>
          <w:bCs/>
          <w:i/>
          <w:iCs/>
        </w:rPr>
        <w:t xml:space="preserve">Recapitulación (ideas clave)</w:t>
      </w:r>
      <w:r>
        <w:t xml:space="preserve">:</w:t>
      </w:r>
    </w:p>
    <w:p>
      <w:pPr>
        <w:numPr>
          <w:ilvl w:val="1"/>
          <w:numId w:val="1118"/>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numPr>
          <w:ilvl w:val="1"/>
          <w:numId w:val="1118"/>
        </w:numPr>
      </w:pPr>
      <w:r>
        <w:t xml:space="preserve">Su forma depende del plazo: 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de la productividad del factor variable; y la curva de largo plazo envuelve a las de corto. 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numPr>
          <w:ilvl w:val="1"/>
          <w:numId w:val="1118"/>
        </w:numPr>
      </w:pPr>
      <w:r>
        <w:t xml:space="preserve">La forma de los costes decide la estructura del mercado; la teoría se extiende a las economías externas, a varias plantas o productos y al aprendizaje, y</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 (</w:t>
      </w:r>
      <w:hyperlink w:anchor="sec_extensiones_criticas_teoria">
        <w:r>
          <w:rPr>
            <w:rStyle w:val="Hyperlink"/>
          </w:rPr>
          <w:t xml:space="preserve">III</w:t>
        </w:r>
      </w:hyperlink>
      <w:r>
        <w:t xml:space="preserve">).</w:t>
      </w:r>
    </w:p>
    <w:p>
      <w:pPr>
        <w:numPr>
          <w:ilvl w:val="0"/>
          <w:numId w:val="1117"/>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17"/>
        </w:numPr>
      </w:pPr>
      <w:r>
        <w:rPr>
          <w:b/>
          <w:bCs/>
          <w:i/>
          <w:iCs/>
        </w:rPr>
        <w:t xml:space="preserve">Extensiones y relación con otras partes del temario</w:t>
      </w:r>
      <w:r>
        <w:t xml:space="preserve">:</w:t>
      </w:r>
    </w:p>
    <w:p>
      <w:pPr>
        <w:numPr>
          <w:ilvl w:val="1"/>
          <w:numId w:val="1119"/>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19"/>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19"/>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19"/>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17"/>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17"/>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pPr>
      <w:r>
        <w:rPr>
          <w:b/>
          <w:bCs/>
        </w:rPr>
        <w:t xml:space="preserve">Lecturas complementarias</w:t>
      </w:r>
    </w:p>
    <w:p>
      <w:pPr>
        <w:pStyle w:val="Cajadeanotaciones"/>
        <w:numPr>
          <w:ilvl w:val="0"/>
          <w:numId w:val="1120"/>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numPr>
          <w:ilvl w:val="0"/>
          <w:numId w:val="1120"/>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numPr>
          <w:ilvl w:val="0"/>
          <w:numId w:val="1120"/>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numPr>
          <w:ilvl w:val="0"/>
          <w:numId w:val="1120"/>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21"/>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22"/>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22"/>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22"/>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23"/>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23"/>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23"/>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24"/>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25"/>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25"/>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26"/>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26"/>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26"/>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27"/>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7"/>
        </w:numPr>
      </w:pPr>
      <w:r>
        <w:rPr>
          <w:b/>
          <w:bCs/>
        </w:rPr>
        <w:t xml:space="preserve">Concavidad y convexidad</w:t>
      </w:r>
      <w:r>
        <w:t xml:space="preserve">:</w:t>
      </w:r>
    </w:p>
    <w:p>
      <w:pPr>
        <w:numPr>
          <w:ilvl w:val="1"/>
          <w:numId w:val="1128"/>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8"/>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7"/>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7"/>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27"/>
        </w:numPr>
      </w:pPr>
      <w:r>
        <w:rPr>
          <w:b/>
          <w:bCs/>
        </w:rPr>
        <w:t xml:space="preserve">Uso en la teoría de la empresa</w:t>
      </w:r>
      <w:r>
        <w:t xml:space="preserve">:</w:t>
      </w:r>
    </w:p>
    <w:p>
      <w:pPr>
        <w:numPr>
          <w:ilvl w:val="1"/>
          <w:numId w:val="1129"/>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29"/>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29"/>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29"/>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30"/>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30"/>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30"/>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numPr>
          <w:ilvl w:val="0"/>
          <w:numId w:val="1130"/>
        </w:numPr>
      </w:pPr>
      <w:r>
        <w:t xml:space="preserve">Es correcto, pero poco habitual: la empresa no tiene un presupuesto fijo que la obligue a producir lo máximo posible con él, 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 y no hay una restricción presupuestaria que dé un efecto renta. 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30"/>
        </w:numPr>
      </w:pPr>
      <w:r>
        <w:t xml:space="preserve">El gráfico </w:t>
      </w:r>
      <w:hyperlink w:anchor="fig_esquema_dualidad_segura">
        <w:r>
          <w:rPr>
            <w:rStyle w:val="Hyperlink"/>
          </w:rPr>
          <w:t xml:space="preserve">24</w:t>
        </w:r>
      </w:hyperlink>
      <w:r>
        <w:t xml:space="preserve"> </w:t>
      </w:r>
      <w:r>
        <w:t xml:space="preserve">reúne los tres problemas: el primal de</w:t>
      </w:r>
      <w:r>
        <w:t xml:space="preserve"> </w:t>
      </w:r>
      <w:r>
        <w:rPr>
          <w:smallCaps/>
        </w:rPr>
        <w:t xml:space="preserve">Segura</w:t>
      </w:r>
      <w:r>
        <w:t xml:space="preserve"> </w:t>
      </w:r>
      <w:r>
        <w:t xml:space="preserve">(en azul), la minimización del coste (en verde), la maximización del beneficio en dos etapas y en una (a la derecha) y, en la franja central, las relaciones entre los dos primeros. Respecto al cuadro de la versión anterior de este tema, del que parte, se corrigen cuatro erratas:</w:t>
      </w:r>
    </w:p>
    <w:p>
      <w:pPr>
        <w:numPr>
          <w:ilvl w:val="1"/>
          <w:numId w:val="1131"/>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31"/>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31"/>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31"/>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32"/>
        </w:numPr>
      </w:pPr>
      <w:r>
        <w:rPr>
          <w:b/>
          <w:bCs/>
        </w:rPr>
        <w:t xml:space="preserve">Elasticidades de las demandas condicionadas</w:t>
      </w:r>
      <w:r>
        <w:t xml:space="preserve">:</w:t>
      </w:r>
    </w:p>
    <w:p>
      <w:pPr>
        <w:numPr>
          <w:ilvl w:val="1"/>
          <w:numId w:val="1133"/>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33"/>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32"/>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32"/>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32"/>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32"/>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34"/>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34"/>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35"/>
        </w:numPr>
      </w:pPr>
      <w:r>
        <w:rPr>
          <w:i/>
          <w:iCs/>
        </w:rPr>
        <w:t xml:space="preserve">Costes estrictamente convexos</w:t>
      </w:r>
      <w:r>
        <w:t xml:space="preserve"> </w:t>
      </w:r>
      <w:r>
        <w:t xml:space="preserve">(rendimientos decrecientes): la oferta es toda la curva de CMg.</w:t>
      </w:r>
    </w:p>
    <w:p>
      <w:pPr>
        <w:numPr>
          <w:ilvl w:val="0"/>
          <w:numId w:val="1135"/>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 con</w:t>
      </w:r>
      <w:r>
        <w:t xml:space="preserve"> </w:t>
      </w:r>
      <m:oMath>
        <m:r>
          <m:t>p</m:t>
        </m:r>
        <m:r>
          <m:rPr>
            <m:sty m:val="p"/>
          </m:rPr>
          <m:t>&lt;</m:t>
        </m:r>
        <m:r>
          <m:t>c</m:t>
        </m:r>
      </m:oMath>
      <w:r>
        <w:t xml:space="preserve"> </w:t>
      </w:r>
      <w:r>
        <w:t xml:space="preserve">no se produce, con</w:t>
      </w:r>
      <w:r>
        <w:t xml:space="preserve"> </w:t>
      </w:r>
      <m:oMath>
        <m:r>
          <m:t>p</m:t>
        </m:r>
        <m:r>
          <m:rPr>
            <m:sty m:val="p"/>
          </m:rPr>
          <m:t>=</m:t>
        </m:r>
        <m:r>
          <m:t>c</m:t>
        </m:r>
      </m:oMath>
      <w:r>
        <w:t xml:space="preserve"> </w:t>
      </w:r>
      <w:r>
        <w:t xml:space="preserve">cualquier cantidad (tamaño indeterminado) y con</w:t>
      </w:r>
      <w:r>
        <w:t xml:space="preserve"> </w:t>
      </w:r>
      <m:oMath>
        <m:r>
          <m:t>p</m:t>
        </m:r>
        <m:r>
          <m:rPr>
            <m:sty m:val="p"/>
          </m:rPr>
          <m:t>&gt;</m:t>
        </m:r>
        <m:r>
          <m:t>c</m:t>
        </m:r>
      </m:oMath>
      <w:r>
        <w:t xml:space="preserve"> </w:t>
      </w:r>
      <w:r>
        <w:t xml:space="preserve">el problema no tiene solución.</w:t>
      </w:r>
    </w:p>
    <w:p>
      <w:pPr>
        <w:numPr>
          <w:ilvl w:val="0"/>
          <w:numId w:val="1135"/>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35"/>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35"/>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35"/>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pPr>
      <w:r>
        <w:t xml:space="preserve">Preguntas tipo test:</w:t>
      </w:r>
      <w:r>
        <w:t xml:space="preserve"> </w:t>
      </w:r>
      <w:hyperlink r:id="rId294">
        <w:r>
          <w:rPr>
            <w:rStyle w:val="Hyperlink"/>
          </w:rPr>
          <w:t xml:space="preserve">simulador de test</w:t>
        </w:r>
      </w:hyperlink>
      <w:r>
        <w:t xml:space="preserve">.</w:t>
      </w:r>
    </w:p>
    <w:p>
      <w:pPr>
        <w:numPr>
          <w:ilvl w:val="0"/>
          <w:numId w:val="1136"/>
        </w:numPr>
      </w:pPr>
      <w:r>
        <w:t xml:space="preserve">Homogeneidad:</w:t>
      </w:r>
      <w:r>
        <w:t xml:space="preserve"> </w:t>
      </w: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r>
        <w:t xml:space="preserve"> </w:t>
      </w: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36"/>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36"/>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36"/>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36"/>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36"/>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36"/>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36"/>
        </w:numPr>
      </w:pPr>
      <w:r>
        <w:t xml:space="preserve">A corto plazo no hay economías de escala: la U del CMe a corto se debe a la ley de proporciones variables; la del CMe a largo, a los rendimientos a escala variables.</w:t>
      </w:r>
    </w:p>
    <w:p>
      <w:pPr>
        <w:numPr>
          <w:ilvl w:val="0"/>
          <w:numId w:val="1136"/>
        </w:numPr>
      </w:pPr>
      <w:r>
        <w:t xml:space="preserve">Monopolio natural: subaditividad; las economías de escala son suficientes, no necesarias; las de alcance, necesarias, no suficientes, con varios productos.</w:t>
      </w:r>
    </w:p>
    <w:p>
      <w:pPr>
        <w:numPr>
          <w:ilvl w:val="0"/>
          <w:numId w:val="1136"/>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2026-10-19T16:16:44Z</dcterms:created>
  <dcterms:modified xsi:type="dcterms:W3CDTF">2026-10-19T16:16:44Z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47 págs. · Anexos: 9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