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5.png" ContentType="image/png"/>
  <Override PartName="/word/media/rId155.png" ContentType="image/png"/>
  <Override PartName="/word/media/rId242.png" ContentType="image/png"/>
  <Override PartName="/word/media/rId211.png" ContentType="image/png"/>
  <Override PartName="/word/media/rId73.png" ContentType="image/png"/>
  <Override PartName="/word/media/rId112.png" ContentType="image/png"/>
  <Override PartName="/word/media/rId139.png" ContentType="image/png"/>
  <Override PartName="/word/media/rId237.png" ContentType="image/png"/>
  <Override PartName="/word/media/rId167.png" ContentType="image/png"/>
  <Override PartName="/word/media/rId206.png" ContentType="image/png"/>
  <Override PartName="/word/media/rId177.png" ContentType="image/png"/>
  <Override PartName="/word/media/rId96.png" ContentType="image/png"/>
  <Override PartName="/word/media/rId87.png" ContentType="image/png"/>
  <Override PartName="/word/media/rId186.png" ContentType="image/png"/>
  <Override PartName="/word/media/rId64.png" ContentType="image/png"/>
  <Override PartName="/word/media/rId218.png" ContentType="image/png"/>
  <Override PartName="/word/media/rId253.png" ContentType="image/png"/>
  <Override PartName="/word/media/rId12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18/10/2026</w:t>
      </w:r>
    </w:p>
    <w:p>
      <w:pPr>
        <w:pStyle w:val="Paginasdeltema"/>
      </w:pPr>
      <w:r>
        <w:t xml:space="preserve">Tema: 36 págs. · Anexos: 8 · Bibliografía: 3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_CE2026AceiteProduccion">
        <w:r>
          <w:rPr>
            <w:rStyle w:val="Hyperlink"/>
            <w:smallCaps/>
          </w:rPr>
          <w:t xml:space="preserve">Comisión Europea</w:t>
        </w:r>
        <w:r>
          <w:rPr>
            <w:rStyle w:val="Hyperlink"/>
          </w:rPr>
          <w:t xml:space="preserve">, 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_CE2026AceitePrecios">
        <w:r>
          <w:rPr>
            <w:rStyle w:val="Hyperlink"/>
            <w:smallCaps/>
          </w:rPr>
          <w:t xml:space="preserve">Comisión Europea</w:t>
        </w:r>
        <w:r>
          <w:rPr>
            <w:rStyle w:val="Hyperlink"/>
          </w:rPr>
          <w:t xml:space="preserve">, 2026a</w:t>
        </w:r>
      </w:hyperlink>
      <w:r>
        <w:t xml:space="preserve">)</w:t>
      </w:r>
      <w:r>
        <w:t xml:space="preserve">, y en las tiendas el índice de precios de los aceites vegetales bajó un 45 % entre abril de 2024 y septiembre de 2025</w:t>
      </w:r>
      <w:r>
        <w:t xml:space="preserve"> </w:t>
      </w:r>
      <w:r>
        <w:t xml:space="preserve">(</w:t>
      </w:r>
      <w:hyperlink w:anchor="ref_INE2026IPCAceites">
        <w:r>
          <w:rPr>
            <w:rStyle w:val="Hyperlink"/>
            <w:smallCaps/>
          </w:rPr>
          <w:t xml:space="preserve">Instituto Nacional de Estadística</w:t>
        </w:r>
        <w:r>
          <w:rPr>
            <w:rStyle w:val="Hyperlink"/>
          </w:rPr>
          <w:t xml:space="preserve">, 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hyperlink r:id="rId21">
        <w:r>
          <w:rPr>
            <w:rStyle w:val="Referenciaatema"/>
          </w:rPr>
          <w:t xml:space="preserve">[ver tema 3.A.8]</w:t>
        </w:r>
      </w:hyperlink>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w:t>
      </w:r>
      <w:r>
        <w:t xml:space="preserve"> </w:t>
      </w:r>
      <w:hyperlink r:id="rId21">
        <w:r>
          <w:rPr>
            <w:rStyle w:val="Referenciaatema"/>
          </w:rPr>
          <w:t xml:space="preserve">[ver tema 3.A.8]</w:t>
        </w:r>
      </w:hyperlink>
      <w:r>
        <w:t xml:space="preserve">, y los productores transforman factores en productos con la tecnología disponible y al menor coste posible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5"/>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la pérdida de eficiencia del monopolio o del oligopolio se mide como distancia al equilibrio competitivo. Es también la versión más sencilla del primer teorema fundamental de la economía del bienestar</w:t>
      </w:r>
      <w:r>
        <w:t xml:space="preserve"> </w:t>
      </w:r>
      <w:hyperlink r:id="rId29">
        <w:r>
          <w:rPr>
            <w:rStyle w:val="Referenciaatema"/>
          </w:rPr>
          <w:t xml:space="preserve">[ver tema 3.A.22]</w:t>
        </w:r>
      </w:hyperlink>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hyperlink r:id="rId30">
        <w:r>
          <w:rPr>
            <w:rStyle w:val="Referenciaatema"/>
          </w:rPr>
          <w:t xml:space="preserve">[ver tema 4.A.15]</w:t>
        </w:r>
      </w:hyperlink>
      <w:r>
        <w:t xml:space="preserve"> </w:t>
      </w:r>
      <w:r>
        <w:t xml:space="preserve">y el punto de partida para saber quién soporta un impuesto y cuánto bienestar destruye</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w:t>
      </w:r>
      <w:hyperlink r:id="rId33">
        <w:r>
          <w:rPr>
            <w:rStyle w:val="Referenciaatema"/>
          </w:rPr>
          <w:t xml:space="preserve">[ver tema 3.A.2]</w:t>
        </w:r>
      </w:hyperlink>
      <w:r>
        <w:t xml:space="preserve">. Las herramientas llegan con los precursores del marginalismo:</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escribe la primera función de demanda,</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mide la utilidad de las obras públicas con lo que hoy llamamos excedente del consumidor y</w:t>
      </w:r>
      <w:r>
        <w:t xml:space="preserve"> </w:t>
      </w:r>
      <w:r>
        <w:rPr>
          <w:smallCaps/>
        </w:rPr>
        <w:t xml:space="preserve">Jenkin</w:t>
      </w:r>
      <w:r>
        <w:t xml:space="preserve"> </w:t>
      </w:r>
      <w:r>
        <w:t xml:space="preserve">(</w:t>
      </w:r>
      <w:hyperlink w:anchor="ref_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_HET2026Jenkin">
        <w:r>
          <w:rPr>
            <w:rStyle w:val="Hyperlink"/>
            <w:smallCaps/>
          </w:rPr>
          <w:t xml:space="preserve">The History of Economic Thought Website</w:t>
        </w:r>
        <w:r>
          <w:rPr>
            <w:rStyle w:val="Hyperlink"/>
          </w:rPr>
          <w:t xml:space="preserve">, 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estudia todos los mercados a la vez</w:t>
      </w:r>
      <w:r>
        <w:t xml:space="preserve"> </w:t>
      </w:r>
      <w:hyperlink r:id="rId34">
        <w:r>
          <w:rPr>
            <w:rStyle w:val="Referenciaatema"/>
          </w:rPr>
          <w:t xml:space="preserve">[ver tema 3.A.21]</w:t>
        </w:r>
      </w:hyperlink>
      <w:r>
        <w:t xml:space="preserve">, y 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hyperlink r:id="rId35">
        <w:r>
          <w:rPr>
            <w:rStyle w:val="Referenciaatema"/>
          </w:rPr>
          <w:t xml:space="preserve">[ver tema 3.A.3]</w:t>
        </w:r>
      </w:hyperlink>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III, § 7; traducción propia)</w:t>
      </w:r>
      <w:r>
        <w:t xml:space="preserve">.</w:t>
      </w:r>
    </w:p>
    <w:p>
      <w:pPr>
        <w:numPr>
          <w:ilvl w:val="1"/>
          <w:numId w:val="1005"/>
        </w:numPr>
      </w:pPr>
      <w:r>
        <w:t xml:space="preserve">En el siglo XX se precisan las curvas de costes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r:id="rId24">
        <w:r>
          <w:rPr>
            <w:rStyle w:val="Referenciaatema"/>
          </w:rPr>
          <w:t xml:space="preserve">[ver tema 3.A.12]</w:t>
        </w:r>
      </w:hyperlink>
      <w:r>
        <w:t xml:space="preserve">; las dinámicas de ajuste, con el modelo de la telaraña</w:t>
      </w:r>
      <w:r>
        <w:t xml:space="preserve"> </w:t>
      </w:r>
      <w:r>
        <w:t xml:space="preserve">(</w:t>
      </w:r>
      <w:hyperlink w:anchor="ref_Kaldor1934Classificatory">
        <w:r>
          <w:rPr>
            <w:rStyle w:val="Hyperlink"/>
            <w:smallCaps/>
          </w:rPr>
          <w:t xml:space="preserve">Kaldor</w:t>
        </w:r>
        <w:r>
          <w:rPr>
            <w:rStyle w:val="Hyperlink"/>
          </w:rPr>
          <w:t xml:space="preserve">, 1934</w:t>
        </w:r>
      </w:hyperlink>
      <w:r>
        <w:t xml:space="preserve">;</w:t>
      </w:r>
      <w:r>
        <w:t xml:space="preserve"> </w:t>
      </w:r>
      <w:hyperlink w:anchor="ref_Ezekiel1938Cobweb">
        <w:r>
          <w:rPr>
            <w:rStyle w:val="Hyperlink"/>
            <w:smallCaps/>
          </w:rPr>
          <w:t xml:space="preserve">Ezekiel</w:t>
        </w:r>
        <w:r>
          <w:rPr>
            <w:rStyle w:val="Hyperlink"/>
          </w:rPr>
          <w:t xml:space="preserve">, 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y la formulación moderna con utilidad cuasilineal y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6"/>
        </w:numPr>
      </w:pPr>
      <w:r>
        <w:t xml:space="preserve">¿Cómo se forma el precio en un mercado en el que ningún comprador ni vendedor tiene poder para fijarlo?</w:t>
      </w:r>
    </w:p>
    <w:p>
      <w:pPr>
        <w:numPr>
          <w:ilvl w:val="1"/>
          <w:numId w:val="1006"/>
        </w:numPr>
      </w:pPr>
      <w:r>
        <w:t xml:space="preserve">¿Existe ese precio, es único y llega el mercado a él por sí solo? (dinámicas de ajuste y estabilidad)</w:t>
      </w:r>
    </w:p>
    <w:p>
      <w:pPr>
        <w:numPr>
          <w:ilvl w:val="1"/>
          <w:numId w:val="1006"/>
        </w:numPr>
      </w:pPr>
      <w:r>
        <w:t xml:space="preserve">¿Es bueno el resultado para la sociedad? (eficiencia y bienestar)</w:t>
      </w:r>
    </w:p>
    <w:p>
      <w:pPr>
        <w:numPr>
          <w:ilvl w:val="1"/>
          <w:numId w:val="1006"/>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7"/>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7"/>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7"/>
        </w:numPr>
      </w:pPr>
      <w:r>
        <w:rPr>
          <w:b/>
          <w:bCs/>
        </w:rPr>
        <w:t xml:space="preserve">III. Análisis de plazos</w:t>
      </w:r>
      <w:r>
        <w:t xml:space="preserve">: qué cambia cuando las empresas ajustan su capacidad (corto y largo plazo) y cuando pueden entrar y salir (libre entrada).</w:t>
      </w:r>
    </w:p>
    <w:p>
      <w:pPr>
        <w:numPr>
          <w:ilvl w:val="0"/>
          <w:numId w:val="1000"/>
        </w:numPr>
      </w:pPr>
      <w:r>
        <w:t xml:space="preserve">El orden va del modelo a sus propiedades y de estas al tiempo: primero, el equilibrio en un instante; después, si se alcanza y si es bueno, y por último, cómo cambia cuando las empresas tienen tiempo para ajustarse, que es lo que dice cuánto dura la ganancia de los pescadores.</w:t>
      </w:r>
    </w:p>
    <w:p>
      <w:pPr>
        <w:pStyle w:val="Esquema"/>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los 5 supuestos (lista común de las estructuras de mercado);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corto plazo, largo plazo sin y con libre entrada</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pPr>
      <w:r>
        <w:rPr>
          <w:b/>
          <w:bCs/>
        </w:rPr>
        <w:t xml:space="preserve">Nota al opositor. </w:t>
      </w:r>
      <w:r>
        <w:t xml:space="preserve">Reparto del cante: introducción, 2′30″; I, 8′30″ (I.1, 1′30″; I.2, 7′); II, 12′ (II.1, 6′, de los que 4′30″ para la estabilidad y la telaraña; II.2, 3′; II.3, 3′); III, 6′ (los 3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36"/>
    <w:bookmarkStart w:id="79" w:name="sec_construccion_modelo_obtencion"/>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08"/>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08"/>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w:t>
      </w:r>
      <w:hyperlink w:anchor="sec_analisis_plazos_corto">
        <w:r>
          <w:rPr>
            <w:rStyle w:val="Hyperlink"/>
          </w:rPr>
          <w:t xml:space="preserve">III</w:t>
        </w:r>
      </w:hyperlink>
      <w:r>
        <w:t xml:space="preserve"> </w:t>
      </w:r>
      <w:r>
        <w:t xml:space="preserve">el número de empresas está fijo.</w:t>
      </w:r>
    </w:p>
    <w:p>
      <w:pPr>
        <w:pStyle w:val="Notaalopositor"/>
      </w:pPr>
      <w:r>
        <w:rPr>
          <w:b/>
          <w:bCs/>
        </w:rPr>
        <w:t xml:space="preserve">Nota al opositor. </w:t>
      </w:r>
      <w:r>
        <w:t xml:space="preserve">En el cante de</w:t>
      </w:r>
      <w:r>
        <w:t xml:space="preserve"> </w:t>
      </w:r>
      <w:hyperlink w:anchor="sec_construccion_modelo_obtencion">
        <w:r>
          <w:rPr>
            <w:rStyle w:val="Hyperlink"/>
          </w:rPr>
          <w:t xml:space="preserve">I</w:t>
        </w:r>
      </w:hyperlink>
      <w:r>
        <w:t xml:space="preserve"> </w:t>
      </w:r>
      <w:r>
        <w:t xml:space="preserve">(8′30″): qué es la competencia perfecta y por qué un mercado aislado, con la cita del corral de</w:t>
      </w:r>
      <w:r>
        <w:t xml:space="preserve"> </w:t>
      </w:r>
      <w:r>
        <w:rPr>
          <w:smallCaps/>
        </w:rPr>
        <w:t xml:space="preserve">Marshall</w:t>
      </w:r>
      <w:r>
        <w:t xml:space="preserve"> </w:t>
      </w:r>
      <w:r>
        <w:t xml:space="preserve">y el numerario (1′30″); los 5 supuestos de la tabla, con sus nombres fijos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41" w:name="sec_idea"/>
    <w:p>
      <w:pPr>
        <w:pStyle w:val="Heading2"/>
      </w:pPr>
      <w:r>
        <w:t xml:space="preserve">I.1.</w:t>
      </w:r>
      <w:r>
        <w:t xml:space="preserve"> </w:t>
      </w:r>
      <w:r>
        <w:t xml:space="preserve">Idea</w:t>
      </w:r>
    </w:p>
    <w:p>
      <w:pPr>
        <w:numPr>
          <w:ilvl w:val="0"/>
          <w:numId w:val="1009"/>
        </w:numPr>
      </w:pPr>
      <w:r>
        <w:rPr>
          <w:i/>
          <w:iCs/>
        </w:rPr>
        <w:t xml:space="preserve">Qué es la competencia perfecta</w:t>
      </w:r>
      <w:r>
        <w:t xml:space="preserve">: un mercado en el que ningún agente tiene poder sobre el precio. El modelo descansa en 5 supuestos, que son la lista común de las estructuras de mercado (tabla </w:t>
      </w:r>
      <w:hyperlink w:anchor="tab_supuestos">
        <w:r>
          <w:rPr>
            <w:rStyle w:val="Hyperlink"/>
          </w:rPr>
          <w:t xml:space="preserve">1</w:t>
        </w:r>
      </w:hyperlink>
      <w:r>
        <w:t xml:space="preserve">).</w:t>
      </w:r>
    </w:p>
    <w:bookmarkStart w:id="37" w:name="tab_supuestos"/>
    <w:p>
      <w:pPr>
        <w:pStyle w:val="TableCaption"/>
      </w:pPr>
      <w:r>
        <w:t xml:space="preserve">Tabla 1.–</w:t>
      </w:r>
      <w:r>
        <w:t xml:space="preserve"> </w:t>
      </w:r>
      <w:r>
        <w:t xml:space="preserve">Supuestos de la competencia perfecta: la lista común de las estructuras de mercado</w:t>
      </w:r>
    </w:p>
    <w:tbl>
      <w:tblPr>
        <w:tblStyle w:val="Table"/>
        <w:tblW w:type="auto" w:w="0"/>
        <w:tblLook w:firstRow="1" w:lastRow="0" w:firstColumn="0" w:lastColumn="0" w:noHBand="0" w:noVBand="0" w:val="0020"/>
        <w:tblCaption w:val="Tabla 1.– Supuestos de la competencia perfecta: la lista común de las estructuras de mercado"/>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p>
        </w:tc>
      </w:tr>
      <w:t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37"/>
    <w:p>
      <w:pPr>
        <w:pStyle w:val="BodyText"/>
        <w:keepNext/>
      </w:pPr>
      <w:r>
        <w:rPr>
          <w:i/>
          <w:iCs/>
        </w:rPr>
        <w:t xml:space="preserve">Fuente: elaboración propia.</w:t>
      </w:r>
    </w:p>
    <w:p>
      <w:pPr>
        <w:numPr>
          <w:ilvl w:val="0"/>
          <w:numId w:val="1010"/>
        </w:numPr>
      </w:pPr>
      <w:r>
        <w:t xml:space="preserve">Con información perfecta y producto homogéneo (supuestos 2 y 3) hay un solo precio: nadie pagaría más por un producto idéntico que se vende más barato.</w:t>
      </w:r>
      <w:r>
        <w:rPr>
          <w:rStyle w:val="FootnoteReference"/>
        </w:rPr>
        <w:footnoteReference w:id="38"/>
      </w:r>
      <w:r>
        <w:t xml:space="preserve"> </w:t>
      </w:r>
      <w:r>
        <w:t xml:space="preserve">La libre entrada (supuesto 5) solo actúa a largo plazo: hasta el bloque </w:t>
      </w:r>
      <w:hyperlink w:anchor="sec_analisis_plazos_corto">
        <w:r>
          <w:rPr>
            <w:rStyle w:val="Hyperlink"/>
          </w:rPr>
          <w:t xml:space="preserve">III</w:t>
        </w:r>
      </w:hyperlink>
      <w:r>
        <w:t xml:space="preserve"> </w:t>
      </w:r>
      <w:r>
        <w:t xml:space="preserve">el número de empresas está fijo.</w:t>
      </w:r>
    </w:p>
    <w:p>
      <w:pPr>
        <w:pStyle w:val="Notaalopositor"/>
      </w:pPr>
      <w:r>
        <w:rPr>
          <w:b/>
          <w:bCs/>
        </w:rPr>
        <w:t xml:space="preserve">Nota al opositor. </w:t>
      </w:r>
      <w:r>
        <w:t xml:space="preserve">Los temas 3.A.17 a 3.A.19 parten de esta misma lista y marcan el supuesto que levantan.</w:t>
      </w:r>
    </w:p>
    <w:p>
      <w:pPr>
        <w:keepNext/>
        <w:numPr>
          <w:ilvl w:val="0"/>
          <w:numId w:val="1011"/>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40"/>
      </w:r>
      <w:r>
        <w:t xml:space="preserve"> </w:t>
      </w:r>
      <w:r>
        <w:t xml:space="preserve">Se justifica cuando el mercado es pequeño respecto al conjunto de la economía:</w:t>
      </w:r>
    </w:p>
    <w:p>
      <w:pPr>
        <w:numPr>
          <w:ilvl w:val="1"/>
          <w:numId w:val="1012"/>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2"/>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11"/>
        </w:numPr>
      </w:pPr>
      <w:r>
        <w:t xml:space="preserve">No es renunciar a la interdependencia, sino ir por pasos.</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11"/>
        </w:numPr>
      </w:pPr>
      <w:r>
        <w:rPr>
          <w:i/>
          <w:iCs/>
        </w:rPr>
        <w:t xml:space="preserve">Cómo se modeliza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3"/>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3"/>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11"/>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hyperlink r:id="rId34">
        <w:r>
          <w:rPr>
            <w:rStyle w:val="Referenciaatema"/>
          </w:rPr>
          <w:t xml:space="preserve">[ver tema 3.A.21]</w:t>
        </w:r>
      </w:hyperlink>
      <w:r>
        <w:t xml:space="preserve">. Los 2 enfoques no se oponen: con utilidad cuasilineal, el equilibrio general de esta economía con numerario coincide con el equilibrio parcial del mercado del bien (anexo </w:t>
      </w:r>
      <w:hyperlink w:anchor="anexo_parcial_general">
        <w:r>
          <w:rPr>
            <w:rStyle w:val="Hyperlink"/>
          </w:rPr>
          <w:t xml:space="preserve">D</w:t>
        </w:r>
      </w:hyperlink>
      <w:r>
        <w:t xml:space="preserve">).</w:t>
      </w:r>
    </w:p>
    <w:p>
      <w:pPr>
        <w:pStyle w:val="Notaalopositor"/>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hyperlink r:id="rId34">
        <w:r>
          <w:rPr>
            <w:rStyle w:val="Referenciaatema"/>
          </w:rPr>
          <w:t xml:space="preserve">[ver tema 3.A.21]</w:t>
        </w:r>
      </w:hyperlink>
      <w:r>
        <w:t xml:space="preserve">. Conviene decirlo en el cante para que el equilibrio parcial no parezca un equilibrio general con un solo mercado.</w:t>
      </w:r>
    </w:p>
    <w:bookmarkEnd w:id="41"/>
    <w:bookmarkStart w:id="78" w:name="sec_modelo"/>
    <w:p>
      <w:pPr>
        <w:pStyle w:val="Heading2"/>
      </w:pPr>
      <w:r>
        <w:t xml:space="preserve">I.2.</w:t>
      </w:r>
      <w:r>
        <w:t xml:space="preserve"> </w:t>
      </w:r>
      <w:r>
        <w:t xml:space="preserve">Modelo</w:t>
      </w:r>
    </w:p>
    <w:bookmarkStart w:id="43" w:name="i_supuestos"/>
    <w:p>
      <w:pPr>
        <w:pStyle w:val="Heading5"/>
      </w:pPr>
      <w:r>
        <w:t xml:space="preserve">i) Supuestos</w:t>
      </w:r>
    </w:p>
    <w:p>
      <w:pPr>
        <w:pStyle w:val="FirstParagraph"/>
        <w:keepNext/>
      </w:pPr>
      <w:r>
        <w:t xml:space="preserve">Una vez justificado el enfoque, describimos la economía. Los 5 supuestos de</w:t>
      </w:r>
      <w:r>
        <w:t xml:space="preserve"> </w:t>
      </w:r>
      <w:hyperlink w:anchor="sec_idea">
        <w:r>
          <w:rPr>
            <w:rStyle w:val="Hyperlink"/>
          </w:rPr>
          <w:t xml:space="preserve">I.1</w:t>
        </w:r>
      </w:hyperlink>
      <w:r>
        <w:t xml:space="preserve"> </w:t>
      </w:r>
      <w:r>
        <w:t xml:space="preserve">(tabla </w:t>
      </w:r>
      <w:hyperlink w:anchor="tab_supuestos">
        <w:r>
          <w:rPr>
            <w:rStyle w:val="Hyperlink"/>
          </w:rPr>
          <w:t xml:space="preserve">1</w:t>
        </w:r>
      </w:hyperlink>
      <w:r>
        <w:t xml:space="preserve">) se traducen así en el modelo:</w:t>
      </w:r>
    </w:p>
    <w:p>
      <w:pPr>
        <w:numPr>
          <w:ilvl w:val="0"/>
          <w:numId w:val="1014"/>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(información perfecta y producto homogéneo, supuestos 2 y 3).</w:t>
      </w:r>
    </w:p>
    <w:p>
      <w:pPr>
        <w:keepNext/>
        <w:numPr>
          <w:ilvl w:val="0"/>
          <w:numId w:val="1014"/>
        </w:numPr>
      </w:pPr>
      <w:r>
        <w:rPr>
          <w:b/>
          <w:bCs/>
        </w:rPr>
        <w:t xml:space="preserve">Agentes precio-aceptantes</w:t>
      </w:r>
      <w:r>
        <w:t xml:space="preserve"> </w:t>
      </w:r>
      <w:r>
        <w:t xml:space="preserve">(supuesto 4), que optimizan (supuesto 1):</w:t>
      </w:r>
    </w:p>
    <w:p>
      <w:pPr>
        <w:numPr>
          <w:ilvl w:val="1"/>
          <w:numId w:val="1015"/>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42"/>
      </w:r>
    </w:p>
    <w:p>
      <w:pPr>
        <w:numPr>
          <w:ilvl w:val="1"/>
          <w:numId w:val="1015"/>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4"/>
        </w:numPr>
      </w:pPr>
      <w:r>
        <w:rPr>
          <w:b/>
          <w:bCs/>
        </w:rPr>
        <w:t xml:space="preserve">Número de empresas fijo y todos los factores variables</w:t>
      </w:r>
      <w:r>
        <w:t xml:space="preserve">: en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hay entrada ni salida y no hay costes hundidos. Es el largo plazo sin libre entrada; el corto plazo y la libre entrada, el supuesto 5, se estudian en el bloque </w:t>
      </w:r>
      <w:hyperlink w:anchor="sec_analisis_plazos_corto">
        <w:r>
          <w:rPr>
            <w:rStyle w:val="Hyperlink"/>
          </w:rPr>
          <w:t xml:space="preserve">III</w:t>
        </w:r>
      </w:hyperlink>
      <w:r>
        <w:t xml:space="preserve">. Por eso la oferta de mercado de</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es perfectamente elástica.</w:t>
      </w:r>
    </w:p>
    <w:bookmarkEnd w:id="43"/>
    <w:bookmarkStart w:id="44" w:name="ii_desarrollo"/>
    <w:p>
      <w:pPr>
        <w:pStyle w:val="Heading5"/>
      </w:pPr>
      <w:r>
        <w:t xml:space="preserve">ii) Desarrollo</w:t>
      </w:r>
    </w:p>
    <w:p>
      <w:pPr>
        <w:pStyle w:val="FirstParagraph"/>
      </w:pPr>
      <w:r>
        <w:t xml:space="preserve">Fijados los supuestos, obtenemos el comportamiento de cada lado del mercado: primero la demanda y después la oferta.</w:t>
      </w:r>
    </w:p>
    <w:bookmarkEnd w:id="44"/>
    <w:bookmarkStart w:id="59" w:name="consumidores_curva_de_demanda_indi_68207"/>
    <w:p>
      <w:pPr>
        <w:pStyle w:val="Heading5"/>
      </w:pPr>
      <w:r>
        <w:t xml:space="preserve">Consumidores: curva de demanda individual y de mercado</w:t>
      </w:r>
    </w:p>
    <w:p>
      <w:pPr>
        <w:numPr>
          <w:ilvl w:val="0"/>
          <w:numId w:val="1016"/>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hyperlink r:id="rId21">
        <w:r>
          <w:rPr>
            <w:rStyle w:val="Referenciaatema"/>
          </w:rPr>
          <w:t xml:space="preserve">[ver tema 3.A.8]</w:t>
        </w:r>
      </w:hyperlink>
      <w:r>
        <w:t xml:space="preserve">,</w:t>
      </w:r>
      <w:r>
        <w:t xml:space="preserve"> </w:t>
      </w:r>
      <w:bookmarkStart w:id="45" w:name="eq_cuasilineal"/>
      <w:bookmarkEnd w:id="45"/>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46"/>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47"/>
      </w:r>
    </w:p>
    <w:p>
      <w:pPr>
        <w:numPr>
          <w:ilvl w:val="0"/>
          <w:numId w:val="1016"/>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r>
        <w:t xml:space="preserve"> </w:t>
      </w:r>
      <w:bookmarkStart w:id="48" w:name="eq_pmu"/>
      <w:bookmarkEnd w:id="4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6"/>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49"/>
      </w:r>
      <w:r>
        <w:t xml:space="preserve"> </w:t>
      </w:r>
      <w:bookmarkStart w:id="50" w:name="eq_cpo_consumidor"/>
      <w:bookmarkEnd w:id="50"/>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17"/>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hyperlink r:id="rId21">
        <w:r>
          <w:rPr>
            <w:rStyle w:val="Referenciaatema"/>
          </w:rPr>
          <w:t xml:space="preserve">[ver tema 3.A.8]</w:t>
        </w:r>
      </w:hyperlink>
      <w:r>
        <w:t xml:space="preserve">. Sin efecto renta, coincide con la hicksiana</w:t>
      </w:r>
      <w:r>
        <w:t xml:space="preserve"> </w:t>
      </w:r>
      <w:hyperlink r:id="rId51">
        <w:r>
          <w:rPr>
            <w:rStyle w:val="Referenciaatema"/>
          </w:rPr>
          <w:t xml:space="preserve">[ver tema 3.A.9]</w:t>
        </w:r>
      </w:hyperlink>
      <w:r>
        <w:t xml:space="preserve">.</w:t>
      </w:r>
      <w:r>
        <w:rPr>
          <w:rStyle w:val="FootnoteReference"/>
        </w:rPr>
        <w:footnoteReference w:id="52"/>
      </w:r>
    </w:p>
    <w:p>
      <w:pPr>
        <w:numPr>
          <w:ilvl w:val="1"/>
          <w:numId w:val="1017"/>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6"/>
        </w:numPr>
      </w:pPr>
      <w:r>
        <w:rPr>
          <w:b/>
          <w:bCs/>
        </w:rPr>
        <w:t xml:space="preserve">Demanda de mercado</w:t>
      </w:r>
      <w:r>
        <w:t xml:space="preserve">: la suma horizontal de las individuales (gráfico </w:t>
      </w:r>
      <w:hyperlink w:anchor="fig_agregacion_demanda">
        <w:r>
          <w:rPr>
            <w:rStyle w:val="Hyperlink"/>
          </w:rPr>
          <w:t xml:space="preserve">1</w:t>
        </w:r>
      </w:hyperlink>
      <w:r>
        <w:t xml:space="preserve">): a cada precio se suman las cantidades que compra cada consumidor,</w:t>
      </w:r>
      <w:r>
        <w:rPr>
          <w:rStyle w:val="FootnoteReference"/>
        </w:rPr>
        <w:footnoteReference w:id="53"/>
      </w:r>
      <w:r>
        <w:t xml:space="preserve"> </w:t>
      </w:r>
      <w:bookmarkStart w:id="54" w:name="eq_demanda_mercado"/>
      <w:bookmarkEnd w:id="54"/>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6"/>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58" w:name="fig_agregacion_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Gráfico 1.– Agregación de la demanda: suma horizontal de las demandas individuales" title="" id="56" name="Picture"/>
            <a:graphic>
              <a:graphicData uri="http://schemas.openxmlformats.org/drawingml/2006/picture">
                <pic:pic>
                  <pic:nvPicPr>
                    <pic:cNvPr descr="C:\Users\vgutierrez\Documents\src\victorgutierrezmarcos.github.io-revision\oposicion\temario\fuentes\3A16\graficos/agregacion-demanda.png" id="57" name="Picture"/>
                    <pic:cNvPicPr>
                      <a:picLocks noChangeArrowheads="1" noChangeAspect="1"/>
                    </pic:cNvPicPr>
                  </pic:nvPicPr>
                  <pic:blipFill>
                    <a:blip r:embed="rId55"/>
                    <a:stretch>
                      <a:fillRect/>
                    </a:stretch>
                  </pic:blipFill>
                  <pic:spPr bwMode="auto">
                    <a:xfrm>
                      <a:off x="0" y="0"/>
                      <a:ext cx="5073650" cy="1713792"/>
                    </a:xfrm>
                    <a:prstGeom prst="rect">
                      <a:avLst/>
                    </a:prstGeom>
                    <a:noFill/>
                    <a:ln w="9525">
                      <a:noFill/>
                      <a:headEnd/>
                      <a:tailEnd/>
                    </a:ln>
                  </pic:spPr>
                </pic:pic>
              </a:graphicData>
            </a:graphic>
          </wp:inline>
        </w:drawing>
      </w:r>
    </w:p>
    <w:bookmarkEnd w:id="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59"/>
    <w:bookmarkStart w:id="70" w:name="productores_curva_de_oferta_indivi_71683"/>
    <w:p>
      <w:pPr>
        <w:pStyle w:val="Heading5"/>
      </w:pPr>
      <w:r>
        <w:t xml:space="preserve">Productores: curva de oferta individual y de mercado</w:t>
      </w:r>
    </w:p>
    <w:p>
      <w:pPr>
        <w:numPr>
          <w:ilvl w:val="0"/>
          <w:numId w:val="1018"/>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hyperlink r:id="rId23">
        <w:r>
          <w:rPr>
            <w:rStyle w:val="Referenciaatema"/>
          </w:rPr>
          <w:t xml:space="preserve">[ver tema 3.A.11]</w:t>
        </w:r>
      </w:hyperlink>
      <w:r>
        <w:t xml:space="preserve">. Elige su producción en</w:t>
      </w:r>
      <w:r>
        <w:t xml:space="preserve"> </w:t>
      </w:r>
      <w:r>
        <w:rPr>
          <w:b/>
          <w:bCs/>
        </w:rPr>
        <w:t xml:space="preserve">2 etapas</w:t>
      </w:r>
      <w:r>
        <w:t xml:space="preserve"> </w:t>
      </w:r>
      <w:hyperlink r:id="rId24">
        <w:r>
          <w:rPr>
            <w:rStyle w:val="Referenciaatema"/>
          </w:rPr>
          <w:t xml:space="preserve">[ver tema 3.A.12]</w:t>
        </w:r>
      </w:hyperlink>
      <w:r>
        <w:t xml:space="preserve">: 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60"/>
      </w:r>
      <w:r>
        <w:t xml:space="preserve"> </w:t>
      </w:r>
      <w:r>
        <w:t xml:space="preserve">Después elige la producción que maximiza el beneficio.</w:t>
      </w:r>
    </w:p>
    <w:p>
      <w:pPr>
        <w:numPr>
          <w:ilvl w:val="0"/>
          <w:numId w:val="1018"/>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61"/>
      </w:r>
    </w:p>
    <w:p>
      <w:pPr>
        <w:numPr>
          <w:ilvl w:val="0"/>
          <w:numId w:val="1018"/>
        </w:numPr>
      </w:pPr>
      <w:r>
        <w:rPr>
          <w:i/>
          <w:iCs/>
        </w:rPr>
        <w:t xml:space="preserve">Problema</w:t>
      </w:r>
      <w:r>
        <w:t xml:space="preserve">: dado el precio, la empresa elige la producción que maximiza su beneficio:</w:t>
      </w:r>
      <w:r>
        <w:t xml:space="preserve"> </w:t>
      </w:r>
      <w:bookmarkStart w:id="62" w:name="eq_mb_empresa"/>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18"/>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r>
        <w:t xml:space="preserve"> </w:t>
      </w:r>
      <w:bookmarkStart w:id="63" w:name="eq_oferta_empresa"/>
      <w:bookmarkEnd w:id="63"/>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hyperlink r:id="rId26">
        <w:r>
          <w:rPr>
            <w:rStyle w:val="Referenciaatema"/>
          </w:rPr>
          <w:t xml:space="preserve">[ver tema 3.A.17]</w:t>
        </w:r>
      </w:hyperlink>
      <w:r>
        <w:t xml:space="preserve">.</w:t>
      </w:r>
    </w:p>
    <w:p>
      <w:pPr>
        <w:numPr>
          <w:ilvl w:val="0"/>
          <w:numId w:val="1018"/>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18"/>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w:t>
      </w:r>
      <w:r>
        <w:t xml:space="preserve"> </w:t>
      </w:r>
      <w:hyperlink w:anchor="sec_corto_plazo">
        <w:r>
          <w:rPr>
            <w:rStyle w:val="Hyperlink"/>
          </w:rPr>
          <w:t xml:space="preserve">III.1</w:t>
        </w:r>
      </w:hyperlink>
      <w:r>
        <w:t xml:space="preserve">).</w:t>
      </w:r>
    </w:p>
    <w:p>
      <w:pPr>
        <w:numPr>
          <w:ilvl w:val="1"/>
          <w:numId w:val="1019"/>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19"/>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w:t>
      </w:r>
      <w:hyperlink w:anchor="fig_oferta_empresa">
        <w:r>
          <w:rPr>
            <w:rStyle w:val="Hyperlink"/>
          </w:rPr>
          <w:t xml:space="preserve">2</w:t>
        </w:r>
      </w:hyperlink>
      <w:r>
        <w:t xml:space="preserve">). Este salto es el que pone en riesgo la existencia del equilibrio (</w:t>
      </w:r>
      <w:hyperlink w:anchor="sec_existencia">
        <w:r>
          <w:rPr>
            <w:rStyle w:val="Hyperlink"/>
          </w:rPr>
          <w:t xml:space="preserve">II.1.1</w:t>
        </w:r>
      </w:hyperlink>
      <w:r>
        <w:t xml:space="preserve">) y el que fija el tamaño de las empresas con libre entrada (</w:t>
      </w:r>
      <w:hyperlink w:anchor="sec_largo_plazo_libre_entrada">
        <w:r>
          <w:rPr>
            <w:rStyle w:val="Hyperlink"/>
          </w:rPr>
          <w:t xml:space="preserve">III.3</w:t>
        </w:r>
      </w:hyperlink>
      <w:r>
        <w:t xml:space="preserve">). Los casos según la forma de los costes están en el anexo </w:t>
      </w:r>
      <w:hyperlink w:anchor="anexo_geometria">
        <w:r>
          <w:rPr>
            <w:rStyle w:val="Hyperlink"/>
          </w:rPr>
          <w:t xml:space="preserve">B</w:t>
        </w:r>
      </w:hyperlink>
      <w:r>
        <w:t xml:space="preserve">.</w:t>
      </w:r>
    </w:p>
    <w:p>
      <w:pPr>
        <w:numPr>
          <w:ilvl w:val="0"/>
          <w:numId w:val="1018"/>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67" w:name="fig_oferta_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Gráfico 2.– Maximización del beneficio y oferta de la empresa competitiva: p=\mathrm{CMg}_j en el tramo creciente, por encima del mínimo del coste medio" title="" id="65" name="Picture"/>
            <a:graphic>
              <a:graphicData uri="http://schemas.openxmlformats.org/drawingml/2006/picture">
                <pic:pic>
                  <pic:nvPicPr>
                    <pic:cNvPr descr="C:\Users\vgutierrez\Documents\src\victorgutierrezmarcos.github.io-revision\oposicion\temario\fuentes\3A16\graficos/oferta-empresa.png" id="66" name="Picture"/>
                    <pic:cNvPicPr>
                      <a:picLocks noChangeArrowheads="1" noChangeAspect="1"/>
                    </pic:cNvPicPr>
                  </pic:nvPicPr>
                  <pic:blipFill>
                    <a:blip r:embed="rId64"/>
                    <a:stretch>
                      <a:fillRect/>
                    </a:stretch>
                  </pic:blipFill>
                  <pic:spPr bwMode="auto">
                    <a:xfrm>
                      <a:off x="0" y="0"/>
                      <a:ext cx="3282950" cy="2410267"/>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y</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p>
      <w:pPr>
        <w:numPr>
          <w:ilvl w:val="0"/>
          <w:numId w:val="1020"/>
        </w:numPr>
      </w:pPr>
      <w:r>
        <w:rPr>
          <w:b/>
          <w:bCs/>
        </w:rPr>
        <w:t xml:space="preserve">Oferta de mercado</w:t>
      </w:r>
      <w:r>
        <w:t xml:space="preserve">: la suma horizontal de las individuales (gráfico </w:t>
      </w:r>
      <w:hyperlink w:anchor="fig_equilibrio">
        <w:r>
          <w:rPr>
            <w:rStyle w:val="Hyperlink"/>
          </w:rPr>
          <w:t xml:space="preserve">3</w:t>
        </w:r>
      </w:hyperlink>
      <w:r>
        <w:t xml:space="preserve">, izquierda),</w:t>
      </w:r>
      <w:r>
        <w:rPr>
          <w:rStyle w:val="FootnoteReference"/>
        </w:rPr>
        <w:footnoteReference w:id="68"/>
      </w:r>
      <w:r>
        <w:t xml:space="preserve"> </w:t>
      </w:r>
      <w:bookmarkStart w:id="69" w:name="eq_oferta_mercado"/>
      <w:bookmarkEnd w:id="69"/>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20"/>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70"/>
    <w:bookmarkStart w:id="77" w:name="iii_implicaciones_el_equilibrio_co_22367"/>
    <w:p>
      <w:pPr>
        <w:pStyle w:val="Heading5"/>
      </w:pPr>
      <w:r>
        <w:t xml:space="preserve">iii) Implicaciones: el equilibrio competitivo</w:t>
      </w:r>
    </w:p>
    <w:p>
      <w:pPr>
        <w:numPr>
          <w:ilvl w:val="0"/>
          <w:numId w:val="1021"/>
        </w:numPr>
      </w:pPr>
      <w:r>
        <w:t xml:space="preserve">Las curvas de demanda y de oferta dicen qué haría cada agente a cada precio. Falta saber qué precio se forma y qué se produce y consume: lo dice el concepto de equilibrio.</w:t>
      </w:r>
    </w:p>
    <w:p>
      <w:pPr>
        <w:keepNext/>
        <w:numPr>
          <w:ilvl w:val="0"/>
          <w:numId w:val="1021"/>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2"/>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2"/>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2"/>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bookmarkStart w:id="71" w:name="eq_equilibrio"/>
    <w:bookmarkEnd w:id="71"/>
    <w:p>
      <w:pPr>
        <w:pStyle w:val="Funcionclave"/>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1"/>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3"/>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72"/>
      </w:r>
    </w:p>
    <w:p>
      <w:pPr>
        <w:numPr>
          <w:ilvl w:val="0"/>
          <w:numId w:val="1021"/>
        </w:numPr>
      </w:pPr>
      <w:r>
        <w:rPr>
          <w:i/>
          <w:iCs/>
        </w:rPr>
        <w:t xml:space="preserve">Interpretación gráfica</w:t>
      </w:r>
      <w:r>
        <w:t xml:space="preserve">: el equilibrio es el corte de la demanda y la oferta de mercado (gráfico </w:t>
      </w:r>
      <w:hyperlink w:anchor="fig_equilibrio">
        <w:r>
          <w:rPr>
            <w:rStyle w:val="Hyperlink"/>
          </w:rPr>
          <w:t xml:space="preserve">3</w:t>
        </w:r>
      </w:hyperlink>
      <w:r>
        <w:t xml:space="preserve">,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w:t>
      </w:r>
      <w:hyperlink w:anchor="sec_analisis_normativo_eficiencia">
        <w:r>
          <w:rPr>
            <w:rStyle w:val="Hyperlink"/>
          </w:rPr>
          <w:t xml:space="preserve">II.2</w:t>
        </w:r>
      </w:hyperlink>
      <w:r>
        <w:t xml:space="preserve">).</w:t>
      </w:r>
    </w:p>
    <w:bookmarkStart w:id="76" w:name="fig_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Gráfico 3.– Oferta de mercado (suma horizontal de las ofertas de las empresas) y equilibrio competitivo" title="" id="74" name="Picture"/>
            <a:graphic>
              <a:graphicData uri="http://schemas.openxmlformats.org/drawingml/2006/picture">
                <pic:pic>
                  <pic:nvPicPr>
                    <pic:cNvPr descr="C:\Users\vgutierrez\Documents\src\victorgutierrezmarcos.github.io-revision\oposicion\temario\fuentes\3A16\graficos/equilibrio.png" id="75" name="Picture"/>
                    <pic:cNvPicPr>
                      <a:picLocks noChangeArrowheads="1" noChangeAspect="1"/>
                    </pic:cNvPicPr>
                  </pic:nvPicPr>
                  <pic:blipFill>
                    <a:blip r:embed="rId73"/>
                    <a:stretch>
                      <a:fillRect/>
                    </a:stretch>
                  </pic:blipFill>
                  <pic:spPr bwMode="auto">
                    <a:xfrm>
                      <a:off x="0" y="0"/>
                      <a:ext cx="4825830" cy="1929720"/>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numPr>
          <w:ilvl w:val="0"/>
          <w:numId w:val="1024"/>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77"/>
    <w:bookmarkEnd w:id="78"/>
    <w:bookmarkEnd w:id="79"/>
    <w:bookmarkStart w:id="175" w:name="sec_estudio_equilibrio_competitivo"/>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5"/>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5"/>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pPr>
      <w:r>
        <w:rPr>
          <w:b/>
          <w:bCs/>
        </w:rPr>
        <w:t xml:space="preserve">Nota al opositor. </w:t>
      </w:r>
      <w:r>
        <w:t xml:space="preserve">En el cante de</w:t>
      </w:r>
      <w:r>
        <w:t xml:space="preserve"> </w:t>
      </w:r>
      <w:hyperlink w:anchor="sec_estudio_equilibrio_competitivo">
        <w:r>
          <w:rPr>
            <w:rStyle w:val="Hyperlink"/>
          </w:rPr>
          <w:t xml:space="preserve">II</w:t>
        </w:r>
      </w:hyperlink>
      <w:r>
        <w:t xml:space="preserve"> </w:t>
      </w:r>
      <w:r>
        <w:t xml:space="preserve">(12′):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33" w:name="sec_analisis_positivo_equilibrio"/>
    <w:p>
      <w:pPr>
        <w:pStyle w:val="Heading2"/>
      </w:pPr>
      <w:r>
        <w:t xml:space="preserve">II.1.</w:t>
      </w:r>
      <w:r>
        <w:t xml:space="preserve"> </w:t>
      </w:r>
      <w:r>
        <w:t xml:space="preserve">Análisis positivo del equilibrio</w:t>
      </w:r>
    </w:p>
    <w:p>
      <w:pPr>
        <w:keepNext/>
        <w:numPr>
          <w:ilvl w:val="0"/>
          <w:numId w:val="1026"/>
        </w:numPr>
      </w:pPr>
      <w:r>
        <w:rPr>
          <w:i/>
          <w:iCs/>
        </w:rPr>
        <w:t xml:space="preserve">Las 3 preguntas</w:t>
      </w:r>
      <w:r>
        <w:t xml:space="preserve">, cada una presupone la anterior:</w:t>
      </w:r>
    </w:p>
    <w:p>
      <w:pPr>
        <w:numPr>
          <w:ilvl w:val="1"/>
          <w:numId w:val="1027"/>
        </w:numPr>
      </w:pPr>
      <w:r>
        <w:rPr>
          <w:b/>
          <w:bCs/>
        </w:rPr>
        <w:t xml:space="preserve">existencia</w:t>
      </w:r>
      <w:r>
        <w:t xml:space="preserve">: ¿hay algún precio que vacíe el mercado? Si no, el modelo no describe nada;</w:t>
      </w:r>
    </w:p>
    <w:p>
      <w:pPr>
        <w:numPr>
          <w:ilvl w:val="1"/>
          <w:numId w:val="1027"/>
        </w:numPr>
      </w:pPr>
      <w:r>
        <w:rPr>
          <w:b/>
          <w:bCs/>
        </w:rPr>
        <w:t xml:space="preserve">unicidad</w:t>
      </w:r>
      <w:r>
        <w:t xml:space="preserve">: ¿hay solo uno? Si hay varios, el modelo no predice cuál se alcanza y la estática comparativa pierde sentido;</w:t>
      </w:r>
    </w:p>
    <w:p>
      <w:pPr>
        <w:numPr>
          <w:ilvl w:val="1"/>
          <w:numId w:val="1027"/>
        </w:numPr>
      </w:pPr>
      <w:r>
        <w:rPr>
          <w:b/>
          <w:bCs/>
        </w:rPr>
        <w:t xml:space="preserve">estabilidad</w:t>
      </w:r>
      <w:r>
        <w:t xml:space="preserve">: si el mercado está fuera del equilibrio, ¿lo llevan a él las fuerzas del mercado? Un equilibrio inestable es una curiosidad matemática.</w:t>
      </w:r>
    </w:p>
    <w:bookmarkStart w:id="92" w:name="sec_existencia"/>
    <w:p>
      <w:pPr>
        <w:pStyle w:val="Heading3"/>
      </w:pPr>
      <w:r>
        <w:t xml:space="preserve">II.1.1.</w:t>
      </w:r>
      <w:r>
        <w:t xml:space="preserve"> </w:t>
      </w:r>
      <w:r>
        <w:t xml:space="preserve">Existencia</w:t>
      </w:r>
    </w:p>
    <w:bookmarkStart w:id="81" w:name="a_idea"/>
    <w:p>
      <w:pPr>
        <w:pStyle w:val="Heading4"/>
      </w:pPr>
      <w:r>
        <w:t xml:space="preserve">a) Idea</w:t>
      </w:r>
    </w:p>
    <w:p>
      <w:pPr>
        <w:numPr>
          <w:ilvl w:val="0"/>
          <w:numId w:val="1028"/>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r>
        <w:t xml:space="preserve"> </w:t>
      </w:r>
      <w:bookmarkStart w:id="80" w:name="eq_exceso_demanda"/>
      <w:bookmarkEnd w:id="80"/>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81"/>
    <w:bookmarkStart w:id="85" w:name="b_modelo"/>
    <w:p>
      <w:pPr>
        <w:pStyle w:val="Heading4"/>
      </w:pPr>
      <w:r>
        <w:t xml:space="preserve">b) Modelo</w:t>
      </w:r>
    </w:p>
    <w:bookmarkStart w:id="82" w:name="i_supuestos_1"/>
    <w:p>
      <w:pPr>
        <w:pStyle w:val="Heading5"/>
      </w:pPr>
      <w:r>
        <w:t xml:space="preserve">i) Supuestos</w:t>
      </w:r>
    </w:p>
    <w:p>
      <w:pPr>
        <w:numPr>
          <w:ilvl w:val="0"/>
          <w:numId w:val="1029"/>
        </w:numPr>
      </w:pPr>
      <w:r>
        <w:t xml:space="preserve">Los de</w:t>
      </w:r>
      <w:r>
        <w:t xml:space="preserve"> </w:t>
      </w:r>
      <w:hyperlink w:anchor="sec_modelo">
        <w:r>
          <w:rPr>
            <w:rStyle w:val="Hyperlink"/>
          </w:rPr>
          <w:t xml:space="preserve">I.2</w:t>
        </w:r>
      </w:hyperlink>
      <w:r>
        <w:t xml:space="preserve">:</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29"/>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82"/>
    <w:bookmarkStart w:id="83" w:name="ii_desarrollo_1"/>
    <w:p>
      <w:pPr>
        <w:pStyle w:val="Heading5"/>
      </w:pPr>
      <w:r>
        <w:t xml:space="preserve">ii) Desarrollo</w:t>
      </w:r>
    </w:p>
    <w:p>
      <w:pPr>
        <w:numPr>
          <w:ilvl w:val="0"/>
          <w:numId w:val="1030"/>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pPr>
      <w:r>
        <w:rPr>
          <w:b/>
          <w:bCs/>
        </w:rPr>
        <w:t xml:space="preserve">Teorema de</w:t>
      </w:r>
      <w:r>
        <w:rPr>
          <w:b/>
          <w:bCs/>
        </w:rPr>
        <w:t xml:space="preserve"> </w:t>
      </w:r>
      <w:r>
        <w:rPr>
          <w:b/>
          <w:bCs/>
          <w:smallCaps/>
        </w:rPr>
        <w:t xml:space="preserve">Bolzano</w:t>
      </w:r>
      <w:r>
        <w:t xml:space="preserve"> </w:t>
      </w:r>
      <w:r>
        <w:t xml:space="preserve">(</w:t>
      </w:r>
      <w:hyperlink w:anchor="ref_Bolzano1817Beweis">
        <w:r>
          <w:rPr>
            <w:rStyle w:val="Hyperlink"/>
            <w:smallCaps/>
          </w:rPr>
          <w:t xml:space="preserve">Bolzano</w:t>
        </w:r>
        <w:r>
          <w:rPr>
            <w:rStyle w:val="Hyperlink"/>
          </w:rPr>
          <w:t xml:space="preserve">, 1817</w:t>
        </w:r>
      </w:hyperlink>
      <w:r>
        <w:t xml:space="preserve">;</w:t>
      </w:r>
      <w:r>
        <w:t xml:space="preserve"> </w:t>
      </w:r>
      <w:hyperlink w:anchor="ref_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hyperlink r:id="rId34">
        <w:r>
          <w:rPr>
            <w:rStyle w:val="Referenciaatema"/>
          </w:rPr>
          <w:t xml:space="preserve">[ver tema 3.A.21]</w:t>
        </w:r>
      </w:hyperlink>
      <w:r>
        <w:t xml:space="preserve">.</w:t>
      </w:r>
    </w:p>
    <w:bookmarkEnd w:id="83"/>
    <w:bookmarkStart w:id="84" w:name="iii_implicaciones"/>
    <w:p>
      <w:pPr>
        <w:pStyle w:val="Heading5"/>
      </w:pPr>
      <w:r>
        <w:t xml:space="preserve">iii) Implicaciones</w:t>
      </w:r>
    </w:p>
    <w:p>
      <w:pPr>
        <w:numPr>
          <w:ilvl w:val="0"/>
          <w:numId w:val="1031"/>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w:t>
      </w:r>
      <w:hyperlink w:anchor="sec_unicidad">
        <w:r>
          <w:rPr>
            <w:rStyle w:val="Hyperlink"/>
          </w:rPr>
          <w:t xml:space="preserve">II.1.2</w:t>
        </w:r>
      </w:hyperlink>
      <w:r>
        <w:t xml:space="preserve">).</w:t>
      </w:r>
    </w:p>
    <w:bookmarkEnd w:id="84"/>
    <w:bookmarkEnd w:id="85"/>
    <w:bookmarkStart w:id="91" w:name="c_valoraci__n"/>
    <w:p>
      <w:pPr>
        <w:pStyle w:val="Heading4"/>
      </w:pPr>
      <w:r>
        <w:t xml:space="preserve">c) Valoración</w:t>
      </w:r>
    </w:p>
    <w:p>
      <w:pPr>
        <w:keepNext/>
        <w:numPr>
          <w:ilvl w:val="0"/>
          <w:numId w:val="1032"/>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w:t>
      </w:r>
      <w:hyperlink w:anchor="sec_modelo">
        <w:r>
          <w:rPr>
            <w:rStyle w:val="Hyperlink"/>
          </w:rPr>
          <w:t xml:space="preserve">I.2</w:t>
        </w:r>
      </w:hyperlink>
      <w:r>
        <w:t xml:space="preserve">). Con una sola empresa, si a ese precio la demanda es menor que</w:t>
      </w:r>
      <w:r>
        <w:t xml:space="preserve"> </w:t>
      </w:r>
      <m:oMath>
        <m:bar>
          <m:barPr>
            <m:pos m:val="top"/>
          </m:barPr>
          <m:e>
            <m:r>
              <m:t>q</m:t>
            </m:r>
          </m:e>
        </m:bar>
      </m:oMath>
      <w:r>
        <w:t xml:space="preserve">, oferta y demanda no se cortan: no hay equilibrio competitivo (gráfico </w:t>
      </w:r>
      <w:hyperlink w:anchor="fig_no_convexidad">
        <w:r>
          <w:rPr>
            <w:rStyle w:val="Hyperlink"/>
          </w:rPr>
          <w:t xml:space="preserve">4</w:t>
        </w:r>
      </w:hyperlink>
      <w:r>
        <w:t xml:space="preserve">).</w:t>
      </w:r>
    </w:p>
    <w:p>
      <w:pPr>
        <w:numPr>
          <w:ilvl w:val="1"/>
          <w:numId w:val="1033"/>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bookmarkStart w:id="90" w:name="fig_no_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Gráfico 4.– No convexidades: con la oferta que salta en \overline{c}, la demanda puede pasar por el hueco y no hay equilibrio competitivo" title="" id="88" name="Picture"/>
            <a:graphic>
              <a:graphicData uri="http://schemas.openxmlformats.org/drawingml/2006/picture">
                <pic:pic>
                  <pic:nvPicPr>
                    <pic:cNvPr descr="C:\Users\vgutierrez\Documents\src\victorgutierrezmarcos.github.io-revision\oposicion\temario\fuentes\3A16\graficos/no-convexidad.png" id="89" name="Picture"/>
                    <pic:cNvPicPr>
                      <a:picLocks noChangeArrowheads="1" noChangeAspect="1"/>
                    </pic:cNvPicPr>
                  </pic:nvPicPr>
                  <pic:blipFill>
                    <a:blip r:embed="rId87"/>
                    <a:stretch>
                      <a:fillRect/>
                    </a:stretch>
                  </pic:blipFill>
                  <pic:spPr bwMode="auto">
                    <a:xfrm>
                      <a:off x="0" y="0"/>
                      <a:ext cx="2431264" cy="2419031"/>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 </w:t>
      </w:r>
      <w:r>
        <w:t xml:space="preserve">y § 10.F)</w:t>
      </w:r>
      <w:r>
        <w:t xml:space="preserve">.</w:t>
      </w:r>
    </w:p>
    <w:bookmarkEnd w:id="91"/>
    <w:bookmarkEnd w:id="92"/>
    <w:bookmarkStart w:id="103"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3" w:name="a_idea_1"/>
    <w:p>
      <w:pPr>
        <w:pStyle w:val="Heading4"/>
      </w:pPr>
      <w:r>
        <w:t xml:space="preserve">a) Idea</w:t>
      </w:r>
    </w:p>
    <w:p>
      <w:pPr>
        <w:numPr>
          <w:ilvl w:val="0"/>
          <w:numId w:val="1034"/>
        </w:numPr>
      </w:pPr>
      <w:r>
        <w:t xml:space="preserve">Que exista un equilibrio no implica que sea único. En un solo mercado, la respuesta depende de las pendientes de las curvas.</w:t>
      </w:r>
    </w:p>
    <w:bookmarkEnd w:id="93"/>
    <w:bookmarkStart w:id="101" w:name="b_modelo_1"/>
    <w:p>
      <w:pPr>
        <w:pStyle w:val="Heading4"/>
      </w:pPr>
      <w:r>
        <w:t xml:space="preserve">b) Modelo</w:t>
      </w:r>
    </w:p>
    <w:bookmarkStart w:id="94" w:name="i_supuestos_2"/>
    <w:p>
      <w:pPr>
        <w:pStyle w:val="Heading5"/>
      </w:pPr>
      <w:r>
        <w:t xml:space="preserve">i) Supuestos</w:t>
      </w:r>
    </w:p>
    <w:p>
      <w:pPr>
        <w:numPr>
          <w:ilvl w:val="0"/>
          <w:numId w:val="1035"/>
        </w:numPr>
      </w:pPr>
      <w:r>
        <w:t xml:space="preserve">Los de la existencia: demanda estrictamente decreciente y oferta no decreciente.</w:t>
      </w:r>
    </w:p>
    <w:bookmarkEnd w:id="94"/>
    <w:bookmarkStart w:id="95" w:name="ii_desarrollo_2"/>
    <w:p>
      <w:pPr>
        <w:pStyle w:val="Heading5"/>
      </w:pPr>
      <w:r>
        <w:t xml:space="preserve">ii) Desarrollo</w:t>
      </w:r>
    </w:p>
    <w:p>
      <w:pPr>
        <w:numPr>
          <w:ilvl w:val="0"/>
          <w:numId w:val="1036"/>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bookmarkEnd w:id="95"/>
    <w:bookmarkStart w:id="100" w:name="iii_implicaciones_1"/>
    <w:p>
      <w:pPr>
        <w:pStyle w:val="Heading5"/>
      </w:pPr>
      <w:r>
        <w:t xml:space="preserve">iii) Implicaciones</w:t>
      </w:r>
    </w:p>
    <w:p>
      <w:pPr>
        <w:keepNext/>
        <w:numPr>
          <w:ilvl w:val="0"/>
          <w:numId w:val="1037"/>
        </w:numPr>
      </w:pPr>
      <w:r>
        <w:rPr>
          <w:i/>
          <w:iCs/>
        </w:rPr>
        <w:t xml:space="preserve">Casos de multiplicidad</w:t>
      </w:r>
      <w:r>
        <w:t xml:space="preserve">:</w:t>
      </w:r>
    </w:p>
    <w:p>
      <w:pPr>
        <w:numPr>
          <w:ilvl w:val="1"/>
          <w:numId w:val="1038"/>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w:t>
      </w:r>
      <w:hyperlink w:anchor="fig_multiplicidad">
        <w:r>
          <w:rPr>
            <w:rStyle w:val="Hyperlink"/>
          </w:rPr>
          <w:t xml:space="preserve">5</w:t>
        </w:r>
      </w:hyperlink>
      <w:r>
        <w:t xml:space="preserve">). La asignación es única, sin intercambio: lo indeterminado es el precio;</w:t>
      </w:r>
    </w:p>
    <w:p>
      <w:pPr>
        <w:numPr>
          <w:ilvl w:val="1"/>
          <w:numId w:val="1038"/>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w:t>
      </w:r>
      <w:hyperlink w:anchor="sec_largo_plazo_libre_entrada">
        <w:r>
          <w:rPr>
            <w:rStyle w:val="Hyperlink"/>
          </w:rPr>
          <w:t xml:space="preserve">III.3</w:t>
        </w:r>
      </w:hyperlink>
      <w:r>
        <w:t xml:space="preserve">);</w:t>
      </w:r>
    </w:p>
    <w:p>
      <w:pPr>
        <w:numPr>
          <w:ilvl w:val="1"/>
          <w:numId w:val="1038"/>
        </w:numPr>
      </w:pPr>
      <w:r>
        <w:rPr>
          <w:i/>
          <w:iCs/>
        </w:rPr>
        <w:t xml:space="preserve">pendientes anómalas</w:t>
      </w:r>
      <w:r>
        <w:t xml:space="preserve">: si la oferta de la industria es decreciente (economías externas,</w:t>
      </w:r>
      <w:r>
        <w:t xml:space="preserve"> </w:t>
      </w:r>
      <w:hyperlink w:anchor="sec_largo_plazo_libre_entrada">
        <w:r>
          <w:rPr>
            <w:rStyle w:val="Hyperlink"/>
          </w:rPr>
          <w:t xml:space="preserve">III.3</w:t>
        </w:r>
      </w:hyperlink>
      <w:r>
        <w:t xml:space="preserve">) o la demanda creciente (un bien</w:t>
      </w:r>
      <w:r>
        <w:t xml:space="preserve"> </w:t>
      </w:r>
      <w:r>
        <w:rPr>
          <w:smallCaps/>
        </w:rPr>
        <w:t xml:space="preserve">Giffen</w:t>
      </w:r>
      <w:r>
        <w:t xml:space="preserve">, imposible con utilidad cuasilineal), las curvas pueden cortarse varias veces y hay varios equilibrios, unos estables y otros no (</w:t>
      </w:r>
      <w:hyperlink w:anchor="sec_estabilidad_dinamicas_ajuste">
        <w:r>
          <w:rPr>
            <w:rStyle w:val="Hyperlink"/>
          </w:rPr>
          <w:t xml:space="preserve">II.1.3</w:t>
        </w:r>
      </w:hyperlink>
      <w:r>
        <w:t xml:space="preserve">).</w:t>
      </w:r>
    </w:p>
    <w:bookmarkStart w:id="99" w:name="fig_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Gráfico 5.– Demanda insuficiente: cualquier precio entre \max_i\phi_i'(0) y \min_j\mathrm{CMg}_j(0) vacía el mercado sin intercambio" title="" id="97" name="Picture"/>
            <a:graphic>
              <a:graphicData uri="http://schemas.openxmlformats.org/drawingml/2006/picture">
                <pic:pic>
                  <pic:nvPicPr>
                    <pic:cNvPr descr="C:\Users\vgutierrez\Documents\src\victorgutierrezmarcos.github.io-revision\oposicion\temario\fuentes\3A16\graficos/multiplicidad.png" id="98" name="Picture"/>
                    <pic:cNvPicPr>
                      <a:picLocks noChangeArrowheads="1" noChangeAspect="1"/>
                    </pic:cNvPicPr>
                  </pic:nvPicPr>
                  <pic:blipFill>
                    <a:blip r:embed="rId96"/>
                    <a:stretch>
                      <a:fillRect/>
                    </a:stretch>
                  </pic:blipFill>
                  <pic:spPr bwMode="auto">
                    <a:xfrm>
                      <a:off x="0" y="0"/>
                      <a:ext cx="2686050" cy="2142864"/>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00"/>
    <w:bookmarkEnd w:id="101"/>
    <w:bookmarkStart w:id="102" w:name="c_valoraci__n_1"/>
    <w:p>
      <w:pPr>
        <w:pStyle w:val="Heading4"/>
      </w:pPr>
      <w:r>
        <w:t xml:space="preserve">c) Valoración</w:t>
      </w:r>
    </w:p>
    <w:p>
      <w:pPr>
        <w:numPr>
          <w:ilvl w:val="0"/>
          <w:numId w:val="1039"/>
        </w:numPr>
      </w:pPr>
      <w:r>
        <w:t xml:space="preserve">Con varios equilibrios el modelo no predice a cuál se llega y la estática comparativa pierde sentido: hace falta saber cuáles son estables. Es la pregunta siguiente.</w:t>
      </w:r>
    </w:p>
    <w:bookmarkEnd w:id="102"/>
    <w:bookmarkEnd w:id="103"/>
    <w:bookmarkStart w:id="132" w:name="sec_estabilidad_dinamicas_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105" w:name="a_idea_2"/>
    <w:p>
      <w:pPr>
        <w:pStyle w:val="Heading4"/>
      </w:pPr>
      <w:r>
        <w:t xml:space="preserve">a) Idea</w:t>
      </w:r>
    </w:p>
    <w:p>
      <w:pPr>
        <w:keepNext/>
        <w:numPr>
          <w:ilvl w:val="0"/>
          <w:numId w:val="1040"/>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1"/>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1"/>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40"/>
        </w:numPr>
      </w:pPr>
      <w:r>
        <w:rPr>
          <w:i/>
          <w:iCs/>
        </w:rPr>
        <w:t xml:space="preserve">Por qué importa</w:t>
      </w:r>
      <w:r>
        <w:t xml:space="preserve">:</w:t>
      </w:r>
    </w:p>
    <w:p>
      <w:pPr>
        <w:numPr>
          <w:ilvl w:val="1"/>
          <w:numId w:val="1042"/>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w:t>
      </w:r>
      <w:hyperlink w:anchor="sec_analisis_estatica_comparativa">
        <w:r>
          <w:rPr>
            <w:rStyle w:val="Hyperlink"/>
          </w:rPr>
          <w:t xml:space="preserve">II.3</w:t>
        </w:r>
      </w:hyperlink>
      <w:r>
        <w:t xml:space="preserve">);</w:t>
      </w:r>
    </w:p>
    <w:p>
      <w:pPr>
        <w:numPr>
          <w:ilvl w:val="1"/>
          <w:numId w:val="1042"/>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2"/>
        </w:numPr>
      </w:pPr>
      <w:r>
        <w:t xml:space="preserve">si no lo es, el mercado puede alejarse del equilibrio o quedarse oscilando a su alrededor, y eso puede justificar la intervención pública para reconducirlo, como en la estabilización de los precios agrarios</w:t>
      </w:r>
      <w:r>
        <w:t xml:space="preserve"> </w:t>
      </w:r>
      <w:hyperlink r:id="rId104">
        <w:r>
          <w:rPr>
            <w:rStyle w:val="Referenciaatema"/>
          </w:rPr>
          <w:t xml:space="preserve">[ver tema 3.B.38]</w:t>
        </w:r>
      </w:hyperlink>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40"/>
        </w:numPr>
      </w:pPr>
      <w:r>
        <w:rPr>
          <w:i/>
          <w:iCs/>
        </w:rPr>
        <w:t xml:space="preserve">3 dinámicas de ajuste</w:t>
      </w:r>
      <w:r>
        <w:t xml:space="preserve">, según qué variable reacciona al desequilibrio:</w:t>
      </w:r>
    </w:p>
    <w:p>
      <w:pPr>
        <w:numPr>
          <w:ilvl w:val="1"/>
          <w:numId w:val="1043"/>
        </w:numPr>
      </w:pPr>
      <w:r>
        <w:rPr>
          <w:b/>
          <w:bCs/>
        </w:rPr>
        <w:t xml:space="preserve">ajuste walrasiano</w:t>
      </w:r>
      <w:r>
        <w:t xml:space="preserve"> </w:t>
      </w:r>
      <w:r>
        <w:t xml:space="preserve">(por precios): el precio sube si hay exceso de demanda y baja si hay exceso de oferta;</w:t>
      </w:r>
    </w:p>
    <w:p>
      <w:pPr>
        <w:numPr>
          <w:ilvl w:val="1"/>
          <w:numId w:val="1043"/>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3"/>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40"/>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105"/>
    <w:bookmarkStart w:id="117" w:name="b_modelo_2"/>
    <w:p>
      <w:pPr>
        <w:pStyle w:val="Heading4"/>
      </w:pPr>
      <w:r>
        <w:t xml:space="preserve">b) Modelo</w:t>
      </w:r>
    </w:p>
    <w:bookmarkStart w:id="107" w:name="i_supuestos_3"/>
    <w:p>
      <w:pPr>
        <w:pStyle w:val="Heading5"/>
      </w:pPr>
      <w:r>
        <w:t xml:space="preserve">i) Supuestos</w:t>
      </w:r>
    </w:p>
    <w:p>
      <w:pPr>
        <w:numPr>
          <w:ilvl w:val="0"/>
          <w:numId w:val="1044"/>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w:t>
      </w:r>
      <w:r>
        <w:t xml:space="preserve"> </w:t>
      </w:r>
      <w:hyperlink w:anchor="sec_modelo">
        <w:r>
          <w:rPr>
            <w:rStyle w:val="Hyperlink"/>
          </w:rPr>
          <w:t xml:space="preserve">I.2</w:t>
        </w:r>
      </w:hyperlink>
      <w:r>
        <w:t xml:space="preserve"> </w:t>
      </w:r>
      <w:r>
        <w:t xml:space="preserve">(o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4"/>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106"/>
      </w:r>
    </w:p>
    <w:p>
      <w:pPr>
        <w:numPr>
          <w:ilvl w:val="0"/>
          <w:numId w:val="1044"/>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III, § 6)</w:t>
      </w:r>
      <w:r>
        <w:t xml:space="preserve">: cuando el precio de demanda supera al de oferta, la cantidad producida tiende a aumentar.</w:t>
      </w:r>
    </w:p>
    <w:bookmarkEnd w:id="107"/>
    <w:bookmarkStart w:id="110" w:name="ii_desarrollo_3"/>
    <w:p>
      <w:pPr>
        <w:pStyle w:val="Heading5"/>
      </w:pPr>
      <w:r>
        <w:t xml:space="preserve">ii) Desarrollo</w:t>
      </w:r>
    </w:p>
    <w:p>
      <w:pPr>
        <w:numPr>
          <w:ilvl w:val="0"/>
          <w:numId w:val="1045"/>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r>
        <w:t xml:space="preserve"> </w:t>
      </w:r>
      <w:bookmarkStart w:id="108" w:name="eq_ajuste_walras"/>
      <w:bookmarkEnd w:id="108"/>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5"/>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r>
        <w:t xml:space="preserve"> </w:t>
      </w:r>
      <w:bookmarkStart w:id="109" w:name="eq_ajuste_marshall"/>
      <w:bookmarkEnd w:id="109"/>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110"/>
    <w:bookmarkStart w:id="116" w:name="iii_implicaciones_2"/>
    <w:p>
      <w:pPr>
        <w:pStyle w:val="Heading5"/>
      </w:pPr>
      <w:r>
        <w:t xml:space="preserve">iii) Implicaciones</w:t>
      </w:r>
    </w:p>
    <w:p>
      <w:pPr>
        <w:numPr>
          <w:ilvl w:val="0"/>
          <w:numId w:val="1046"/>
        </w:numPr>
      </w:pPr>
      <w:r>
        <w:rPr>
          <w:i/>
          <w:iCs/>
        </w:rPr>
        <w:t xml:space="preserve">Cuándo coinciden</w:t>
      </w:r>
      <w:r>
        <w:t xml:space="preserve">: con la oferta creciente y la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6</w:t>
        </w:r>
      </w:hyperlink>
      <w:r>
        <w:t xml:space="preserve">). Es el caso del modelo de</w:t>
      </w:r>
      <w:r>
        <w:t xml:space="preserve"> </w:t>
      </w:r>
      <w:hyperlink w:anchor="sec_modelo">
        <w:r>
          <w:rPr>
            <w:rStyle w:val="Hyperlink"/>
          </w:rPr>
          <w:t xml:space="preserve">I.2</w:t>
        </w:r>
      </w:hyperlink>
      <w:r>
        <w:t xml:space="preserve">.</w:t>
      </w:r>
    </w:p>
    <w:p>
      <w:pPr>
        <w:keepNext/>
        <w:numPr>
          <w:ilvl w:val="0"/>
          <w:numId w:val="1046"/>
        </w:numPr>
      </w:pPr>
      <w:r>
        <w:rPr>
          <w:i/>
          <w:iCs/>
        </w:rPr>
        <w:t xml:space="preserve">Cuándo difieren</w:t>
      </w:r>
      <w:r>
        <w:t xml:space="preserve">: si las 2 curvas tienen pendiente negativa, lo que ocurre con una oferta de la industria con economías externas (</w:t>
      </w:r>
      <w:hyperlink w:anchor="sec_largo_plazo_libre_entrada">
        <w:r>
          <w:rPr>
            <w:rStyle w:val="Hyperlink"/>
          </w:rPr>
          <w:t xml:space="preserve">III.3</w:t>
        </w:r>
      </w:hyperlink>
      <w:r>
        <w:t xml:space="preserve">)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47"/>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47"/>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111"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1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115" w:name="fig_estabilidad_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6.– Interpretación gráfica de los 3 casos de la tabla: ajuste walrasiano y marshalliano" title="" id="113" name="Picture"/>
            <a:graphic>
              <a:graphicData uri="http://schemas.openxmlformats.org/drawingml/2006/picture">
                <pic:pic>
                  <pic:nvPicPr>
                    <pic:cNvPr descr="C:\Users\vgutierrez\Documents\src\victorgutierrezmarcos.github.io-revision\oposicion\temario\fuentes\3A16\graficos/estabilidad-parcial.png" id="114" name="Picture"/>
                    <pic:cNvPicPr>
                      <a:picLocks noChangeArrowheads="1" noChangeAspect="1"/>
                    </pic:cNvPicPr>
                  </pic:nvPicPr>
                  <pic:blipFill>
                    <a:blip r:embed="rId112"/>
                    <a:stretch>
                      <a:fillRect/>
                    </a:stretch>
                  </pic:blipFill>
                  <pic:spPr bwMode="auto">
                    <a:xfrm>
                      <a:off x="0" y="0"/>
                      <a:ext cx="5969000" cy="2438127"/>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048"/>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48"/>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116"/>
    <w:bookmarkEnd w:id="117"/>
    <w:bookmarkStart w:id="127" w:name="c_extensiones_el_modelo_de_la_telara__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_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sistematizó.</w:t>
      </w:r>
    </w:p>
    <w:bookmarkStart w:id="119" w:name="i_supuestos_4"/>
    <w:p>
      <w:pPr>
        <w:pStyle w:val="Heading5"/>
      </w:pPr>
      <w:r>
        <w:t xml:space="preserve">i) Supuestos</w:t>
      </w:r>
    </w:p>
    <w:p>
      <w:pPr>
        <w:numPr>
          <w:ilvl w:val="0"/>
          <w:numId w:val="1049"/>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49"/>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118"/>
      </w:r>
    </w:p>
    <w:p>
      <w:pPr>
        <w:numPr>
          <w:ilvl w:val="0"/>
          <w:numId w:val="1049"/>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119"/>
    <w:bookmarkStart w:id="125" w:name="ii_desarrollo_4"/>
    <w:p>
      <w:pPr>
        <w:pStyle w:val="Heading5"/>
      </w:pPr>
      <w:r>
        <w:t xml:space="preserve">ii) Desarrollo</w:t>
      </w:r>
    </w:p>
    <w:p>
      <w:pPr>
        <w:numPr>
          <w:ilvl w:val="0"/>
          <w:numId w:val="1050"/>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r>
        <w:t xml:space="preserve"> </w:t>
      </w:r>
      <w:bookmarkStart w:id="120" w:name="eq_telarana"/>
      <w:bookmarkEnd w:id="120"/>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w:t>
      </w:r>
      <w:hyperlink w:anchor="anexo_telarana">
        <w:r>
          <w:rPr>
            <w:rStyle w:val="Hyperlink"/>
          </w:rPr>
          <w:t xml:space="preserve">E</w:t>
        </w:r>
      </w:hyperlink>
      <w:r>
        <w:t xml:space="preserve">).</w:t>
      </w:r>
    </w:p>
    <w:p>
      <w:pPr>
        <w:numPr>
          <w:ilvl w:val="0"/>
          <w:numId w:val="1050"/>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w:t>
      </w:r>
      <w:hyperlink w:anchor="fig_telarana">
        <w:r>
          <w:rPr>
            <w:rStyle w:val="Hyperlink"/>
          </w:rPr>
          <w:t xml:space="preserve">7</w:t>
        </w:r>
      </w:hyperlink>
      <w:r>
        <w:t xml:space="preserve">).</w:t>
      </w:r>
    </w:p>
    <w:p>
      <w:pPr>
        <w:keepNext/>
        <w:numPr>
          <w:ilvl w:val="0"/>
          <w:numId w:val="1050"/>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numPr>
          <w:ilvl w:val="0"/>
          <w:numId w:val="1050"/>
        </w:numPr>
      </w:pPr>
      <w:r>
        <w:rPr>
          <w:i/>
          <w:iCs/>
        </w:rPr>
        <w:t xml:space="preserve">Condición de convergencia</w:t>
      </w:r>
      <w:r>
        <w:t xml:space="preserve">, de 3 formas equivalentes: la oferta reacciona al precio menos que la demanda; 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 y 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124" w:name="fig_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Gráfico 7.– Modelo de la telaraña: convergente (la oferta, más inclinada que la demanda), continua y divergente" title="" id="122" name="Picture"/>
            <a:graphic>
              <a:graphicData uri="http://schemas.openxmlformats.org/drawingml/2006/picture">
                <pic:pic>
                  <pic:nvPicPr>
                    <pic:cNvPr descr="C:\Users\vgutierrez\Documents\src\victorgutierrezmarcos.github.io-revision\oposicion\temario\fuentes\3A16\graficos/telarana.png" id="123" name="Picture"/>
                    <pic:cNvPicPr>
                      <a:picLocks noChangeArrowheads="1" noChangeAspect="1"/>
                    </pic:cNvPicPr>
                  </pic:nvPicPr>
                  <pic:blipFill>
                    <a:blip r:embed="rId121"/>
                    <a:stretch>
                      <a:fillRect/>
                    </a:stretch>
                  </pic:blipFill>
                  <pic:spPr bwMode="auto">
                    <a:xfrm>
                      <a:off x="0" y="0"/>
                      <a:ext cx="5969000" cy="2450246"/>
                    </a:xfrm>
                    <a:prstGeom prst="rect">
                      <a:avLst/>
                    </a:prstGeom>
                    <a:noFill/>
                    <a:ln w="9525">
                      <a:noFill/>
                      <a:headEnd/>
                      <a:tailEnd/>
                    </a:ln>
                  </pic:spPr>
                </pic:pic>
              </a:graphicData>
            </a:graphic>
          </wp:inline>
        </w:drawing>
      </w:r>
    </w:p>
    <w:bookmarkEnd w:id="124"/>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125"/>
    <w:bookmarkStart w:id="126" w:name="iii_implicaciones_3"/>
    <w:p>
      <w:pPr>
        <w:pStyle w:val="Heading5"/>
      </w:pPr>
      <w:r>
        <w:t xml:space="preserve">iii) Implicaciones</w:t>
      </w:r>
    </w:p>
    <w:p>
      <w:pPr>
        <w:numPr>
          <w:ilvl w:val="0"/>
          <w:numId w:val="1052"/>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2"/>
        </w:numPr>
      </w:pPr>
      <w:r>
        <w:t xml:space="preserve">Los ciclos tienen un coste: se produce demasiado en unos periodos y demasiado poco en otros, y los precios fluctúan más de lo que justifican las perturbaciones.</w:t>
      </w:r>
    </w:p>
    <w:bookmarkEnd w:id="126"/>
    <w:bookmarkEnd w:id="127"/>
    <w:bookmarkStart w:id="128" w:name="d_evidencia_emp__rica"/>
    <w:p>
      <w:pPr>
        <w:pStyle w:val="Heading4"/>
      </w:pPr>
      <w:r>
        <w:t xml:space="preserve">d) Evidencia empírica</w:t>
      </w:r>
    </w:p>
    <w:p>
      <w:pPr>
        <w:numPr>
          <w:ilvl w:val="0"/>
          <w:numId w:val="1053"/>
        </w:numPr>
      </w:pP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3"/>
        </w:numPr>
      </w:pPr>
      <w:r>
        <w:t xml:space="preserve">En el laboratorio,</w:t>
      </w:r>
      <w:r>
        <w:t xml:space="preserve"> </w:t>
      </w:r>
      <w:r>
        <w:rPr>
          <w:smallCaps/>
        </w:rPr>
        <w:t xml:space="preserve">Hommes</w:t>
      </w:r>
      <w:r>
        <w:t xml:space="preserve"> </w:t>
      </w:r>
      <w:r>
        <w:t xml:space="preserve">et al. (</w:t>
      </w:r>
      <w:hyperlink w:anchor="ref_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128"/>
    <w:bookmarkStart w:id="131" w:name="e_valoraci__n"/>
    <w:p>
      <w:pPr>
        <w:pStyle w:val="Heading4"/>
      </w:pPr>
      <w:r>
        <w:t xml:space="preserve">e) Valoración</w:t>
      </w:r>
    </w:p>
    <w:p>
      <w:pPr>
        <w:numPr>
          <w:ilvl w:val="0"/>
          <w:numId w:val="1054"/>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_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_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2021</w:t>
        </w:r>
      </w:hyperlink>
      <w:r>
        <w:t xml:space="preserve">)</w:t>
      </w:r>
      <w:r>
        <w:t xml:space="preserve"> </w:t>
      </w:r>
      <w:hyperlink r:id="rId129">
        <w:r>
          <w:rPr>
            <w:rStyle w:val="Referenciaatema"/>
          </w:rPr>
          <w:t xml:space="preserve">[ver tema 3.A.6]</w:t>
        </w:r>
      </w:hyperlink>
      <w:r>
        <w:t xml:space="preserve">. Con expectativas adaptativas</w:t>
      </w:r>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solo una parte de su error y el ajuste se amortigua más</w:t>
      </w:r>
      <w:r>
        <w:t xml:space="preserve"> </w:t>
      </w:r>
      <w:hyperlink r:id="rId130">
        <w:r>
          <w:rPr>
            <w:rStyle w:val="Referenciaatema"/>
          </w:rPr>
          <w:t xml:space="preserve">[ver tema 3.A.5]</w:t>
        </w:r>
      </w:hyperlink>
      <w:r>
        <w:t xml:space="preserve">. Las 2 versiones, y el ciclo límite que aparece con curvas no lineales, están en el anexo </w:t>
      </w:r>
      <w:hyperlink w:anchor="anexo_telarana">
        <w:r>
          <w:rPr>
            <w:rStyle w:val="Hyperlink"/>
          </w:rPr>
          <w:t xml:space="preserve">E</w:t>
        </w:r>
      </w:hyperlink>
      <w:r>
        <w:t xml:space="preserve">.</w:t>
      </w:r>
    </w:p>
    <w:p>
      <w:pPr>
        <w:numPr>
          <w:ilvl w:val="0"/>
          <w:numId w:val="1054"/>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4"/>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131"/>
    <w:bookmarkEnd w:id="132"/>
    <w:bookmarkEnd w:id="133"/>
    <w:bookmarkStart w:id="152" w:name="sec_analisis_normativo_eficiencia"/>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hyperlink r:id="rId29">
        <w:r>
          <w:rPr>
            <w:rStyle w:val="Referenciaatema"/>
          </w:rPr>
          <w:t xml:space="preserve">[ver tema 3.A.22]</w:t>
        </w:r>
      </w:hyperlink>
      <w:r>
        <w:t xml:space="preserve">.</w:t>
      </w:r>
    </w:p>
    <w:bookmarkStart w:id="143" w:name="sec_optimalidad_pareto_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55"/>
        </w:numPr>
      </w:pPr>
      <w:r>
        <w:rPr>
          <w:i/>
          <w:iCs/>
        </w:rPr>
        <w:t xml:space="preserve">Antecedente</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numPr>
          <w:ilvl w:val="0"/>
          <w:numId w:val="1055"/>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si no hay otra factible en la que alguien mejore sin que nadie empeore. Es un criterio mínimo y poco discutible (no desperdiciar recursos), ordinal (no exige comparar utilidades) e incompleto: no elige entre asignaciones eficientes con distinto reparto</w:t>
      </w:r>
      <w:r>
        <w:t xml:space="preserve"> </w:t>
      </w:r>
      <w:hyperlink r:id="rId134">
        <w:r>
          <w:rPr>
            <w:rStyle w:val="Referenciaatema"/>
          </w:rPr>
          <w:t xml:space="preserve">[ver tema 3.A.24]</w:t>
        </w:r>
      </w:hyperlink>
      <w:r>
        <w:t xml:space="preserve">.</w:t>
      </w:r>
    </w:p>
    <w:p>
      <w:pPr>
        <w:keepNext/>
        <w:numPr>
          <w:ilvl w:val="0"/>
          <w:numId w:val="1055"/>
        </w:numPr>
      </w:pPr>
      <w:r>
        <w:t xml:space="preserve">En equilibrio parcial con utilidad cuasilineal, la eficiencia se estudia con los</w:t>
      </w:r>
      <w:r>
        <w:t xml:space="preserve"> </w:t>
      </w:r>
      <w:r>
        <w:rPr>
          <w:b/>
          <w:bCs/>
        </w:rPr>
        <w:t xml:space="preserve">excedentes</w:t>
      </w:r>
      <w:r>
        <w:t xml:space="preserve">, medidos en numerario (gráfico </w:t>
      </w:r>
      <w:hyperlink w:anchor="fig_excedentes">
        <w:r>
          <w:rPr>
            <w:rStyle w:val="Hyperlink"/>
          </w:rPr>
          <w:t xml:space="preserve">8</w:t>
        </w:r>
      </w:hyperlink>
      <w:r>
        <w:t xml:space="preserve">):</w:t>
      </w:r>
    </w:p>
    <w:p>
      <w:pPr>
        <w:numPr>
          <w:ilvl w:val="1"/>
          <w:numId w:val="1056"/>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35"/>
      </w:r>
      <w:r>
        <w:t xml:space="preserve"> </w:t>
      </w:r>
      <w:r>
        <w:t xml:space="preserve">Con utilidad cuasilineal es una medida exacta del bienestar: su variación coincide con las variaciones compensatoria y equivalente</w:t>
      </w:r>
      <w:r>
        <w:t xml:space="preserve"> </w:t>
      </w:r>
      <w:hyperlink r:id="rId51">
        <w:r>
          <w:rPr>
            <w:rStyle w:val="Referenciaatema"/>
          </w:rPr>
          <w:t xml:space="preserve">[ver tema 3.A.9]</w:t>
        </w:r>
      </w:hyperlink>
      <w:r>
        <w:t xml:space="preserve">;</w:t>
      </w:r>
    </w:p>
    <w:p>
      <w:pPr>
        <w:numPr>
          <w:ilvl w:val="1"/>
          <w:numId w:val="1056"/>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36"/>
      </w:r>
    </w:p>
    <w:p>
      <w:pPr>
        <w:numPr>
          <w:ilvl w:val="1"/>
          <w:numId w:val="1056"/>
        </w:numPr>
      </w:pPr>
      <w:r>
        <w:rPr>
          <w:b/>
          <w:bCs/>
        </w:rPr>
        <w:t xml:space="preserve">excedente total</w:t>
      </w:r>
      <w:r>
        <w:t xml:space="preserve"> </w:t>
      </w:r>
      <w:r>
        <w:t xml:space="preserve">(ET): su suma, la ganancia neta de producir y consumir el bien:</w:t>
      </w:r>
      <w:r>
        <w:t xml:space="preserve"> </w:t>
      </w:r>
      <w:bookmarkStart w:id="137" w:name="eq_excedentes"/>
      <w:bookmarkEnd w:id="137"/>
    </w:p>
    <w:p>
      <w:pPr>
        <w:pStyle w:val="BodyText"/>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55"/>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 </w:t>
      </w:r>
      <w:r>
        <w:t xml:space="preserve">(anexo </w:t>
      </w:r>
      <w:hyperlink w:anchor="anexo_1tfeb">
        <w:r>
          <w:rPr>
            <w:rStyle w:val="Hyperlink"/>
          </w:rPr>
          <w:t xml:space="preserve">A</w:t>
        </w:r>
      </w:hyperlink>
      <w:r>
        <w:t xml:space="preserve">).</w:t>
      </w:r>
      <w:r>
        <w:rPr>
          <w:rStyle w:val="FootnoteReference"/>
        </w:rPr>
        <w:footnoteReference w:id="138"/>
      </w:r>
    </w:p>
    <w:p>
      <w:pPr>
        <w:numPr>
          <w:ilvl w:val="0"/>
          <w:numId w:val="1055"/>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w:t>
      </w:r>
      <w:hyperlink w:anchor="sec_modelo">
        <w:r>
          <w:rPr>
            <w:rStyle w:val="Hyperlink"/>
          </w:rPr>
          <w:t xml:space="preserve">I.2</w:t>
        </w:r>
      </w:hyperlink>
      <w:r>
        <w:t xml:space="preserve">). Además, cada unidad la consumen quienes más la valoran y la producen quienes menos coste tienen.</w:t>
      </w:r>
    </w:p>
    <w:bookmarkStart w:id="142" w:name="fig_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Gráfico 8.– Excedentes del consumidor y del productor en el equilibrio competitivo: el excedente total es máximo en x^*" title="" id="140" name="Picture"/>
            <a:graphic>
              <a:graphicData uri="http://schemas.openxmlformats.org/drawingml/2006/picture">
                <pic:pic>
                  <pic:nvPicPr>
                    <pic:cNvPr descr="C:\Users\vgutierrez\Documents\src\victorgutierrezmarcos.github.io-revision\oposicion\temario\fuentes\3A16\graficos/excedentes.png" id="141" name="Picture"/>
                    <pic:cNvPicPr>
                      <a:picLocks noChangeArrowheads="1" noChangeAspect="1"/>
                    </pic:cNvPicPr>
                  </pic:nvPicPr>
                  <pic:blipFill>
                    <a:blip r:embed="rId139"/>
                    <a:stretch>
                      <a:fillRect/>
                    </a:stretch>
                  </pic:blipFill>
                  <pic:spPr bwMode="auto">
                    <a:xfrm>
                      <a:off x="0" y="0"/>
                      <a:ext cx="2828829" cy="2125444"/>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10.D</w:t>
        </w:r>
      </w:hyperlink>
      <w:r>
        <w:t xml:space="preserve">)</w:t>
      </w:r>
      <w:r>
        <w:t xml:space="preserve">.</w:t>
      </w:r>
    </w:p>
    <w:bookmarkEnd w:id="143"/>
    <w:bookmarkStart w:id="151" w:name="sec_teoremas_fundamentales_economia"/>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44"/>
      </w:r>
    </w:p>
    <w:bookmarkStart w:id="149" w:name="primer_teorema_fundamental_de_la_e_75521"/>
    <w:p>
      <w:pPr>
        <w:pStyle w:val="Heading4"/>
      </w:pPr>
      <w:r>
        <w:t xml:space="preserve">Primer teorema fundamental de la economía del bienestar (1TFEB)</w:t>
      </w:r>
    </w:p>
    <w:p>
      <w:pPr>
        <w:numPr>
          <w:ilvl w:val="0"/>
          <w:numId w:val="1057"/>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57"/>
        </w:numPr>
      </w:pPr>
      <w:r>
        <w:rPr>
          <w:i/>
          <w:iCs/>
        </w:rPr>
        <w:t xml:space="preserve">Demostración en equilibrio parcial</w:t>
      </w:r>
      <w:r>
        <w:t xml:space="preserve">: buscamos las cantidades que maximizan el excedente total, sujetas a que se consuma lo que se produce:</w:t>
      </w:r>
    </w:p>
    <w:bookmarkStart w:id="145" w:name="eq_max_et"/>
    <w:bookmarkEnd w:id="145"/>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r>
        <w:t xml:space="preserve"> </w:t>
      </w:r>
      <w:bookmarkStart w:id="146" w:name="eq_cpo_max_et"/>
      <w:bookmarkEnd w:id="146"/>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58"/>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w:t>
      </w:r>
      <w:hyperlink w:anchor="eq_cpo_max_et">
        <w:r>
          <w:rPr>
            <w:rStyle w:val="Hyperlink"/>
          </w:rPr>
          <w:t xml:space="preserve">15</w:t>
        </w:r>
      </w:hyperlink>
      <w:r>
        <w:t xml:space="preserve">) son exactamente las del equilibrio competitivo (</w:t>
      </w:r>
      <w:hyperlink w:anchor="eq_equilibrio">
        <w:r>
          <w:rPr>
            <w:rStyle w:val="Hyperlink"/>
          </w:rPr>
          <w:t xml:space="preserve">8</w:t>
        </w:r>
      </w:hyperlink>
      <w:r>
        <w:t xml:space="preserve">)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w:t>
      </w:r>
      <w:hyperlink w:anchor="anexo_1tfeb">
        <w:r>
          <w:rPr>
            <w:rStyle w:val="Hyperlink"/>
          </w:rPr>
          <w:t xml:space="preserve">A</w:t>
        </w:r>
      </w:hyperlink>
      <w:r>
        <w:t xml:space="preserve">).</w:t>
      </w:r>
    </w:p>
    <w:p>
      <w:pPr>
        <w:keepNext/>
        <w:numPr>
          <w:ilvl w:val="0"/>
          <w:numId w:val="1057"/>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w:t>
      </w:r>
      <w:r>
        <w:t xml:space="preserve"> </w:t>
      </w:r>
      <w:hyperlink w:anchor="sec_largo_plazo_libre_entrada">
        <w:r>
          <w:rPr>
            <w:rStyle w:val="Hyperlink"/>
          </w:rPr>
          <w:t xml:space="preserve">III.3</w:t>
        </w:r>
      </w:hyperlink>
      <w:r>
        <w:t xml:space="preserve">), ni la forma cuasilineal, que solo simplifica la medida del bienestar. Cuando falla alguno de los 3, el equilibrio deja de ser eficiente:</w:t>
      </w:r>
      <w:r>
        <w:rPr>
          <w:rStyle w:val="FootnoteReference"/>
        </w:rPr>
        <w:footnoteReference w:id="147"/>
      </w:r>
    </w:p>
    <w:p>
      <w:pPr>
        <w:numPr>
          <w:ilvl w:val="1"/>
          <w:numId w:val="1059"/>
        </w:numPr>
      </w:pPr>
      <w:r>
        <w:t xml:space="preserve">con poder de mercado, el precio supera al coste marginal</w:t>
      </w:r>
      <w:r>
        <w:t xml:space="preserve"> </w:t>
      </w:r>
      <w:hyperlink r:id="rId26">
        <w:r>
          <w:rPr>
            <w:rStyle w:val="Referenciaatema"/>
          </w:rPr>
          <w:t xml:space="preserve">[ver tema 3.A.17]</w:t>
        </w:r>
      </w:hyperlink>
      <w:r>
        <w:t xml:space="preserve">;</w:t>
      </w:r>
    </w:p>
    <w:p>
      <w:pPr>
        <w:numPr>
          <w:ilvl w:val="1"/>
          <w:numId w:val="1059"/>
        </w:numPr>
      </w:pPr>
      <w:r>
        <w:t xml:space="preserve">con externalidades o bienes públicos, el coste o el beneficio marginal privado no es el social</w:t>
      </w:r>
      <w:r>
        <w:t xml:space="preserve"> </w:t>
      </w:r>
      <w:hyperlink r:id="rId148">
        <w:r>
          <w:rPr>
            <w:rStyle w:val="Referenciaatema"/>
          </w:rPr>
          <w:t xml:space="preserve">[ver tema 3.A.23]</w:t>
        </w:r>
      </w:hyperlink>
      <w:r>
        <w:t xml:space="preserve">;</w:t>
      </w:r>
    </w:p>
    <w:p>
      <w:pPr>
        <w:numPr>
          <w:ilvl w:val="1"/>
          <w:numId w:val="1059"/>
        </w:numPr>
      </w:pPr>
      <w:r>
        <w:t xml:space="preserve">con un impuesto, el precio del consumidor se separa del precio del productor (</w:t>
      </w:r>
      <w:hyperlink w:anchor="sec_introduccion_impuesto">
        <w:r>
          <w:rPr>
            <w:rStyle w:val="Hyperlink"/>
          </w:rPr>
          <w:t xml:space="preserve">II.3.2</w:t>
        </w:r>
      </w:hyperlink>
      <w:r>
        <w:t xml:space="preserve">).</w:t>
      </w:r>
    </w:p>
    <w:p>
      <w:pPr>
        <w:numPr>
          <w:ilvl w:val="0"/>
          <w:numId w:val="1057"/>
        </w:numPr>
      </w:pPr>
      <w:r>
        <w:rPr>
          <w:i/>
          <w:iCs/>
        </w:rPr>
        <w:t xml:space="preserve">Interpretación</w:t>
      </w:r>
      <w:r>
        <w:t xml:space="preserve">: es la expresión formal de la «mano invisible» de</w:t>
      </w:r>
      <w:r>
        <w:t xml:space="preserve"> </w:t>
      </w:r>
      <w:r>
        <w:rPr>
          <w:smallCaps/>
        </w:rPr>
        <w:t xml:space="preserve">Smith</w:t>
      </w:r>
      <w:r>
        <w:t xml:space="preserve"> </w:t>
      </w:r>
      <w:hyperlink r:id="rId33">
        <w:r>
          <w:rPr>
            <w:rStyle w:val="Referenciaatema"/>
          </w:rPr>
          <w:t xml:space="preserve">[ver tema 3.A.2]</w:t>
        </w:r>
      </w:hyperlink>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49"/>
    <w:bookmarkStart w:id="150" w:name="segundo_teorema_fundamental_de_la__07156"/>
    <w:p>
      <w:pPr>
        <w:pStyle w:val="Heading4"/>
      </w:pPr>
      <w:r>
        <w:t xml:space="preserve">Segundo teorema fundamental de la economía del bienestar (2TFEB)</w:t>
      </w:r>
    </w:p>
    <w:p>
      <w:pPr>
        <w:numPr>
          <w:ilvl w:val="0"/>
          <w:numId w:val="1060"/>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60"/>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w:t>
      </w:r>
    </w:p>
    <w:p>
      <w:pPr>
        <w:numPr>
          <w:ilvl w:val="0"/>
          <w:numId w:val="1060"/>
        </w:numPr>
      </w:pPr>
      <w:r>
        <w:rPr>
          <w:i/>
          <w:iCs/>
        </w:rPr>
        <w:t xml:space="preserve">En general</w:t>
      </w:r>
      <w:r>
        <w:t xml:space="preserve"> </w:t>
      </w:r>
      <w:r>
        <w:t xml:space="preserve">exige más que el 1TFEB: preferencias y tecnologías convexas, y su demostración usa el teorema del hiperplano separador</w:t>
      </w:r>
      <w:r>
        <w:t xml:space="preserve"> </w:t>
      </w:r>
      <w:hyperlink r:id="rId29">
        <w:r>
          <w:rPr>
            <w:rStyle w:val="Referenciaatema"/>
          </w:rPr>
          <w:t xml:space="preserve">[ver tema 3.A.22]</w:t>
        </w:r>
      </w:hyperlink>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60"/>
        </w:numPr>
      </w:pPr>
      <w:r>
        <w:rPr>
          <w:i/>
          <w:iCs/>
        </w:rPr>
        <w:t xml:space="preserve">Por qué importa</w:t>
      </w:r>
      <w:r>
        <w:t xml:space="preserve">: separa eficiencia y equidad. La redistribución puede hacerse con transferencias de suma fija, sin alterar los precios.</w:t>
      </w:r>
    </w:p>
    <w:p>
      <w:pPr>
        <w:numPr>
          <w:ilvl w:val="0"/>
          <w:numId w:val="1060"/>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50"/>
    <w:bookmarkEnd w:id="151"/>
    <w:bookmarkEnd w:id="152"/>
    <w:bookmarkStart w:id="174" w:name="sec_analisis_estatica_comparativa"/>
    <w:p>
      <w:pPr>
        <w:pStyle w:val="Heading2"/>
      </w:pPr>
      <w:r>
        <w:t xml:space="preserve">II.3.</w:t>
      </w:r>
      <w:r>
        <w:t xml:space="preserve"> </w:t>
      </w:r>
      <w:r>
        <w:t xml:space="preserve">Análisis de estática comparativa</w:t>
      </w:r>
    </w:p>
    <w:p>
      <w:pPr>
        <w:numPr>
          <w:ilvl w:val="0"/>
          <w:numId w:val="1061"/>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1"/>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r>
        <w:t xml:space="preserve"> </w:t>
      </w:r>
      <w:bookmarkStart w:id="153" w:name="eq_estatica"/>
      <w:bookmarkEnd w:id="153"/>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w:t>
      </w:r>
      <w:hyperlink w:anchor="sec_estabilidad_dinamicas_ajuste">
        <w:r>
          <w:rPr>
            <w:rStyle w:val="Hyperlink"/>
          </w:rPr>
          <w:t xml:space="preserve">II.1.3</w:t>
        </w:r>
      </w:hyperlink>
      <w:r>
        <w:t xml:space="preserve">),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_Samuelson1941Stability">
        <w:r>
          <w:rPr>
            <w:rStyle w:val="Hyperlink"/>
            <w:smallCaps/>
          </w:rPr>
          <w:t xml:space="preserve">Samuelson</w:t>
        </w:r>
        <w:r>
          <w:rPr>
            <w:rStyle w:val="Hyperlink"/>
          </w:rPr>
          <w:t xml:space="preserve">, 1941</w:t>
        </w:r>
      </w:hyperlink>
      <w:r>
        <w:t xml:space="preserve">,</w:t>
      </w:r>
      <w:r>
        <w:t xml:space="preserve"> </w:t>
      </w:r>
      <w:hyperlink w:anchor="ref_Samuelson1947Foundations">
        <w:r>
          <w:rPr>
            <w:rStyle w:val="Hyperlink"/>
          </w:rPr>
          <w:t xml:space="preserve">1947</w:t>
        </w:r>
      </w:hyperlink>
      <w:r>
        <w:t xml:space="preserve">)</w:t>
      </w:r>
      <w:r>
        <w:t xml:space="preserve">.</w:t>
      </w:r>
    </w:p>
    <w:p>
      <w:pPr>
        <w:numPr>
          <w:ilvl w:val="0"/>
          <w:numId w:val="1061"/>
        </w:numPr>
      </w:pPr>
      <w:r>
        <w:t xml:space="preserve">La demanda se desplaza con las preferencias; la oferta, con la tecnología o los precios de los factores.</w:t>
      </w:r>
      <w:r>
        <w:rPr>
          <w:rStyle w:val="FootnoteReference"/>
        </w:rPr>
        <w:footnoteReference w:id="154"/>
      </w:r>
      <w:r>
        <w:t xml:space="preserve"> </w:t>
      </w:r>
      <w:r>
        <w:t xml:space="preserve">Los impuestos separan el precio que pagan unos del que reciben otros.</w:t>
      </w:r>
    </w:p>
    <w:bookmarkStart w:id="159" w:name="sec_cambios_preferencias_tecnologia"/>
    <w:p>
      <w:pPr>
        <w:pStyle w:val="Heading3"/>
      </w:pPr>
      <w:r>
        <w:t xml:space="preserve">II.3.1.</w:t>
      </w:r>
      <w:r>
        <w:t xml:space="preserve"> </w:t>
      </w:r>
      <w:r>
        <w:t xml:space="preserve">Cambios en las preferencias y en la tecnología</w:t>
      </w:r>
    </w:p>
    <w:p>
      <w:pPr>
        <w:keepNext/>
        <w:numPr>
          <w:ilvl w:val="0"/>
          <w:numId w:val="1062"/>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w:t>
      </w:r>
      <w:hyperlink w:anchor="fig_choques">
        <w:r>
          <w:rPr>
            <w:rStyle w:val="Hyperlink"/>
          </w:rPr>
          <w:t xml:space="preserve">9</w:t>
        </w:r>
      </w:hyperlink>
      <w:r>
        <w:t xml:space="preserve">, izquierda).</w:t>
      </w:r>
    </w:p>
    <w:p>
      <w:pPr>
        <w:numPr>
          <w:ilvl w:val="1"/>
          <w:numId w:val="1063"/>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2"/>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curva de oferta hacia abajo (a la derecha): a cada precio se ofrece más cantidad, y baja el precio y sube la cantidad (gráfico </w:t>
      </w:r>
      <w:hyperlink w:anchor="fig_choques">
        <w:r>
          <w:rPr>
            <w:rStyle w:val="Hyperlink"/>
          </w:rPr>
          <w:t xml:space="preserve">9</w:t>
        </w:r>
      </w:hyperlink>
      <w:r>
        <w:t xml:space="preserve">, derecha).</w:t>
      </w:r>
    </w:p>
    <w:p>
      <w:pPr>
        <w:numPr>
          <w:ilvl w:val="1"/>
          <w:numId w:val="1064"/>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58" w:name="fig_choques"/>
    <w:p>
      <w:pPr>
        <w:pStyle w:val="ImageCaption"/>
      </w:pPr>
      <w:r>
        <w:t xml:space="preserve">Gráfico 9.–</w:t>
      </w:r>
      <w:r>
        <w:t xml:space="preserve"> </w:t>
      </w:r>
      <w:r>
        <w:t xml:space="preserve">Estática comparativa: aumento de la demanda (izquierda) y mejora tecnológica que desplaza la curva de oferta hacia abajo (derecha)</w:t>
      </w:r>
    </w:p>
    <w:p>
      <w:pPr>
        <w:pStyle w:val="CaptionedFigure"/>
      </w:pPr>
      <w:r>
        <w:drawing>
          <wp:inline>
            <wp:extent cx="5217278" cy="2602523"/>
            <wp:effectExtent b="0" l="0" r="0" t="0"/>
            <wp:docPr descr="Gráfico 9.– Estática comparativa: aumento de la demanda (izquierda) y mejora tecnológica que desplaza la curva de oferta hacia abajo (derecha)" title="" id="156" name="Picture"/>
            <a:graphic>
              <a:graphicData uri="http://schemas.openxmlformats.org/drawingml/2006/picture">
                <pic:pic>
                  <pic:nvPicPr>
                    <pic:cNvPr descr="C:\Users\vgutierrez\Documents\src\victorgutierrezmarcos.github.io-revision\oposicion\temario\fuentes\3A16\graficos/choques.png" id="157" name="Picture"/>
                    <pic:cNvPicPr>
                      <a:picLocks noChangeArrowheads="1" noChangeAspect="1"/>
                    </pic:cNvPicPr>
                  </pic:nvPicPr>
                  <pic:blipFill>
                    <a:blip r:embed="rId155"/>
                    <a:stretch>
                      <a:fillRect/>
                    </a:stretch>
                  </pic:blipFill>
                  <pic:spPr bwMode="auto">
                    <a:xfrm>
                      <a:off x="0" y="0"/>
                      <a:ext cx="5217278" cy="260252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59"/>
    <w:bookmarkStart w:id="173" w:name="sec_introduccion_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60" w:name="a_idea_3"/>
    <w:p>
      <w:pPr>
        <w:pStyle w:val="Heading4"/>
      </w:pPr>
      <w:r>
        <w:t xml:space="preserve">a) Idea</w:t>
      </w:r>
    </w:p>
    <w:p>
      <w:pPr>
        <w:numPr>
          <w:ilvl w:val="0"/>
          <w:numId w:val="1065"/>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60"/>
    <w:bookmarkStart w:id="172" w:name="b_modelo_3"/>
    <w:p>
      <w:pPr>
        <w:pStyle w:val="Heading4"/>
      </w:pPr>
      <w:r>
        <w:t xml:space="preserve">b) Modelo</w:t>
      </w:r>
    </w:p>
    <w:bookmarkStart w:id="161" w:name="i_supuestos_5"/>
    <w:p>
      <w:pPr>
        <w:pStyle w:val="Heading5"/>
      </w:pPr>
      <w:r>
        <w:t xml:space="preserve">i) Supuestos</w:t>
      </w:r>
    </w:p>
    <w:p>
      <w:pPr>
        <w:numPr>
          <w:ilvl w:val="0"/>
          <w:numId w:val="1066"/>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61"/>
    <w:bookmarkStart w:id="165" w:name="ii_desarrollo_5"/>
    <w:p>
      <w:pPr>
        <w:pStyle w:val="Heading5"/>
      </w:pPr>
      <w:r>
        <w:t xml:space="preserve">ii) Desarrollo</w:t>
      </w:r>
    </w:p>
    <w:p>
      <w:pPr>
        <w:numPr>
          <w:ilvl w:val="0"/>
          <w:numId w:val="1067"/>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r>
        <w:t xml:space="preserve"> </w:t>
      </w:r>
      <w:bookmarkStart w:id="162" w:name="eq_impuesto"/>
      <w:bookmarkEnd w:id="162"/>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p>
      <w:pPr>
        <w:numPr>
          <w:ilvl w:val="0"/>
          <w:numId w:val="1067"/>
        </w:numPr>
      </w:pPr>
      <w:r>
        <w:rPr>
          <w:i/>
          <w:iCs/>
        </w:rPr>
        <w:t xml:space="preserve">Reparto del impuesto</w:t>
      </w:r>
      <w:r>
        <w:t xml:space="preserve">: derivando (</w:t>
      </w:r>
      <w:hyperlink w:anchor="eq_impuesto">
        <w:r>
          <w:rPr>
            <w:rStyle w:val="Hyperlink"/>
          </w:rPr>
          <w:t xml:space="preserve">17</w:t>
        </w:r>
      </w:hyperlink>
      <w:r>
        <w:t xml:space="preserve">)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r>
        <w:t xml:space="preserve"> </w:t>
      </w:r>
      <w:bookmarkStart w:id="163" w:name="eq_reparto"/>
      <w:bookmarkEnd w:id="163"/>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68"/>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w:t>
      </w:r>
      <w:hyperlink w:anchor="fig_incidencia">
        <w:r>
          <w:rPr>
            <w:rStyle w:val="Hyperlink"/>
          </w:rPr>
          <w:t xml:space="preserve">10</w:t>
        </w:r>
      </w:hyperlink>
      <w:r>
        <w:t xml:space="preserve">).</w:t>
      </w:r>
    </w:p>
    <w:p>
      <w:pPr>
        <w:numPr>
          <w:ilvl w:val="1"/>
          <w:numId w:val="1068"/>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_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64"/>
      </w:r>
    </w:p>
    <w:p>
      <w:pPr>
        <w:numPr>
          <w:ilvl w:val="0"/>
          <w:numId w:val="1067"/>
        </w:numPr>
      </w:pPr>
      <w:r>
        <w:rPr>
          <w:i/>
          <w:iCs/>
        </w:rPr>
        <w:t xml:space="preserve">Casos extremos</w:t>
      </w:r>
      <w:r>
        <w:t xml:space="preserve">: con la demanda perfectamente inelástica o la oferta perfectamente elástica (a largo plazo, con libre entrada y costes constantes,</w:t>
      </w:r>
      <w:r>
        <w:t xml:space="preserve"> </w:t>
      </w:r>
      <w:hyperlink w:anchor="sec_largo_plazo_libre_entrada">
        <w:r>
          <w:rPr>
            <w:rStyle w:val="Hyperlink"/>
          </w:rPr>
          <w:t xml:space="preserve">III.3</w:t>
        </w:r>
      </w:hyperlink>
      <w:r>
        <w:t xml:space="preserve">), lo soportan por entero los consumidores; con la demanda perfectamente elástica o la oferta perfectamente inelástica (un factor fijo, como el suelo), los vendedores.</w:t>
      </w:r>
    </w:p>
    <w:p>
      <w:pPr>
        <w:numPr>
          <w:ilvl w:val="0"/>
          <w:numId w:val="1067"/>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65"/>
    <w:bookmarkStart w:id="171" w:name="iii_implicaciones_4"/>
    <w:p>
      <w:pPr>
        <w:pStyle w:val="Heading5"/>
      </w:pPr>
      <w:r>
        <w:t xml:space="preserve">iii) Implicaciones</w:t>
      </w:r>
    </w:p>
    <w:p>
      <w:pPr>
        <w:numPr>
          <w:ilvl w:val="0"/>
          <w:numId w:val="1069"/>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_Harberger1964Measurement">
        <w:r>
          <w:rPr>
            <w:rStyle w:val="Hyperlink"/>
          </w:rPr>
          <w:t xml:space="preserve">1964</w:t>
        </w:r>
      </w:hyperlink>
      <w:r>
        <w:t xml:space="preserve">)</w:t>
      </w:r>
      <w:r>
        <w:t xml:space="preserve">:</w:t>
      </w:r>
      <w:r>
        <w:t xml:space="preserve"> </w:t>
      </w:r>
      <w:bookmarkStart w:id="166" w:name="eq_exceso_gravamen"/>
      <w:bookmarkEnd w:id="166"/>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70"/>
        </w:numPr>
      </w:pPr>
      <w:r>
        <w:t xml:space="preserve">Crece con el cuadrado del impuesto y con las elasticidades: un impuesto destruye poco bienestar si recae sobre un mercado inelástico</w:t>
      </w:r>
      <w:r>
        <w:t xml:space="preserve"> </w:t>
      </w:r>
      <w:hyperlink r:id="rId32">
        <w:r>
          <w:rPr>
            <w:rStyle w:val="Referenciaatema"/>
          </w:rPr>
          <w:t xml:space="preserve">[ver tema 4.B.9]</w:t>
        </w:r>
      </w:hyperlink>
      <w:r>
        <w:t xml:space="preserve">.</w:t>
      </w:r>
    </w:p>
    <w:p>
      <w:pPr>
        <w:numPr>
          <w:ilvl w:val="1"/>
          <w:numId w:val="1070"/>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70" w:name="fig_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Gráfico 10.– Incidencia de un impuesto unitario: cuña fiscal, recaudación repartida entre consumidores y vendedores y pérdida irrecuperable de eficiencia" title="" id="168" name="Picture"/>
            <a:graphic>
              <a:graphicData uri="http://schemas.openxmlformats.org/drawingml/2006/picture">
                <pic:pic>
                  <pic:nvPicPr>
                    <pic:cNvPr descr="C:\Users\vgutierrez\Documents\src\victorgutierrezmarcos.github.io-revision\oposicion\temario\fuentes\3A16\graficos/incidencia.png" id="169" name="Picture"/>
                    <pic:cNvPicPr>
                      <a:picLocks noChangeArrowheads="1" noChangeAspect="1"/>
                    </pic:cNvPicPr>
                  </pic:nvPicPr>
                  <pic:blipFill>
                    <a:blip r:embed="rId167"/>
                    <a:stretch>
                      <a:fillRect/>
                    </a:stretch>
                  </pic:blipFill>
                  <pic:spPr bwMode="auto">
                    <a:xfrm>
                      <a:off x="0" y="0"/>
                      <a:ext cx="3282950" cy="2275743"/>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pStyle w:val="Notaalopositor"/>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w:t>
      </w:r>
      <w:hyperlink w:anchor="anexo_controles">
        <w:r>
          <w:rPr>
            <w:rStyle w:val="Hyperlink"/>
          </w:rPr>
          <w:t xml:space="preserve">C</w:t>
        </w:r>
      </w:hyperlink>
      <w:r>
        <w:t xml:space="preserve">).</w:t>
      </w:r>
    </w:p>
    <w:p>
      <w:pPr>
        <w:numPr>
          <w:ilvl w:val="0"/>
          <w:numId w:val="1071"/>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71"/>
    <w:bookmarkEnd w:id="172"/>
    <w:bookmarkEnd w:id="173"/>
    <w:bookmarkEnd w:id="174"/>
    <w:bookmarkEnd w:id="175"/>
    <w:bookmarkStart w:id="230" w:name="sec_analisis_plazos_corto"/>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2"/>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2"/>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pPr>
      <w:r>
        <w:rPr>
          <w:b/>
          <w:bCs/>
        </w:rPr>
        <w:t xml:space="preserve">Nota al opositor. </w:t>
      </w:r>
      <w:r>
        <w:t xml:space="preserve">En el cante de</w:t>
      </w:r>
      <w:r>
        <w:t xml:space="preserve"> </w:t>
      </w:r>
      <w:hyperlink w:anchor="sec_analisis_plazos_corto">
        <w:r>
          <w:rPr>
            <w:rStyle w:val="Hyperlink"/>
          </w:rPr>
          <w:t xml:space="preserve">III</w:t>
        </w:r>
      </w:hyperlink>
      <w:r>
        <w:t xml:space="preserve"> </w:t>
      </w:r>
      <w:r>
        <w:t xml:space="preserve">(6′): los 3 plazos de la tabla, con el ejemplo del aceite del enganche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caja del beneficio económico y la del mercado de pescado de</w:t>
      </w:r>
      <w:r>
        <w:t xml:space="preserve"> </w:t>
      </w:r>
      <w:r>
        <w:rPr>
          <w:smallCaps/>
        </w:rPr>
        <w:t xml:space="preserve">Marshall</w:t>
      </w:r>
      <w:r>
        <w:t xml:space="preserve"> </w:t>
      </w:r>
      <w:r>
        <w:t xml:space="preserve">son de profundización. La de</w:t>
      </w:r>
      <w:r>
        <w:t xml:space="preserve"> </w:t>
      </w:r>
      <w:r>
        <w:rPr>
          <w:smallCaps/>
        </w:rPr>
        <w:t xml:space="preserve">Marshall</w:t>
      </w:r>
      <w:r>
        <w:t xml:space="preserve"> </w:t>
      </w:r>
      <w:r>
        <w:t xml:space="preserve">es un antecedente histórico con otra terminología (periodo de mercado, valor normal): conviene no mezclarla con la de los plazos del tema.</w:t>
      </w:r>
    </w:p>
    <w:p>
      <w:pPr>
        <w:keepNext/>
        <w:numPr>
          <w:ilvl w:val="0"/>
          <w:numId w:val="1073"/>
        </w:numPr>
      </w:pPr>
      <w:r>
        <w:rPr>
          <w:b/>
          <w:bCs/>
        </w:rPr>
        <w:t xml:space="preserve">Los plazos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el plazo no es un tiempo de calendario, sino el tiempo de que disponen las empresas para ajustarse, y se define por lo que pueden cambiar (tabla </w:t>
      </w:r>
      <w:hyperlink w:anchor="tab_plazos">
        <w:r>
          <w:rPr>
            <w:rStyle w:val="Hyperlink"/>
          </w:rPr>
          <w:t xml:space="preserve">3</w:t>
        </w:r>
      </w:hyperlink>
      <w:r>
        <w:t xml:space="preserve">):</w:t>
      </w:r>
    </w:p>
    <w:p>
      <w:pPr>
        <w:numPr>
          <w:ilvl w:val="1"/>
          <w:numId w:val="1074"/>
        </w:numPr>
      </w:pPr>
      <w:r>
        <w:t xml:space="preserve">a</w:t>
      </w:r>
      <w:r>
        <w:t xml:space="preserve"> </w:t>
      </w:r>
      <w:r>
        <w:rPr>
          <w:i/>
          <w:iCs/>
        </w:rPr>
        <w:t xml:space="preserve">corto plazo</w:t>
      </w:r>
      <w:r>
        <w:t xml:space="preserve">, algún factor está fijo y el número de empresas también: cada empresa ajusta su producción con el equipo que tiene (más o menos cuidados y jornales en los olivares existentes);</w:t>
      </w:r>
    </w:p>
    <w:p>
      <w:pPr>
        <w:numPr>
          <w:ilvl w:val="1"/>
          <w:numId w:val="1074"/>
        </w:numPr>
      </w:pPr>
      <w:r>
        <w:t xml:space="preserve">a</w:t>
      </w:r>
      <w:r>
        <w:t xml:space="preserve"> </w:t>
      </w:r>
      <w:r>
        <w:rPr>
          <w:i/>
          <w:iCs/>
        </w:rPr>
        <w:t xml:space="preserve">largo plazo sin libre entrada</w:t>
      </w:r>
      <w:r>
        <w:t xml:space="preserve">, todos los factores son variables, pero el número de empresas está dado: cada empresa ajusta su propio equipo a la demanda que espera (más olivos o una almazara mayor en las explotaciones que ya existen);</w:t>
      </w:r>
    </w:p>
    <w:p>
      <w:pPr>
        <w:numPr>
          <w:ilvl w:val="1"/>
          <w:numId w:val="1074"/>
        </w:numPr>
      </w:pPr>
      <w:r>
        <w:t xml:space="preserve">a</w:t>
      </w:r>
      <w:r>
        <w:t xml:space="preserve"> </w:t>
      </w:r>
      <w:r>
        <w:rPr>
          <w:i/>
          <w:iCs/>
        </w:rPr>
        <w:t xml:space="preserve">largo plazo con libre entrada</w:t>
      </w:r>
      <w:r>
        <w:t xml:space="preserve">, el número de empresas es endógeno: entran empresas si hay beneficios y salen si hay pérdidas (olivares nuevos, que tardan años en dar fruto).</w:t>
      </w:r>
    </w:p>
    <w:bookmarkStart w:id="176" w:name="tab_plazos"/>
    <w:p>
      <w:pPr>
        <w:pStyle w:val="TableCaption"/>
      </w:pPr>
      <w:r>
        <w:t xml:space="preserve">Tabla 3.–</w:t>
      </w:r>
      <w:r>
        <w:t xml:space="preserve"> </w:t>
      </w:r>
      <w:r>
        <w:t xml:space="preserve">Los plazos en el análisis de la competencia perfecta</w:t>
      </w:r>
    </w:p>
    <w:tbl>
      <w:tblPr>
        <w:tblStyle w:val="Table"/>
        <w:tblW w:type="auto" w:w="0"/>
        <w:tblLook w:firstRow="1" w:lastRow="0" w:firstColumn="0" w:lastColumn="0" w:noHBand="0" w:noVBand="0" w:val="0020"/>
        <w:tblCaption w:val="Tabla 3.– Los plazos en el análisis de la competencia perfecta"/>
      </w:tblPr>
      <w:tblGrid>
        <w:gridCol w:w="1584"/>
        <w:gridCol w:w="1584"/>
        <w:gridCol w:w="1584"/>
        <w:gridCol w:w="1584"/>
        <w:gridCol w:w="1584"/>
      </w:tblGrid>
      <w:tr>
        <w:trPr>
          <w:tblHeader w:val="on"/>
        </w:trPr>
        <w:tc>
          <w:tcPr>
            <w:vAlign w:val="center"/>
          </w:tcPr>
          <w:p>
            <w:pPr>
              <w:pStyle w:val="Celdatceeazulpalido"/>
              <w:jc w:val="center"/>
            </w:pPr>
            <w:r>
              <w:rPr>
                <w:b/>
                <w:bCs/>
              </w:rPr>
              <w:t xml:space="preserve">Plazo</w:t>
            </w:r>
          </w:p>
        </w:tc>
        <w:tc>
          <w:tcPr>
            <w:vAlign w:val="center"/>
          </w:tcPr>
          <w:p>
            <w:pPr>
              <w:pStyle w:val="Celdatceeazulpalido"/>
              <w:jc w:val="center"/>
            </w:pPr>
            <w:r>
              <w:rPr>
                <w:b/>
                <w:bCs/>
              </w:rPr>
              <w:t xml:space="preserve">Factores</w:t>
            </w:r>
          </w:p>
        </w:tc>
        <w:tc>
          <w:tcPr>
            <w:vAlign w:val="center"/>
          </w:tcPr>
          <w:p>
            <w:pPr>
              <w:pStyle w:val="Celdatceeazulpalido"/>
              <w:jc w:val="center"/>
            </w:pPr>
            <w:r>
              <w:rPr>
                <w:b/>
                <w:bCs/>
              </w:rPr>
              <w:t xml:space="preserve">Número de empresas</w:t>
            </w:r>
          </w:p>
        </w:tc>
        <w:tc>
          <w:tcPr>
            <w:vAlign w:val="center"/>
          </w:tcPr>
          <w:p>
            <w:pPr>
              <w:pStyle w:val="Celdatceeazulpalido"/>
              <w:jc w:val="center"/>
            </w:pPr>
            <w:r>
              <w:rPr>
                <w:b/>
                <w:bCs/>
              </w:rPr>
              <w:t xml:space="preserve">Oferta de la empresa</w:t>
            </w:r>
          </w:p>
        </w:tc>
        <w:tc>
          <w:tcPr>
            <w:vAlign w:val="center"/>
          </w:tcPr>
          <w:p>
            <w:pPr>
              <w:pStyle w:val="Celdatceeazulpalido"/>
              <w:jc w:val="center"/>
            </w:pPr>
            <w:r>
              <w:rPr>
                <w:b/>
                <w:bCs/>
              </w:rPr>
              <w:t xml:space="preserve">Beneficio en equilibrio</w:t>
            </w:r>
          </w:p>
        </w:tc>
      </w:tr>
      <w:t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c>
          <w:tcPr>
            <w:gridSpan w:val="5"/>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76"/>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10.F</w:t>
        </w:r>
      </w:hyperlink>
      <w:r>
        <w:rPr>
          <w:i/>
          <w:iCs/>
        </w:rPr>
        <w:t xml:space="preserve">)</w:t>
      </w:r>
      <w:r>
        <w:rPr>
          <w:i/>
          <w:iCs/>
        </w:rPr>
        <w:t xml:space="preserve">.</w:t>
      </w:r>
    </w:p>
    <w:p>
      <w:pPr>
        <w:pStyle w:val="Cajadeanotaciones"/>
      </w:pPr>
      <w:r>
        <w:rPr>
          <w:b/>
          <w:bCs/>
        </w:rPr>
        <w:t xml:space="preserve">Antecedente histórico: los periodos de</w:t>
      </w:r>
      <w:r>
        <w:rPr>
          <w:b/>
          <w:bCs/>
        </w:rPr>
        <w:t xml:space="preserve"> </w:t>
      </w:r>
      <w:r>
        <w:rPr>
          <w:b/>
          <w:bCs/>
          <w:smallCaps/>
        </w:rPr>
        <w:t xml:space="preserve">Marshall</w:t>
      </w:r>
      <w:r>
        <w:rPr>
          <w:b/>
          <w:bCs/>
        </w:rPr>
        <w:t xml:space="preserve"> </w:t>
      </w:r>
      <w:r>
        <w:rPr>
          <w:b/>
          <w:bCs/>
        </w:rPr>
        <w:t xml:space="preserve">y su mercado de pescado</w:t>
      </w:r>
      <w:r>
        <w:t xml:space="preserv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w:t>
      </w:r>
      <w:r>
        <w:t xml:space="preserve">ya distinguía los plazos por el tiempo de que disponen los agentes para ajustarse, pero con otra terminología, que no coincide con la de la tabla </w:t>
      </w:r>
      <w:hyperlink w:anchor="tab_plazos">
        <w:r>
          <w:rPr>
            <w:rStyle w:val="Hyperlink"/>
          </w:rPr>
          <w:t xml:space="preserve">3</w:t>
        </w:r>
      </w:hyperlink>
      <w:r>
        <w:t xml:space="preserve">: en el</w:t>
      </w:r>
      <w:r>
        <w:t xml:space="preserve"> </w:t>
      </w:r>
      <w:r>
        <w:rPr>
          <w:i/>
          <w:iCs/>
        </w:rPr>
        <w:t xml:space="preserve">periodo de mercado</w:t>
      </w:r>
      <w:r>
        <w:t xml:space="preserve"> </w:t>
      </w:r>
      <w:r>
        <w:t xml:space="preserve">la cantidad está dada (el pescado ya está en la lonja) y la oferta es vertical; a</w:t>
      </w:r>
      <w:r>
        <w:t xml:space="preserve"> </w:t>
      </w:r>
      <w:r>
        <w:rPr>
          <w:i/>
          <w:iCs/>
        </w:rPr>
        <w:t xml:space="preserve">corto plazo</w:t>
      </w:r>
      <w:r>
        <w:t xml:space="preserve"> </w:t>
      </w:r>
      <w:r>
        <w:t xml:space="preserve">se ajusta la producción con el equipo que se tiene, y a</w:t>
      </w:r>
      <w:r>
        <w:t xml:space="preserve"> </w:t>
      </w:r>
      <w:r>
        <w:rPr>
          <w:i/>
          <w:iCs/>
        </w:rPr>
        <w:t xml:space="preserve">largo plazo</w:t>
      </w:r>
      <w:r>
        <w:t xml:space="preserve"> </w:t>
      </w:r>
      <w:r>
        <w:t xml:space="preserve">se ajustan el equipo y el número de empresas a la vez, y el precio tiende a su</w:t>
      </w:r>
      <w:r>
        <w:t xml:space="preserve"> </w:t>
      </w:r>
      <w:r>
        <w:rPr>
          <w:i/>
          <w:iCs/>
        </w:rPr>
        <w:t xml:space="preserve">valor normal</w:t>
      </w:r>
      <w:r>
        <w:t xml:space="preserve">. Su ejemplo del pescado lo ilustra (gráfico </w:t>
      </w:r>
      <w:hyperlink w:anchor="fig_marshall_periodos">
        <w:r>
          <w:rPr>
            <w:rStyle w:val="Hyperlink"/>
          </w:rPr>
          <w:t xml:space="preserve">11</w:t>
        </w:r>
      </w:hyperlink>
      <w:r>
        <w:t xml:space="preserve">).</w:t>
      </w:r>
    </w:p>
    <w:bookmarkStart w:id="180" w:name="fig_marshall_periodos"/>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574999" cy="2269179"/>
            <wp:effectExtent b="0" l="0" r="0" t="0"/>
            <wp:docPr descr="Gráfico 11.– El mercado de pescado de Marshall: equilibrio temporal (B) y equilibrio normal (C) tras un aumento de la demanda" title="" id="178" name="Picture"/>
            <a:graphic>
              <a:graphicData uri="http://schemas.openxmlformats.org/drawingml/2006/picture">
                <pic:pic>
                  <pic:nvPicPr>
                    <pic:cNvPr descr="C:\Users\vgutierrez\Documents\src\victorgutierrezmarcos.github.io-revision\oposicion\temario\fuentes\3A16\graficos/marshall-periodos.png" id="179" name="Picture"/>
                    <pic:cNvPicPr>
                      <a:picLocks noChangeArrowheads="1" noChangeAspect="1"/>
                    </pic:cNvPicPr>
                  </pic:nvPicPr>
                  <pic:blipFill>
                    <a:blip r:embed="rId177"/>
                    <a:stretch>
                      <a:fillRect/>
                    </a:stretch>
                  </pic:blipFill>
                  <pic:spPr bwMode="auto">
                    <a:xfrm>
                      <a:off x="0" y="0"/>
                      <a:ext cx="2574999" cy="2269179"/>
                    </a:xfrm>
                    <a:prstGeom prst="rect">
                      <a:avLst/>
                    </a:prstGeom>
                    <a:noFill/>
                    <a:ln w="9525">
                      <a:noFill/>
                      <a:headEnd/>
                      <a:tailEnd/>
                    </a:ln>
                  </pic:spPr>
                </pic:pic>
              </a:graphicData>
            </a:graphic>
          </wp:inline>
        </w:drawing>
      </w:r>
    </w:p>
    <w:bookmarkEnd w:id="180"/>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De Vroey</w:t>
      </w:r>
      <w:r>
        <w:t xml:space="preserve"> </w:t>
      </w:r>
      <w:r>
        <w:t xml:space="preserve">(</w:t>
      </w:r>
      <w:hyperlink w:anchor="ref_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w:t>
      </w:r>
    </w:p>
    <w:p>
      <w:pPr>
        <w:pStyle w:val="Cajadeanotaciones"/>
        <w:numPr>
          <w:ilvl w:val="0"/>
          <w:numId w:val="1075"/>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numPr>
          <w:ilvl w:val="0"/>
          <w:numId w:val="1075"/>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81"/>
      </w:r>
    </w:p>
    <w:p>
      <w:pPr>
        <w:pStyle w:val="Cajadeanotaciones"/>
        <w:numPr>
          <w:ilvl w:val="0"/>
          <w:numId w:val="1075"/>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w:t>
      </w:r>
      <w:r>
        <w:t xml:space="preserve"> </w:t>
      </w:r>
      <w:hyperlink w:anchor="sec_largo_plazo_libre_entrada">
        <w:r>
          <w:rPr>
            <w:rStyle w:val="Hyperlink"/>
          </w:rPr>
          <w:t xml:space="preserve">III.3</w:t>
        </w:r>
      </w:hyperlink>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V, § 4)</w:t>
      </w:r>
      <w:r>
        <w:t xml:space="preserve">.</w:t>
      </w:r>
    </w:p>
    <w:p>
      <w:pPr>
        <w:pStyle w:val="Cajadeanotaciones"/>
        <w:numPr>
          <w:ilvl w:val="0"/>
          <w:numId w:val="1075"/>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hyperlink r:id="rId182">
        <w:r>
          <w:rPr>
            <w:rStyle w:val="Referenciaatema"/>
          </w:rPr>
          <w:t xml:space="preserve">[ver tema 3.A.4]</w:t>
        </w:r>
      </w:hyperlink>
      <w:r>
        <w:t xml:space="preserve">.</w:t>
      </w:r>
    </w:p>
    <w:bookmarkStart w:id="193" w:name="sec_corto_plazo"/>
    <w:p>
      <w:pPr>
        <w:pStyle w:val="Heading2"/>
      </w:pPr>
      <w:r>
        <w:t xml:space="preserve">III.1.</w:t>
      </w:r>
      <w:r>
        <w:t xml:space="preserve"> </w:t>
      </w:r>
      <w:r>
        <w:t xml:space="preserve">Corto plazo</w:t>
      </w:r>
    </w:p>
    <w:p>
      <w:pPr>
        <w:pStyle w:val="FirstParagraph"/>
      </w:pPr>
      <w:r>
        <w:t xml:space="preserve">Empezamos por el corto plazo: el de las empresas que ya están en el mercado y no pueden cambiar su equipo.</w:t>
      </w:r>
    </w:p>
    <w:bookmarkStart w:id="184" w:name="i_supuestos_6"/>
    <w:p>
      <w:pPr>
        <w:pStyle w:val="Heading5"/>
      </w:pPr>
      <w:r>
        <w:t xml:space="preserve">i) Supuestos</w:t>
      </w:r>
    </w:p>
    <w:p>
      <w:pPr>
        <w:numPr>
          <w:ilvl w:val="0"/>
          <w:numId w:val="1076"/>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r>
        <w:t xml:space="preserve"> </w:t>
      </w:r>
      <w:bookmarkStart w:id="183" w:name="eq_costes_corto"/>
      <w:bookmarkEnd w:id="183"/>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Los costes variables tienen forma de S invertida por la ley de proporciones variables: el coste marginal primero baja y después sube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bookmarkEnd w:id="184"/>
    <w:bookmarkStart w:id="190" w:name="ii_desarrollo_6"/>
    <w:p>
      <w:pPr>
        <w:pStyle w:val="Heading5"/>
      </w:pPr>
      <w:r>
        <w:t xml:space="preserve">ii) Desarrollo</w:t>
      </w:r>
    </w:p>
    <w:p>
      <w:pPr>
        <w:keepNext/>
        <w:numPr>
          <w:ilvl w:val="0"/>
          <w:numId w:val="1077"/>
        </w:numPr>
      </w:pPr>
      <w:r>
        <w:rPr>
          <w:i/>
          <w:iCs/>
        </w:rPr>
        <w:t xml:space="preserve">Decisión</w:t>
      </w:r>
      <w:r>
        <w:t xml:space="preserve">: el coste fijo no depende de lo que se haga y no influye en la decisión.</w:t>
      </w:r>
      <w:r>
        <w:rPr>
          <w:rStyle w:val="FootnoteReference"/>
        </w:rPr>
        <w:footnoteReference w:id="185"/>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78"/>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78"/>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78"/>
        </w:numPr>
      </w:pPr>
      <w:r>
        <w:t xml:space="preserve">por encima del óptimo de explotación obtiene beneficios</w:t>
      </w:r>
      <w:r>
        <w:t xml:space="preserve"> </w:t>
      </w:r>
      <w:hyperlink r:id="rId24">
        <w:r>
          <w:rPr>
            <w:rStyle w:val="Referenciaatema"/>
          </w:rPr>
          <w:t xml:space="preserve">[ver tema 3.A.12]</w:t>
        </w:r>
      </w:hyperlink>
      <w:r>
        <w:t xml:space="preserve">.</w:t>
      </w:r>
    </w:p>
    <w:p>
      <w:pPr>
        <w:numPr>
          <w:ilvl w:val="0"/>
          <w:numId w:val="1077"/>
        </w:numPr>
      </w:pPr>
      <w:r>
        <w:rPr>
          <w:i/>
          <w:iCs/>
        </w:rPr>
        <w:t xml:space="preserve">Oferta a corto plazo</w:t>
      </w:r>
      <w:r>
        <w:t xml:space="preserve">: la de la empresa es el coste marginal por encima del mínimo del CVMe (gráfico </w:t>
      </w:r>
      <w:hyperlink w:anchor="fig_oferta_corto_plazo">
        <w:r>
          <w:rPr>
            <w:rStyle w:val="Hyperlink"/>
          </w:rPr>
          <w:t xml:space="preserve">12</w:t>
        </w:r>
      </w:hyperlink>
      <w:r>
        <w:t xml:space="preserve">);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89" w:name="fig_oferta_corto_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Gráfico 12.– Oferta de la empresa a corto plazo: el coste marginal por encima del mínimo de explotación" title="" id="187" name="Picture"/>
            <a:graphic>
              <a:graphicData uri="http://schemas.openxmlformats.org/drawingml/2006/picture">
                <pic:pic>
                  <pic:nvPicPr>
                    <pic:cNvPr descr="C:\Users\vgutierrez\Documents\src\victorgutierrezmarcos.github.io-revision\oposicion\temario\fuentes\3A16\graficos/oferta-corto-plazo.png" id="188" name="Picture"/>
                    <pic:cNvPicPr>
                      <a:picLocks noChangeArrowheads="1" noChangeAspect="1"/>
                    </pic:cNvPicPr>
                  </pic:nvPicPr>
                  <pic:blipFill>
                    <a:blip r:embed="rId186"/>
                    <a:stretch>
                      <a:fillRect/>
                    </a:stretch>
                  </pic:blipFill>
                  <pic:spPr bwMode="auto">
                    <a:xfrm>
                      <a:off x="0" y="0"/>
                      <a:ext cx="4775200" cy="1947088"/>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190"/>
    <w:bookmarkStart w:id="192" w:name="iii_implicaciones_5"/>
    <w:p>
      <w:pPr>
        <w:pStyle w:val="Heading5"/>
      </w:pPr>
      <w:r>
        <w:t xml:space="preserve">iii) Implicaciones</w:t>
      </w:r>
    </w:p>
    <w:p>
      <w:pPr>
        <w:numPr>
          <w:ilvl w:val="0"/>
          <w:numId w:val="1079"/>
        </w:numPr>
      </w:pPr>
      <w:r>
        <w:rPr>
          <w:i/>
          <w:iCs/>
        </w:rPr>
        <w:t xml:space="preserve">Equilibrio a corto plazo</w:t>
      </w:r>
      <w:r>
        <w:t xml:space="preserve">: el corte de la demanda con la oferta de corto plazo de las empresas existentes. Puede dejar beneficios, que atraerán empresas cuando puedan entrar; beneficio nulo, o pérdidas, que llevarán a algunas a salir cuando puedan liquidar sus factores fijos.</w:t>
      </w:r>
    </w:p>
    <w:p>
      <w:pPr>
        <w:numPr>
          <w:ilvl w:val="0"/>
          <w:numId w:val="1079"/>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quien tenía aceite en plena sequía, la de los pescadores del refrán.</w:t>
      </w:r>
    </w:p>
    <w:p>
      <w:pPr>
        <w:pStyle w:val="Cajadeanotacio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hyperlink r:id="rId24">
        <w:r>
          <w:rPr>
            <w:rStyle w:val="Referenciaatema"/>
          </w:rPr>
          <w:t xml:space="preserve">[ver tema 3.A.12]</w:t>
        </w:r>
      </w:hyperlink>
      <w:r>
        <w:t xml:space="preserve">. El coste contable solo recoge los pagos efectivos, de modo que el beneficio económico es el contable menos el coste de oportunidad de los recursos propios (tabla </w:t>
      </w:r>
      <w:hyperlink w:anchor="tab_beneficio_economico">
        <w:r>
          <w:rPr>
            <w:rStyle w:val="Hyperlink"/>
          </w:rPr>
          <w:t xml:space="preserve">4</w:t>
        </w:r>
      </w:hyperlink>
      <w:r>
        <w:t xml:space="preserve">). Cuando la teoría dice que el beneficio es nulo a largo plazo (</w:t>
      </w:r>
      <w:hyperlink w:anchor="sec_largo_plazo_libre_entrada">
        <w:r>
          <w:rPr>
            <w:rStyle w:val="Hyperlink"/>
          </w:rPr>
          <w:t xml:space="preserve">III.3</w:t>
        </w:r>
      </w:hyperlink>
      <w:r>
        <w:t xml:space="preserve">), se refiere al económico: la empresa gana lo mismo que ganaría en su mejor alternativa.</w:t>
      </w:r>
    </w:p>
    <w:bookmarkStart w:id="191" w:name="tab_beneficio_economico"/>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4.–</w:t>
      </w:r>
      <w:r>
        <w:t xml:space="preserve"> </w:t>
      </w:r>
      <w:r>
        <w:t xml:space="preserve">Beneficio contable y beneficio económico: un ejemplo</w:t>
      </w:r>
    </w:p>
    <w:tbl>
      <w:tblPr>
        <w:tblStyle w:val="Table"/>
        <w:tblW w:type="auto" w:w="0"/>
        <w:shd w:color="auto" w:fill="E7E6E6" w:val="clear"/>
        <w:tblLook w:firstRow="1" w:lastRow="0" w:firstColumn="0" w:lastColumn="0" w:noHBand="0" w:noVBand="0" w:val="0020"/>
        <w:tblCaption w:val="Tabla 4.– Beneficio contable y beneficio económico: un ejemplo"/>
      </w:tblPr>
      <w:tblGrid>
        <w:gridCol w:w="1980"/>
        <w:gridCol w:w="1980"/>
        <w:gridCol w:w="1980"/>
        <w:gridCol w:w="1980"/>
      </w:tblGrid>
      <w:tr>
        <w:trPr>
          <w:tblHeader w:val="on"/>
        </w:trPr>
        <w:tc>
          <w:tcPr>
            <w:shd w:color="auto" w:fill="E7E6E6" w:val="clear"/>
            <w:vAlign w:val="center"/>
          </w:tcPr>
          <w:p/>
        </w:tc>
        <w:tc>
          <w:tcPr>
            <w:shd w:color="auto" w:fill="E7E6E6" w:val="clear"/>
            <w:vAlign w:val="center"/>
          </w:tcPr>
          <w:p>
            <w:pPr>
              <w:pStyle w:val="Celdatceeazulpalido"/>
              <w:jc w:val="center"/>
            </w:pPr>
            <w:r>
              <w:rPr>
                <w:b/>
                <w:bCs/>
              </w:rPr>
              <w:t xml:space="preserve">Situación 1</w:t>
            </w:r>
          </w:p>
        </w:tc>
        <w:tc>
          <w:tcPr>
            <w:shd w:color="auto" w:fill="E7E6E6" w:val="clear"/>
            <w:vAlign w:val="center"/>
          </w:tcPr>
          <w:p>
            <w:pPr>
              <w:pStyle w:val="Celdatceeazulpalido"/>
              <w:jc w:val="center"/>
            </w:pPr>
            <w:r>
              <w:rPr>
                <w:b/>
                <w:bCs/>
              </w:rPr>
              <w:t xml:space="preserve">Situación 2</w:t>
            </w:r>
          </w:p>
        </w:tc>
        <w:tc>
          <w:tcPr>
            <w:shd w:color="auto" w:fill="E7E6E6" w:val="clear"/>
            <w:vAlign w:val="center"/>
          </w:tcPr>
          <w:p>
            <w:pPr>
              <w:pStyle w:val="Celdatceeazulpalido"/>
              <w:jc w:val="center"/>
            </w:pPr>
            <w:r>
              <w:rPr>
                <w:b/>
                <w:bCs/>
              </w:rPr>
              <w:t xml:space="preserve">Situación 3</w:t>
            </w:r>
          </w:p>
        </w:tc>
      </w:tr>
      <w:tr>
        <w:tc>
          <w:tcPr>
            <w:shd w:color="auto" w:fill="E7E6E6" w:val="clear"/>
            <w:vAlign w:val="center"/>
          </w:tcPr>
          <w:p>
            <w:pPr>
              <w:pStyle w:val="Compact"/>
              <w:jc w:val="left"/>
            </w:pPr>
            <w:r>
              <w:t xml:space="preserve">Ingresos</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r>
      <w:tr>
        <w:tc>
          <w:tcPr>
            <w:shd w:color="auto" w:fill="E7E6E6" w:val="clear"/>
            <w:vAlign w:val="center"/>
          </w:tcPr>
          <w:p>
            <w:pPr>
              <w:pStyle w:val="Compact"/>
              <w:jc w:val="left"/>
            </w:pPr>
            <w:r>
              <w:t xml:space="preserve">Costes explícitos</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r>
      <w:tr>
        <w:tc>
          <w:tcPr>
            <w:shd w:color="auto" w:fill="E7E6E6" w:val="clear"/>
            <w:vAlign w:val="center"/>
          </w:tcPr>
          <w:p>
            <w:pPr>
              <w:pStyle w:val="Compact"/>
              <w:jc w:val="left"/>
            </w:pPr>
            <w:r>
              <w:rPr>
                <w:b/>
                <w:bCs/>
              </w:rPr>
              <w:t xml:space="preserve">Beneficio contable</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r>
      <w:tr>
        <w:tc>
          <w:tcPr>
            <w:shd w:color="auto" w:fill="E7E6E6" w:val="clear"/>
            <w:vAlign w:val="center"/>
          </w:tcPr>
          <w:p>
            <w:pPr>
              <w:pStyle w:val="Compact"/>
              <w:jc w:val="left"/>
            </w:pPr>
            <w:r>
              <w:t xml:space="preserve">Coste de oportunidad de los recursos propios</w:t>
            </w:r>
          </w:p>
        </w:tc>
        <w:tc>
          <w:tcPr>
            <w:shd w:color="auto" w:fill="E7E6E6" w:val="clear"/>
            <w:vAlign w:val="center"/>
          </w:tcPr>
          <w:p>
            <w:pPr>
              <w:pStyle w:val="Compact"/>
              <w:jc w:val="center"/>
            </w:pPr>
            <w:r>
              <w:t xml:space="preserve">300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550</w:t>
            </w:r>
          </w:p>
        </w:tc>
      </w:tr>
      <w:tr>
        <w:tc>
          <w:tcPr>
            <w:shd w:color="auto" w:fill="E7E6E6" w:val="clear"/>
            <w:vAlign w:val="center"/>
          </w:tcPr>
          <w:p>
            <w:pPr>
              <w:pStyle w:val="Celdatceesalvia"/>
              <w:jc w:val="left"/>
            </w:pPr>
            <w:r>
              <w:rPr>
                <w:b/>
                <w:bCs/>
              </w:rPr>
              <w:t xml:space="preserve">Beneficio económico</w:t>
            </w:r>
          </w:p>
        </w:tc>
        <w:tc>
          <w:tcPr>
            <w:shd w:color="auto" w:fill="E7E6E6" w:val="clear"/>
            <w:vAlign w:val="center"/>
          </w:tcPr>
          <w:p>
            <w:pPr>
              <w:pStyle w:val="Celdatceesalvia"/>
              <w:jc w:val="center"/>
            </w:pPr>
            <w:r>
              <w:rPr>
                <w:rStyle w:val="Textoverde"/>
                <w:b/>
                <w:bCs/>
              </w:rPr>
              <w:t xml:space="preserve">100</w:t>
            </w:r>
            <w:r>
              <w:br/>
            </w:r>
            <w:r>
              <w:t xml:space="preserve">extraordinario</w:t>
            </w:r>
          </w:p>
        </w:tc>
        <w:tc>
          <w:tcPr>
            <w:shd w:color="auto" w:fill="E7E6E6" w:val="clear"/>
            <w:vAlign w:val="center"/>
          </w:tcPr>
          <w:p>
            <w:pPr>
              <w:pStyle w:val="Celdatceesalvia"/>
              <w:jc w:val="center"/>
            </w:pPr>
            <w:r>
              <w:rPr>
                <w:rStyle w:val="Textoazul"/>
                <w:b/>
                <w:bCs/>
              </w:rPr>
              <w:t xml:space="preserve">0</w:t>
            </w:r>
            <w:r>
              <w:br/>
            </w:r>
            <w:r>
              <w:t xml:space="preserve">normal</w:t>
            </w:r>
          </w:p>
        </w:tc>
        <w:tc>
          <w:tcPr>
            <w:shd w:color="auto" w:fill="E7E6E6" w:val="clear"/>
            <w:vAlign w:val="center"/>
          </w:tcPr>
          <w:p>
            <w:pPr>
              <w:pStyle w:val="Celdatceesalvia"/>
              <w:jc w:val="center"/>
            </w:pPr>
            <w:r>
              <w:rPr>
                <w:rStyle w:val="Textorojo"/>
                <w:b/>
                <w:bCs/>
              </w:rPr>
              <w:t xml:space="preserve">−150</w:t>
            </w:r>
            <w:r>
              <w:br/>
            </w:r>
            <w:r>
              <w:t xml:space="preserve">pérdida económica</w:t>
            </w:r>
          </w:p>
        </w:tc>
      </w:tr>
    </w:tbl>
    <w:bookmarkEnd w:id="191"/>
    <w:p>
      <w:pPr>
        <w:pStyle w:val="Cajadeanotaciones"/>
      </w:pPr>
      <w:r>
        <w:rPr>
          <w:i/>
          <w:iCs/>
        </w:rPr>
        <w:t xml:space="preserve">Fuente: elaboración propia (ejemplo numérico).</w:t>
      </w:r>
    </w:p>
    <w:bookmarkEnd w:id="192"/>
    <w:bookmarkEnd w:id="193"/>
    <w:bookmarkStart w:id="197" w:name="sec_largo_plazo_libre"/>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94" w:name="i_supuestos_7"/>
    <w:p>
      <w:pPr>
        <w:pStyle w:val="Heading5"/>
      </w:pPr>
      <w:r>
        <w:t xml:space="preserve">i) Supuestos</w:t>
      </w:r>
    </w:p>
    <w:p>
      <w:pPr>
        <w:numPr>
          <w:ilvl w:val="0"/>
          <w:numId w:val="1080"/>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bookmarkEnd w:id="194"/>
    <w:bookmarkStart w:id="195" w:name="ii_desarrollo_7"/>
    <w:p>
      <w:pPr>
        <w:pStyle w:val="Heading5"/>
      </w:pPr>
      <w:r>
        <w:t xml:space="preserve">ii) Desarrollo</w:t>
      </w:r>
    </w:p>
    <w:p>
      <w:pPr>
        <w:numPr>
          <w:ilvl w:val="0"/>
          <w:numId w:val="1081"/>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w:t>
      </w:r>
      <w:hyperlink w:anchor="sec_modelo">
        <w:r>
          <w:rPr>
            <w:rStyle w:val="Hyperlink"/>
          </w:rPr>
          <w:t xml:space="preserve">I.2</w:t>
        </w:r>
      </w:hyperlink>
      <w:r>
        <w:t xml:space="preserve">).</w:t>
      </w:r>
    </w:p>
    <w:p>
      <w:pPr>
        <w:numPr>
          <w:ilvl w:val="0"/>
          <w:numId w:val="1081"/>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hyperlink w:anchor="ref_LeChatelier1884Enonce">
        <w:r>
          <w:rPr>
            <w:rStyle w:val="Hyperlink"/>
            <w:smallCaps/>
          </w:rPr>
          <w:t xml:space="preserve">Le Chatelier</w:t>
        </w:r>
        <w:r>
          <w:rPr>
            <w:rStyle w:val="Hyperlink"/>
          </w:rPr>
          <w:t xml:space="preserve">, 1884</w:t>
        </w:r>
      </w:hyperlink>
      <w:r>
        <w:t xml:space="preserve">)</w:t>
      </w:r>
      <w:r>
        <w:t xml:space="preserve"> </w:t>
      </w:r>
      <w:hyperlink r:id="rId24">
        <w:r>
          <w:rPr>
            <w:rStyle w:val="Referenciaatema"/>
          </w:rPr>
          <w:t xml:space="preserve">[ver tema 3.A.12]</w:t>
        </w:r>
      </w:hyperlink>
      <w:r>
        <w:t xml:space="preserve">.</w:t>
      </w:r>
    </w:p>
    <w:bookmarkEnd w:id="195"/>
    <w:bookmarkStart w:id="196" w:name="iii_implicaciones_6"/>
    <w:p>
      <w:pPr>
        <w:pStyle w:val="Heading5"/>
      </w:pPr>
      <w:r>
        <w:t xml:space="preserve">iii) Implicaciones</w:t>
      </w:r>
    </w:p>
    <w:p>
      <w:pPr>
        <w:numPr>
          <w:ilvl w:val="0"/>
          <w:numId w:val="1082"/>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_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96"/>
    <w:bookmarkEnd w:id="197"/>
    <w:bookmarkStart w:id="229" w:name="sec_largo_plazo_libre_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98" w:name="a_idea_4"/>
    <w:p>
      <w:pPr>
        <w:pStyle w:val="Heading4"/>
      </w:pPr>
      <w:r>
        <w:t xml:space="preserve">a) Idea</w:t>
      </w:r>
    </w:p>
    <w:p>
      <w:pPr>
        <w:numPr>
          <w:ilvl w:val="0"/>
          <w:numId w:val="1083"/>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supuesto 5 de la competencia perfecta (tabla </w:t>
      </w:r>
      <w:hyperlink w:anchor="tab_supuestos">
        <w:r>
          <w:rPr>
            <w:rStyle w:val="Hyperlink"/>
          </w:rPr>
          <w:t xml:space="preserve">1</w:t>
        </w:r>
      </w:hyperlink>
      <w:r>
        <w:t xml:space="preserve">) y una aproximación razonable cuando se piensa en plazos largos. El número de empresas activas pasa a ser endógeno. ¿Qué precio rige entonces, y cuántas empresas hay?</w:t>
      </w:r>
    </w:p>
    <w:bookmarkEnd w:id="198"/>
    <w:bookmarkStart w:id="216" w:name="b_modelo_4"/>
    <w:p>
      <w:pPr>
        <w:pStyle w:val="Heading4"/>
      </w:pPr>
      <w:r>
        <w:t xml:space="preserve">b) Modelo</w:t>
      </w:r>
    </w:p>
    <w:bookmarkStart w:id="200" w:name="i_supuestos_8"/>
    <w:p>
      <w:pPr>
        <w:pStyle w:val="Heading5"/>
      </w:pPr>
      <w:r>
        <w:t xml:space="preserve">i) Supuestos</w:t>
      </w:r>
    </w:p>
    <w:p>
      <w:pPr>
        <w:numPr>
          <w:ilvl w:val="0"/>
          <w:numId w:val="1084"/>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84"/>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84"/>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99"/>
      </w:r>
    </w:p>
    <w:bookmarkEnd w:id="200"/>
    <w:bookmarkStart w:id="210" w:name="ii_desarrollo_8"/>
    <w:p>
      <w:pPr>
        <w:pStyle w:val="Heading5"/>
      </w:pPr>
      <w:r>
        <w:t xml:space="preserve">ii) Desarrollo</w:t>
      </w:r>
    </w:p>
    <w:p>
      <w:pPr>
        <w:keepNext/>
        <w:numPr>
          <w:ilvl w:val="0"/>
          <w:numId w:val="1085"/>
        </w:numPr>
      </w:pPr>
      <w:r>
        <w:rPr>
          <w:b/>
          <w:bCs/>
        </w:rPr>
        <w:t xml:space="preserve">Equilibrio a largo plazo con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86"/>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86"/>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86"/>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r>
        <w:t xml:space="preserve"> </w:t>
      </w:r>
      <w:bookmarkStart w:id="201" w:name="eq_equilibrio_lp"/>
      <w:bookmarkEnd w:id="201"/>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numPr>
          <w:ilvl w:val="0"/>
          <w:numId w:val="1085"/>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 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 es nulo, cualquier cantidad que puedan producir las empresas activas con beneficio nulo.</w:t>
      </w:r>
    </w:p>
    <w:p>
      <w:pPr>
        <w:keepNext/>
        <w:numPr>
          <w:ilvl w:val="0"/>
          <w:numId w:val="1085"/>
        </w:numPr>
      </w:pPr>
      <w:r>
        <w:t xml:space="preserve">El resultado depende de los rendimientos a escala de la tecnología (gráfico </w:t>
      </w:r>
      <w:hyperlink w:anchor="fig_libre_entrada">
        <w:r>
          <w:rPr>
            <w:rStyle w:val="Hyperlink"/>
          </w:rPr>
          <w:t xml:space="preserve">13</w:t>
        </w:r>
      </w:hyperlink>
      <w:r>
        <w:t xml:space="preserve">):</w:t>
      </w:r>
    </w:p>
    <w:p>
      <w:pPr>
        <w:keepNext/>
        <w:numPr>
          <w:ilvl w:val="1"/>
          <w:numId w:val="108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88"/>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202"/>
      </w:r>
    </w:p>
    <w:p>
      <w:pPr>
        <w:numPr>
          <w:ilvl w:val="2"/>
          <w:numId w:val="1088"/>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87"/>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203"/>
      </w:r>
    </w:p>
    <w:p>
      <w:pPr>
        <w:numPr>
          <w:ilvl w:val="1"/>
          <w:numId w:val="1087"/>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hyperlink r:id="rId26">
        <w:r>
          <w:rPr>
            <w:rStyle w:val="Referenciaatema"/>
          </w:rPr>
          <w:t xml:space="preserve">[ver tema 3.A.17]</w:t>
        </w:r>
      </w:hyperlink>
      <w:r>
        <w:t xml:space="preserve">.</w:t>
      </w:r>
    </w:p>
    <w:p>
      <w:pPr>
        <w:numPr>
          <w:ilvl w:val="1"/>
          <w:numId w:val="1087"/>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204"/>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bookmarkStart w:id="205" w:name="eq_largo_plazo"/>
    <w:bookmarkEnd w:id="205"/>
    <w:p>
      <w:pPr>
        <w:pStyle w:val="Funcionclave"/>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209" w:name="fig_libre_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Gráfico 13.– Libre entrada según los rendimientos a escala: rendimientos constantes, decrecientes y coste medio en U (arriba, la empresa; abajo, el mercado)" title="" id="207" name="Picture"/>
            <a:graphic>
              <a:graphicData uri="http://schemas.openxmlformats.org/drawingml/2006/picture">
                <pic:pic>
                  <pic:nvPicPr>
                    <pic:cNvPr descr="C:\Users\vgutierrez\Documents\src\victorgutierrezmarcos.github.io-revision\oposicion\temario\fuentes\3A16\graficos/libre-entrada.png" id="208" name="Picture"/>
                    <pic:cNvPicPr>
                      <a:picLocks noChangeArrowheads="1" noChangeAspect="1"/>
                    </pic:cNvPicPr>
                  </pic:nvPicPr>
                  <pic:blipFill>
                    <a:blip r:embed="rId206"/>
                    <a:stretch>
                      <a:fillRect/>
                    </a:stretch>
                  </pic:blipFill>
                  <pic:spPr bwMode="auto">
                    <a:xfrm>
                      <a:off x="0" y="0"/>
                      <a:ext cx="5670550" cy="3185426"/>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210"/>
    <w:bookmarkStart w:id="215" w:name="iii_implicaciones_7"/>
    <w:p>
      <w:pPr>
        <w:pStyle w:val="Heading5"/>
      </w:pPr>
      <w:r>
        <w:t xml:space="preserve">iii) Implicaciones</w:t>
      </w:r>
    </w:p>
    <w:p>
      <w:pPr>
        <w:numPr>
          <w:ilvl w:val="0"/>
          <w:numId w:val="1089"/>
        </w:numPr>
      </w:pPr>
      <w:r>
        <w:rPr>
          <w:i/>
          <w:iCs/>
        </w:rPr>
        <w:t xml:space="preserve">Beneficio económico nulo</w:t>
      </w:r>
      <w:r>
        <w:t xml:space="preserve">: la libre entrada elimina los beneficios extraordinarios; la ganancia de los pescadores del refrán dura lo que tardan en entrar nuevos productores. Es nulo el beneficio</w:t>
      </w:r>
      <w:r>
        <w:t xml:space="preserve"> </w:t>
      </w:r>
      <w:r>
        <w:rPr>
          <w:i/>
          <w:iCs/>
        </w:rPr>
        <w:t xml:space="preserve">económico</w:t>
      </w:r>
      <w:r>
        <w:t xml:space="preserve">: las empresas siguen cubriendo el coste de oportunidad de sus recursos (tabla </w:t>
      </w:r>
      <w:hyperlink w:anchor="tab_beneficio_economico">
        <w:r>
          <w:rPr>
            <w:rStyle w:val="Hyperlink"/>
          </w:rPr>
          <w:t xml:space="preserve">4</w:t>
        </w:r>
      </w:hyperlink>
      <w:r>
        <w:t xml:space="preserve">).</w:t>
      </w:r>
    </w:p>
    <w:p>
      <w:pPr>
        <w:numPr>
          <w:ilvl w:val="0"/>
          <w:numId w:val="1089"/>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89"/>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w:t>
      </w:r>
      <w:hyperlink w:anchor="sec_teoremas_fundamentales_economia">
        <w:r>
          <w:rPr>
            <w:rStyle w:val="Hyperlink"/>
          </w:rPr>
          <w:t xml:space="preserve">II.2.2</w:t>
        </w:r>
      </w:hyperlink>
      <w:r>
        <w:t xml:space="preserve">).</w:t>
      </w:r>
    </w:p>
    <w:p>
      <w:pPr>
        <w:keepNext/>
        <w:numPr>
          <w:ilvl w:val="0"/>
          <w:numId w:val="1089"/>
        </w:numPr>
      </w:pPr>
      <w:r>
        <w:rPr>
          <w:i/>
          <w:iCs/>
        </w:rPr>
        <w:t xml:space="preserve">Del corto al largo plazo</w:t>
      </w:r>
      <w:r>
        <w:t xml:space="preserve"> </w:t>
      </w:r>
      <w:r>
        <w:t xml:space="preserve">(gráfico </w:t>
      </w:r>
      <w:hyperlink w:anchor="fig_corto_largo_industria">
        <w:r>
          <w:rPr>
            <w:rStyle w:val="Hyperlink"/>
          </w:rPr>
          <w:t xml:space="preserve">14</w:t>
        </w:r>
      </w:hyperlink>
      <w:r>
        <w:t xml:space="preserve">):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0"/>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0"/>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w:t>
      </w:r>
    </w:p>
    <w:p>
      <w:pPr>
        <w:numPr>
          <w:ilvl w:val="1"/>
          <w:numId w:val="1090"/>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214" w:name="fig_corto_largo_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Gráfico 14.– Del corto al largo plazo con libre entrada tras un aumento de la demanda: la empresa (izquierda) y la industria (derecha)" title="" id="212" name="Picture"/>
            <a:graphic>
              <a:graphicData uri="http://schemas.openxmlformats.org/drawingml/2006/picture">
                <pic:pic>
                  <pic:nvPicPr>
                    <pic:cNvPr descr="C:\Users\vgutierrez\Documents\src\victorgutierrezmarcos.github.io-revision\oposicion\temario\fuentes\3A16\graficos/corto-largo-industria.png" id="213" name="Picture"/>
                    <pic:cNvPicPr>
                      <a:picLocks noChangeArrowheads="1" noChangeAspect="1"/>
                    </pic:cNvPicPr>
                  </pic:nvPicPr>
                  <pic:blipFill>
                    <a:blip r:embed="rId211"/>
                    <a:stretch>
                      <a:fillRect/>
                    </a:stretch>
                  </pic:blipFill>
                  <pic:spPr bwMode="auto">
                    <a:xfrm>
                      <a:off x="0" y="0"/>
                      <a:ext cx="4434381" cy="2125444"/>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p>
      <w:pPr>
        <w:keepNext/>
        <w:numPr>
          <w:ilvl w:val="0"/>
          <w:numId w:val="1091"/>
        </w:numPr>
      </w:pPr>
      <w:r>
        <w:rPr>
          <w:i/>
          <w:iCs/>
        </w:rPr>
        <w:t xml:space="preserve">3 matices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w:t>
      </w:r>
    </w:p>
    <w:p>
      <w:pPr>
        <w:numPr>
          <w:ilvl w:val="1"/>
          <w:numId w:val="1092"/>
        </w:numPr>
      </w:pPr>
      <w:r>
        <w:t xml:space="preserve">si la escala mínima eficiente es grande respecto al mercado, caben pocas empresas, el supuesto de precio-aceptación deja de ser razonable y conviene un modelo con poder de mercado</w:t>
      </w:r>
      <w:r>
        <w:t xml:space="preserve"> </w:t>
      </w:r>
      <w:hyperlink r:id="rId28">
        <w:r>
          <w:rPr>
            <w:rStyle w:val="Referenciaatema"/>
          </w:rPr>
          <w:t xml:space="preserve">[ver tema 3.A.19]</w:t>
        </w:r>
      </w:hyperlink>
      <w:r>
        <w:t xml:space="preserve">;</w:t>
      </w:r>
    </w:p>
    <w:p>
      <w:pPr>
        <w:numPr>
          <w:ilvl w:val="1"/>
          <w:numId w:val="1092"/>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092"/>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215"/>
    <w:bookmarkEnd w:id="216"/>
    <w:bookmarkStart w:id="225" w:name="c_extensiones_la_oferta_de_la_indu_15234"/>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217" w:name="i_supuestos_9"/>
    <w:p>
      <w:pPr>
        <w:pStyle w:val="Heading5"/>
      </w:pPr>
      <w:r>
        <w:t xml:space="preserve">i) Supuestos</w:t>
      </w:r>
    </w:p>
    <w:p>
      <w:pPr>
        <w:numPr>
          <w:ilvl w:val="0"/>
          <w:numId w:val="1093"/>
        </w:numPr>
      </w:pPr>
      <w:r>
        <w:rPr>
          <w:smallCaps/>
        </w:rPr>
        <w:t xml:space="preserve">Marshall</w:t>
      </w:r>
      <w:r>
        <w:t xml:space="preserve"> </w:t>
      </w:r>
      <w:r>
        <w:t xml:space="preserve">(</w:t>
      </w:r>
      <w:hyperlink w:anchor="ref_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093"/>
        </w:numPr>
      </w:pPr>
      <w:r>
        <w:t xml:space="preserve">Pueden ser de 2 tipos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1"/>
          <w:numId w:val="1094"/>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094"/>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217"/>
    <w:bookmarkStart w:id="222" w:name="ii_desarrollo_9"/>
    <w:p>
      <w:pPr>
        <w:pStyle w:val="Heading5"/>
      </w:pPr>
      <w:r>
        <w:t xml:space="preserve">ii) Desarrollo</w:t>
      </w:r>
    </w:p>
    <w:p>
      <w:pPr>
        <w:keepNext/>
        <w:numPr>
          <w:ilvl w:val="0"/>
          <w:numId w:val="1095"/>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w:t>
      </w:r>
      <w:hyperlink w:anchor="fig_oferta_largo_plazo">
        <w:r>
          <w:rPr>
            <w:rStyle w:val="Hyperlink"/>
          </w:rPr>
          <w:t xml:space="preserve">15</w:t>
        </w:r>
      </w:hyperlink>
      <w:r>
        <w:t xml:space="preserve">: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096"/>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096"/>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096"/>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095"/>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w:t>
      </w:r>
      <w:hyperlink w:anchor="sec_largo_plazo_libre_entrada">
        <w:r>
          <w:rPr>
            <w:rStyle w:val="Hyperlink"/>
          </w:rPr>
          <w:t xml:space="preserve">III.3</w:t>
        </w:r>
      </w:hyperlink>
      <w:r>
        <w:t xml:space="preserve">, b).</w:t>
      </w:r>
    </w:p>
    <w:bookmarkStart w:id="221" w:name="fig_oferta_largo_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Gráfico 15.– Oferta de la industria a largo plazo: costes constantes, crecientes (deseconomías externas) y decrecientes (economías externas)" title="" id="219" name="Picture"/>
            <a:graphic>
              <a:graphicData uri="http://schemas.openxmlformats.org/drawingml/2006/picture">
                <pic:pic>
                  <pic:nvPicPr>
                    <pic:cNvPr descr="C:\Users\vgutierrez\Documents\src\victorgutierrezmarcos.github.io-revision\oposicion\temario\fuentes\3A16\graficos/oferta-largo-plazo.png" id="220" name="Picture"/>
                    <pic:cNvPicPr>
                      <a:picLocks noChangeArrowheads="1" noChangeAspect="1"/>
                    </pic:cNvPicPr>
                  </pic:nvPicPr>
                  <pic:blipFill>
                    <a:blip r:embed="rId218"/>
                    <a:stretch>
                      <a:fillRect/>
                    </a:stretch>
                  </pic:blipFill>
                  <pic:spPr bwMode="auto">
                    <a:xfrm>
                      <a:off x="0" y="0"/>
                      <a:ext cx="5670550" cy="1681727"/>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w:t>
      </w:r>
    </w:p>
    <w:bookmarkEnd w:id="222"/>
    <w:bookmarkStart w:id="224" w:name="iii_implicaciones_8"/>
    <w:p>
      <w:pPr>
        <w:pStyle w:val="Heading5"/>
      </w:pPr>
      <w:r>
        <w:t xml:space="preserve">iii) Implicaciones</w:t>
      </w:r>
    </w:p>
    <w:p>
      <w:pPr>
        <w:numPr>
          <w:ilvl w:val="0"/>
          <w:numId w:val="1097"/>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hyperlink r:id="rId148">
        <w:r>
          <w:rPr>
            <w:rStyle w:val="Referenciaatema"/>
          </w:rPr>
          <w:t xml:space="preserve">[ver tema 3.A.23]</w:t>
        </w:r>
      </w:hyperlink>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0"/>
          <w:numId w:val="1097"/>
        </w:numPr>
      </w:pPr>
      <w:r>
        <w:t xml:space="preserve">Con la oferta decreciente, los ajustes walrasiano y marshalliano pueden dar resultados opuestos y caben varios equilibrios: es el segundo y el tercer panel del gráfico </w:t>
      </w:r>
      <w:hyperlink w:anchor="fig_estabilidad_parcial">
        <w:r>
          <w:rPr>
            <w:rStyle w:val="Hyperlink"/>
          </w:rPr>
          <w:t xml:space="preserve">6</w:t>
        </w:r>
      </w:hyperlink>
      <w:r>
        <w:t xml:space="preserve"> </w:t>
      </w:r>
      <w:r>
        <w:t xml:space="preserve">(</w:t>
      </w:r>
      <w:hyperlink w:anchor="sec_unicidad">
        <w:r>
          <w:rPr>
            <w:rStyle w:val="Hyperlink"/>
          </w:rPr>
          <w:t xml:space="preserve">II.1.2</w:t>
        </w:r>
      </w:hyperlink>
      <w:r>
        <w:t xml:space="preserve"> </w:t>
      </w:r>
      <w:r>
        <w:t xml:space="preserve">y</w:t>
      </w:r>
      <w:r>
        <w:t xml:space="preserve"> </w:t>
      </w:r>
      <w:hyperlink w:anchor="sec_estabilidad_dinamicas_ajuste">
        <w:r>
          <w:rPr>
            <w:rStyle w:val="Hyperlink"/>
          </w:rPr>
          <w:t xml:space="preserve">II.1.3</w:t>
        </w:r>
      </w:hyperlink>
      <w:r>
        <w:t xml:space="preserve">).</w:t>
      </w:r>
    </w:p>
    <w:p>
      <w:pPr>
        <w:numPr>
          <w:ilvl w:val="0"/>
          <w:numId w:val="1097"/>
        </w:numPr>
      </w:pPr>
      <w:r>
        <w:t xml:space="preserve">Las economías externas explican la concentración geográfica de industrias y parte del comercio entre países parecidos</w:t>
      </w:r>
      <w:r>
        <w:t xml:space="preserve"> </w:t>
      </w:r>
      <w:hyperlink r:id="rId223">
        <w:r>
          <w:rPr>
            <w:rStyle w:val="Referenciaatema"/>
          </w:rPr>
          <w:t xml:space="preserve">[ver tema 3.B.6]</w:t>
        </w:r>
      </w:hyperlink>
      <w:r>
        <w:t xml:space="preserve">.</w:t>
      </w:r>
    </w:p>
    <w:bookmarkEnd w:id="224"/>
    <w:bookmarkEnd w:id="225"/>
    <w:bookmarkStart w:id="226" w:name="d_evidencia_emp__rica_1"/>
    <w:p>
      <w:pPr>
        <w:pStyle w:val="Heading4"/>
      </w:pPr>
      <w:r>
        <w:t xml:space="preserve">d) Evidencia empírica</w:t>
      </w:r>
    </w:p>
    <w:p>
      <w:pPr>
        <w:numPr>
          <w:ilvl w:val="0"/>
          <w:numId w:val="1098"/>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 </w:t>
      </w:r>
      <w:hyperlink r:id="rId24">
        <w:r>
          <w:rPr>
            <w:rStyle w:val="Referenciaatema"/>
          </w:rPr>
          <w:t xml:space="preserve">[ver tema 3.A.12]</w:t>
        </w:r>
      </w:hyperlink>
      <w:r>
        <w:t xml:space="preserve">. Por encima de esa escala el tamaño de cada empresa queda indeterminado, como con rendimientos constantes, lo que es compatible con que en un mismo mercado competitivo convivan empresas de tamaños muy distintos.</w:t>
      </w:r>
    </w:p>
    <w:bookmarkEnd w:id="226"/>
    <w:bookmarkStart w:id="228" w:name="e_valoraci__n_1"/>
    <w:p>
      <w:pPr>
        <w:pStyle w:val="Heading4"/>
      </w:pPr>
      <w:r>
        <w:t xml:space="preserve">e) Valoración</w:t>
      </w:r>
    </w:p>
    <w:p>
      <w:pPr>
        <w:keepNext/>
        <w:numPr>
          <w:ilvl w:val="0"/>
          <w:numId w:val="1099"/>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0"/>
        </w:numPr>
      </w:pPr>
      <w:r>
        <w:t xml:space="preserve">Si entrar exige costes hundidos, la entrada es más lenta y las empresas instaladas pueden mantener beneficios; las barreras de entrada son materia de la organización industrial</w:t>
      </w:r>
      <w:r>
        <w:t xml:space="preserve"> </w:t>
      </w:r>
      <w:hyperlink r:id="rId227">
        <w:r>
          <w:rPr>
            <w:rStyle w:val="Referenciaatema"/>
          </w:rPr>
          <w:t xml:space="preserve">[ver tema 3.A.15]</w:t>
        </w:r>
      </w:hyperlink>
      <w:r>
        <w:t xml:space="preserve">.</w:t>
      </w:r>
    </w:p>
    <w:p>
      <w:pPr>
        <w:numPr>
          <w:ilvl w:val="1"/>
          <w:numId w:val="1100"/>
        </w:numPr>
      </w:pPr>
      <w:r>
        <w:t xml:space="preserve">Si no hay costes hundidos y la amenaza de entrada es creíble, puede bastar para disciplinar incluso a pocas empresas: es la teoría de los mercados impugnables</w:t>
      </w:r>
      <w:r>
        <w:t xml:space="preserve"> </w:t>
      </w:r>
      <w:hyperlink r:id="rId227">
        <w:r>
          <w:rPr>
            <w:rStyle w:val="Referenciaatema"/>
          </w:rPr>
          <w:t xml:space="preserve">[ver tema 3.A.15]</w:t>
        </w:r>
      </w:hyperlink>
      <w:r>
        <w:t xml:space="preserve">.</w:t>
      </w:r>
    </w:p>
    <w:p>
      <w:pPr>
        <w:numPr>
          <w:ilvl w:val="1"/>
          <w:numId w:val="1100"/>
        </w:numPr>
      </w:pPr>
      <w:r>
        <w:t xml:space="preserve">Si la escala mínima eficiente es muy grande respecto al mercado, solo cabe una empresa: es el monopolio natural, que suele exigir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p>
      <w:pPr>
        <w:numPr>
          <w:ilvl w:val="0"/>
          <w:numId w:val="1099"/>
        </w:numPr>
      </w:pPr>
      <w:r>
        <w:rPr>
          <w:i/>
          <w:iCs/>
        </w:rPr>
        <w:t xml:space="preserve">Recapitulación</w:t>
      </w:r>
      <w:r>
        <w:t xml:space="preserve">: el plazo decide qué se ajusta. A corto plazo, con factores fijos, la oferta es rígida y puede haber beneficios o pérdidas; a largo plazo sin libre entrada se ajustan todos los factores, y con libre entrada el precio baja al mínimo del coste medio, el beneficio extraordinario desaparece y la oferta de la industria es horizontal, creciente o decreciente según las economías externas. Con esto podemos volver a las preguntas del principio y cerrar la exposición.</w:t>
      </w:r>
    </w:p>
    <w:bookmarkEnd w:id="228"/>
    <w:bookmarkEnd w:id="229"/>
    <w:bookmarkEnd w:id="230"/>
    <w:bookmarkStart w:id="231" w:name="conclusi__n"/>
    <w:p>
      <w:pPr>
        <w:pStyle w:val="Heading1"/>
      </w:pPr>
      <w:r>
        <w:t xml:space="preserve">Conclusión</w:t>
      </w:r>
      <w:r>
        <w:t xml:space="preserve"> </w:t>
      </w:r>
      <w:r>
        <w:rPr>
          <w:rStyle w:val="Minutos"/>
        </w:rPr>
        <w:t xml:space="preserve">1′</w:t>
      </w:r>
    </w:p>
    <w:p>
      <w:pPr>
        <w:keepNext/>
        <w:numPr>
          <w:ilvl w:val="0"/>
          <w:numId w:val="1101"/>
        </w:numPr>
      </w:pPr>
      <w:r>
        <w:rPr>
          <w:b/>
          <w:bCs/>
          <w:i/>
          <w:iCs/>
        </w:rPr>
        <w:t xml:space="preserve">Recapitulación (ideas clave)</w:t>
      </w:r>
      <w:r>
        <w:t xml:space="preserve">:</w:t>
      </w:r>
    </w:p>
    <w:p>
      <w:pPr>
        <w:numPr>
          <w:ilvl w:val="1"/>
          <w:numId w:val="110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w:t>
      </w:r>
      <w:hyperlink w:anchor="sec_construccion_modelo_obtencion">
        <w:r>
          <w:rPr>
            <w:rStyle w:val="Hyperlink"/>
          </w:rPr>
          <w:t xml:space="preserve">I</w:t>
        </w:r>
      </w:hyperlink>
      <w:r>
        <w:t xml:space="preserve">).</w:t>
      </w:r>
    </w:p>
    <w:p>
      <w:pPr>
        <w:numPr>
          <w:ilvl w:val="1"/>
          <w:numId w:val="110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w:t>
      </w:r>
      <w:hyperlink w:anchor="sec_estudio_equilibrio_competitivo">
        <w:r>
          <w:rPr>
            <w:rStyle w:val="Hyperlink"/>
          </w:rPr>
          <w:t xml:space="preserve">II</w:t>
        </w:r>
      </w:hyperlink>
      <w:r>
        <w:t xml:space="preserve">).</w:t>
      </w:r>
    </w:p>
    <w:p>
      <w:pPr>
        <w:numPr>
          <w:ilvl w:val="1"/>
          <w:numId w:val="110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w:t>
      </w:r>
      <w:hyperlink w:anchor="sec_analisis_plazos_corto">
        <w:r>
          <w:rPr>
            <w:rStyle w:val="Hyperlink"/>
          </w:rPr>
          <w:t xml:space="preserve">III</w:t>
        </w:r>
      </w:hyperlink>
      <w:r>
        <w:t xml:space="preserve">).</w:t>
      </w:r>
    </w:p>
    <w:p>
      <w:pPr>
        <w:numPr>
          <w:ilvl w:val="0"/>
          <w:numId w:val="1101"/>
        </w:numPr>
      </w:pPr>
      <w:r>
        <w:rPr>
          <w:b/>
          <w:bCs/>
          <w:i/>
          <w:iCs/>
        </w:rPr>
        <w:t xml:space="preserve">Relevancia</w:t>
      </w:r>
      <w:r>
        <w:t xml:space="preserve">: es el punto de referencia con el que se juzgan los demás mercados y la intervención pública: el poder de mercado se mide como distancia al precio competitivo (índice de</w:t>
      </w:r>
      <w:r>
        <w:t xml:space="preserve"> </w:t>
      </w:r>
      <w:r>
        <w:rPr>
          <w:smallCaps/>
        </w:rPr>
        <w:t xml:space="preserve">Lerner</w:t>
      </w:r>
      <w:r>
        <w:t xml:space="preserve"> </w:t>
      </w:r>
      <w:r>
        <w:t xml:space="preserve">nulo)</w:t>
      </w:r>
      <w:r>
        <w:t xml:space="preserve"> </w:t>
      </w:r>
      <w:hyperlink r:id="rId26">
        <w:r>
          <w:rPr>
            <w:rStyle w:val="Referenciaatema"/>
          </w:rPr>
          <w:t xml:space="preserve">[ver tema 3.A.17]</w:t>
        </w:r>
      </w:hyperlink>
      <w:r>
        <w:t xml:space="preserve">, la defensa de la competencia trata de acercar los mercados a su resultado</w:t>
      </w:r>
      <w:r>
        <w:t xml:space="preserve"> </w:t>
      </w:r>
      <w:hyperlink r:id="rId30">
        <w:r>
          <w:rPr>
            <w:rStyle w:val="Referenciaatema"/>
          </w:rPr>
          <w:t xml:space="preserve">[ver tema 4.A.15]</w:t>
        </w:r>
      </w:hyperlink>
      <w:r>
        <w:t xml:space="preserve">, y el análisis de impuestos, subvenciones y controles de precios empieza por este modelo</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101"/>
        </w:numPr>
      </w:pPr>
      <w:r>
        <w:rPr>
          <w:b/>
          <w:bCs/>
          <w:i/>
          <w:iCs/>
        </w:rPr>
        <w:t xml:space="preserve">Extensiones y relación con otras partes del temario</w:t>
      </w:r>
      <w:r>
        <w:t xml:space="preserve">:</w:t>
      </w:r>
    </w:p>
    <w:p>
      <w:pPr>
        <w:numPr>
          <w:ilvl w:val="1"/>
          <w:numId w:val="1103"/>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hyperlink r:id="rId34">
        <w:r>
          <w:rPr>
            <w:rStyle w:val="Referenciaatema"/>
          </w:rPr>
          <w:t xml:space="preserve">[ver tema 3.A.21]</w:t>
        </w:r>
      </w:hyperlink>
      <w:r>
        <w:t xml:space="preserve">, y para la relación entre equilibrio, eficiencia y fallos de mercado, la economía del bienestar</w:t>
      </w:r>
      <w:r>
        <w:t xml:space="preserve"> </w:t>
      </w:r>
      <w:hyperlink r:id="rId29">
        <w:r>
          <w:rPr>
            <w:rStyle w:val="Referenciaatema"/>
          </w:rPr>
          <w:t xml:space="preserve">[ver tema 3.A.22]</w:t>
        </w:r>
      </w:hyperlink>
      <w:r>
        <w:t xml:space="preserve"> </w:t>
      </w:r>
      <w:hyperlink r:id="rId148">
        <w:r>
          <w:rPr>
            <w:rStyle w:val="Referenciaatema"/>
          </w:rPr>
          <w:t xml:space="preserve">[ver tema 3.A.23]</w:t>
        </w:r>
      </w:hyperlink>
      <w:r>
        <w:t xml:space="preserve">.</w:t>
      </w:r>
    </w:p>
    <w:p>
      <w:pPr>
        <w:numPr>
          <w:ilvl w:val="1"/>
          <w:numId w:val="1103"/>
        </w:numPr>
      </w:pPr>
      <w:r>
        <w:t xml:space="preserve">Al levantar el supuesto de muchos vendedores precio-aceptantes (4) o el de producto homogéneo (3) se llega al monopolio, la competencia monopolística y el oligopolio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al levantar el de información perfecta (2), a la economía de la información</w:t>
      </w:r>
      <w:r>
        <w:t xml:space="preserve"> </w:t>
      </w:r>
      <w:hyperlink r:id="rId39">
        <w:r>
          <w:rPr>
            <w:rStyle w:val="Referenciaatema"/>
          </w:rPr>
          <w:t xml:space="preserve">[ver tema 3.A.13]</w:t>
        </w:r>
      </w:hyperlink>
      <w:r>
        <w:t xml:space="preserve">, y la amenaza de entrada puede bastar para disciplinar a pocas empresas en los mercados impugnables</w:t>
      </w:r>
      <w:r>
        <w:t xml:space="preserve"> </w:t>
      </w:r>
      <w:hyperlink r:id="rId227">
        <w:r>
          <w:rPr>
            <w:rStyle w:val="Referenciaatema"/>
          </w:rPr>
          <w:t xml:space="preserve">[ver tema 3.A.15]</w:t>
        </w:r>
      </w:hyperlink>
      <w:r>
        <w:t xml:space="preserve">.</w:t>
      </w:r>
    </w:p>
    <w:p>
      <w:pPr>
        <w:numPr>
          <w:ilvl w:val="1"/>
          <w:numId w:val="1103"/>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hyperlink r:id="rId129">
        <w:r>
          <w:rPr>
            <w:rStyle w:val="Referenciaatema"/>
          </w:rPr>
          <w:t xml:space="preserve">[ver tema 3.A.6]</w:t>
        </w:r>
      </w:hyperlink>
      <w:r>
        <w:t xml:space="preserve">.</w:t>
      </w:r>
    </w:p>
    <w:p>
      <w:pPr>
        <w:numPr>
          <w:ilvl w:val="0"/>
          <w:numId w:val="110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_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hyperlink r:id="rId35">
        <w:r>
          <w:rPr>
            <w:rStyle w:val="Referenciaatema"/>
          </w:rPr>
          <w:t xml:space="preserve">[ver tema 3.A.3]</w:t>
        </w:r>
      </w:hyperlink>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w:t>
      </w:r>
    </w:p>
    <w:p>
      <w:pPr>
        <w:numPr>
          <w:ilvl w:val="0"/>
          <w:numId w:val="110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productores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1"/>
    <w:bookmarkStart w:id="236" w:name="anexo_1tfeb"/>
    <w:p>
      <w:pPr>
        <w:pStyle w:val="Heading1"/>
      </w:pPr>
      <w:r>
        <w:t xml:space="preserve">A. Anexo: el primer teorema del bienestar</w:t>
      </w:r>
      <w:r>
        <w:br/>
      </w:r>
      <w:r>
        <w:t xml:space="preserve">en equilibrio parcial</w:t>
      </w:r>
    </w:p>
    <w:p>
      <w:pPr>
        <w:pStyle w:val="FirstParagraph"/>
      </w:pPr>
      <w:r>
        <w:t xml:space="preserve">Este anexo demuestra, paso a paso, el resultado de</w:t>
      </w:r>
      <w:r>
        <w:t xml:space="preserve"> </w:t>
      </w:r>
      <w:hyperlink w:anchor="sec_analisis_normativo_eficiencia">
        <w:r>
          <w:rPr>
            <w:rStyle w:val="Hyperlink"/>
          </w:rPr>
          <w:t xml:space="preserve">II.2</w:t>
        </w:r>
      </w:hyperlink>
      <w:r>
        <w:t xml:space="preserve">: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233" w:name="planteamiento"/>
    <w:p>
      <w:pPr>
        <w:pStyle w:val="Heading4"/>
      </w:pPr>
      <w:r>
        <w:t xml:space="preserve">Planteamiento</w:t>
      </w:r>
    </w:p>
    <w:p>
      <w:pPr>
        <w:numPr>
          <w:ilvl w:val="0"/>
          <w:numId w:val="1104"/>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232"/>
      </w:r>
    </w:p>
    <w:bookmarkEnd w:id="233"/>
    <w:bookmarkStart w:id="234" w:name="demostraci__n"/>
    <w:p>
      <w:pPr>
        <w:pStyle w:val="Heading4"/>
      </w:pPr>
      <w:r>
        <w:t xml:space="preserve">Demostración</w:t>
      </w:r>
    </w:p>
    <w:p>
      <w:pPr>
        <w:numPr>
          <w:ilvl w:val="0"/>
          <w:numId w:val="1105"/>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05"/>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w:t>
      </w:r>
      <w:hyperlink w:anchor="eq_max_et">
        <w:r>
          <w:rPr>
            <w:rStyle w:val="Hyperlink"/>
          </w:rPr>
          <w:t xml:space="preserve">14</w:t>
        </w:r>
      </w:hyperlink>
      <w:r>
        <w:t xml:space="preserve">)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05"/>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numPr>
          <w:ilvl w:val="0"/>
          <w:numId w:val="1105"/>
        </w:numPr>
      </w:pPr>
      <w:r>
        <w:rPr>
          <w:i/>
          <w:iCs/>
        </w:rPr>
        <w:t xml:space="preserve">Paso 4</w:t>
      </w:r>
      <w:r>
        <w:t xml:space="preserve">: el equilibrio competitivo de</w:t>
      </w:r>
      <w:r>
        <w:t xml:space="preserve"> </w:t>
      </w:r>
      <w:hyperlink w:anchor="sec_modelo">
        <w:r>
          <w:rPr>
            <w:rStyle w:val="Hyperlink"/>
          </w:rPr>
          <w:t xml:space="preserve">I.2</w:t>
        </w:r>
      </w:hyperlink>
      <w:r>
        <w:t xml:space="preserve"> </w:t>
      </w:r>
      <w:r>
        <w:t xml:space="preserve">cumple exactamente esas condiciones con</w:t>
      </w:r>
      <w:r>
        <w:t xml:space="preserve"> </w:t>
      </w:r>
      <m:oMath>
        <m:r>
          <m:t>λ</m:t>
        </m:r>
        <m:r>
          <m:rPr>
            <m:sty m:val="p"/>
          </m:rPr>
          <m:t>=</m:t>
        </m:r>
        <m:sSup>
          <m:e>
            <m:r>
              <m:t>p</m:t>
            </m:r>
          </m:e>
          <m:sup>
            <m:r>
              <m:rPr>
                <m:sty m:val="p"/>
              </m:rPr>
              <m:t>*</m:t>
            </m:r>
          </m:sup>
        </m:sSup>
      </m:oMath>
      <w:r>
        <w:t xml:space="preserve">: la del consumidor (</w:t>
      </w:r>
      <w:hyperlink w:anchor="eq_cpo_consumidor">
        <w:r>
          <w:rPr>
            <w:rStyle w:val="Hyperlink"/>
          </w:rPr>
          <w:t xml:space="preserve">3</w:t>
        </w:r>
      </w:hyperlink>
      <w:r>
        <w:t xml:space="preserve">), con su caso de esquina; la de la empresa (</w:t>
      </w:r>
      <w:hyperlink w:anchor="eq_oferta_empresa">
        <w:r>
          <w:rPr>
            <w:rStyle w:val="Hyperlink"/>
          </w:rPr>
          <w:t xml:space="preserve">6</w:t>
        </w:r>
      </w:hyperlink>
      <w:r>
        <w:t xml:space="preserve">), y el vaciado (</w:t>
      </w:r>
      <w:hyperlink w:anchor="eq_equilibrio">
        <w:r>
          <w:rPr>
            <w:rStyle w:val="Hyperlink"/>
          </w:rPr>
          <w:t xml:space="preserve">8</w:t>
        </w:r>
      </w:hyperlink>
      <w:r>
        <w:t xml:space="preserve">). 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w:r>
        <w:t xml:space="preserve"> ∎</w:t>
      </w:r>
    </w:p>
    <w:bookmarkEnd w:id="234"/>
    <w:bookmarkStart w:id="235" w:name="consecuencias"/>
    <w:p>
      <w:pPr>
        <w:pStyle w:val="Heading4"/>
      </w:pPr>
      <w:r>
        <w:t xml:space="preserve">Consecuencias</w:t>
      </w:r>
    </w:p>
    <w:p>
      <w:pPr>
        <w:numPr>
          <w:ilvl w:val="0"/>
          <w:numId w:val="1106"/>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06"/>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235"/>
    <w:bookmarkEnd w:id="236"/>
    <w:bookmarkStart w:id="241" w:name="anexo_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hyperlink r:id="rId24">
        <w:r>
          <w:rPr>
            <w:rStyle w:val="Referenciaatema"/>
          </w:rPr>
          <w:t xml:space="preserve">[ver tema 3.A.12]</w:t>
        </w:r>
      </w:hyperlink>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w:t>
      </w:r>
      <w:hyperlink w:anchor="sec_modelo">
        <w:r>
          <w:rPr>
            <w:rStyle w:val="Hyperlink"/>
          </w:rPr>
          <w:t xml:space="preserve">I.2</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6 casos (gráfico </w:t>
      </w:r>
      <w:hyperlink w:anchor="fig_geometria_costes">
        <w:r>
          <w:rPr>
            <w:rStyle w:val="Hyperlink"/>
          </w:rPr>
          <w:t xml:space="preserve">16</w:t>
        </w:r>
      </w:hyperlink>
      <w:r>
        <w:t xml:space="preserve">, con la tecnología arriba y los costes y la oferta abajo):</w:t>
      </w:r>
    </w:p>
    <w:p>
      <w:pPr>
        <w:numPr>
          <w:ilvl w:val="0"/>
          <w:numId w:val="1107"/>
        </w:numPr>
      </w:pPr>
      <w:r>
        <w:rPr>
          <w:i/>
          <w:iCs/>
        </w:rPr>
        <w:t xml:space="preserve">Costes estrictamente convexos</w:t>
      </w:r>
      <w:r>
        <w:t xml:space="preserve"> </w:t>
      </w:r>
      <w:r>
        <w:t xml:space="preserve">(rendimientos decrecientes): la oferta es toda la curva de CMg; es el caso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p>
      <w:pPr>
        <w:numPr>
          <w:ilvl w:val="0"/>
          <w:numId w:val="110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07"/>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w:t>
      </w:r>
      <w:hyperlink w:anchor="sec_largo_plazo_libre_entrada">
        <w:r>
          <w:rPr>
            <w:rStyle w:val="Hyperlink"/>
          </w:rPr>
          <w:t xml:space="preserve">III.3</w:t>
        </w:r>
      </w:hyperlink>
      <w:r>
        <w:t xml:space="preserve">).</w:t>
      </w:r>
    </w:p>
    <w:p>
      <w:pPr>
        <w:numPr>
          <w:ilvl w:val="0"/>
          <w:numId w:val="1107"/>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07"/>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07"/>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w:t>
      </w:r>
      <w:hyperlink w:anchor="sec_corto_plazo">
        <w:r>
          <w:rPr>
            <w:rStyle w:val="Hyperlink"/>
          </w:rPr>
          <w:t xml:space="preserve">III.1</w:t>
        </w:r>
      </w:hyperlink>
      <w:r>
        <w:t xml:space="preserve">).</w:t>
      </w:r>
    </w:p>
    <w:bookmarkStart w:id="240" w:name="fig_geometria_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16.– Geometría de los costes y curva de oferta con un solo producto: seis casos, con la tecnología (arriba) y los costes (abajo)" title="" id="238" name="Picture"/>
            <a:graphic>
              <a:graphicData uri="http://schemas.openxmlformats.org/drawingml/2006/picture">
                <pic:pic>
                  <pic:nvPicPr>
                    <pic:cNvPr descr="C:\Users\vgutierrez\Documents\src\victorgutierrezmarcos.github.io-revision\oposicion\temario\fuentes\3A16\graficos/geometria-costes.png" id="239" name="Picture"/>
                    <pic:cNvPicPr>
                      <a:picLocks noChangeArrowheads="1" noChangeAspect="1"/>
                    </pic:cNvPicPr>
                  </pic:nvPicPr>
                  <pic:blipFill>
                    <a:blip r:embed="rId237"/>
                    <a:stretch>
                      <a:fillRect/>
                    </a:stretch>
                  </pic:blipFill>
                  <pic:spPr bwMode="auto">
                    <a:xfrm>
                      <a:off x="0" y="0"/>
                      <a:ext cx="5491480" cy="5468178"/>
                    </a:xfrm>
                    <a:prstGeom prst="rect">
                      <a:avLst/>
                    </a:prstGeom>
                    <a:noFill/>
                    <a:ln w="9525">
                      <a:noFill/>
                      <a:headEnd/>
                      <a:tailEnd/>
                    </a:ln>
                  </pic:spPr>
                </pic:pic>
              </a:graphicData>
            </a:graphic>
          </wp:inline>
        </w:drawing>
      </w:r>
    </w:p>
    <w:bookmarkEnd w:id="24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41"/>
    <w:bookmarkStart w:id="246" w:name="anexo_controles"/>
    <w:p>
      <w:pPr>
        <w:pStyle w:val="Heading1"/>
      </w:pPr>
      <w:r>
        <w:t xml:space="preserve">C. Anexo: precios máximos y mínimos</w:t>
      </w:r>
    </w:p>
    <w:p>
      <w:pPr>
        <w:numPr>
          <w:ilvl w:val="0"/>
          <w:numId w:val="1108"/>
        </w:numPr>
      </w:pPr>
      <w:r>
        <w:rPr>
          <w:i/>
          <w:iCs/>
        </w:rPr>
        <w:t xml:space="preserve">Idea</w:t>
      </w:r>
      <w:r>
        <w:t xml:space="preserve">: el equilibrio de</w:t>
      </w:r>
      <w:r>
        <w:t xml:space="preserve"> </w:t>
      </w:r>
      <w:hyperlink w:anchor="sec_modelo">
        <w:r>
          <w:rPr>
            <w:rStyle w:val="Hyperlink"/>
          </w:rPr>
          <w:t xml:space="preserve">I.2</w:t>
        </w:r>
      </w:hyperlink>
      <w:r>
        <w:t xml:space="preserve"> </w:t>
      </w:r>
      <w:r>
        <w:t xml:space="preserve">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08"/>
        </w:numPr>
      </w:pPr>
      <w:r>
        <w:rPr>
          <w:b/>
          <w:bCs/>
        </w:rPr>
        <w:t xml:space="preserve">Equilibrio con controles de precios</w:t>
      </w:r>
      <w:r>
        <w:t xml:space="preserve"> </w:t>
      </w:r>
      <w:r>
        <w:t xml:space="preserve">(</w:t>
      </w:r>
      <w:hyperlink w:anchor="ref_RodriguezAlvarez2016Competencia">
        <w:r>
          <w:rPr>
            <w:rStyle w:val="Hyperlink"/>
            <w:smallCaps/>
          </w:rPr>
          <w:t xml:space="preserve">Rodríguez Álvarez</w:t>
        </w:r>
        <w:r>
          <w:rPr>
            <w:rStyle w:val="Hyperlink"/>
          </w:rPr>
          <w:t xml:space="preserve">, 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09"/>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09"/>
        </w:numPr>
      </w:pPr>
      <w:r>
        <w:t xml:space="preserve">entre los permitidos, es el que hace mínima la diferencia entre la oferta y la demanda;</w:t>
      </w:r>
    </w:p>
    <w:p>
      <w:pPr>
        <w:numPr>
          <w:ilvl w:val="1"/>
          <w:numId w:val="1109"/>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08"/>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10"/>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10"/>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w:t>
      </w:r>
      <w:hyperlink w:anchor="fig_controles_precios">
        <w:r>
          <w:rPr>
            <w:rStyle w:val="Hyperlink"/>
          </w:rPr>
          <w:t xml:space="preserve">17</w:t>
        </w:r>
      </w:hyperlink>
      <w:r>
        <w:t xml:space="preserve">).</w:t>
      </w:r>
    </w:p>
    <w:p>
      <w:pPr>
        <w:keepNext/>
        <w:numPr>
          <w:ilvl w:val="0"/>
          <w:numId w:val="1108"/>
        </w:numPr>
      </w:pPr>
      <w:r>
        <w:rPr>
          <w:i/>
          <w:iCs/>
        </w:rPr>
        <w:t xml:space="preserve">Bienestar</w:t>
      </w:r>
      <w:r>
        <w:t xml:space="preserve">:</w:t>
      </w:r>
    </w:p>
    <w:p>
      <w:pPr>
        <w:numPr>
          <w:ilvl w:val="1"/>
          <w:numId w:val="1111"/>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w:t>
      </w:r>
      <w:hyperlink w:anchor="sec_introduccion_impuesto">
        <w:r>
          <w:rPr>
            <w:rStyle w:val="Hyperlink"/>
          </w:rPr>
          <w:t xml:space="preserve">II.3.2</w:t>
        </w:r>
      </w:hyperlink>
      <w:r>
        <w:t xml:space="preserve">);</w:t>
      </w:r>
    </w:p>
    <w:p>
      <w:pPr>
        <w:numPr>
          <w:ilvl w:val="1"/>
          <w:numId w:val="1111"/>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11"/>
        </w:numPr>
      </w:pPr>
      <w:r>
        <w:t xml:space="preserve">con un precio mínimo, si el sector público compra el excedente para sostener el precio, se añade el coste presupuestario, como con los precios de intervención agrarios</w:t>
      </w:r>
      <w:r>
        <w:t xml:space="preserve"> </w:t>
      </w:r>
      <w:hyperlink r:id="rId104">
        <w:r>
          <w:rPr>
            <w:rStyle w:val="Referenciaatema"/>
          </w:rPr>
          <w:t xml:space="preserve">[ver tema 3.B.38]</w:t>
        </w:r>
      </w:hyperlink>
      <w:r>
        <w:t xml:space="preserve">.</w:t>
      </w:r>
    </w:p>
    <w:bookmarkStart w:id="245" w:name="fig_controles_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Gráfico 17.– Precio máximo (izquierda) y precio mínimo (derecha): manda el lado corto y se pierde el excedente de las unidades que no se intercambian" title="" id="243" name="Picture"/>
            <a:graphic>
              <a:graphicData uri="http://schemas.openxmlformats.org/drawingml/2006/picture">
                <pic:pic>
                  <pic:nvPicPr>
                    <pic:cNvPr descr="C:\Users\vgutierrez\Documents\src\victorgutierrezmarcos.github.io-revision\oposicion\temario\fuentes\3A16\graficos/controles-precios.png" id="244" name="Picture"/>
                    <pic:cNvPicPr>
                      <a:picLocks noChangeArrowheads="1" noChangeAspect="1"/>
                    </pic:cNvPicPr>
                  </pic:nvPicPr>
                  <pic:blipFill>
                    <a:blip r:embed="rId242"/>
                    <a:stretch>
                      <a:fillRect/>
                    </a:stretch>
                  </pic:blipFill>
                  <pic:spPr bwMode="auto">
                    <a:xfrm>
                      <a:off x="0" y="0"/>
                      <a:ext cx="5299850" cy="2269179"/>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Rodríguez Álvarez</w:t>
      </w:r>
      <w:r>
        <w:t xml:space="preserve"> </w:t>
      </w:r>
      <w:r>
        <w:t xml:space="preserve">(</w:t>
      </w:r>
      <w:hyperlink w:anchor="ref_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246"/>
    <w:bookmarkStart w:id="248" w:name="anexo_parcial_general"/>
    <w:p>
      <w:pPr>
        <w:pStyle w:val="Heading1"/>
      </w:pPr>
      <w:r>
        <w:t xml:space="preserve">D. Anexo: equilibrio parcial y equilibrio general</w:t>
      </w:r>
    </w:p>
    <w:p>
      <w:pPr>
        <w:numPr>
          <w:ilvl w:val="0"/>
          <w:numId w:val="1112"/>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10.B</w:t>
        </w:r>
      </w:hyperlink>
      <w:r>
        <w:t xml:space="preserve"> </w:t>
      </w:r>
      <w:r>
        <w:t xml:space="preserve">y § 10.C)</w:t>
      </w:r>
      <w:r>
        <w:t xml:space="preserve">.</w:t>
      </w:r>
    </w:p>
    <w:p>
      <w:pPr>
        <w:keepNext/>
        <w:numPr>
          <w:ilvl w:val="0"/>
          <w:numId w:val="1112"/>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w:t>
      </w:r>
      <w:hyperlink w:anchor="sec_modelo">
        <w:r>
          <w:rPr>
            <w:rStyle w:val="Hyperlink"/>
          </w:rPr>
          <w:t xml:space="preserve">I.2</w:t>
        </w:r>
      </w:hyperlink>
      <w:r>
        <w:t xml:space="preserve">).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13"/>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13"/>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13"/>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12"/>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12"/>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hyperlink r:id="rId34">
        <w:r>
          <w:rPr>
            <w:rStyle w:val="Referenciaatema"/>
          </w:rPr>
          <w:t xml:space="preserve">[ver tema 3.A.21]</w:t>
        </w:r>
      </w:hyperlink>
      <w:r>
        <w:t xml:space="preserve">.</w:t>
      </w:r>
    </w:p>
    <w:p>
      <w:pPr>
        <w:numPr>
          <w:ilvl w:val="0"/>
          <w:numId w:val="1112"/>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w:t>
      </w:r>
      <w:r>
        <w:t xml:space="preserve"> </w:t>
      </w:r>
      <w:hyperlink w:anchor="sec_modelo">
        <w:r>
          <w:rPr>
            <w:rStyle w:val="Hyperlink"/>
          </w:rPr>
          <w:t xml:space="preserve">I.2</w:t>
        </w:r>
      </w:hyperlink>
      <w:r>
        <w:t xml:space="preserve">, y el equilibrio parcial coincide con el general.</w:t>
      </w:r>
    </w:p>
    <w:p>
      <w:pPr>
        <w:numPr>
          <w:ilvl w:val="0"/>
          <w:numId w:val="1112"/>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hyperlink r:id="rId34">
        <w:r>
          <w:rPr>
            <w:rStyle w:val="Referenciaatema"/>
          </w:rPr>
          <w:t xml:space="preserve">[ver tema 3.A.21]</w:t>
        </w:r>
      </w:hyperlink>
      <w:r>
        <w:t xml:space="preserve">.</w:t>
      </w:r>
    </w:p>
    <w:bookmarkStart w:id="247" w:name="qu___estudia_cada_tema_del_bloque"/>
    <w:p>
      <w:pPr>
        <w:pStyle w:val="Heading4"/>
      </w:pPr>
      <w:r>
        <w:t xml:space="preserve">Qué estudia cada tema del bloque</w:t>
      </w:r>
    </w:p>
    <w:p>
      <w:pPr>
        <w:numPr>
          <w:ilvl w:val="0"/>
          <w:numId w:val="1114"/>
        </w:numPr>
      </w:pPr>
      <w:r>
        <w:rPr>
          <w:i/>
          <w:iCs/>
        </w:rPr>
        <w:t xml:space="preserve">Este tema</w:t>
      </w:r>
      <w:r>
        <w:t xml:space="preserve">: la competencia perfecta en un mercado, con equilibrio parcial: demanda, oferta, equilibrio, ajuste, plazos y bienestar medido con excedentes.</w:t>
      </w:r>
    </w:p>
    <w:p>
      <w:pPr>
        <w:numPr>
          <w:ilvl w:val="0"/>
          <w:numId w:val="1114"/>
        </w:numPr>
      </w:pPr>
      <w:r>
        <w:rPr>
          <w:i/>
          <w:iCs/>
        </w:rPr>
        <w:t xml:space="preserve">Equilibrio general</w:t>
      </w:r>
      <w:r>
        <w:t xml:space="preserve"> </w:t>
      </w:r>
      <w:hyperlink r:id="rId34">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4"/>
        </w:numPr>
      </w:pPr>
      <w:r>
        <w:rPr>
          <w:i/>
          <w:iCs/>
        </w:rPr>
        <w:t xml:space="preserve">Teoremas del bienestar</w:t>
      </w:r>
      <w:r>
        <w:t xml:space="preserve"> </w:t>
      </w:r>
      <w:hyperlink r:id="rId29">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14"/>
        </w:numPr>
      </w:pPr>
      <w:r>
        <w:rPr>
          <w:i/>
          <w:iCs/>
        </w:rPr>
        <w:t xml:space="preserve">Fallos de mercado</w:t>
      </w:r>
      <w:r>
        <w:t xml:space="preserve"> </w:t>
      </w:r>
      <w:hyperlink r:id="rId148">
        <w:r>
          <w:rPr>
            <w:rStyle w:val="Referenciaatema"/>
          </w:rPr>
          <w:t xml:space="preserve">[ver tema 3.A.23]</w:t>
        </w:r>
      </w:hyperlink>
      <w:r>
        <w:t xml:space="preserve">: cuando hay externalidades o bienes públicos, el equilibrio competitivo deja de ser eficiente.</w:t>
      </w:r>
    </w:p>
    <w:p>
      <w:pPr>
        <w:numPr>
          <w:ilvl w:val="0"/>
          <w:numId w:val="1114"/>
        </w:numPr>
      </w:pPr>
      <w:r>
        <w:rPr>
          <w:i/>
          <w:iCs/>
        </w:rPr>
        <w:t xml:space="preserve">Funciones de bienestar social</w:t>
      </w:r>
      <w:r>
        <w:t xml:space="preserve"> </w:t>
      </w:r>
      <w:hyperlink r:id="rId134">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bookmarkEnd w:id="247"/>
    <w:bookmarkEnd w:id="248"/>
    <w:bookmarkStart w:id="258" w:name="anexo_telarana"/>
    <w:p>
      <w:pPr>
        <w:pStyle w:val="Heading1"/>
      </w:pPr>
      <w:r>
        <w:t xml:space="preserve">E. Anexo: el modelo de la telaraña</w:t>
      </w:r>
    </w:p>
    <w:p>
      <w:pPr>
        <w:pStyle w:val="FirstParagraph"/>
      </w:pPr>
      <w:r>
        <w:t xml:space="preserve">Este anexo desarrolla el modelo de</w:t>
      </w:r>
      <w:r>
        <w:t xml:space="preserve"> </w:t>
      </w:r>
      <w:hyperlink w:anchor="sec_estabilidad_dinamicas_ajuste">
        <w:r>
          <w:rPr>
            <w:rStyle w:val="Hyperlink"/>
          </w:rPr>
          <w:t xml:space="preserve">II.1.3</w:t>
        </w:r>
      </w:hyperlink>
      <w:r>
        <w:t xml:space="preserve"> </w:t>
      </w:r>
      <w:r>
        <w:t xml:space="preserve">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r>
        <w:t xml:space="preserve"> </w:t>
      </w:r>
      <w:bookmarkStart w:id="249" w:name="eq_precio_telarana"/>
      <w:bookmarkEnd w:id="249"/>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50" w:name="anexo_expectativas_ingenuas"/>
    <w:p>
      <w:pPr>
        <w:pStyle w:val="Heading2"/>
      </w:pPr>
      <w:r>
        <w:t xml:space="preserve">E.1. Expectativas ingenuas</w:t>
      </w:r>
    </w:p>
    <w:p>
      <w:pPr>
        <w:numPr>
          <w:ilvl w:val="0"/>
          <w:numId w:val="1115"/>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w:t>
      </w:r>
      <w:hyperlink w:anchor="eq_precio_telarana">
        <w:r>
          <w:rPr>
            <w:rStyle w:val="Hyperlink"/>
          </w:rPr>
          <w:t xml:space="preserve">23</w:t>
        </w:r>
      </w:hyperlink>
      <w:r>
        <w:t xml:space="preserve">)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numPr>
          <w:ilvl w:val="0"/>
          <w:numId w:val="1115"/>
        </w:numPr>
      </w:pPr>
      <w:r>
        <w:t xml:space="preserve">El factor es negativo, así que la desviación cambia de signo cada periodo: el precio oscila. Su valor absoluto decide la convergencia: 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 si</w:t>
      </w:r>
      <w:r>
        <w:t xml:space="preserve"> </w:t>
      </w:r>
      <m:oMath>
        <m:sSub>
          <m:e>
            <m:r>
              <m:t>b</m:t>
            </m:r>
          </m:e>
          <m:sub>
            <m:r>
              <m:t>1</m:t>
            </m:r>
          </m:sub>
        </m:sSub>
        <m:r>
          <m:rPr>
            <m:sty m:val="p"/>
          </m:rPr>
          <m:t>=</m:t>
        </m:r>
        <m:sSub>
          <m:e>
            <m:r>
              <m:t>a</m:t>
            </m:r>
          </m:e>
          <m:sub>
            <m:r>
              <m:t>1</m:t>
            </m:r>
          </m:sub>
        </m:sSub>
      </m:oMath>
      <w:r>
        <w:t xml:space="preserve">, oscila con amplitud constante; si</w:t>
      </w:r>
      <w:r>
        <w:t xml:space="preserve"> </w:t>
      </w:r>
      <m:oMath>
        <m:sSub>
          <m:e>
            <m:r>
              <m:t>b</m:t>
            </m:r>
          </m:e>
          <m:sub>
            <m:r>
              <m:t>1</m:t>
            </m:r>
          </m:sub>
        </m:sSub>
        <m:r>
          <m:rPr>
            <m:sty m:val="p"/>
          </m:rPr>
          <m:t>&gt;</m:t>
        </m:r>
        <m:sSub>
          <m:e>
            <m:r>
              <m:t>a</m:t>
            </m:r>
          </m:e>
          <m:sub>
            <m:r>
              <m:t>1</m:t>
            </m:r>
          </m:sub>
        </m:sSub>
      </m:oMath>
      <w:r>
        <w:t xml:space="preserve">, la amplitud crece sin límite. 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15"/>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w:r>
        <w:t xml:space="preserve"> ∎</w:t>
      </w:r>
    </w:p>
    <w:bookmarkEnd w:id="250"/>
    <w:bookmarkStart w:id="251" w:name="anexo_expectativas_adaptativas"/>
    <w:p>
      <w:pPr>
        <w:pStyle w:val="Heading2"/>
      </w:pPr>
      <w:r>
        <w:t xml:space="preserve">E.2. Expectativas adaptativas</w:t>
      </w:r>
    </w:p>
    <w:p>
      <w:pPr>
        <w:numPr>
          <w:ilvl w:val="0"/>
          <w:numId w:val="1116"/>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w:t>
      </w:r>
      <w:hyperlink w:anchor="eq_precio_telarana">
        <w:r>
          <w:rPr>
            <w:rStyle w:val="Hyperlink"/>
          </w:rPr>
          <w:t xml:space="preserve">23</w:t>
        </w:r>
      </w:hyperlink>
      <w:r>
        <w:t xml:space="preserve">)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16"/>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16"/>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w:t>
      </w:r>
      <w:hyperlink w:anchor="eq_precio_telarana">
        <w:r>
          <w:rPr>
            <w:rStyle w:val="Hyperlink"/>
          </w:rPr>
          <w:t xml:space="preserve">23</w:t>
        </w:r>
      </w:hyperlink>
      <w:r>
        <w:t xml:space="preserve">).</w:t>
      </w:r>
    </w:p>
    <w:p>
      <w:pPr>
        <w:pStyle w:val="FirstParagraph"/>
      </w:pPr>
      <w:r>
        <w:t xml:space="preserve"> ∎</w:t>
      </w:r>
    </w:p>
    <w:bookmarkEnd w:id="251"/>
    <w:bookmarkStart w:id="252" w:name="anexo_expectativas_racionales"/>
    <w:p>
      <w:pPr>
        <w:pStyle w:val="Heading2"/>
      </w:pPr>
      <w:r>
        <w:t xml:space="preserve">E.3. Expectativas racionales</w:t>
      </w:r>
    </w:p>
    <w:p>
      <w:pPr>
        <w:numPr>
          <w:ilvl w:val="0"/>
          <w:numId w:val="1117"/>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_Muth1961Rational">
        <w:r>
          <w:rPr>
            <w:rStyle w:val="Hyperlink"/>
            <w:smallCaps/>
          </w:rPr>
          <w:t xml:space="preserve">Muth</w:t>
        </w:r>
        <w:r>
          <w:rPr>
            <w:rStyle w:val="Hyperlink"/>
          </w:rPr>
          <w:t xml:space="preserve">, 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17"/>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hyperlink r:id="rId129">
        <w:r>
          <w:rPr>
            <w:rStyle w:val="Referenciaatema"/>
          </w:rPr>
          <w:t xml:space="preserve">[ver tema 3.A.6]</w:t>
        </w:r>
      </w:hyperlink>
      <w:r>
        <w:t xml:space="preserve">.</w:t>
      </w:r>
    </w:p>
    <w:p>
      <w:pPr>
        <w:pStyle w:val="FirstParagraph"/>
      </w:pPr>
      <w:r>
        <w:t xml:space="preserve"> ∎</w:t>
      </w:r>
    </w:p>
    <w:bookmarkEnd w:id="252"/>
    <w:bookmarkStart w:id="257" w:name="anexo_curvas_no_lineales"/>
    <w:p>
      <w:pPr>
        <w:pStyle w:val="Heading2"/>
      </w:pPr>
      <w:r>
        <w:t xml:space="preserve">E.4. Curvas no lineales: el ciclo límite</w:t>
      </w:r>
    </w:p>
    <w:p>
      <w:pPr>
        <w:numPr>
          <w:ilvl w:val="0"/>
          <w:numId w:val="1118"/>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18"/>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w:t>
      </w:r>
      <w:hyperlink w:anchor="fig_telarana_ciclo_limite">
        <w:r>
          <w:rPr>
            <w:rStyle w:val="Hyperlink"/>
          </w:rPr>
          <w:t xml:space="preserve">18</w:t>
        </w:r>
      </w:hyperlink>
      <w:r>
        <w:t xml:space="preserve">).</w:t>
      </w:r>
    </w:p>
    <w:bookmarkStart w:id="256" w:name="fig_telarana_ciclo_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Gráfico 18.– Telaraña con curvas no lineales: oscilaciones que crecen cerca del equilibrio y se estabilizan en un ciclo límite" title="" id="254" name="Picture"/>
            <a:graphic>
              <a:graphicData uri="http://schemas.openxmlformats.org/drawingml/2006/picture">
                <pic:pic>
                  <pic:nvPicPr>
                    <pic:cNvPr descr="C:\Users\vgutierrez\Documents\src\victorgutierrezmarcos.github.io-revision\oposicion\temario\fuentes\3A16\graficos/telarana-ciclo-limite.png" id="255" name="Picture"/>
                    <pic:cNvPicPr>
                      <a:picLocks noChangeArrowheads="1" noChangeAspect="1"/>
                    </pic:cNvPicPr>
                  </pic:nvPicPr>
                  <pic:blipFill>
                    <a:blip r:embed="rId253"/>
                    <a:stretch>
                      <a:fillRect/>
                    </a:stretch>
                  </pic:blipFill>
                  <pic:spPr bwMode="auto">
                    <a:xfrm>
                      <a:off x="0" y="0"/>
                      <a:ext cx="2486311" cy="2052048"/>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257"/>
    <w:bookmarkEnd w:id="258"/>
    <w:bookmarkStart w:id="261" w:name="anexo_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59">
        <w:r>
          <w:rPr>
            <w:rStyle w:val="Hyperlink"/>
          </w:rPr>
          <w:t xml:space="preserve">simulador de test</w:t>
        </w:r>
      </w:hyperlink>
      <w:r>
        <w:t xml:space="preserve">.</w:t>
      </w:r>
    </w:p>
    <w:p>
      <w:pPr>
        <w:numPr>
          <w:ilvl w:val="0"/>
          <w:numId w:val="1119"/>
        </w:numPr>
      </w:pPr>
      <w:r>
        <w:t xml:space="preserve">Con utilidad cuasilineal no hay efecto renta en el bien: la demanda marshalliana coincide con la hicksiana y el excedente del consumidor es una medida exacta del bienestar.</w:t>
      </w:r>
    </w:p>
    <w:p>
      <w:pPr>
        <w:numPr>
          <w:ilvl w:val="0"/>
          <w:numId w:val="1119"/>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19"/>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numPr>
          <w:ilvl w:val="0"/>
          <w:numId w:val="1119"/>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w:t>
      </w:r>
      <w:r>
        <w:t xml:space="preserve"> </w:t>
      </w:r>
      <w:r>
        <w:rPr>
          <w:smallCaps/>
        </w:rPr>
        <w:t xml:space="preserve">Kaldor</w:t>
      </w:r>
      <w:r>
        <w:t xml:space="preserve"> </w:t>
      </w:r>
      <w:r>
        <w:t xml:space="preserve">le dio nombre (1934);</w:t>
      </w:r>
      <w:r>
        <w:t xml:space="preserve"> </w:t>
      </w:r>
      <w:r>
        <w:rPr>
          <w:smallCaps/>
        </w:rPr>
        <w:t xml:space="preserve">Ezekiel</w:t>
      </w:r>
      <w:r>
        <w:t xml:space="preserve"> </w:t>
      </w:r>
      <w:r>
        <w:t xml:space="preserve">(1938) lo sistematizó;</w:t>
      </w:r>
      <w:r>
        <w:t xml:space="preserve"> </w:t>
      </w:r>
      <w:r>
        <w:rPr>
          <w:smallCaps/>
        </w:rPr>
        <w:t xml:space="preserve">Nerlove</w:t>
      </w:r>
      <w:r>
        <w:t xml:space="preserve"> </w:t>
      </w:r>
      <w:r>
        <w:t xml:space="preserve">(1958), expectativas adaptativas;</w:t>
      </w:r>
      <w:r>
        <w:t xml:space="preserve"> </w:t>
      </w:r>
      <w:r>
        <w:rPr>
          <w:smallCaps/>
        </w:rPr>
        <w:t xml:space="preserve">Muth</w:t>
      </w:r>
      <w:r>
        <w:t xml:space="preserve"> </w:t>
      </w:r>
      <w:r>
        <w:t xml:space="preserve">(1961), racionales.</w:t>
      </w:r>
    </w:p>
    <w:p>
      <w:pPr>
        <w:numPr>
          <w:ilvl w:val="0"/>
          <w:numId w:val="1119"/>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19"/>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numPr>
          <w:ilvl w:val="0"/>
          <w:numId w:val="1119"/>
        </w:numPr>
      </w:pPr>
      <w:r>
        <w:t xml:space="preserve">Libre entrada: con rendimientos constantes,</w:t>
      </w:r>
      <w:r>
        <w:t xml:space="preserve"> </w:t>
      </w:r>
      <m:oMath>
        <m:sSup>
          <m:e>
            <m:r>
              <m:t>p</m:t>
            </m:r>
          </m:e>
          <m:sup>
            <m:r>
              <m:rPr>
                <m:sty m:val="p"/>
              </m:rPr>
              <m:t>*</m:t>
            </m:r>
          </m:sup>
        </m:sSup>
        <m:r>
          <m:rPr>
            <m:sty m:val="p"/>
          </m:rPr>
          <m:t>=</m:t>
        </m:r>
        <m:r>
          <m:t>c</m:t>
        </m:r>
      </m:oMath>
      <w:r>
        <w:t xml:space="preserve"> </w:t>
      </w:r>
      <w:r>
        <w:t xml:space="preserve">y número de empresas indeterminado; con rendimientos decrecientes en todo el dominio, no hay equilibrio; 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La forma de S invertida de los costes es condición suficiente, no necesaria.</w:t>
      </w:r>
    </w:p>
    <w:p>
      <w:pPr>
        <w:numPr>
          <w:ilvl w:val="0"/>
          <w:numId w:val="1119"/>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19"/>
        </w:numPr>
      </w:pPr>
      <w:r>
        <w:t xml:space="preserve">El 1TFEB no necesita convexidad; el 2TFEB, sí (en general). En equilibrio parcial, todos los óptimos tienen las mismas cantidades.</w:t>
      </w:r>
    </w:p>
    <w:p>
      <w:pPr>
        <w:numPr>
          <w:ilvl w:val="0"/>
          <w:numId w:val="1119"/>
        </w:numPr>
      </w:pPr>
      <w:r>
        <w:rPr>
          <w:smallCaps/>
        </w:rPr>
        <w:t xml:space="preserve">Dupuit</w:t>
      </w:r>
      <w:r>
        <w:t xml:space="preserve"> </w:t>
      </w:r>
      <w:r>
        <w:t xml:space="preserve">(1844), no 1884;</w:t>
      </w:r>
      <w:r>
        <w:t xml:space="preserve"> </w:t>
      </w:r>
      <w:r>
        <w:rPr>
          <w:smallCaps/>
        </w:rPr>
        <w:t xml:space="preserve">Jenkin</w:t>
      </w:r>
      <w:r>
        <w:t xml:space="preserve"> </w:t>
      </w:r>
      <w:r>
        <w:t xml:space="preserve">(1870) dibuja las primeras curvas de oferta y demanda en inglés;</w:t>
      </w:r>
      <w:r>
        <w:t xml:space="preserve"> </w:t>
      </w:r>
      <w:r>
        <w:rPr>
          <w:smallCaps/>
        </w:rPr>
        <w:t xml:space="preserve">Marshall</w:t>
      </w:r>
      <w:r>
        <w:t xml:space="preserve"> </w:t>
      </w:r>
      <w:r>
        <w:t xml:space="preserve">(1890) sistematiza el equilibrio parcial.</w:t>
      </w:r>
    </w:p>
    <w:bookmarkStart w:id="260" w:name="preguntas_probables_del_tribunal"/>
    <w:p>
      <w:pPr>
        <w:pStyle w:val="Heading4"/>
      </w:pPr>
      <w:r>
        <w:t xml:space="preserve">Preguntas probables del tribunal</w:t>
      </w:r>
    </w:p>
    <w:p>
      <w:pPr>
        <w:numPr>
          <w:ilvl w:val="0"/>
          <w:numId w:val="1120"/>
        </w:numPr>
      </w:pPr>
      <w:r>
        <w:t xml:space="preserve">¿Por qué se usa la utilidad cuasilineal en equilibrio parcial? ¿Qué se pierde con ella?</w:t>
      </w:r>
    </w:p>
    <w:p>
      <w:pPr>
        <w:numPr>
          <w:ilvl w:val="0"/>
          <w:numId w:val="1120"/>
        </w:numPr>
      </w:pPr>
      <w:r>
        <w:t xml:space="preserve">¿Por qué la oferta de la empresa no es toda la curva de coste marginal? ¿Qué cambia entre el corto y el largo plazo?</w:t>
      </w:r>
    </w:p>
    <w:p>
      <w:pPr>
        <w:numPr>
          <w:ilvl w:val="0"/>
          <w:numId w:val="1120"/>
        </w:numPr>
      </w:pPr>
      <w:r>
        <w:t xml:space="preserve">¿Son compatibles las economías de escala con la competencia perfecta?</w:t>
      </w:r>
    </w:p>
    <w:p>
      <w:pPr>
        <w:numPr>
          <w:ilvl w:val="0"/>
          <w:numId w:val="1120"/>
        </w:numPr>
      </w:pPr>
      <w:r>
        <w:t xml:space="preserve">¿Por qué los ajustes walrasiano y marshalliano pueden dar resultados distintos? ¿Cuándo?</w:t>
      </w:r>
    </w:p>
    <w:p>
      <w:pPr>
        <w:numPr>
          <w:ilvl w:val="0"/>
          <w:numId w:val="1120"/>
        </w:numPr>
      </w:pPr>
      <w:r>
        <w:t xml:space="preserve">¿Qué dice la crítica de</w:t>
      </w:r>
      <w:r>
        <w:t xml:space="preserve"> </w:t>
      </w:r>
      <w:r>
        <w:rPr>
          <w:smallCaps/>
        </w:rPr>
        <w:t xml:space="preserve">Muth</w:t>
      </w:r>
      <w:r>
        <w:t xml:space="preserve"> </w:t>
      </w:r>
      <w:r>
        <w:t xml:space="preserve">a la telaraña?</w:t>
      </w:r>
    </w:p>
    <w:p>
      <w:pPr>
        <w:numPr>
          <w:ilvl w:val="0"/>
          <w:numId w:val="1120"/>
        </w:numPr>
      </w:pPr>
      <w:r>
        <w:t xml:space="preserve">¿Por qué el excedente total mide el bienestar? ¿Qué supuestos del 1TFEB no hacen falta?</w:t>
      </w:r>
    </w:p>
    <w:p>
      <w:pPr>
        <w:numPr>
          <w:ilvl w:val="0"/>
          <w:numId w:val="1120"/>
        </w:numPr>
      </w:pPr>
      <w:r>
        <w:t xml:space="preserve">¿Quién paga un impuesto unitario si la demanda es perfectamente inelástica? ¿Y si lo es la oferta?</w:t>
      </w:r>
    </w:p>
    <w:p>
      <w:pPr>
        <w:numPr>
          <w:ilvl w:val="0"/>
          <w:numId w:val="1120"/>
        </w:numPr>
      </w:pPr>
      <w:r>
        <w:t xml:space="preserve">¿Por qué puede no existir equilibrio a largo plazo con libre entrada y rendimientos decrecientes?</w:t>
      </w:r>
    </w:p>
    <w:p>
      <w:pPr>
        <w:numPr>
          <w:ilvl w:val="0"/>
          <w:numId w:val="1120"/>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0"/>
    <w:bookmarkEnd w:id="261"/>
    <w:bookmarkStart w:id="341" w:name="bibliografia"/>
    <w:p>
      <w:pPr>
        <w:pStyle w:val="Heading1"/>
      </w:pPr>
      <w:r>
        <w:t xml:space="preserve">Bibliografía</w:t>
      </w:r>
    </w:p>
    <w:bookmarkStart w:id="340" w:name="refs"/>
    <w:bookmarkStart w:id="26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62"/>
    <w:bookmarkStart w:id="263" w:name="ref_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63"/>
    <w:bookmarkStart w:id="26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4">
        <w:r>
          <w:rPr>
            <w:rStyle w:val="Hyperlink"/>
          </w:rPr>
          <w:t xml:space="preserve">https://doi.org/10.2307/2228949</w:t>
        </w:r>
      </w:hyperlink>
      <w:r>
        <w:t xml:space="preserve">.</w:t>
      </w:r>
    </w:p>
    <w:bookmarkEnd w:id="265"/>
    <w:bookmarkStart w:id="266" w:name="ref_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66"/>
    <w:bookmarkStart w:id="267" w:name="ref_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67"/>
    <w:bookmarkStart w:id="269" w:name="ref_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68">
        <w:r>
          <w:rPr>
            <w:rStyle w:val="Hyperlink"/>
          </w:rPr>
          <w:t xml:space="preserve">https://doi.org/10.31389/lsepress.ame</w:t>
        </w:r>
      </w:hyperlink>
      <w:r>
        <w:t xml:space="preserve">.</w:t>
      </w:r>
    </w:p>
    <w:bookmarkEnd w:id="269"/>
    <w:bookmarkStart w:id="270"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70"/>
    <w:bookmarkStart w:id="272" w:name="ref_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71">
        <w:r>
          <w:rPr>
            <w:rStyle w:val="Hyperlink"/>
          </w:rPr>
          <w:t xml:space="preserve">https://www.ec.europa.eu/agrifood/api/oliveOil/prices?memberStateCodes=ES</w:t>
        </w:r>
      </w:hyperlink>
      <w:r>
        <w:t xml:space="preserve">.</w:t>
      </w:r>
    </w:p>
    <w:bookmarkEnd w:id="272"/>
    <w:bookmarkStart w:id="274" w:name="ref_CE2026AceiteProduccion"/>
    <w:p>
      <w:pPr>
        <w:pStyle w:val="Bibliography"/>
      </w:pPr>
      <w:r>
        <w:t xml:space="preserve">Comisión Europea (2026b).</w:t>
      </w:r>
      <w:r>
        <w:t xml:space="preserve"> </w:t>
      </w:r>
      <w:r>
        <w:t xml:space="preserve">«Agri-food data portal: producción de aceite de oliva por campaña. España (miles de toneladas)»</w:t>
      </w:r>
      <w:r>
        <w:t xml:space="preserve">. 2026.</w:t>
      </w:r>
      <w:r>
        <w:t xml:space="preserve"> </w:t>
      </w:r>
      <w:hyperlink r:id="rId273">
        <w:r>
          <w:rPr>
            <w:rStyle w:val="Hyperlink"/>
          </w:rPr>
          <w:t xml:space="preserve">https://www.ec.europa.eu/agrifood/api/oliveOil/production?memberStateCodes=ES&amp;granularity=annual</w:t>
        </w:r>
      </w:hyperlink>
      <w:r>
        <w:t xml:space="preserve">.</w:t>
      </w:r>
    </w:p>
    <w:bookmarkEnd w:id="274"/>
    <w:bookmarkStart w:id="27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75"/>
    <w:bookmarkStart w:id="276" w:name="ref_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76"/>
    <w:bookmarkStart w:id="278" w:name="ref_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77">
        <w:r>
          <w:rPr>
            <w:rStyle w:val="Hyperlink"/>
          </w:rPr>
          <w:t xml:space="preserve">https://doi.org/10.1017/cbo9780511843617</w:t>
        </w:r>
      </w:hyperlink>
      <w:r>
        <w:t xml:space="preserve">.</w:t>
      </w:r>
    </w:p>
    <w:bookmarkEnd w:id="278"/>
    <w:bookmarkStart w:id="280"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79">
        <w:r>
          <w:rPr>
            <w:rStyle w:val="Hyperlink"/>
          </w:rPr>
          <w:t xml:space="preserve">https://doi.org/10.2307/1906814</w:t>
        </w:r>
      </w:hyperlink>
      <w:r>
        <w:t xml:space="preserve">.</w:t>
      </w:r>
    </w:p>
    <w:bookmarkEnd w:id="280"/>
    <w:bookmarkStart w:id="281"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1"/>
    <w:bookmarkStart w:id="28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2"/>
    <w:bookmarkStart w:id="284" w:name="ref_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83">
        <w:r>
          <w:rPr>
            <w:rStyle w:val="Hyperlink"/>
          </w:rPr>
          <w:t xml:space="preserve">https://doi.org/10.2307/1881734</w:t>
        </w:r>
      </w:hyperlink>
      <w:r>
        <w:t xml:space="preserve">.</w:t>
      </w:r>
    </w:p>
    <w:bookmarkEnd w:id="284"/>
    <w:bookmarkStart w:id="286"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85">
        <w:r>
          <w:rPr>
            <w:rStyle w:val="Hyperlink"/>
          </w:rPr>
          <w:t xml:space="preserve">https://doi.org/10.2307/1906943</w:t>
        </w:r>
      </w:hyperlink>
      <w:r>
        <w:t xml:space="preserve">.</w:t>
      </w:r>
    </w:p>
    <w:bookmarkEnd w:id="286"/>
    <w:bookmarkStart w:id="288"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87">
        <w:r>
          <w:rPr>
            <w:rStyle w:val="Hyperlink"/>
          </w:rPr>
          <w:t xml:space="preserve">https://doi.org/10.1111/j.1467-999X.1961.tb00819.x</w:t>
        </w:r>
      </w:hyperlink>
      <w:r>
        <w:t xml:space="preserve">.</w:t>
      </w:r>
    </w:p>
    <w:bookmarkEnd w:id="288"/>
    <w:bookmarkStart w:id="29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89">
        <w:r>
          <w:rPr>
            <w:rStyle w:val="Hyperlink"/>
          </w:rPr>
          <w:t xml:space="preserve">https://doi.org/10.1086/260629</w:t>
        </w:r>
      </w:hyperlink>
      <w:r>
        <w:t xml:space="preserve">.</w:t>
      </w:r>
    </w:p>
    <w:bookmarkEnd w:id="290"/>
    <w:bookmarkStart w:id="291" w:name="ref_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91"/>
    <w:bookmarkStart w:id="292" w:name="ref_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92"/>
    <w:bookmarkStart w:id="293" w:name="ref_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93"/>
    <w:bookmarkStart w:id="295" w:name="ref_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94">
        <w:r>
          <w:rPr>
            <w:rStyle w:val="Hyperlink"/>
          </w:rPr>
          <w:t xml:space="preserve">https://servicios.ine.es/wstempus/js/ES/DATOS_SERIE/IPC291663?nult=60</w:t>
        </w:r>
      </w:hyperlink>
      <w:r>
        <w:t xml:space="preserve">.</w:t>
      </w:r>
    </w:p>
    <w:bookmarkEnd w:id="295"/>
    <w:bookmarkStart w:id="296" w:name="ref_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96"/>
    <w:bookmarkStart w:id="298" w:name="ref_Jenkin1872Incidence"/>
    <w:p>
      <w:pPr>
        <w:pStyle w:val="Bibliography"/>
      </w:pPr>
      <w:r>
        <w:t xml:space="preserve">Jenkin, Fleeming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97">
        <w:r>
          <w:rPr>
            <w:rStyle w:val="Hyperlink"/>
          </w:rPr>
          <w:t xml:space="preserve">https://doi.org/10.1017/s0370164600042760</w:t>
        </w:r>
      </w:hyperlink>
      <w:r>
        <w:t xml:space="preserve">.</w:t>
      </w:r>
    </w:p>
    <w:bookmarkEnd w:id="298"/>
    <w:bookmarkStart w:id="299"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299"/>
    <w:bookmarkStart w:id="301" w:name="ref_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300">
        <w:r>
          <w:rPr>
            <w:rStyle w:val="Hyperlink"/>
          </w:rPr>
          <w:t xml:space="preserve">https://doi.org/10.2307/2967618</w:t>
        </w:r>
      </w:hyperlink>
      <w:r>
        <w:t xml:space="preserve">.</w:t>
      </w:r>
    </w:p>
    <w:bookmarkEnd w:id="301"/>
    <w:bookmarkStart w:id="303"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02">
        <w:r>
          <w:rPr>
            <w:rStyle w:val="Hyperlink"/>
          </w:rPr>
          <w:t xml:space="preserve">https://doi.org/10.1086/259131</w:t>
        </w:r>
      </w:hyperlink>
      <w:r>
        <w:t xml:space="preserve">.</w:t>
      </w:r>
    </w:p>
    <w:bookmarkEnd w:id="303"/>
    <w:bookmarkStart w:id="30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04">
        <w:r>
          <w:rPr>
            <w:rStyle w:val="Hyperlink"/>
          </w:rPr>
          <w:t xml:space="preserve">https://doi.org/10.2307/1905465</w:t>
        </w:r>
      </w:hyperlink>
      <w:r>
        <w:t xml:space="preserve">.</w:t>
      </w:r>
    </w:p>
    <w:bookmarkEnd w:id="305"/>
    <w:bookmarkStart w:id="306"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06"/>
    <w:bookmarkStart w:id="30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07">
        <w:r>
          <w:rPr>
            <w:rStyle w:val="Hyperlink"/>
          </w:rPr>
          <w:t xml:space="preserve">https://doi.org/10.2307/2967550</w:t>
        </w:r>
      </w:hyperlink>
      <w:r>
        <w:t xml:space="preserve">.</w:t>
      </w:r>
    </w:p>
    <w:bookmarkEnd w:id="308"/>
    <w:bookmarkStart w:id="310"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9">
        <w:r>
          <w:rPr>
            <w:rStyle w:val="Hyperlink"/>
          </w:rPr>
          <w:t xml:space="preserve">https://www.marxists.org/reference/subject/economics/marshall/bk1ch01.htm</w:t>
        </w:r>
      </w:hyperlink>
      <w:r>
        <w:t xml:space="preserve">.</w:t>
      </w:r>
    </w:p>
    <w:bookmarkEnd w:id="310"/>
    <w:bookmarkStart w:id="3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1"/>
    <w:bookmarkStart w:id="313" w:name="ref_Molina1597Iustitia"/>
    <w:p>
      <w:pPr>
        <w:pStyle w:val="Bibliography"/>
      </w:pPr>
      <w:r>
        <w:t xml:space="preserve">Molina, Luis de (1597).</w:t>
      </w:r>
      <w:r>
        <w:t xml:space="preserve"> </w:t>
      </w:r>
      <w:r>
        <w:rPr>
          <w:i/>
          <w:iCs/>
        </w:rPr>
        <w:t xml:space="preserve">De iustitia et iure</w:t>
      </w:r>
      <w:r>
        <w:t xml:space="preserve">. Vol. 2.</w:t>
      </w:r>
      <w:r>
        <w:t xml:space="preserve"> </w:t>
      </w:r>
      <w:hyperlink r:id="rId312">
        <w:r>
          <w:rPr>
            <w:rStyle w:val="Hyperlink"/>
          </w:rPr>
          <w:t xml:space="preserve">https://www.hetwebsite.net/het/profiles/molina.htm</w:t>
        </w:r>
      </w:hyperlink>
      <w:r>
        <w:t xml:space="preserve">.</w:t>
      </w:r>
    </w:p>
    <w:bookmarkEnd w:id="313"/>
    <w:bookmarkStart w:id="314"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14"/>
    <w:bookmarkStart w:id="316" w:name="ref_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315">
        <w:r>
          <w:rPr>
            <w:rStyle w:val="Hyperlink"/>
          </w:rPr>
          <w:t xml:space="preserve">https://doi.org/10.2307/1909635</w:t>
        </w:r>
      </w:hyperlink>
      <w:r>
        <w:t xml:space="preserve">.</w:t>
      </w:r>
    </w:p>
    <w:bookmarkEnd w:id="316"/>
    <w:bookmarkStart w:id="317" w:name="ref_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317"/>
    <w:bookmarkStart w:id="318"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18"/>
    <w:bookmarkStart w:id="319"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19"/>
    <w:bookmarkStart w:id="320" w:name="ref_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320"/>
    <w:bookmarkStart w:id="321"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21"/>
    <w:bookmarkStart w:id="322"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22"/>
    <w:bookmarkStart w:id="323"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323"/>
    <w:bookmarkStart w:id="324"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24"/>
    <w:bookmarkStart w:id="326"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5">
        <w:r>
          <w:rPr>
            <w:rStyle w:val="Hyperlink"/>
          </w:rPr>
          <w:t xml:space="preserve">https://www.gutenberg.org/cache/epub/3300/pg3300.txt</w:t>
        </w:r>
      </w:hyperlink>
      <w:r>
        <w:t xml:space="preserve">.</w:t>
      </w:r>
    </w:p>
    <w:bookmarkEnd w:id="326"/>
    <w:bookmarkStart w:id="328"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27">
        <w:r>
          <w:rPr>
            <w:rStyle w:val="Hyperlink"/>
          </w:rPr>
          <w:t xml:space="preserve">https://doi.org/10.1086/466541</w:t>
        </w:r>
      </w:hyperlink>
      <w:r>
        <w:t xml:space="preserve">.</w:t>
      </w:r>
    </w:p>
    <w:bookmarkEnd w:id="328"/>
    <w:bookmarkStart w:id="330"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9">
        <w:r>
          <w:rPr>
            <w:rStyle w:val="Hyperlink"/>
          </w:rPr>
          <w:t xml:space="preserve">https://doi.org/10.1086/258464</w:t>
        </w:r>
      </w:hyperlink>
      <w:r>
        <w:t xml:space="preserve">.</w:t>
      </w:r>
    </w:p>
    <w:bookmarkEnd w:id="330"/>
    <w:bookmarkStart w:id="33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31"/>
    <w:bookmarkStart w:id="333" w:name="ref_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332">
        <w:r>
          <w:rPr>
            <w:rStyle w:val="Hyperlink"/>
          </w:rPr>
          <w:t xml:space="preserve">https://hetwebsite.net/het/profiles/jenkin.htm</w:t>
        </w:r>
      </w:hyperlink>
      <w:r>
        <w:t xml:space="preserve">.</w:t>
      </w:r>
    </w:p>
    <w:bookmarkEnd w:id="333"/>
    <w:bookmarkStart w:id="33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34"/>
    <w:bookmarkStart w:id="335"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35"/>
    <w:bookmarkStart w:id="337"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36">
        <w:r>
          <w:rPr>
            <w:rStyle w:val="Hyperlink"/>
          </w:rPr>
          <w:t xml:space="preserve">https://doi.org/10.1086/261484</w:t>
        </w:r>
      </w:hyperlink>
      <w:r>
        <w:t xml:space="preserve">.</w:t>
      </w:r>
    </w:p>
    <w:bookmarkEnd w:id="337"/>
    <w:bookmarkStart w:id="339"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38">
        <w:r>
          <w:rPr>
            <w:rStyle w:val="Hyperlink"/>
          </w:rPr>
          <w:t xml:space="preserve">https://archive.org/details/lmentsdconomiep01walrgoog</w:t>
        </w:r>
      </w:hyperlink>
      <w:r>
        <w:t xml:space="preserve">.</w:t>
      </w:r>
    </w:p>
    <w:bookmarkEnd w:id="339"/>
    <w:bookmarkEnd w:id="340"/>
    <w:bookmarkEnd w:id="34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5">
    <w:p>
      <w:pPr>
        <w:pStyle w:val="FootnoteText"/>
      </w:pPr>
      <w:r>
        <w:rPr>
          <w:rStyle w:val="FootnoteReference"/>
        </w:rPr>
        <w:footnoteRef/>
      </w:r>
      <w:r>
        <w:t xml:space="preserve"> </w:t>
      </w:r>
      <w:r>
        <w:t xml:space="preserve">La clasificación en 4 estructuras es una simplificación expositiva</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Hay otras, como las</w:t>
      </w:r>
      <w:r>
        <w:t xml:space="preserve"> </w:t>
      </w:r>
      <w:r>
        <w:rPr>
          <w:i/>
          <w:iCs/>
        </w:rPr>
        <w:t xml:space="preserve">plataformas</w:t>
      </w:r>
      <w:r>
        <w:t xml:space="preserve">, en las que la utilidad de cada usuario aumenta con el número de usuarios (efectos de red).</w:t>
      </w:r>
    </w:p>
  </w:footnote>
  <w:footnote w:id="38">
    <w:p>
      <w:pPr>
        <w:pStyle w:val="FootnoteText"/>
      </w:pPr>
      <w:r>
        <w:rPr>
          <w:rStyle w:val="FootnoteReference"/>
        </w:rPr>
        <w:footnoteRef/>
      </w:r>
      <w:r>
        <w:t xml:space="preserve"> </w:t>
      </w:r>
      <w:r>
        <w:t xml:space="preserve">Al relajar el supuesto 2 se llega a la economía de la información</w:t>
      </w:r>
      <w:r>
        <w:t xml:space="preserve"> </w:t>
      </w:r>
      <w:hyperlink r:id="rId39">
        <w:r>
          <w:rPr>
            <w:rStyle w:val="Referenciaatema"/>
          </w:rPr>
          <w:t xml:space="preserve">[ver tema 3.A.13]</w:t>
        </w:r>
      </w:hyperlink>
      <w:r>
        <w:t xml:space="preserve">.</w:t>
      </w:r>
    </w:p>
  </w:footnote>
  <w:footnote w:id="40">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_Molina1597Iustitia">
        <w:r>
          <w:rPr>
            <w:rStyle w:val="Hyperlink"/>
            <w:smallCaps/>
          </w:rPr>
          <w:t xml:space="preserve">Molina</w:t>
        </w:r>
        <w:r>
          <w:rPr>
            <w:rStyle w:val="Hyperlink"/>
          </w:rPr>
          <w:t xml:space="preserve">, 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_Azpilcueta1556Cambios">
        <w:r>
          <w:rPr>
            <w:rStyle w:val="Hyperlink"/>
            <w:smallCaps/>
          </w:rPr>
          <w:t xml:space="preserve">Azpilcueta</w:t>
        </w:r>
        <w:r>
          <w:rPr>
            <w:rStyle w:val="Hyperlink"/>
          </w:rPr>
          <w:t xml:space="preserve">, 1556</w:t>
        </w:r>
      </w:hyperlink>
      <w:r>
        <w:t xml:space="preserve">;</w:t>
      </w:r>
      <w:r>
        <w:t xml:space="preserve"> </w:t>
      </w:r>
      <w:hyperlink w:anchor="ref_Bodin1568Reponse">
        <w:r>
          <w:rPr>
            <w:rStyle w:val="Hyperlink"/>
            <w:smallCaps/>
          </w:rPr>
          <w:t xml:space="preserve">Bodin</w:t>
        </w:r>
        <w:r>
          <w:rPr>
            <w:rStyle w:val="Hyperlink"/>
          </w:rPr>
          <w:t xml:space="preserve">, 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con su método del equilibrio parcial.</w:t>
      </w:r>
    </w:p>
  </w:footnote>
  <w:footnote w:id="42">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w:t>
      </w:r>
      <w:hyperlink w:anchor="anexo_parcial_general">
        <w:r>
          <w:rPr>
            <w:rStyle w:val="Hyperlink"/>
          </w:rPr>
          <w:t xml:space="preserve">D</w:t>
        </w:r>
      </w:hyperlink>
      <w:r>
        <w:t xml:space="preserve">).</w:t>
      </w:r>
    </w:p>
  </w:footnote>
  <w:footnote w:id="46">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footnote>
  <w:footnote w:id="47">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49">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hyperlink r:id="rId21">
        <w:r>
          <w:rPr>
            <w:rStyle w:val="Referenciaatema"/>
          </w:rPr>
          <w:t xml:space="preserve">[ver tema 3.A.8]</w:t>
        </w:r>
      </w:hyperlink>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52">
    <w:p>
      <w:pPr>
        <w:pStyle w:val="FootnoteText"/>
      </w:pPr>
      <w:r>
        <w:rPr>
          <w:rStyle w:val="FootnoteReference"/>
        </w:rPr>
        <w:footnoteRef/>
      </w:r>
      <w:r>
        <w:t xml:space="preserve"> </w:t>
      </w:r>
      <w:r>
        <w:t xml:space="preserve">Con varios bienes no numerarios, como en los modelos de diferenciación de productos, la demanda de cada uno depende de todos sus precios, pero sigue sin efecto renta</w:t>
      </w:r>
      <w:r>
        <w:t xml:space="preserve"> </w:t>
      </w:r>
      <w:hyperlink r:id="rId27">
        <w:r>
          <w:rPr>
            <w:rStyle w:val="Referenciaatema"/>
          </w:rPr>
          <w:t xml:space="preserve">[ver tema 3.A.18]</w:t>
        </w:r>
      </w:hyperlink>
      <w:r>
        <w:t xml:space="preserve">.</w:t>
      </w:r>
    </w:p>
  </w:footnote>
  <w:footnote w:id="53">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_Gorman1953Community">
        <w:r>
          <w:rPr>
            <w:rStyle w:val="Hyperlink"/>
            <w:smallCaps/>
          </w:rPr>
          <w:t xml:space="preserve">Gorman</w:t>
        </w:r>
        <w:r>
          <w:rPr>
            <w:rStyle w:val="Hyperlink"/>
          </w:rPr>
          <w:t xml:space="preserve">, 1953</w:t>
        </w:r>
      </w:hyperlink>
      <w:r>
        <w:t xml:space="preserve">,</w:t>
      </w:r>
      <w:r>
        <w:t xml:space="preserve"> </w:t>
      </w:r>
      <w:hyperlink w:anchor="ref_Gorman1961Class">
        <w:r>
          <w:rPr>
            <w:rStyle w:val="Hyperlink"/>
          </w:rPr>
          <w:t xml:space="preserve">1961</w:t>
        </w:r>
      </w:hyperlink>
      <w:r>
        <w:t xml:space="preserve">)</w:t>
      </w:r>
      <w:r>
        <w:t xml:space="preserve"> </w:t>
      </w:r>
      <w:hyperlink r:id="rId21">
        <w:r>
          <w:rPr>
            <w:rStyle w:val="Referenciaatema"/>
          </w:rPr>
          <w:t xml:space="preserve">[ver tema 3.A.8]</w:t>
        </w:r>
      </w:hyperlink>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60">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hyperlink r:id="rId24">
        <w:r>
          <w:rPr>
            <w:rStyle w:val="Referenciaatema"/>
          </w:rPr>
          <w:t xml:space="preserve">[ver tema 3.A.12]</w:t>
        </w:r>
      </w:hyperlink>
      <w:r>
        <w:t xml:space="preserve">; aquí solo importa su forma como función de</w:t>
      </w:r>
      <w:r>
        <w:t xml:space="preserve"> </w:t>
      </w:r>
      <m:oMath>
        <m:r>
          <m:t>q</m:t>
        </m:r>
      </m:oMath>
      <w:r>
        <w:t xml:space="preserve">.</w:t>
      </w:r>
    </w:p>
  </w:footnote>
  <w:footnote w:id="61">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hyperlink r:id="rId24">
        <w:r>
          <w:rPr>
            <w:rStyle w:val="Referenciaatema"/>
          </w:rPr>
          <w:t xml:space="preserve">[ver tema 3.A.12]</w:t>
        </w:r>
      </w:hyperlink>
      <w:r>
        <w:t xml:space="preserve">. Con rendimientos crecientes en todo el dominio, el problema de la empresa precio-aceptante no tiene solución: siempre ganaría más produciendo más. Con rendimientos constantes, el tamaño de la empresa queda indeterminado (</w:t>
      </w:r>
      <w:hyperlink w:anchor="sec_largo_plazo_libre_entrada">
        <w:r>
          <w:rPr>
            <w:rStyle w:val="Hyperlink"/>
          </w:rPr>
          <w:t xml:space="preserve">III.3</w:t>
        </w:r>
      </w:hyperlink>
      <w:r>
        <w:t xml:space="preserve">).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hyperlink r:id="rId24">
        <w:r>
          <w:rPr>
            <w:rStyle w:val="Referenciaatema"/>
          </w:rPr>
          <w:t xml:space="preserve">[ver tema 3.A.12]</w:t>
        </w:r>
      </w:hyperlink>
      <w:r>
        <w:t xml:space="preserve">.</w:t>
      </w:r>
    </w:p>
  </w:footnote>
  <w:footnote w:id="68">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hyperlink r:id="rId24">
        <w:r>
          <w:rPr>
            <w:rStyle w:val="Referenciaatema"/>
          </w:rPr>
          <w:t xml:space="preserve">[ver tema 3.A.12]</w:t>
        </w:r>
      </w:hyperlink>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72">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106">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_Walras1874Elements">
        <w:r>
          <w:rPr>
            <w:rStyle w:val="Hyperlink"/>
            <w:smallCaps/>
          </w:rPr>
          <w:t xml:space="preserve">Walras</w:t>
        </w:r>
        <w:r>
          <w:rPr>
            <w:rStyle w:val="Hyperlink"/>
          </w:rPr>
          <w:t xml:space="preserve">, 1874, párr.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hyperlink r:id="rId34">
        <w:r>
          <w:rPr>
            <w:rStyle w:val="Referenciaatema"/>
          </w:rPr>
          <w:t xml:space="preserve">[ver tema 3.A.21]</w:t>
        </w:r>
      </w:hyperlink>
      <w:r>
        <w:t xml:space="preserve">.</w:t>
      </w:r>
    </w:p>
  </w:footnote>
  <w:footnote w:id="118">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35">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medir la utilidad de un puente o de una carretera</w:t>
      </w:r>
      <w:r>
        <w:t xml:space="preserve"> </w:t>
      </w:r>
      <w:hyperlink r:id="rId51">
        <w:r>
          <w:rPr>
            <w:rStyle w:val="Referenciaatema"/>
          </w:rPr>
          <w:t xml:space="preserve">[ver tema 3.A.9]</w:t>
        </w:r>
      </w:hyperlink>
      <w:r>
        <w:t xml:space="preserve">.</w:t>
      </w:r>
    </w:p>
  </w:footnote>
  <w:footnote w:id="136">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38">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44">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9">
        <w:r>
          <w:rPr>
            <w:rStyle w:val="Referenciaatema"/>
          </w:rPr>
          <w:t xml:space="preserve">[ver tema 3.A.22]</w:t>
        </w:r>
      </w:hyperlink>
      <w:r>
        <w:t xml:space="preserve">.</w:t>
      </w:r>
    </w:p>
  </w:footnote>
  <w:footnote w:id="147">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54">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64">
    <w:p>
      <w:pPr>
        <w:pStyle w:val="FootnoteText"/>
      </w:pPr>
      <w:r>
        <w:rPr>
          <w:rStyle w:val="FootnoteReference"/>
        </w:rPr>
        <w:footnoteRef/>
      </w:r>
      <w:r>
        <w:t xml:space="preserve"> </w:t>
      </w:r>
      <w:r>
        <w:rPr>
          <w:smallCaps/>
        </w:rPr>
        <w:t xml:space="preserve">Jenkin</w:t>
      </w:r>
      <w:r>
        <w:t xml:space="preserve"> </w:t>
      </w:r>
      <w:r>
        <w:t xml:space="preserve">(</w:t>
      </w:r>
      <w:hyperlink w:anchor="ref_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81">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caps. VIII y IX)</w:t>
      </w:r>
      <w:r>
        <w:t xml:space="preserve">. Es el excedente del productor a corto plazo: ingresos menos costes variables.</w:t>
      </w:r>
    </w:p>
  </w:footnote>
  <w:footnote w:id="185">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w:t>
      </w:r>
      <w:hyperlink w:anchor="tab_beneficio_economico">
        <w:r>
          <w:rPr>
            <w:rStyle w:val="Hyperlink"/>
          </w:rPr>
          <w:t xml:space="preserve">4</w:t>
        </w:r>
      </w:hyperlink>
      <w:r>
        <w:t xml:space="preserve">),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99">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202">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w:t>
      </w:r>
      <w:hyperlink w:anchor="sec_unicidad">
        <w:r>
          <w:rPr>
            <w:rStyle w:val="Hyperlink"/>
          </w:rPr>
          <w:t xml:space="preserve">II.1.2</w:t>
        </w:r>
      </w:hyperlink>
      <w:r>
        <w:t xml:space="preserve">).</w:t>
      </w:r>
    </w:p>
  </w:footnote>
  <w:footnote w:id="203">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204">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hyperlink r:id="rId23">
        <w:r>
          <w:rPr>
            <w:rStyle w:val="Referenciaatema"/>
          </w:rPr>
          <w:t xml:space="preserve">[ver tema 3.A.11]</w:t>
        </w:r>
      </w:hyperlink>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232">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155" Target="media/rId155.png" /><Relationship Type="http://schemas.openxmlformats.org/officeDocument/2006/relationships/image" Id="rId242" Target="media/rId242.png" /><Relationship Type="http://schemas.openxmlformats.org/officeDocument/2006/relationships/image" Id="rId211" Target="media/rId211.png"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139" Target="media/rId139.png" /><Relationship Type="http://schemas.openxmlformats.org/officeDocument/2006/relationships/image" Id="rId237" Target="media/rId237.png" /><Relationship Type="http://schemas.openxmlformats.org/officeDocument/2006/relationships/image" Id="rId167" Target="media/rId167.png" /><Relationship Type="http://schemas.openxmlformats.org/officeDocument/2006/relationships/image" Id="rId206" Target="media/rId206.png" /><Relationship Type="http://schemas.openxmlformats.org/officeDocument/2006/relationships/image" Id="rId177" Target="media/rId177.png" /><Relationship Type="http://schemas.openxmlformats.org/officeDocument/2006/relationships/image" Id="rId96" Target="media/rId96.png" /><Relationship Type="http://schemas.openxmlformats.org/officeDocument/2006/relationships/image" Id="rId87" Target="media/rId87.png" /><Relationship Type="http://schemas.openxmlformats.org/officeDocument/2006/relationships/image" Id="rId186" Target="media/rId186.png" /><Relationship Type="http://schemas.openxmlformats.org/officeDocument/2006/relationships/image" Id="rId64" Target="media/rId64.png" /><Relationship Type="http://schemas.openxmlformats.org/officeDocument/2006/relationships/image" Id="rId218" Target="media/rId218.png" /><Relationship Type="http://schemas.openxmlformats.org/officeDocument/2006/relationships/image" Id="rId253" Target="media/rId253.png" /><Relationship Type="http://schemas.openxmlformats.org/officeDocument/2006/relationships/image" Id="rId121" Target="media/rId121.png" /><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227" Target="https://www.victorgutierrezmarcos.es/oposicion/temario/tema-no-disponible.html?tema=3.A.15"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227" Target="https://www.victorgutierrezmarcos.es/oposicion/temario/tema-no-disponible.html?tema=3.A.15"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2026-10-19T16:18:39Z</dcterms:created>
  <dcterms:modified xsi:type="dcterms:W3CDTF">2026-10-19T16:18:39Z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3A16</vt:lpwstr>
  </property>
  <property fmtid="{D5CDD505-2E9C-101B-9397-08002B2CF9AE}" pid="6" name="bibliography">
    <vt:lpwstr>C:\Users\vgutierrez\Documents\src\victorgutierrezmarcos.github.io-revision\oposicion\temario\fuentes\3A16\3A16.bib</vt:lpwstr>
  </property>
  <property fmtid="{D5CDD505-2E9C-101B-9397-08002B2CF9AE}" pid="7" name="carpeta">
    <vt:lpwstr>tercer-ejercicio</vt:lpwstr>
  </property>
  <property fmtid="{D5CDD505-2E9C-101B-9397-08002B2CF9AE}" pid="8" name="codigo">
    <vt:lpwstr>3.A.16</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18/10/2026</vt:lpwstr>
  </property>
  <property fmtid="{D5CDD505-2E9C-101B-9397-08002B2CF9AE}" pid="11" name="ejercicio">
    <vt:lpwstr>Tercer ejercicio</vt:lpwstr>
  </property>
  <property fmtid="{D5CDD505-2E9C-101B-9397-08002B2CF9AE}" pid="12" name="fecha">
    <vt:lpwstr>18/10/2026</vt:lpwstr>
  </property>
  <property fmtid="{D5CDD505-2E9C-101B-9397-08002B2CF9AE}" pid="13" name="fecha-cita">
    <vt:lpwstr>2026/10/18</vt:lpwstr>
  </property>
  <property fmtid="{D5CDD505-2E9C-101B-9397-08002B2CF9AE}" pid="14" name="fecha-iso">
    <vt:lpwstr>2026-10-18</vt:lpwstr>
  </property>
  <property fmtid="{D5CDD505-2E9C-101B-9397-08002B2CF9AE}" pid="15" name="fecha-publicada">
    <vt:lpwstr>2026-10-18</vt:lpwstr>
  </property>
  <property fmtid="{D5CDD505-2E9C-101B-9397-08002B2CF9AE}" pid="16" name="fecha-publicada-cita">
    <vt:lpwstr>2026/10/18</vt:lpwstr>
  </property>
  <property fmtid="{D5CDD505-2E9C-101B-9397-08002B2CF9AE}" pid="17" name="graficos-docx">
    <vt:lpwstr>C:\Users\vgutierrez\Documents\src\victorgutierrezmarcos.github.io-revision\oposicion\temario\fuentes\3A16\graficos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36 págs. · Anexos: 8 · Bibliografía: 3</vt:lpwstr>
  </property>
  <property fmtid="{D5CDD505-2E9C-101B-9397-08002B2CF9AE}" pid="21"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22" name="reference-section-title">
    <vt:lpwstr>Bibliografía</vt:lpwstr>
  </property>
  <property fmtid="{D5CDD505-2E9C-101B-9397-08002B2CF9AE}" pid="23" name="resumen">
    <vt:lpwstr>Modelo de competencia perfecta: oferta, demanda y equilibrio parcial, ajuste de Walras y Marshall, telaraña, excedentes, impuestos y libre entrada.</vt:lpwstr>
  </property>
  <property fmtid="{D5CDD505-2E9C-101B-9397-08002B2CF9AE}" pid="24"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5" name="titulo-cita">
    <vt:lpwstr>Análisis de mercados (I). El modelo de competencia perfecta. Análisis de equilibrio parcial: corto y largo plazo; dinámicas de ajuste y estabilidad del equilibrio. Análisis de eficiencia y bienestar</vt:lpwstr>
  </property>
  <property fmtid="{D5CDD505-2E9C-101B-9397-08002B2CF9AE}" pid="26" name="titulo-seo">
    <vt:lpwstr>Competencia perfecta y equilibrio parcial</vt:lpwstr>
  </property>
</Properties>
</file>