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2.png" ContentType="image/png"/>
  <Override PartName="/word/media/rId119.png" ContentType="image/png"/>
  <Override PartName="/word/media/rId266.png" ContentType="image/png"/>
  <Override PartName="/word/media/rId85.png" ContentType="image/png"/>
  <Override PartName="/word/media/rId300.png" ContentType="image/png"/>
  <Override PartName="/word/media/rId65.png" ContentType="image/png"/>
  <Override PartName="/word/media/rId71.png" ContentType="image/png"/>
  <Override PartName="/word/media/rId223.png" ContentType="image/png"/>
  <Override PartName="/word/media/rId60.png" ContentType="image/png"/>
  <Override PartName="/word/media/rId204.png" ContentType="image/png"/>
  <Override PartName="/word/media/rId253.png" ContentType="image/png"/>
  <Override PartName="/word/media/rId258.png" ContentType="image/png"/>
  <Override PartName="/word/media/rId103.png" ContentType="image/png"/>
  <Override PartName="/word/media/rId314.png" ContentType="image/png"/>
  <Override PartName="/word/media/rId180.png" ContentType="image/png"/>
  <Override PartName="/word/media/rId210.png" ContentType="image/png"/>
  <Override PartName="/word/media/rId163.png" ContentType="image/png"/>
  <Override PartName="/word/media/rId128.png" ContentType="image/png"/>
  <Override PartName="/word/media/rId140.png" ContentType="image/png"/>
  <Override PartName="/word/media/rId52.png" ContentType="image/png"/>
  <Override PartName="/word/media/rId30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pStyle w:val="Author"/>
      </w:pPr>
      <w:r>
        <w:t xml:space="preserve">Víctor Gutiérrez Marcos</w:t>
      </w:r>
    </w:p>
    <w:p>
      <w:pPr>
        <w:pStyle w:val="Date"/>
      </w:pPr>
      <w:r>
        <w:t xml:space="preserve">Última actualización: 17/10/2026</w:t>
      </w:r>
    </w:p>
    <w:p>
      <w:pPr>
        <w:pStyle w:val="Paginasdeltema"/>
      </w:pPr>
      <w:r>
        <w:t xml:space="preserve">Tema: 36 págs. · Anexos: 20 · Bibliografía: 6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_Mehta2024Google">
        <w:r>
          <w:rPr>
            <w:rStyle w:val="Hyperlink"/>
            <w:smallCaps/>
          </w:rPr>
          <w:t xml:space="preserve">United States District Court for the District of Columbia</w:t>
        </w:r>
        <w:r>
          <w:rPr>
            <w:rStyle w:val="Hyperlink"/>
          </w:rPr>
          <w:t xml:space="preserve">, 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w:t>
      </w:r>
      <w:r>
        <w:t xml:space="preserve"> </w:t>
      </w:r>
      <w:hyperlink r:id="rId25">
        <w:r>
          <w:rPr>
            <w:rStyle w:val="Referenciaatema"/>
          </w:rPr>
          <w:t xml:space="preserve">[ver tema 3.A.15]</w:t>
        </w:r>
      </w:hyperlink>
      <w:r>
        <w:t xml:space="preserve"> </w:t>
      </w:r>
      <w:r>
        <w:t xml:space="preserve">y el mercado en el que vende y compra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9"/>
      </w:r>
      <w:r>
        <w:t xml:space="preserve"> </w:t>
      </w:r>
      <w:r>
        <w:t xml:space="preserve">Estudiamos el monopolio en</w:t>
      </w:r>
      <w:r>
        <w:t xml:space="preserve"> </w:t>
      </w:r>
      <w:r>
        <w:rPr>
          <w:i/>
          <w:iCs/>
        </w:rPr>
        <w:t xml:space="preserve">equilibrio parcial</w:t>
      </w:r>
      <w:r>
        <w:t xml:space="preserve">.</w:t>
      </w:r>
      <w:r>
        <w:rPr>
          <w:rStyle w:val="FootnoteReference"/>
        </w:rPr>
        <w:footnoteReference w:id="30"/>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hyperlink r:id="rId31">
        <w:r>
          <w:rPr>
            <w:rStyle w:val="Referenciaatema"/>
          </w:rPr>
          <w:t xml:space="preserve">[ver tema 3.A.22]</w:t>
        </w:r>
      </w:hyperlink>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el poder de las empresas como compradoras de trabajo es apreciable</w:t>
      </w:r>
      <w:r>
        <w:t xml:space="preserve"> </w:t>
      </w:r>
      <w:r>
        <w:t xml:space="preserve">(</w:t>
      </w:r>
      <w:hyperlink w:anchor="ref_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hyperlink r:id="rId32">
        <w:r>
          <w:rPr>
            <w:rStyle w:val="Referenciaatema"/>
          </w:rPr>
          <w:t xml:space="preserve">[ver tema 3.B.39]</w:t>
        </w:r>
      </w:hyperlink>
      <w:r>
        <w:t xml:space="preserve">, de la regulación de los monopolios naturales</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numPr>
          <w:ilvl w:val="1"/>
          <w:numId w:val="1006"/>
        </w:numPr>
      </w:pPr>
      <w:r>
        <w:t xml:space="preserve">En el siglo XIX, David</w:t>
      </w:r>
      <w:r>
        <w:t xml:space="preserve"> </w:t>
      </w:r>
      <w:r>
        <w:rPr>
          <w:smallCaps/>
        </w:rPr>
        <w:t xml:space="preserve">Ricardo</w:t>
      </w:r>
      <w:r>
        <w:t xml:space="preserve"> </w:t>
      </w:r>
      <w:r>
        <w:t xml:space="preserve">(</w:t>
      </w:r>
      <w:hyperlink w:anchor="ref_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 John Stuart</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w:t>
      </w:r>
      <w:r>
        <w:t xml:space="preserve">estudia el valor de los productos conjuntos (el coque y el gas), y Jules</w:t>
      </w:r>
      <w:r>
        <w:t xml:space="preserve"> </w:t>
      </w:r>
      <w:r>
        <w:rPr>
          <w:smallCaps/>
        </w:rPr>
        <w:t xml:space="preserve">Dupuit</w:t>
      </w:r>
      <w:r>
        <w:t xml:space="preserve"> </w:t>
      </w:r>
      <w:r>
        <w:t xml:space="preserve">(</w:t>
      </w:r>
      <w:hyperlink w:anchor="ref_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_Ekelund1970Price">
        <w:r>
          <w:rPr>
            <w:rStyle w:val="Hyperlink"/>
            <w:smallCaps/>
          </w:rPr>
          <w:t xml:space="preserve">Ekelund</w:t>
        </w:r>
        <w:r>
          <w:rPr>
            <w:rStyle w:val="Hyperlink"/>
          </w:rPr>
          <w:t xml:space="preserve">, 1970</w:t>
        </w:r>
      </w:hyperlink>
      <w:r>
        <w:t xml:space="preserve">)</w:t>
      </w:r>
      <w:r>
        <w:t xml:space="preserve">, tras medir en</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35"/>
      </w:r>
    </w:p>
    <w:p>
      <w:pPr>
        <w:numPr>
          <w:ilvl w:val="1"/>
          <w:numId w:val="1006"/>
        </w:numPr>
      </w:pP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clasifica la discriminación de precios en 3 grados.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 Arthur</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estudia el monopolio bilateral, y Abba</w:t>
      </w:r>
      <w:r>
        <w:t xml:space="preserve"> </w:t>
      </w:r>
      <w:r>
        <w:rPr>
          <w:smallCaps/>
        </w:rPr>
        <w:t xml:space="preserve">Lerner</w:t>
      </w:r>
      <w:r>
        <w:t xml:space="preserve"> </w:t>
      </w:r>
      <w:r>
        <w:t xml:space="preserve">(</w:t>
      </w:r>
      <w:hyperlink w:anchor="ref_Lerner1934Concept">
        <w:r>
          <w:rPr>
            <w:rStyle w:val="Hyperlink"/>
          </w:rPr>
          <w:t xml:space="preserve">1934</w:t>
        </w:r>
      </w:hyperlink>
      <w:r>
        <w:t xml:space="preserve">)</w:t>
      </w:r>
      <w:r>
        <w:t xml:space="preserve"> </w:t>
      </w:r>
      <w:r>
        <w:t xml:space="preserve">propone el índice de poder de mercado que lleva su nombre.</w:t>
      </w:r>
    </w:p>
    <w:p>
      <w:pPr>
        <w:numPr>
          <w:ilvl w:val="1"/>
          <w:numId w:val="1006"/>
        </w:numPr>
      </w:pPr>
      <w:r>
        <w:t xml:space="preserve">Tras la Segunda Guerra Mundial,</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cuantifica la pérdida de bienestar del monopolio;</w:t>
      </w:r>
      <w:r>
        <w:t xml:space="preserve"> </w:t>
      </w: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w:t>
      </w:r>
      <w:r>
        <w:t xml:space="preserve">abren la teoría de la tarificación de los monopolios públicos;</w:t>
      </w:r>
      <w:r>
        <w:t xml:space="preserve"> </w:t>
      </w: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define el monopolio natural por la subaditividad de los costes, y la nueva organización industrial incorpora la información asimétrica a la discriminación de precios</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r>
        <w:t xml:space="preserve">y a la regulación</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fija el precio y la cantidad una empresa sin competidores, qué limita su poder y cuánto le cuesta eso a la sociedad?</w:t>
      </w:r>
    </w:p>
    <w:p>
      <w:pPr>
        <w:numPr>
          <w:ilvl w:val="1"/>
          <w:numId w:val="1007"/>
        </w:numPr>
      </w:pPr>
      <w:r>
        <w:t xml:space="preserve">¿Qué cambia cuando puede cobrar precios distintos, cuando la tecnología hace preferible una sola empresa o cuando vende varios productos?</w:t>
      </w:r>
    </w:p>
    <w:p>
      <w:pPr>
        <w:numPr>
          <w:ilvl w:val="1"/>
          <w:numId w:val="1007"/>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numPr>
          <w:ilvl w:val="1"/>
          <w:numId w:val="1008"/>
        </w:numPr>
      </w:pPr>
      <w:r>
        <w:rPr>
          <w:b/>
          <w:bCs/>
        </w:rPr>
        <w:t xml:space="preserve">I. Teoría del monopolio</w:t>
      </w:r>
      <w:r>
        <w:t xml:space="preserve">: el escenario base (una sola empresa, muchos compradores precio-aceptantes y barreras a la entrada) (</w:t>
      </w:r>
      <w:hyperlink w:anchor="sec_caracterizacion_monopolio_escenario">
        <w:r>
          <w:rPr>
            <w:rStyle w:val="Hyperlink"/>
          </w:rPr>
          <w:t xml:space="preserve">I.1</w:t>
        </w:r>
      </w:hyperlink>
      <w:r>
        <w:t xml:space="preserve">), su equilibrio y la regla de</w:t>
      </w:r>
      <w:r>
        <w:t xml:space="preserve"> </w:t>
      </w:r>
      <w:r>
        <w:rPr>
          <w:smallCaps/>
        </w:rPr>
        <w:t xml:space="preserve">Lerner</w:t>
      </w:r>
      <w:r>
        <w:t xml:space="preserve"> </w:t>
      </w:r>
      <w:r>
        <w:t xml:space="preserve">(</w:t>
      </w:r>
      <w:hyperlink w:anchor="sec_equilibrio_monopolio">
        <w:r>
          <w:rPr>
            <w:rStyle w:val="Hyperlink"/>
          </w:rPr>
          <w:t xml:space="preserve">I.2</w:t>
        </w:r>
      </w:hyperlink>
      <w:r>
        <w:t xml:space="preserve">) y el análisis de eficiencia y bienestar (</w:t>
      </w:r>
      <w:hyperlink w:anchor="sec_analisis_eficiencia_bienestar">
        <w:r>
          <w:rPr>
            <w:rStyle w:val="Hyperlink"/>
          </w:rPr>
          <w:t xml:space="preserve">I.3</w:t>
        </w:r>
      </w:hyperlink>
      <w:r>
        <w:t xml:space="preserve">), que adelantamos porque es la vara de medir de todo lo que sigue.</w:t>
      </w:r>
    </w:p>
    <w:p>
      <w:pPr>
        <w:numPr>
          <w:ilvl w:val="1"/>
          <w:numId w:val="1008"/>
        </w:numPr>
      </w:pPr>
      <w:r>
        <w:rPr>
          <w:b/>
          <w:bCs/>
        </w:rPr>
        <w:t xml:space="preserve">II. Desarrollos de la teoría del monopolio</w:t>
      </w:r>
      <w:r>
        <w:t xml:space="preserve">, levantando de uno en uno los supuestos del escenario base: el precio único (discriminación de precios,</w:t>
      </w:r>
      <w:r>
        <w:t xml:space="preserve"> </w:t>
      </w:r>
      <w:hyperlink w:anchor="sec_discriminacion_precios">
        <w:r>
          <w:rPr>
            <w:rStyle w:val="Hyperlink"/>
          </w:rPr>
          <w:t xml:space="preserve">II.1</w:t>
        </w:r>
      </w:hyperlink>
      <w:r>
        <w:t xml:space="preserve">), unos costes sin ventajas de tamaño (monopolio natural y su regulación,</w:t>
      </w:r>
      <w:r>
        <w:t xml:space="preserve"> </w:t>
      </w:r>
      <w:hyperlink w:anchor="sec_monopolio_natural">
        <w:r>
          <w:rPr>
            <w:rStyle w:val="Hyperlink"/>
          </w:rPr>
          <w:t xml:space="preserve">II.2</w:t>
        </w:r>
      </w:hyperlink>
      <w:r>
        <w:t xml:space="preserve">) y el producto y la planta únicos (producción conjunta,</w:t>
      </w:r>
      <w:r>
        <w:t xml:space="preserve"> </w:t>
      </w:r>
      <w:hyperlink w:anchor="sec_produccion_conjunta">
        <w:r>
          <w:rPr>
            <w:rStyle w:val="Hyperlink"/>
          </w:rPr>
          <w:t xml:space="preserve">II.3</w:t>
        </w:r>
      </w:hyperlink>
      <w:r>
        <w:t xml:space="preserve">).</w:t>
      </w:r>
    </w:p>
    <w:p>
      <w:pPr>
        <w:numPr>
          <w:ilvl w:val="1"/>
          <w:numId w:val="1008"/>
        </w:numPr>
      </w:pPr>
      <w:r>
        <w:rPr>
          <w:b/>
          <w:bCs/>
        </w:rPr>
        <w:t xml:space="preserve">III. Otras estructuras de mercado relacionadas con el monopolio</w:t>
      </w:r>
      <w:r>
        <w:t xml:space="preserve">: el poder de mercado cambia de lado (monopsonio,</w:t>
      </w:r>
      <w:r>
        <w:t xml:space="preserve"> </w:t>
      </w:r>
      <w:hyperlink w:anchor="sec_monopsonio">
        <w:r>
          <w:rPr>
            <w:rStyle w:val="Hyperlink"/>
          </w:rPr>
          <w:t xml:space="preserve">III.1</w:t>
        </w:r>
      </w:hyperlink>
      <w:r>
        <w:t xml:space="preserve">) y, por último, está en los 2 lados a la vez (monopolio bilateral,</w:t>
      </w:r>
      <w:r>
        <w:t xml:space="preserve"> </w:t>
      </w:r>
      <w:hyperlink w:anchor="sec_monopolio_bilateral">
        <w:r>
          <w:rPr>
            <w:rStyle w:val="Hyperlink"/>
          </w:rPr>
          <w:t xml:space="preserve">III.2</w:t>
        </w:r>
      </w:hyperlink>
      <w:r>
        <w:t xml:space="preserve">).</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pPr>
      <w:r>
        <w:rPr>
          <w:b/>
          <w:bCs/>
        </w:rPr>
        <w:t xml:space="preserve">Nota al opositor. </w:t>
      </w:r>
      <w:r>
        <w:t xml:space="preserve">La exposición va del monopolio básico y su coste social (</w:t>
      </w:r>
      <w:hyperlink w:anchor="sec_teoria_monopolio_equilibrio">
        <w:r>
          <w:rPr>
            <w:rStyle w:val="Hyperlink"/>
          </w:rPr>
          <w:t xml:space="preserve">I</w:t>
        </w:r>
      </w:hyperlink>
      <w:r>
        <w:t xml:space="preserve">) a los desarrollos que el título pide (</w:t>
      </w:r>
      <w:hyperlink w:anchor="sec_desarrollos_teoria_monopolio">
        <w:r>
          <w:rPr>
            <w:rStyle w:val="Hyperlink"/>
          </w:rPr>
          <w:t xml:space="preserve">II</w:t>
        </w:r>
      </w:hyperlink>
      <w:r>
        <w:t xml:space="preserve">: discriminación de precios, monopolio natural y producción conjunta) y a las estructuras en que el poder de mercado está en el lado de la demanda o en los 2 lados (</w:t>
      </w:r>
      <w:hyperlink w:anchor="sec_otras_estructuras_mercado">
        <w:r>
          <w:rPr>
            <w:rStyle w:val="Hyperlink"/>
          </w:rPr>
          <w:t xml:space="preserve">III</w:t>
        </w:r>
      </w:hyperlink>
      <w:r>
        <w:t xml:space="preserve">). Reparto del cante: introducción, 2′30″; I, 8′ (I.1, 1′; I.2, 4′; I.3, 3′); II, 11′30″ (II.1, 5′30″; II.2, 4′30″; II.3, 1′30″); III, 7′ (III.1, 3′30″; III.2, 3′30″), y conclusión, 1′. El análisis de eficiencia y bienestar va en</w:t>
      </w:r>
      <w:r>
        <w:t xml:space="preserve"> </w:t>
      </w:r>
      <w:hyperlink w:anchor="sec_analisis_eficiencia_bienestar">
        <w:r>
          <w:rPr>
            <w:rStyle w:val="Hyperlink"/>
          </w:rPr>
          <w:t xml:space="preserve">I.3</w:t>
        </w:r>
      </w:hyperlink>
      <w:r>
        <w:t xml:space="preserve">, antes que los desarrollos, aunque en el título va detrás de la producción conjunta: es la comparación del equilibrio de</w:t>
      </w:r>
      <w:r>
        <w:t xml:space="preserve"> </w:t>
      </w:r>
      <w:hyperlink w:anchor="sec_equilibrio_monopolio">
        <w:r>
          <w:rPr>
            <w:rStyle w:val="Hyperlink"/>
          </w:rPr>
          <w:t xml:space="preserve">I.2</w:t>
        </w:r>
      </w:hyperlink>
      <w:r>
        <w:t xml:space="preserve"> </w:t>
      </w:r>
      <w:r>
        <w:t xml:space="preserve">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w:t>
      </w:r>
      <w:r>
        <w:t xml:space="preserve"> </w:t>
      </w:r>
      <w:hyperlink w:anchor="sec_equilibrio_monopolio">
        <w:r>
          <w:rPr>
            <w:rStyle w:val="Hyperlink"/>
          </w:rPr>
          <w:t xml:space="preserve">I.2</w:t>
        </w:r>
      </w:hyperlink>
      <w:r>
        <w:t xml:space="preserve"> </w:t>
      </w:r>
      <w:r>
        <w:t xml:space="preserve">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w:t>
      </w:r>
      <w:hyperlink w:anchor="anexo_regulacion">
        <w:r>
          <w:rPr>
            <w:rStyle w:val="Hyperlink"/>
          </w:rPr>
          <w:t xml:space="preserve">A</w:t>
        </w:r>
      </w:hyperlink>
      <w:r>
        <w:t xml:space="preserve">, para las preguntas del tribunal</w:t>
      </w:r>
      <w:r>
        <w:t xml:space="preserve"> </w:t>
      </w:r>
      <w:hyperlink r:id="rId33">
        <w:r>
          <w:rPr>
            <w:rStyle w:val="Referenciaatema"/>
          </w:rPr>
          <w:t xml:space="preserve">[ver tema 3.A.20]</w:t>
        </w:r>
      </w:hyperlink>
      <w:r>
        <w:t xml:space="preserve">. Conviene escribir este esquema en la pizarra al empezar.</w:t>
      </w:r>
    </w:p>
    <w:bookmarkEnd w:id="36"/>
    <w:bookmarkStart w:id="100" w:name="sec_teoria_monopolio_equilibrio"/>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09"/>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41" w:name="sec_caracterizacion_monopolio_escenario"/>
    <w:p>
      <w:pPr>
        <w:pStyle w:val="Heading2"/>
      </w:pPr>
      <w:r>
        <w:t xml:space="preserve">I.1.</w:t>
      </w:r>
      <w:r>
        <w:t xml:space="preserve"> </w:t>
      </w:r>
      <w:r>
        <w:t xml:space="preserve">Caracterización del monopolio: el escenario base</w:t>
      </w:r>
    </w:p>
    <w:p>
      <w:pPr>
        <w:numPr>
          <w:ilvl w:val="0"/>
          <w:numId w:val="1010"/>
        </w:numPr>
      </w:pPr>
      <w:r>
        <w:t xml:space="preserve">Empezamos por el caso más sencillo, que servirá de</w:t>
      </w:r>
      <w:r>
        <w:t xml:space="preserve"> </w:t>
      </w:r>
      <w:r>
        <w:rPr>
          <w:b/>
          <w:bCs/>
        </w:rPr>
        <w:t xml:space="preserve">escenario base</w:t>
      </w:r>
      <w:r>
        <w:t xml:space="preserve">. Parte de la misma lista de supuestos que todas las estructuras de mercado (tabla </w:t>
      </w:r>
      <w:hyperlink w:anchor="tab_supuestos">
        <w:r>
          <w:rPr>
            <w:rStyle w:val="Hyperlink"/>
          </w:rPr>
          <w:t xml:space="preserve">1</w:t>
        </w:r>
      </w:hyperlink>
      <w:r>
        <w:t xml:space="preserve">) y</w:t>
      </w:r>
      <w:r>
        <w:t xml:space="preserve"> </w:t>
      </w:r>
      <w:r>
        <w:rPr>
          <w:i/>
          <w:iCs/>
        </w:rPr>
        <w:t xml:space="preserve">levanta el supuesto 4</w:t>
      </w:r>
      <w:r>
        <w:t xml:space="preserve">: hay un solo vendedor, que fija el precio; y, en lugar de la libre entrada del supuesto 5, hay barreras de entrada.</w:t>
      </w:r>
    </w:p>
    <w:bookmarkStart w:id="37" w:name="tab_supuestos"/>
    <w:p>
      <w:pPr>
        <w:pStyle w:val="TableCaption"/>
      </w:pPr>
      <w:r>
        <w:t xml:space="preserve">Tabla 1.–</w:t>
      </w:r>
      <w:r>
        <w:t xml:space="preserve"> </w:t>
      </w:r>
      <w:r>
        <w:t xml:space="preserve">Supuestos de las estructuras de mercado: el monopolio levanta el 4 (y el 5)</w:t>
      </w:r>
    </w:p>
    <w:tbl>
      <w:tblPr>
        <w:tblStyle w:val="Table"/>
        <w:tblW w:type="auto" w:w="0"/>
        <w:tblLook w:firstRow="1" w:lastRow="0" w:firstColumn="0" w:lastColumn="0" w:noHBand="0" w:noVBand="0" w:val="0020"/>
        <w:tblCaption w:val="Tabla 1.– Supuestos de las estructuras de mercado: el monopolio levanta el 4 (y el 5)"/>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eldatceesalmon"/>
              <w:jc w:val="center"/>
            </w:pPr>
            <w:r>
              <w:rPr>
                <w:rStyle w:val="Textomorado"/>
                <w:b/>
                <w:bCs/>
              </w:rPr>
              <w:t xml:space="preserve">4</w:t>
            </w:r>
          </w:p>
        </w:tc>
        <w:tc>
          <w:tcPr>
            <w:vAlign w:val="center"/>
          </w:tcPr>
          <w:p>
            <w:pPr>
              <w:pStyle w:val="Celdatceesalmon"/>
              <w:jc w:val="left"/>
            </w:pPr>
            <w:r>
              <w:rPr>
                <w:b/>
                <w:bCs/>
              </w:rPr>
              <w:t xml:space="preserve">Mercado atomizado: muchos compradores y vendedores (precio-aceptantes)</w:t>
            </w:r>
          </w:p>
        </w:tc>
        <w:tc>
          <w:tcPr>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un solo vendedor</w:t>
            </w:r>
            <w:r>
              <w:t xml:space="preserve">, que fija el precio (</w:t>
            </w:r>
            <w:r>
              <w:rPr>
                <w:i/>
                <w:iCs/>
              </w:rPr>
              <w:t xml:space="preserve">precio-decisor</w:t>
            </w:r>
            <w:r>
              <w:t xml:space="preserve">); los compradores siguen siendo muchos y precio-aceptantes</w:t>
            </w:r>
          </w:p>
        </w:tc>
      </w:tr>
      <w:tr>
        <w:tc>
          <w:tcPr>
            <w:vAlign w:val="center"/>
          </w:tcPr>
          <w:p>
            <w:pPr>
              <w:pStyle w:val="Celdatceesalmon"/>
              <w:jc w:val="center"/>
            </w:pPr>
            <w:r>
              <w:rPr>
                <w:rStyle w:val="Textomorado"/>
                <w:b/>
                <w:bCs/>
              </w:rPr>
              <w:t xml:space="preserve">5</w:t>
            </w:r>
          </w:p>
        </w:tc>
        <w:tc>
          <w:tcPr>
            <w:vAlign w:val="center"/>
          </w:tcPr>
          <w:p>
            <w:pPr>
              <w:pStyle w:val="Celdatceesalmon"/>
              <w:jc w:val="left"/>
            </w:pPr>
            <w:r>
              <w:rPr>
                <w:b/>
                <w:bCs/>
              </w:rPr>
              <w:t xml:space="preserve">Libre entrada y salida (a largo plazo)</w:t>
            </w:r>
          </w:p>
        </w:tc>
        <w:tc>
          <w:tcPr>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hay</w:t>
            </w:r>
            <w:r>
              <w:t xml:space="preserve"> </w:t>
            </w:r>
            <w:r>
              <w:rPr>
                <w:b/>
                <w:bCs/>
              </w:rPr>
              <w:t xml:space="preserve">barreras de entrada</w:t>
            </w:r>
            <w:r>
              <w:t xml:space="preserve">, que protegen los beneficios del monopolista también a largo plazo</w:t>
            </w:r>
          </w:p>
        </w:tc>
      </w:tr>
    </w:tbl>
    <w:bookmarkEnd w:id="37"/>
    <w:p>
      <w:pPr>
        <w:pStyle w:val="BodyText"/>
        <w:keepNext/>
      </w:pPr>
      <w:r>
        <w:rPr>
          <w:i/>
          <w:iCs/>
        </w:rPr>
        <w:t xml:space="preserve">Fuente: elaboración propia.</w:t>
      </w:r>
    </w:p>
    <w:p>
      <w:pPr>
        <w:keepNext/>
        <w:numPr>
          <w:ilvl w:val="0"/>
          <w:numId w:val="1011"/>
        </w:numPr>
      </w:pPr>
      <w:r>
        <w:t xml:space="preserve">Supuesto a supuesto, el escenario base del monopolio queda así:</w:t>
      </w:r>
    </w:p>
    <w:p>
      <w:pPr>
        <w:numPr>
          <w:ilvl w:val="1"/>
          <w:numId w:val="1012"/>
        </w:numPr>
      </w:pPr>
      <w:r>
        <w:rPr>
          <w:i/>
          <w:iCs/>
        </w:rPr>
        <w:t xml:space="preserve">Se mantiene: agentes racionales</w:t>
      </w:r>
      <w:r>
        <w:t xml:space="preserve">. Los consumidores maximizan su utilidad y el monopolista, su beneficio.</w:t>
      </w:r>
    </w:p>
    <w:p>
      <w:pPr>
        <w:numPr>
          <w:ilvl w:val="1"/>
          <w:numId w:val="1012"/>
        </w:numPr>
      </w:pPr>
      <w:r>
        <w:rPr>
          <w:i/>
          <w:iCs/>
        </w:rPr>
        <w:t xml:space="preserve">Se mantiene: información perfecta y simétrica</w:t>
      </w:r>
      <w:r>
        <w:t xml:space="preserve">. El monopolista conoce la demanda y su tecnología, y los consumidores conocen las características del producto y el precio.</w:t>
      </w:r>
    </w:p>
    <w:p>
      <w:pPr>
        <w:numPr>
          <w:ilvl w:val="1"/>
          <w:numId w:val="1012"/>
        </w:numPr>
      </w:pPr>
      <w:r>
        <w:rPr>
          <w:i/>
          <w:iCs/>
        </w:rPr>
        <w:t xml:space="preserve">Se mantiene: 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38"/>
      </w:r>
    </w:p>
    <w:p>
      <w:pPr>
        <w:numPr>
          <w:ilvl w:val="1"/>
          <w:numId w:val="1012"/>
        </w:numPr>
      </w:pPr>
      <w:r>
        <w:rPr>
          <w:i/>
          <w:iCs/>
        </w:rPr>
        <w:t xml:space="preserve">Se levanta: un único oferente y muchos demandantes</w:t>
      </w:r>
      <w:r>
        <w:t xml:space="preserve">. Al ser muchos, los compradores se comportan como precio-aceptantes y no pueden revender el bien entre sí; el único oferente, en cambio, tiene poder de mercado.</w:t>
      </w:r>
    </w:p>
    <w:p>
      <w:pPr>
        <w:keepNext/>
        <w:numPr>
          <w:ilvl w:val="1"/>
          <w:numId w:val="1012"/>
        </w:numPr>
      </w:pPr>
      <w:r>
        <w:rPr>
          <w:i/>
          <w:iCs/>
        </w:rPr>
        <w:t xml:space="preserve">Se levanta: barreras de entrada</w:t>
      </w:r>
      <w:r>
        <w:t xml:space="preserve"> </w:t>
      </w:r>
      <w:r>
        <w:t xml:space="preserve">que impiden a otras empresas competir</w:t>
      </w:r>
      <w:r>
        <w:t xml:space="preserve"> </w:t>
      </w:r>
      <w:hyperlink r:id="rId25">
        <w:r>
          <w:rPr>
            <w:rStyle w:val="Referenciaatema"/>
          </w:rPr>
          <w:t xml:space="preserve">[ver tema 3.A.15]</w:t>
        </w:r>
      </w:hyperlink>
      <w:r>
        <w:t xml:space="preserve">:</w:t>
      </w:r>
    </w:p>
    <w:p>
      <w:pPr>
        <w:numPr>
          <w:ilvl w:val="2"/>
          <w:numId w:val="1013"/>
        </w:numPr>
      </w:pPr>
      <w:r>
        <w:rPr>
          <w:i/>
          <w:iCs/>
        </w:rPr>
        <w:t xml:space="preserve">estratégicas</w:t>
      </w:r>
      <w:r>
        <w:t xml:space="preserve">: conductas del monopolista que disuaden la entrada de competidores potenciales;</w:t>
      </w:r>
    </w:p>
    <w:p>
      <w:pPr>
        <w:numPr>
          <w:ilvl w:val="2"/>
          <w:numId w:val="1013"/>
        </w:numPr>
      </w:pPr>
      <w:r>
        <w:rPr>
          <w:i/>
          <w:iCs/>
        </w:rPr>
        <w:t xml:space="preserve">legales o administrativas</w:t>
      </w:r>
      <w:r>
        <w:t xml:space="preserve">: patentes, licencias, concesiones o aranceles que excluyen a los competidores extranjeros;</w:t>
      </w:r>
    </w:p>
    <w:p>
      <w:pPr>
        <w:numPr>
          <w:ilvl w:val="2"/>
          <w:numId w:val="1013"/>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w:t>
      </w:r>
      <w:hyperlink w:anchor="sec_monopolio_natural">
        <w:r>
          <w:rPr>
            <w:rStyle w:val="Hyperlink"/>
          </w:rPr>
          <w:t xml:space="preserve">II.2</w:t>
        </w:r>
      </w:hyperlink>
      <w:r>
        <w:t xml:space="preserve">).</w:t>
      </w:r>
    </w:p>
    <w:p>
      <w:pPr>
        <w:numPr>
          <w:ilvl w:val="0"/>
          <w:numId w:val="1011"/>
        </w:numPr>
      </w:pPr>
      <w:r>
        <w:t xml:space="preserve">A esa lista el escenario base añade 2 supuestos propios del monopolio, que los desarrollos irán levantando (tabla </w:t>
      </w:r>
      <w:hyperlink w:anchor="tab_escenario_base">
        <w:r>
          <w:rPr>
            <w:rStyle w:val="Hyperlink"/>
          </w:rPr>
          <w:t xml:space="preserve">2</w:t>
        </w:r>
      </w:hyperlink>
      <w:r>
        <w:t xml:space="preserve">): un</w:t>
      </w:r>
      <w:r>
        <w:t xml:space="preserve"> </w:t>
      </w:r>
      <w:r>
        <w:rPr>
          <w:i/>
          <w:iCs/>
        </w:rPr>
        <w:t xml:space="preserve">precio uniforme</w:t>
      </w:r>
      <w:r>
        <w:t xml:space="preserve"> </w:t>
      </w:r>
      <w:r>
        <w:t xml:space="preserve">para todas las unidades y todos los compradores, y una</w:t>
      </w:r>
      <w:r>
        <w:t xml:space="preserve"> </w:t>
      </w:r>
      <w:r>
        <w:rPr>
          <w:i/>
          <w:iCs/>
        </w:rPr>
        <w:t xml:space="preserve">sola planta</w:t>
      </w:r>
      <w:r>
        <w:t xml:space="preserve">, con los factores comprados a precios dados, en mercados competitivos.</w:t>
      </w:r>
    </w:p>
    <w:p>
      <w:pPr>
        <w:numPr>
          <w:ilvl w:val="0"/>
          <w:numId w:val="1011"/>
        </w:numPr>
      </w:pPr>
      <w:r>
        <w:t xml:space="preserve">La consecuencia de levantar el supuesto 4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39"/>
      </w:r>
      <w:r>
        <w:t xml:space="preserve"> </w:t>
      </w:r>
      <w:r>
        <w:t xml:space="preserve">Y, por las barreras (supuesto 5), puede mantener beneficios extraordinarios a largo plazo.</w:t>
      </w:r>
    </w:p>
    <w:bookmarkStart w:id="40" w:name="tab_escenario_base"/>
    <w:p>
      <w:pPr>
        <w:pStyle w:val="TableCaption"/>
      </w:pPr>
      <w:r>
        <w:t xml:space="preserve">Tabla 2.–</w:t>
      </w:r>
      <w:r>
        <w:t xml:space="preserve"> </w:t>
      </w:r>
      <w:r>
        <w:t xml:space="preserve">Los desarrollos del monopolio: qué supuesto del escenario base levanta cada uno</w:t>
      </w:r>
    </w:p>
    <w:tbl>
      <w:tblPr>
        <w:tblStyle w:val="Table"/>
        <w:tblW w:type="auto" w:w="0"/>
        <w:tblLook w:firstRow="1" w:lastRow="0" w:firstColumn="0" w:lastColumn="0" w:noHBand="0" w:noVBand="0" w:val="0020"/>
        <w:tblCaption w:val="Tabla 2.– Los desarrollos del monopolio: qué supuesto del escenario base levanta cada uno"/>
      </w:tblPr>
      <w:tblGrid>
        <w:gridCol w:w="3960"/>
        <w:gridCol w:w="3960"/>
      </w:tblGrid>
      <w:tr>
        <w:trPr>
          <w:tblHeader w:val="on"/>
        </w:trPr>
        <w:tc>
          <w:tcPr>
            <w:vAlign w:val="center"/>
          </w:tcPr>
          <w:p>
            <w:pPr>
              <w:pStyle w:val="Celdatceeazulpalido"/>
              <w:jc w:val="center"/>
            </w:pPr>
            <w:r>
              <w:rPr>
                <w:b/>
                <w:bCs/>
              </w:rPr>
              <w:t xml:space="preserve">Supuesto del escenario base</w:t>
            </w:r>
          </w:p>
        </w:tc>
        <w:tc>
          <w:tcPr>
            <w:vAlign w:val="center"/>
          </w:tcPr>
          <w:p>
            <w:pPr>
              <w:pStyle w:val="Celdatceeazulpalido"/>
              <w:jc w:val="center"/>
            </w:pPr>
            <w:r>
              <w:rPr>
                <w:b/>
                <w:bCs/>
              </w:rPr>
              <w:t xml:space="preserve">Desarrollo que lo levanta</w:t>
            </w:r>
          </w:p>
        </w:tc>
      </w:tr>
      <w:t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w:t>
            </w:r>
            <w:hyperlink w:anchor="sec_discriminacion_precios">
              <w:r>
                <w:rPr>
                  <w:rStyle w:val="Hyperlink"/>
                </w:rPr>
                <w:t xml:space="preserve">II.1</w:t>
              </w:r>
            </w:hyperlink>
            <w:r>
              <w:t xml:space="preserve">)</w:t>
            </w:r>
          </w:p>
        </w:tc>
      </w:tr>
      <w:t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w:t>
            </w:r>
            <w:hyperlink w:anchor="sec_discriminacion_segundo_grado">
              <w:r>
                <w:rPr>
                  <w:rStyle w:val="Hyperlink"/>
                </w:rPr>
                <w:t xml:space="preserve">II.1.2</w:t>
              </w:r>
            </w:hyperlink>
            <w:r>
              <w:t xml:space="preserve">)</w:t>
            </w:r>
          </w:p>
        </w:tc>
      </w:tr>
      <w:t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w:t>
            </w:r>
            <w:hyperlink w:anchor="sec_monopolio_natural">
              <w:r>
                <w:rPr>
                  <w:rStyle w:val="Hyperlink"/>
                </w:rPr>
                <w:t xml:space="preserve">II.2</w:t>
              </w:r>
            </w:hyperlink>
            <w:r>
              <w:t xml:space="preserve">)</w:t>
            </w:r>
          </w:p>
        </w:tc>
      </w:tr>
      <w:t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w:t>
            </w:r>
            <w:hyperlink w:anchor="sec_produccion_conjunta">
              <w:r>
                <w:rPr>
                  <w:rStyle w:val="Hyperlink"/>
                </w:rPr>
                <w:t xml:space="preserve">II.3</w:t>
              </w:r>
            </w:hyperlink>
            <w:r>
              <w:t xml:space="preserve">)</w:t>
            </w:r>
          </w:p>
        </w:tc>
      </w:tr>
      <w:t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w:t>
            </w:r>
            <w:hyperlink w:anchor="sec_monopsonio">
              <w:r>
                <w:rPr>
                  <w:rStyle w:val="Hyperlink"/>
                </w:rPr>
                <w:t xml:space="preserve">III.1</w:t>
              </w:r>
            </w:hyperlink>
            <w:r>
              <w:t xml:space="preserve">)</w:t>
            </w:r>
          </w:p>
        </w:tc>
      </w:tr>
      <w:tr>
        <w:tc>
          <w:tcPr>
            <w:vAlign w:val="center"/>
          </w:tcPr>
          <w:p>
            <w:pPr>
              <w:pStyle w:val="Compact"/>
              <w:jc w:val="center"/>
            </w:pPr>
            <w:r>
              <w:t xml:space="preserve">Demandantes sin poder de mercado</w:t>
            </w:r>
          </w:p>
        </w:tc>
        <w:tc>
          <w:tcPr>
            <w:vAlign w:val="center"/>
          </w:tcPr>
          <w:p>
            <w:pPr>
              <w:pStyle w:val="Compact"/>
              <w:jc w:val="center"/>
            </w:pPr>
            <w:r>
              <w:t xml:space="preserve">Monopolio bilateral (</w:t>
            </w:r>
            <w:hyperlink w:anchor="sec_monopolio_bilateral">
              <w:r>
                <w:rPr>
                  <w:rStyle w:val="Hyperlink"/>
                </w:rPr>
                <w:t xml:space="preserve">III.2</w:t>
              </w:r>
            </w:hyperlink>
            <w:r>
              <w:t xml:space="preserve">)</w:t>
            </w:r>
          </w:p>
        </w:tc>
      </w:tr>
    </w:tbl>
    <w:bookmarkEnd w:id="40"/>
    <w:p>
      <w:pPr>
        <w:pStyle w:val="BodyText"/>
      </w:pPr>
      <w:r>
        <w:rPr>
          <w:i/>
          <w:iCs/>
        </w:rPr>
        <w:t xml:space="preserve">Fuente: elaboración propia.</w:t>
      </w:r>
    </w:p>
    <w:bookmarkEnd w:id="41"/>
    <w:bookmarkStart w:id="78" w:name="sec_equilibrio_monopolio"/>
    <w:p>
      <w:pPr>
        <w:pStyle w:val="Heading2"/>
      </w:pPr>
      <w:r>
        <w:t xml:space="preserve">I.2.</w:t>
      </w:r>
      <w:r>
        <w:t xml:space="preserve"> </w:t>
      </w:r>
      <w:r>
        <w:t xml:space="preserve">Equilibrio del monopolio</w:t>
      </w:r>
    </w:p>
    <w:p>
      <w:pPr>
        <w:numPr>
          <w:ilvl w:val="0"/>
          <w:numId w:val="1014"/>
        </w:numPr>
      </w:pPr>
      <w:r>
        <w:t xml:space="preserve">Una vez caracterizado el escenario base, pasamos a obtener el equilibrio del monopolista: cuánto produce y a qué precio vende.</w:t>
      </w:r>
    </w:p>
    <w:bookmarkStart w:id="42" w:name="a_idea"/>
    <w:p>
      <w:pPr>
        <w:pStyle w:val="Heading4"/>
      </w:pPr>
      <w:r>
        <w:t xml:space="preserve">a) Idea</w:t>
      </w:r>
    </w:p>
    <w:p>
      <w:pPr>
        <w:numPr>
          <w:ilvl w:val="0"/>
          <w:numId w:val="1015"/>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15"/>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w:t>
      </w:r>
      <w:hyperlink w:anchor="sec_analisis_eficiencia_bienestar">
        <w:r>
          <w:rPr>
            <w:rStyle w:val="Hyperlink"/>
          </w:rPr>
          <w:t xml:space="preserve">I.3</w:t>
        </w:r>
      </w:hyperlink>
      <w:r>
        <w:t xml:space="preserve">).</w:t>
      </w:r>
    </w:p>
    <w:bookmarkEnd w:id="42"/>
    <w:bookmarkStart w:id="75" w:name="b_modelo"/>
    <w:p>
      <w:pPr>
        <w:pStyle w:val="Heading4"/>
      </w:pPr>
      <w:r>
        <w:t xml:space="preserve">b) Modelo</w:t>
      </w:r>
    </w:p>
    <w:bookmarkStart w:id="44" w:name="i_supuestos"/>
    <w:p>
      <w:pPr>
        <w:pStyle w:val="Heading5"/>
      </w:pPr>
      <w:r>
        <w:t xml:space="preserve">i) Supuestos</w:t>
      </w:r>
    </w:p>
    <w:p>
      <w:pPr>
        <w:keepNext/>
        <w:numPr>
          <w:ilvl w:val="0"/>
          <w:numId w:val="1016"/>
        </w:numPr>
      </w:pPr>
      <w:r>
        <w:t xml:space="preserve">Los del escenario base (</w:t>
      </w:r>
      <w:hyperlink w:anchor="sec_caracterizacion_monopolio_escenario">
        <w:r>
          <w:rPr>
            <w:rStyle w:val="Hyperlink"/>
          </w:rPr>
          <w:t xml:space="preserve">I.1</w:t>
        </w:r>
      </w:hyperlink>
      <w:r>
        <w:t xml:space="preserve">), con 2 supuestos técnicos:</w:t>
      </w:r>
    </w:p>
    <w:p>
      <w:pPr>
        <w:numPr>
          <w:ilvl w:val="1"/>
          <w:numId w:val="1017"/>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hyperlink r:id="rId21">
        <w:r>
          <w:rPr>
            <w:rStyle w:val="Referenciaatema"/>
          </w:rPr>
          <w:t xml:space="preserve">[ver tema 3.A.8]</w:t>
        </w:r>
      </w:hyperlink>
      <w:r>
        <w:t xml:space="preserve"> </w:t>
      </w:r>
      <w:hyperlink r:id="rId26">
        <w:r>
          <w:rPr>
            <w:rStyle w:val="Referenciaatema"/>
          </w:rPr>
          <w:t xml:space="preserve">[ver tema 3.A.16]</w:t>
        </w:r>
      </w:hyperlink>
      <w:r>
        <w:t xml:space="preserve">, y mide la cantidad que desean comprar a cada precio,</w:t>
      </w:r>
      <w:r>
        <w:t xml:space="preserve"> </w:t>
      </w:r>
      <w:r>
        <w:rPr>
          <w:i/>
          <w:iCs/>
        </w:rPr>
        <w:t xml:space="preserve">ceteris paribus</w:t>
      </w:r>
      <w:r>
        <w:t xml:space="preserve">;</w:t>
      </w:r>
      <w:r>
        <w:rPr>
          <w:rStyle w:val="FootnoteReference"/>
        </w:rPr>
        <w:footnoteReference w:id="43"/>
      </w:r>
    </w:p>
    <w:p>
      <w:pPr>
        <w:numPr>
          <w:ilvl w:val="1"/>
          <w:numId w:val="1017"/>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24">
        <w:r>
          <w:rPr>
            <w:rStyle w:val="Referenciaatema"/>
          </w:rPr>
          <w:t xml:space="preserve">[ver tema 3.A.12]</w:t>
        </w:r>
      </w:hyperlink>
      <w:r>
        <w:t xml:space="preserve">.</w:t>
      </w:r>
    </w:p>
    <w:bookmarkEnd w:id="44"/>
    <w:bookmarkStart w:id="69" w:name="ii_desarrollo"/>
    <w:p>
      <w:pPr>
        <w:pStyle w:val="Heading5"/>
      </w:pPr>
      <w:r>
        <w:t xml:space="preserve">ii) Desarrollo</w:t>
      </w:r>
    </w:p>
    <w:p>
      <w:pPr>
        <w:numPr>
          <w:ilvl w:val="0"/>
          <w:numId w:val="1018"/>
        </w:numPr>
      </w:pPr>
      <w:r>
        <w:rPr>
          <w:i/>
          <w:iCs/>
        </w:rPr>
        <w:t xml:space="preserve">Problema del monopolista</w:t>
      </w:r>
      <w:r>
        <w:t xml:space="preserve">. Elige la cantidad (o, lo que es equivalente, el precio)</w:t>
      </w:r>
      <w:r>
        <w:rPr>
          <w:rStyle w:val="FootnoteReference"/>
        </w:rPr>
        <w:footnoteReference w:id="45"/>
      </w:r>
      <w:r>
        <w:t xml:space="preserve"> </w:t>
      </w:r>
      <w:r>
        <w:t xml:space="preserve">que maximiza su beneficio. A diferencia de la competencia perfecta, el precio es una variable endógena:</w:t>
      </w:r>
      <w:r>
        <w:t xml:space="preserve"> </w:t>
      </w:r>
      <w:bookmarkStart w:id="46" w:name="eq_monopolio"/>
      <w:bookmarkEnd w:id="4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r>
              <m:e/>
              <m:e>
                <m:r>
                  <m:t>B</m:t>
                </m:r>
                <m:d>
                  <m:dPr>
                    <m:begChr m:val="("/>
                    <m:sepChr m:val=""/>
                    <m:endChr m:val=")"/>
                    <m:grow/>
                  </m:dPr>
                  <m:e>
                    <m:r>
                      <m:t>q</m:t>
                    </m:r>
                  </m:e>
                </m:d>
                <m:r>
                  <m:rPr>
                    <m:sty m:val="p"/>
                  </m:rPr>
                  <m:t>≥</m:t>
                </m:r>
                <m:r>
                  <m:t>0</m:t>
                </m:r>
              </m:e>
            </m:mr>
          </m:m>
        </m:oMath>
      </m:oMathPara>
    </w:p>
    <w:p>
      <w:pPr>
        <w:numPr>
          <w:ilvl w:val="0"/>
          <w:numId w:val="1000"/>
        </w:numPr>
      </w:pPr>
      <w:r>
        <w:t xml:space="preserve">La segunda restricción es la</w:t>
      </w:r>
      <w:r>
        <w:t xml:space="preserve"> </w:t>
      </w:r>
      <w:r>
        <w:rPr>
          <w:b/>
          <w:bCs/>
        </w:rPr>
        <w:t xml:space="preserve">condición de participación</w:t>
      </w:r>
      <w:r>
        <w:t xml:space="preserve">: el monopolista solo produce si no tiene pérdidas; si las tuviera, no entraría en el mercado (o cerraría).</w:t>
      </w:r>
    </w:p>
    <w:p>
      <w:pPr>
        <w:numPr>
          <w:ilvl w:val="0"/>
          <w:numId w:val="1018"/>
        </w:numPr>
      </w:pPr>
      <w:r>
        <w:rPr>
          <w:i/>
          <w:iCs/>
        </w:rPr>
        <w:t xml:space="preserve">Condición de primer orden</w:t>
      </w:r>
      <w:r>
        <w:t xml:space="preserve">: produce hasta que el ingreso que le da la última unidad iguala lo que le cuesta:</w:t>
      </w:r>
      <w:r>
        <w:rPr>
          <w:rStyle w:val="FootnoteReference"/>
        </w:rPr>
        <w:footnoteReference w:id="47"/>
      </w:r>
      <w:r>
        <w:t xml:space="preserve"> </w:t>
      </w:r>
      <w:bookmarkStart w:id="48" w:name="eq_img_cmg"/>
      <w:bookmarkEnd w:id="48"/>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19"/>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19"/>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r>
        <w:t xml:space="preserve"> </w:t>
      </w:r>
      <w:bookmarkStart w:id="49" w:name="eq_img_elasticidad"/>
      <w:bookmarkEnd w:id="49"/>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50"/>
      </w:r>
      <w:r>
        <w:t xml:space="preserve"> </w:t>
      </w:r>
      <w:r>
        <w:t xml:space="preserve">lo que la última unidad aporta al monopolista es menos de lo que vale para los consumidores.</w:t>
      </w:r>
    </w:p>
    <w:p>
      <w:pPr>
        <w:numPr>
          <w:ilvl w:val="0"/>
          <w:numId w:val="1018"/>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w:t>
      </w:r>
      <w:hyperlink w:anchor="eq_img_elasticidad">
        <w:r>
          <w:rPr>
            <w:rStyle w:val="Hyperlink"/>
          </w:rPr>
          <w:t xml:space="preserve">3</w:t>
        </w:r>
      </w:hyperlink>
      <w:r>
        <w:t xml:space="preserve">)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51"/>
      </w:r>
    </w:p>
    <w:p>
      <w:pPr>
        <w:numPr>
          <w:ilvl w:val="0"/>
          <w:numId w:val="1018"/>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55"/>
      </w:r>
    </w:p>
    <w:bookmarkStart w:id="56" w:name="eq_lerner"/>
    <w:bookmarkEnd w:id="56"/>
    <w:p>
      <w:pPr>
        <w:pStyle w:val="Funcionclave"/>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y lo usan las autoridades de competencia. Implica que:</w:t>
      </w:r>
    </w:p>
    <w:p>
      <w:pPr>
        <w:numPr>
          <w:ilvl w:val="1"/>
          <w:numId w:val="1020"/>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20"/>
        </w:numPr>
      </w:pPr>
      <w:r>
        <w:t xml:space="preserve">cuanto más inelástica es la demanda, es decir, cuanto menos reaccionan los consumidores a una subida del precio, mayor es el poder de mercado y mayor el precio.</w:t>
      </w:r>
    </w:p>
    <w:p>
      <w:pPr>
        <w:numPr>
          <w:ilvl w:val="0"/>
          <w:numId w:val="1018"/>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57"/>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w:t>
      </w:r>
      <w:hyperlink w:anchor="anexo_cso">
        <w:r>
          <w:rPr>
            <w:rStyle w:val="Hyperlink"/>
          </w:rPr>
          <w:t xml:space="preserve">B.1</w:t>
        </w:r>
      </w:hyperlink>
      <w:r>
        <w:t xml:space="preserve">).</w:t>
      </w:r>
      <w:r>
        <w:rPr>
          <w:rStyle w:val="FootnoteReference"/>
        </w:rPr>
        <w:footnoteReference w:id="58"/>
      </w:r>
    </w:p>
    <w:p>
      <w:pPr>
        <w:numPr>
          <w:ilvl w:val="0"/>
          <w:numId w:val="1018"/>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18"/>
        </w:numPr>
      </w:pPr>
      <w:r>
        <w:rPr>
          <w:i/>
          <w:iCs/>
        </w:rPr>
        <w:t xml:space="preserve">Condición de viabilidad</w:t>
      </w:r>
      <w:r>
        <w:t xml:space="preserve">. Es la condición de participación de (</w:t>
      </w:r>
      <w:hyperlink w:anchor="eq_monopolio">
        <w:r>
          <w:rPr>
            <w:rStyle w:val="Hyperlink"/>
          </w:rPr>
          <w:t xml:space="preserve">1</w:t>
        </w:r>
      </w:hyperlink>
      <w:r>
        <w:t xml:space="preserve">), evaluada en el óptimo: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1"/>
        </w:numPr>
      </w:pPr>
      <w:r>
        <w:t xml:space="preserve">a</w:t>
      </w:r>
      <w:r>
        <w:t xml:space="preserve"> </w:t>
      </w:r>
      <w:r>
        <w:rPr>
          <w:i/>
          <w:iCs/>
        </w:rPr>
        <w:t xml:space="preserve">corto plazo</w:t>
      </w:r>
      <w:r>
        <w:t xml:space="preserve">, con algún factor fijo, hay costes fijos que se pagan produzca o no</w:t>
      </w:r>
      <w:r>
        <w:t xml:space="preserve"> </w:t>
      </w:r>
      <w:hyperlink r:id="rId24">
        <w:r>
          <w:rPr>
            <w:rStyle w:val="Referenciaatema"/>
          </w:rPr>
          <w:t xml:space="preserve">[ver tema 3.A.12]</w:t>
        </w:r>
      </w:hyperlink>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59"/>
      </w:r>
    </w:p>
    <w:p>
      <w:pPr>
        <w:numPr>
          <w:ilvl w:val="1"/>
          <w:numId w:val="1021"/>
        </w:numPr>
      </w:pPr>
      <w:r>
        <w:t xml:space="preserve">a</w:t>
      </w:r>
      <w:r>
        <w:t xml:space="preserve"> </w:t>
      </w:r>
      <w:r>
        <w:rPr>
          <w:i/>
          <w:iCs/>
        </w:rPr>
        <w:t xml:space="preserve">largo plazo</w:t>
      </w:r>
      <w:r>
        <w:t xml:space="preserve">, todos los factores son variables y todos los costes evitables</w:t>
      </w:r>
      <w:r>
        <w:t xml:space="preserve"> </w:t>
      </w:r>
      <w:hyperlink r:id="rId24">
        <w:r>
          <w:rPr>
            <w:rStyle w:val="Referenciaatema"/>
          </w:rPr>
          <w:t xml:space="preserve">[ver tema 3.A.12]</w:t>
        </w:r>
      </w:hyperlink>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63"/>
      </w:r>
    </w:p>
    <w:p>
      <w:pPr>
        <w:numPr>
          <w:ilvl w:val="1"/>
          <w:numId w:val="1021"/>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64"/>
      </w:r>
      <w:r>
        <w:t xml:space="preserve"> </w:t>
      </w:r>
      <w:r>
        <w:t xml:space="preserve">El anexo </w:t>
      </w:r>
      <w:hyperlink w:anchor="anexo_viabilidad">
        <w:r>
          <w:rPr>
            <w:rStyle w:val="Hyperlink"/>
          </w:rPr>
          <w:t xml:space="preserve">B.2</w:t>
        </w:r>
      </w:hyperlink>
      <w:r>
        <w:t xml:space="preserve"> </w:t>
      </w:r>
      <w:r>
        <w:t xml:space="preserve">lo muestra gráficamente.</w:t>
      </w:r>
    </w:p>
    <w:p>
      <w:pPr>
        <w:numPr>
          <w:ilvl w:val="0"/>
          <w:numId w:val="1018"/>
        </w:numPr>
      </w:pPr>
      <w:r>
        <w:rPr>
          <w:i/>
          <w:iCs/>
        </w:rPr>
        <w:t xml:space="preserve">Interpretación gráfica</w:t>
      </w:r>
      <w:r>
        <w:t xml:space="preserve"> </w:t>
      </w:r>
      <w:r>
        <w:t xml:space="preserve">(gráfico </w:t>
      </w:r>
      <w:hyperlink w:anchor="fig_equilibrio_monopolio">
        <w:r>
          <w:rPr>
            <w:rStyle w:val="Hyperlink"/>
          </w:rPr>
          <w:t xml:space="preserve">1</w:t>
        </w:r>
      </w:hyperlink>
      <w:r>
        <w:t xml:space="preserve">):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68" w:name="fig_equilibrio_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Gráfico 1.– Equilibrio del monopolista: \mathrm{IMg}=\mathrm{CMg} y precio sobre la demanda" title="" id="66" name="Picture"/>
            <a:graphic>
              <a:graphicData uri="http://schemas.openxmlformats.org/drawingml/2006/picture">
                <pic:pic>
                  <pic:nvPicPr>
                    <pic:cNvPr descr="C:\Users\vgutierrez\Documents\src\victorgutierrezmarcos.github.io-revision\oposicion\temario\fuentes\3A17\graficos/equilibrio-monopolio.png" id="67" name="Picture"/>
                    <pic:cNvPicPr>
                      <a:picLocks noChangeArrowheads="1" noChangeAspect="1"/>
                    </pic:cNvPicPr>
                  </pic:nvPicPr>
                  <pic:blipFill>
                    <a:blip r:embed="rId65"/>
                    <a:stretch>
                      <a:fillRect/>
                    </a:stretch>
                  </pic:blipFill>
                  <pic:spPr bwMode="auto">
                    <a:xfrm>
                      <a:off x="0" y="0"/>
                      <a:ext cx="3581400" cy="2579096"/>
                    </a:xfrm>
                    <a:prstGeom prst="rect">
                      <a:avLst/>
                    </a:prstGeom>
                    <a:noFill/>
                    <a:ln w="9525">
                      <a:noFill/>
                      <a:headEnd/>
                      <a:tailEnd/>
                    </a:ln>
                  </pic:spPr>
                </pic:pic>
              </a:graphicData>
            </a:graphic>
          </wp:inline>
        </w:drawing>
      </w:r>
    </w:p>
    <w:bookmarkEnd w:id="68"/>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1</w:t>
        </w:r>
      </w:hyperlink>
      <w:r>
        <w:t xml:space="preserve">)</w:t>
      </w:r>
      <w:r>
        <w:t xml:space="preserve">.</w:t>
      </w:r>
    </w:p>
    <w:bookmarkEnd w:id="69"/>
    <w:bookmarkStart w:id="74" w:name="iii_implicaciones"/>
    <w:p>
      <w:pPr>
        <w:pStyle w:val="Heading5"/>
      </w:pPr>
      <w:r>
        <w:t xml:space="preserve">iii) Implicaciones</w:t>
      </w:r>
    </w:p>
    <w:p>
      <w:pPr>
        <w:numPr>
          <w:ilvl w:val="0"/>
          <w:numId w:val="1022"/>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2"/>
        </w:numPr>
      </w:pPr>
      <w:r>
        <w:t xml:space="preserve">A diferencia de la competencia perfecta:</w:t>
      </w:r>
    </w:p>
    <w:p>
      <w:pPr>
        <w:numPr>
          <w:ilvl w:val="1"/>
          <w:numId w:val="1023"/>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3"/>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70"/>
      </w:r>
    </w:p>
    <w:bookmarkEnd w:id="74"/>
    <w:bookmarkEnd w:id="75"/>
    <w:bookmarkStart w:id="76" w:name="c_extensiones"/>
    <w:p>
      <w:pPr>
        <w:pStyle w:val="Heading4"/>
      </w:pPr>
      <w:r>
        <w:t xml:space="preserve">c) Extensiones</w:t>
      </w:r>
    </w:p>
    <w:p>
      <w:pPr>
        <w:numPr>
          <w:ilvl w:val="0"/>
          <w:numId w:val="1024"/>
        </w:numPr>
      </w:pPr>
      <w:r>
        <w:t xml:space="preserve">Una aplicación directa del modelo es el efecto de los impuestos sobre el monopolista, que el test suele preguntar (anexo </w:t>
      </w:r>
      <w:hyperlink w:anchor="anexo_test">
        <w:r>
          <w:rPr>
            <w:rStyle w:val="Hyperlink"/>
          </w:rPr>
          <w:t xml:space="preserve">C</w:t>
        </w:r>
      </w:hyperlink>
      <w:r>
        <w:t xml:space="preserve">).</w:t>
      </w:r>
    </w:p>
    <w:p>
      <w:pPr>
        <w:pStyle w:val="Cajadeanotacio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_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76"/>
    <w:bookmarkStart w:id="77" w:name="d_valoraci__n"/>
    <w:p>
      <w:pPr>
        <w:pStyle w:val="Heading4"/>
      </w:pPr>
      <w:r>
        <w:t xml:space="preserve">d) Valoración</w:t>
      </w:r>
    </w:p>
    <w:p>
      <w:pPr>
        <w:numPr>
          <w:ilvl w:val="0"/>
          <w:numId w:val="1025"/>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25"/>
        </w:numPr>
      </w:pPr>
      <w:r>
        <w:t xml:space="preserve">Pero deja abierta la pregunta normativa: ¿cuánto le cuesta a la sociedad que el precio supere el coste marginal? Es lo que analizamos a continuación.</w:t>
      </w:r>
    </w:p>
    <w:bookmarkEnd w:id="77"/>
    <w:bookmarkEnd w:id="78"/>
    <w:bookmarkStart w:id="99" w:name="sec_analisis_eficiencia_bienestar"/>
    <w:p>
      <w:pPr>
        <w:pStyle w:val="Heading2"/>
      </w:pPr>
      <w:r>
        <w:t xml:space="preserve">I.3.</w:t>
      </w:r>
      <w:r>
        <w:t xml:space="preserve"> </w:t>
      </w:r>
      <w:r>
        <w:t xml:space="preserve">Análisis de eficiencia y bienestar</w:t>
      </w:r>
    </w:p>
    <w:p>
      <w:pPr>
        <w:numPr>
          <w:ilvl w:val="0"/>
          <w:numId w:val="1026"/>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80" w:name="a_idea_1"/>
    <w:p>
      <w:pPr>
        <w:pStyle w:val="Heading4"/>
      </w:pPr>
      <w:r>
        <w:t xml:space="preserve">a) Idea</w:t>
      </w:r>
    </w:p>
    <w:p>
      <w:pPr>
        <w:numPr>
          <w:ilvl w:val="0"/>
          <w:numId w:val="1027"/>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hyperlink r:id="rId26">
        <w:r>
          <w:rPr>
            <w:rStyle w:val="Referenciaatema"/>
          </w:rPr>
          <w:t xml:space="preserve">[ver tema 3.A.16]</w:t>
        </w:r>
      </w:hyperlink>
      <w:r>
        <w:t xml:space="preserve"> </w:t>
      </w:r>
      <w:hyperlink r:id="rId31">
        <w:r>
          <w:rPr>
            <w:rStyle w:val="Referenciaatema"/>
          </w:rPr>
          <w:t xml:space="preserve">[ver tema 3.A.22]</w:t>
        </w:r>
      </w:hyperlink>
      <w:r>
        <w:t xml:space="preserve">.</w:t>
      </w:r>
      <w:r>
        <w:rPr>
          <w:rStyle w:val="FootnoteReference"/>
        </w:rPr>
        <w:footnoteReference w:id="79"/>
      </w:r>
    </w:p>
    <w:bookmarkEnd w:id="80"/>
    <w:bookmarkStart w:id="93" w:name="b_modelo_1"/>
    <w:p>
      <w:pPr>
        <w:pStyle w:val="Heading4"/>
      </w:pPr>
      <w:r>
        <w:t xml:space="preserve">b) Modelo</w:t>
      </w:r>
    </w:p>
    <w:bookmarkStart w:id="82" w:name="i_supuestos_1"/>
    <w:p>
      <w:pPr>
        <w:pStyle w:val="Heading5"/>
      </w:pPr>
      <w:r>
        <w:t xml:space="preserve">i) Supuestos</w:t>
      </w:r>
    </w:p>
    <w:p>
      <w:pPr>
        <w:numPr>
          <w:ilvl w:val="0"/>
          <w:numId w:val="1028"/>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hyperlink r:id="rId81">
        <w:r>
          <w:rPr>
            <w:rStyle w:val="Referenciaatema"/>
          </w:rPr>
          <w:t xml:space="preserve">[ver tema 3.A.9]</w:t>
        </w:r>
      </w:hyperlink>
      <w:r>
        <w:t xml:space="preserve">.</w:t>
      </w:r>
    </w:p>
    <w:p>
      <w:pPr>
        <w:numPr>
          <w:ilvl w:val="0"/>
          <w:numId w:val="1028"/>
        </w:numPr>
      </w:pPr>
      <w:r>
        <w:t xml:space="preserve">El coste marginal mide el coste de oportunidad de producir.</w:t>
      </w:r>
    </w:p>
    <w:p>
      <w:pPr>
        <w:numPr>
          <w:ilvl w:val="0"/>
          <w:numId w:val="1028"/>
        </w:numPr>
      </w:pPr>
      <w:r>
        <w:t xml:space="preserve">El monopolio y la industria competitiva tienen la misma función de costes (supuesto que se levanta con la ineficiencia X).</w:t>
      </w:r>
    </w:p>
    <w:bookmarkEnd w:id="82"/>
    <w:bookmarkStart w:id="91" w:name="ii_desarrollo_1"/>
    <w:p>
      <w:pPr>
        <w:pStyle w:val="Heading5"/>
      </w:pPr>
      <w:r>
        <w:t xml:space="preserve">ii) Desarrollo</w:t>
      </w:r>
    </w:p>
    <w:p>
      <w:pPr>
        <w:keepNext/>
        <w:numPr>
          <w:ilvl w:val="0"/>
          <w:numId w:val="1029"/>
        </w:numPr>
      </w:pPr>
      <w:r>
        <w:rPr>
          <w:i/>
          <w:iCs/>
        </w:rPr>
        <w:t xml:space="preserve">Ineficiencia asignativa en el mercado del bien</w:t>
      </w:r>
      <w:r>
        <w:t xml:space="preserve"> </w:t>
      </w:r>
      <w:r>
        <w:t xml:space="preserve">(gráfico </w:t>
      </w:r>
      <w:hyperlink w:anchor="fig_bienestar_monopolio">
        <w:r>
          <w:rPr>
            <w:rStyle w:val="Hyperlink"/>
          </w:rPr>
          <w:t xml:space="preserve">2</w:t>
        </w:r>
      </w:hyperlink>
      <w:r>
        <w:t xml:space="preserve">). Al pasar de la competencia al monopolio:</w:t>
      </w:r>
    </w:p>
    <w:p>
      <w:pPr>
        <w:numPr>
          <w:ilvl w:val="1"/>
          <w:numId w:val="1030"/>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30"/>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29"/>
        </w:numPr>
      </w:pPr>
      <w:r>
        <w:rPr>
          <w:i/>
          <w:iCs/>
        </w:rPr>
        <w:t xml:space="preserve">Cuánto vale el triángulo</w:t>
      </w:r>
      <w:r>
        <w:t xml:space="preserve">. Con coste marginal constante, aproximándolo por un triángulo con la elasticidad del equilibrio,</w:t>
      </w:r>
      <w:r>
        <w:t xml:space="preserve"> </w:t>
      </w:r>
      <w:bookmarkStart w:id="83" w:name="eq_harberger"/>
      <w:bookmarkEnd w:id="83"/>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w:t>
      </w:r>
      <w:hyperlink w:anchor="eq_lerner">
        <w:r>
          <w:rPr>
            <w:rStyle w:val="Hyperlink"/>
          </w:rPr>
          <w:t xml:space="preserve">4</w:t>
        </w:r>
      </w:hyperlink>
      <w:r>
        <w:t xml:space="preserv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84"/>
      </w:r>
    </w:p>
    <w:bookmarkStart w:id="88" w:name="fig_bienestar_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Gráfico 2.– El coste social del monopolio: transferencia, triángulo de Harberger, búsqueda de rentas e ineficiencia X" title="" id="86" name="Picture"/>
            <a:graphic>
              <a:graphicData uri="http://schemas.openxmlformats.org/drawingml/2006/picture">
                <pic:pic>
                  <pic:nvPicPr>
                    <pic:cNvPr descr="C:\Users\vgutierrez\Documents\src\victorgutierrezmarcos.github.io-revision\oposicion\temario\fuentes\3A17\graficos/bienestar-monopolio.png" id="87" name="Picture"/>
                    <pic:cNvPicPr>
                      <a:picLocks noChangeArrowheads="1" noChangeAspect="1"/>
                    </pic:cNvPicPr>
                  </pic:nvPicPr>
                  <pic:blipFill>
                    <a:blip r:embed="rId85"/>
                    <a:stretch>
                      <a:fillRect/>
                    </a:stretch>
                  </pic:blipFill>
                  <pic:spPr bwMode="auto">
                    <a:xfrm>
                      <a:off x="0" y="0"/>
                      <a:ext cx="3253918" cy="2581115"/>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w:t>
      </w:r>
    </w:p>
    <w:p>
      <w:pPr>
        <w:keepNext/>
        <w:numPr>
          <w:ilvl w:val="0"/>
          <w:numId w:val="1031"/>
        </w:numPr>
      </w:pPr>
      <w:r>
        <w:rPr>
          <w:i/>
          <w:iCs/>
        </w:rPr>
        <w:t xml:space="preserve">Otras ineficiencias</w:t>
      </w:r>
      <w:r>
        <w:t xml:space="preserve">. El triángulo es solo la parte más visible del coste social del monopolio; hay otras 4, que pueden ser mayores:</w:t>
      </w:r>
    </w:p>
    <w:p>
      <w:pPr>
        <w:numPr>
          <w:ilvl w:val="1"/>
          <w:numId w:val="1032"/>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89"/>
      </w:r>
    </w:p>
    <w:p>
      <w:pPr>
        <w:numPr>
          <w:ilvl w:val="1"/>
          <w:numId w:val="1032"/>
        </w:numPr>
      </w:pPr>
      <w:r>
        <w:rPr>
          <w:i/>
          <w:iCs/>
        </w:rPr>
        <w:t xml:space="preserve">Ineficiencia productiva</w:t>
      </w:r>
      <w:r>
        <w:t xml:space="preserve">: no tiene por qué producir en el mínimo del coste medio a largo plazo (</w:t>
      </w:r>
      <w:hyperlink w:anchor="sec_equilibrio_monopolio">
        <w:r>
          <w:rPr>
            <w:rStyle w:val="Hyperlink"/>
          </w:rPr>
          <w:t xml:space="preserve">I.2</w:t>
        </w:r>
      </w:hyperlink>
      <w:r>
        <w:t xml:space="preserve">), así que puede operar con una escala ineficiente.</w:t>
      </w:r>
    </w:p>
    <w:p>
      <w:pPr>
        <w:numPr>
          <w:ilvl w:val="1"/>
          <w:numId w:val="1032"/>
        </w:numPr>
      </w:pPr>
      <w:r>
        <w:rPr>
          <w:i/>
          <w:i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hyperlink r:id="rId24">
        <w:r>
          <w:rPr>
            <w:rStyle w:val="Referenciaatema"/>
          </w:rPr>
          <w:t xml:space="preserve">[ver tema 3.A.12]</w:t>
        </w:r>
      </w:hyperlink>
      <w:r>
        <w:t xml:space="preserve">. Como dice</w:t>
      </w:r>
      <w:r>
        <w:t xml:space="preserve"> </w:t>
      </w:r>
      <w:r>
        <w:rPr>
          <w:smallCaps/>
        </w:rPr>
        <w:t xml:space="preserve">Hicks</w:t>
      </w:r>
      <w:r>
        <w:t xml:space="preserve"> </w:t>
      </w:r>
      <w:r>
        <w:t xml:space="preserve">(</w:t>
      </w:r>
      <w:hyperlink w:anchor="ref_Hicks1935Annual">
        <w:r>
          <w:rPr>
            <w:rStyle w:val="Hyperlink"/>
          </w:rPr>
          <w:t xml:space="preserve">1935, 8</w:t>
        </w:r>
      </w:hyperlink>
      <w:r>
        <w:t xml:space="preserve">)</w:t>
      </w:r>
      <w:r>
        <w:t xml:space="preserve">, «el mejor de todos los beneficios del monopolio es una vida tranquila». En el gráfico </w:t>
      </w:r>
      <w:hyperlink w:anchor="fig_bienestar_monopolio">
        <w:r>
          <w:rPr>
            <w:rStyle w:val="Hyperlink"/>
          </w:rPr>
          <w:t xml:space="preserve">2</w:t>
        </w:r>
      </w:hyperlink>
      <w:r>
        <w:t xml:space="preserve">,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1"/>
          <w:numId w:val="1032"/>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_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hyperlink r:id="rId90">
        <w:r>
          <w:rPr>
            <w:rStyle w:val="Referenciaatema"/>
          </w:rPr>
          <w:t xml:space="preserve">[ver tema 4.B.2]</w:t>
        </w:r>
      </w:hyperlink>
      <w:r>
        <w:t xml:space="preserve">.</w:t>
      </w:r>
    </w:p>
    <w:bookmarkEnd w:id="91"/>
    <w:bookmarkStart w:id="92" w:name="iii_implicaciones_1"/>
    <w:p>
      <w:pPr>
        <w:pStyle w:val="Heading5"/>
      </w:pPr>
      <w:r>
        <w:t xml:space="preserve">iii) Implicaciones</w:t>
      </w:r>
    </w:p>
    <w:p>
      <w:pPr>
        <w:numPr>
          <w:ilvl w:val="0"/>
          <w:numId w:val="1033"/>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3"/>
        </w:numPr>
      </w:pPr>
      <w:r>
        <w:t xml:space="preserve">Como la pérdida crece con el cuadrado del margen, los monopolios con demanda muy inelástica, que cargan márgenes altos, son los más costosos.</w:t>
      </w:r>
    </w:p>
    <w:bookmarkEnd w:id="92"/>
    <w:bookmarkEnd w:id="93"/>
    <w:bookmarkStart w:id="95" w:name="c_extensiones_eficiencia_din__mica"/>
    <w:p>
      <w:pPr>
        <w:pStyle w:val="Heading4"/>
      </w:pPr>
      <w:r>
        <w:t xml:space="preserve">c) Extensiones: eficiencia dinámica</w:t>
      </w:r>
    </w:p>
    <w:p>
      <w:pPr>
        <w:numPr>
          <w:ilvl w:val="0"/>
          <w:numId w:val="1034"/>
        </w:numPr>
      </w:pP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4"/>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4"/>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hyperlink r:id="rId94">
        <w:r>
          <w:rPr>
            <w:rStyle w:val="Referenciaatema"/>
          </w:rPr>
          <w:t xml:space="preserve">[ver tema 3.A.44]</w:t>
        </w:r>
      </w:hyperlink>
      <w:r>
        <w:t xml:space="preserve">.</w:t>
      </w:r>
    </w:p>
    <w:bookmarkEnd w:id="95"/>
    <w:bookmarkStart w:id="96" w:name="d_evidencia_emp__rica"/>
    <w:p>
      <w:pPr>
        <w:pStyle w:val="Heading4"/>
      </w:pPr>
      <w:r>
        <w:t xml:space="preserve">d) Evidencia empírica</w:t>
      </w:r>
    </w:p>
    <w:p>
      <w:pPr>
        <w:numPr>
          <w:ilvl w:val="0"/>
          <w:numId w:val="1035"/>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35"/>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_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96"/>
    <w:bookmarkStart w:id="98" w:name="e_valoraci__n"/>
    <w:p>
      <w:pPr>
        <w:pStyle w:val="Heading4"/>
      </w:pPr>
      <w:r>
        <w:t xml:space="preserve">e) Valoración</w:t>
      </w:r>
    </w:p>
    <w:p>
      <w:pPr>
        <w:numPr>
          <w:ilvl w:val="0"/>
          <w:numId w:val="1036"/>
        </w:numPr>
      </w:pPr>
      <w:r>
        <w:t xml:space="preserve">El monopolio suele ser ineficiente, pero de ahí no se sigue que haya que desmantelarlo siempre: hay monopolios eficientes en la asignación, como el que discrimina perfectamente (</w:t>
      </w:r>
      <w:hyperlink w:anchor="sec_discriminacion_precios">
        <w:r>
          <w:rPr>
            <w:rStyle w:val="Hyperlink"/>
          </w:rPr>
          <w:t xml:space="preserve">II.1</w:t>
        </w:r>
      </w:hyperlink>
      <w:r>
        <w:t xml:space="preserve">), o en los costes, como el monopolio natural (</w:t>
      </w:r>
      <w:hyperlink w:anchor="sec_monopolio_natural">
        <w:r>
          <w:rPr>
            <w:rStyle w:val="Hyperlink"/>
          </w:rPr>
          <w:t xml:space="preserve">II.2</w:t>
        </w:r>
      </w:hyperlink>
      <w:r>
        <w:t xml:space="preserve">), y la intervención pública tiene sus propios costes</w:t>
      </w:r>
      <w:r>
        <w:t xml:space="preserve"> </w:t>
      </w:r>
      <w:hyperlink r:id="rId97">
        <w:r>
          <w:rPr>
            <w:rStyle w:val="Referenciaatema"/>
          </w:rPr>
          <w:t xml:space="preserve">[ver tema 3.A.23]</w:t>
        </w:r>
      </w:hyperlink>
      <w:r>
        <w:t xml:space="preserve">. Lo que haya que hacer depende del tipo de monopolio y del origen de su poder.</w:t>
      </w:r>
    </w:p>
    <w:p>
      <w:pPr>
        <w:numPr>
          <w:ilvl w:val="0"/>
          <w:numId w:val="1036"/>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98"/>
    <w:bookmarkEnd w:id="99"/>
    <w:bookmarkEnd w:id="100"/>
    <w:bookmarkStart w:id="199" w:name="sec_desarrollos_teoria_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la tarifa en dos partes en una frase, señalando en su gráfico lo que se apropia el monopolista y lo que no;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(5′30″).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con su lectura económica (4′30″). La producción conjunta: la regla de</w:t>
      </w:r>
      <w:r>
        <w:t xml:space="preserve"> </w:t>
      </w:r>
      <w:r>
        <w:rPr>
          <w:smallCaps/>
        </w:rPr>
        <w:t xml:space="preserve">Lerner</w:t>
      </w:r>
      <w:r>
        <w:t xml:space="preserve"> </w:t>
      </w:r>
      <w:r>
        <w:t xml:space="preserve">con elasticidades cruzadas (solo su estructura y los 2 signos), las proporciones fijas en una frase (</w:t>
      </w:r>
      <m:oMath>
        <m:sSub>
          <m:e>
            <m:r>
              <m:rPr>
                <m:sty m:val="p"/>
              </m:rPr>
              <m:t>I</m:t>
            </m:r>
            <m:r>
              <m:rPr>
                <m:sty m:val="p"/>
              </m:rPr>
              <m:t>M</m:t>
            </m:r>
            <m:r>
              <m:rPr>
                <m:sty m:val="p"/>
              </m:rPr>
              <m:t>g</m:t>
            </m:r>
          </m:e>
          <m:sub>
            <m:r>
              <m:t>1</m:t>
            </m:r>
          </m:sub>
        </m:sSub>
        <m:r>
          <m:rPr>
            <m:sty m:val="p"/>
          </m:rPr>
          <m:t>+</m:t>
        </m:r>
        <m:sSub>
          <m:e>
            <m:r>
              <m:rPr>
                <m:sty m:val="p"/>
              </m:rPr>
              <m:t>I</m:t>
            </m:r>
            <m:r>
              <m:rPr>
                <m:sty m:val="p"/>
              </m:rPr>
              <m:t>M</m:t>
            </m:r>
            <m:r>
              <m:rPr>
                <m:sty m:val="p"/>
              </m:rPr>
              <m:t>g</m:t>
            </m:r>
          </m:e>
          <m:sub>
            <m:r>
              <m:t>2</m:t>
            </m:r>
          </m:sub>
        </m:sSub>
        <m:r>
          <m:rPr>
            <m:sty m:val="p"/>
          </m:rPr>
          <m:t>=</m:t>
        </m:r>
        <m:r>
          <m:rPr>
            <m:sty m:val="p"/>
          </m:rPr>
          <m:t>C</m:t>
        </m:r>
        <m:r>
          <m:rPr>
            <m:sty m:val="p"/>
          </m:rPr>
          <m:t>M</m:t>
        </m:r>
        <m:r>
          <m:rPr>
            <m:sty m:val="p"/>
          </m:rPr>
          <m:t>g</m:t>
        </m:r>
      </m:oMath>
      <w:r>
        <w:t xml:space="preserve"> </w:t>
      </w:r>
      <w:r>
        <w:t xml:space="preserve">y el desecho) y el multiplanta (1′30″). Los 3 casos de la tarifa en dos partes en detalle, la venta conjunta, los ejemplos, la sostenibilidad con reacción del incumbente, el aprendizaje y el modelo completo de las proporciones fijas (anexo </w:t>
      </w:r>
      <w:hyperlink w:anchor="anexo_proporciones_fijas">
        <w:r>
          <w:rPr>
            <w:rStyle w:val="Hyperlink"/>
          </w:rPr>
          <w:t xml:space="preserve">B.5</w:t>
        </w:r>
      </w:hyperlink>
      <w:r>
        <w:t xml:space="preserve">) son de profundización; las derivaciones, en el anexo </w:t>
      </w:r>
      <w:hyperlink w:anchor="anexo_derivaciones">
        <w:r>
          <w:rPr>
            <w:rStyle w:val="Hyperlink"/>
          </w:rPr>
          <w:t xml:space="preserve">B</w:t>
        </w:r>
      </w:hyperlink>
      <w:r>
        <w:t xml:space="preserve">.</w:t>
      </w:r>
    </w:p>
    <w:p>
      <w:pPr>
        <w:numPr>
          <w:ilvl w:val="0"/>
          <w:numId w:val="1037"/>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60" w:name="sec_discriminacion_precios"/>
    <w:p>
      <w:pPr>
        <w:pStyle w:val="Heading2"/>
      </w:pPr>
      <w:r>
        <w:t xml:space="preserve">II.1.</w:t>
      </w:r>
      <w:r>
        <w:t xml:space="preserve"> </w:t>
      </w:r>
      <w:r>
        <w:t xml:space="preserve">Discriminación de precios</w:t>
      </w:r>
    </w:p>
    <w:p>
      <w:pPr>
        <w:numPr>
          <w:ilvl w:val="0"/>
          <w:numId w:val="1038"/>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_Varian1989Price">
        <w:r>
          <w:rPr>
            <w:rStyle w:val="Hyperlink"/>
            <w:smallCaps/>
          </w:rPr>
          <w:t xml:space="preserve">Varian</w:t>
        </w:r>
        <w:r>
          <w:rPr>
            <w:rStyle w:val="Hyperlink"/>
          </w:rPr>
          <w:t xml:space="preserve">, 1989</w:t>
        </w:r>
      </w:hyperlink>
      <w:r>
        <w:t xml:space="preserve">)</w:t>
      </w:r>
      <w:r>
        <w:t xml:space="preserve">.</w:t>
      </w:r>
    </w:p>
    <w:p>
      <w:pPr>
        <w:keepNext/>
        <w:numPr>
          <w:ilvl w:val="0"/>
          <w:numId w:val="1038"/>
        </w:numPr>
      </w:pPr>
      <w:r>
        <w:t xml:space="preserve">Requiere 3 condiciones:</w:t>
      </w:r>
    </w:p>
    <w:p>
      <w:pPr>
        <w:numPr>
          <w:ilvl w:val="1"/>
          <w:numId w:val="1039"/>
        </w:numPr>
      </w:pPr>
      <w:r>
        <w:rPr>
          <w:i/>
          <w:iCs/>
        </w:rPr>
        <w:t xml:space="preserve">poder de mercado</w:t>
      </w:r>
      <w:r>
        <w:t xml:space="preserve">: con demanda perfectamente elástica no hay excedente que extraer;</w:t>
      </w:r>
    </w:p>
    <w:p>
      <w:pPr>
        <w:numPr>
          <w:ilvl w:val="1"/>
          <w:numId w:val="1039"/>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39"/>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38"/>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3 grados: en el primero, cada unidad se vende a su precio de demanda; en el segundo, hay precios por tramos de cantidad; en el tercero, precios distintos para grupos separados por alguna señal observable. Hoy se ordenan por la información del monopolista</w:t>
      </w:r>
      <w:r>
        <w:t xml:space="preserve"> </w:t>
      </w:r>
      <w:r>
        <w:t xml:space="preserve">(</w:t>
      </w:r>
      <w:hyperlink w:anchor="ref_Tirole1988Theory">
        <w:r>
          <w:rPr>
            <w:rStyle w:val="Hyperlink"/>
            <w:smallCaps/>
          </w:rPr>
          <w:t xml:space="preserve">Tirole</w:t>
        </w:r>
        <w:r>
          <w:rPr>
            <w:rStyle w:val="Hyperlink"/>
          </w:rPr>
          <w:t xml:space="preserve">, 1988, cap. 3</w:t>
        </w:r>
      </w:hyperlink>
      <w:r>
        <w:t xml:space="preserve">)</w:t>
      </w:r>
      <w:r>
        <w:t xml:space="preserve">:</w:t>
      </w:r>
    </w:p>
    <w:p>
      <w:pPr>
        <w:numPr>
          <w:ilvl w:val="1"/>
          <w:numId w:val="1040"/>
        </w:numPr>
      </w:pPr>
      <w:r>
        <w:rPr>
          <w:b/>
          <w:bCs/>
        </w:rPr>
        <w:t xml:space="preserve">primer grado</w:t>
      </w:r>
      <w:r>
        <w:t xml:space="preserve"> </w:t>
      </w:r>
      <w:r>
        <w:t xml:space="preserve">(discriminación perfecta): observa la valoración de cada consumidor;</w:t>
      </w:r>
    </w:p>
    <w:p>
      <w:pPr>
        <w:numPr>
          <w:ilvl w:val="1"/>
          <w:numId w:val="1040"/>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40"/>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38"/>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w:t>
      </w:r>
      <w:hyperlink w:anchor="sec_discriminacion_intertemporal_bienes">
        <w:r>
          <w:rPr>
            <w:rStyle w:val="Hyperlink"/>
          </w:rPr>
          <w:t xml:space="preserve">II.1.4</w:t>
        </w:r>
      </w:hyperlink>
      <w:r>
        <w:t xml:space="preserve">).</w:t>
      </w:r>
    </w:p>
    <w:bookmarkStart w:id="113" w:name="sec_discriminacion_primer_grado"/>
    <w:p>
      <w:pPr>
        <w:pStyle w:val="Heading3"/>
      </w:pPr>
      <w:r>
        <w:t xml:space="preserve">II.1.1.</w:t>
      </w:r>
      <w:r>
        <w:t xml:space="preserve"> </w:t>
      </w:r>
      <w:r>
        <w:t xml:space="preserve">Discriminación de primer grado</w:t>
      </w:r>
    </w:p>
    <w:bookmarkStart w:id="101" w:name="a_idea_2"/>
    <w:p>
      <w:pPr>
        <w:pStyle w:val="Heading4"/>
      </w:pPr>
      <w:r>
        <w:t xml:space="preserve">a) Idea</w:t>
      </w:r>
    </w:p>
    <w:p>
      <w:pPr>
        <w:numPr>
          <w:ilvl w:val="0"/>
          <w:numId w:val="1041"/>
        </w:numPr>
      </w:pPr>
      <w:r>
        <w:t xml:space="preserve">Es el caso extremo: el monopolista sabe cuánto está dispuesto a pagar cada consumidor por cada unidad y puede cobrárselo.</w:t>
      </w:r>
    </w:p>
    <w:bookmarkEnd w:id="101"/>
    <w:bookmarkStart w:id="110" w:name="b_modelo_2"/>
    <w:p>
      <w:pPr>
        <w:pStyle w:val="Heading4"/>
      </w:pPr>
      <w:r>
        <w:t xml:space="preserve">b) Modelo</w:t>
      </w:r>
    </w:p>
    <w:bookmarkStart w:id="102" w:name="i_supuestos_2"/>
    <w:p>
      <w:pPr>
        <w:pStyle w:val="Heading5"/>
      </w:pPr>
      <w:r>
        <w:t xml:space="preserve">i) Supuestos</w:t>
      </w:r>
    </w:p>
    <w:p>
      <w:pPr>
        <w:numPr>
          <w:ilvl w:val="0"/>
          <w:numId w:val="1042"/>
        </w:numPr>
      </w:pPr>
      <w:r>
        <w:t xml:space="preserve">El monopolista observa la valoración de cada consumidor por cada unidad y puede cobrar por ella exactamente su precio de reserva; no hay reventa.</w:t>
      </w:r>
    </w:p>
    <w:bookmarkEnd w:id="102"/>
    <w:bookmarkStart w:id="107" w:name="ii_desarrollo_2"/>
    <w:p>
      <w:pPr>
        <w:pStyle w:val="Heading5"/>
      </w:pPr>
      <w:r>
        <w:t xml:space="preserve">ii) Desarrollo</w:t>
      </w:r>
    </w:p>
    <w:p>
      <w:pPr>
        <w:numPr>
          <w:ilvl w:val="0"/>
          <w:numId w:val="1043"/>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w:t>
      </w:r>
      <w:hyperlink w:anchor="fig_primer_grado">
        <w:r>
          <w:rPr>
            <w:rStyle w:val="Hyperlink"/>
          </w:rPr>
          <w:t xml:space="preserve">3</w:t>
        </w:r>
      </w:hyperlink>
      <w:r>
        <w:t xml:space="preserve">).</w:t>
      </w:r>
    </w:p>
    <w:bookmarkStart w:id="106" w:name="fig_primer_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Gráfico 3.– Discriminación de primer grado: la demanda es el ingreso marginal y todo el excedente es del monopolista" title="" id="104" name="Picture"/>
            <a:graphic>
              <a:graphicData uri="http://schemas.openxmlformats.org/drawingml/2006/picture">
                <pic:pic>
                  <pic:nvPicPr>
                    <pic:cNvPr descr="C:\Users\vgutierrez\Documents\src\victorgutierrezmarcos.github.io-revision\oposicion\temario\fuentes\3A17\graficos/primer-grado.png" id="105" name="Picture"/>
                    <pic:cNvPicPr>
                      <a:picLocks noChangeArrowheads="1" noChangeAspect="1"/>
                    </pic:cNvPicPr>
                  </pic:nvPicPr>
                  <pic:blipFill>
                    <a:blip r:embed="rId103"/>
                    <a:stretch>
                      <a:fillRect/>
                    </a:stretch>
                  </pic:blipFill>
                  <pic:spPr bwMode="auto">
                    <a:xfrm>
                      <a:off x="0" y="0"/>
                      <a:ext cx="3282950" cy="252121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07"/>
    <w:bookmarkStart w:id="109" w:name="iii_implicaciones_2"/>
    <w:p>
      <w:pPr>
        <w:pStyle w:val="Heading5"/>
      </w:pPr>
      <w:r>
        <w:t xml:space="preserve">iii) Implicaciones</w:t>
      </w:r>
    </w:p>
    <w:p>
      <w:pPr>
        <w:numPr>
          <w:ilvl w:val="0"/>
          <w:numId w:val="1044"/>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108"/>
      </w:r>
    </w:p>
    <w:p>
      <w:pPr>
        <w:numPr>
          <w:ilvl w:val="0"/>
          <w:numId w:val="1044"/>
        </w:numPr>
      </w:pPr>
      <w:r>
        <w:t xml:space="preserve">Es la cota superior del beneficio de cualquier forma de discriminación.</w:t>
      </w:r>
    </w:p>
    <w:bookmarkEnd w:id="109"/>
    <w:bookmarkEnd w:id="110"/>
    <w:bookmarkStart w:id="111" w:name="c_evidencia_emp__rica"/>
    <w:p>
      <w:pPr>
        <w:pStyle w:val="Heading4"/>
      </w:pPr>
      <w:r>
        <w:t xml:space="preserve">c) Evidencia empírica</w:t>
      </w:r>
    </w:p>
    <w:p>
      <w:pPr>
        <w:numPr>
          <w:ilvl w:val="0"/>
          <w:numId w:val="1045"/>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111"/>
    <w:bookmarkStart w:id="112" w:name="d_valoraci__n_1"/>
    <w:p>
      <w:pPr>
        <w:pStyle w:val="Heading4"/>
      </w:pPr>
      <w:r>
        <w:t xml:space="preserve">d) Valoración</w:t>
      </w:r>
    </w:p>
    <w:p>
      <w:pPr>
        <w:numPr>
          <w:ilvl w:val="0"/>
          <w:numId w:val="1046"/>
        </w:numPr>
      </w:pPr>
      <w:r>
        <w:t xml:space="preserve">Exige una información que el monopolista casi nunca tiene. Cuando no observa la valoración de cada uno, tiene que conseguir que los consumidores la revelen: es la discriminación de segundo grado.</w:t>
      </w:r>
    </w:p>
    <w:bookmarkEnd w:id="112"/>
    <w:bookmarkEnd w:id="113"/>
    <w:bookmarkStart w:id="135" w:name="sec_discriminacion_segundo_grado"/>
    <w:p>
      <w:pPr>
        <w:pStyle w:val="Heading3"/>
      </w:pPr>
      <w:r>
        <w:t xml:space="preserve">II.1.2.</w:t>
      </w:r>
      <w:r>
        <w:t xml:space="preserve"> </w:t>
      </w:r>
      <w:r>
        <w:t xml:space="preserve">Discriminación de segundo grado: autoselección en cantidad y en calidad</w:t>
      </w:r>
    </w:p>
    <w:bookmarkStart w:id="115" w:name="a_idea_3"/>
    <w:p>
      <w:pPr>
        <w:pStyle w:val="Heading4"/>
      </w:pPr>
      <w:r>
        <w:t xml:space="preserve">a) Idea</w:t>
      </w:r>
    </w:p>
    <w:p>
      <w:pPr>
        <w:numPr>
          <w:ilvl w:val="0"/>
          <w:numId w:val="1047"/>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hyperlink r:id="rId114">
        <w:r>
          <w:rPr>
            <w:rStyle w:val="Referenciaatema"/>
          </w:rPr>
          <w:t xml:space="preserve">[ver tema 3.A.13]</w:t>
        </w:r>
      </w:hyperlink>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w:t>
      </w:r>
    </w:p>
    <w:p>
      <w:pPr>
        <w:numPr>
          <w:ilvl w:val="0"/>
          <w:numId w:val="1047"/>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115"/>
    <w:bookmarkStart w:id="125" w:name="b_modelo_3"/>
    <w:p>
      <w:pPr>
        <w:pStyle w:val="Heading4"/>
      </w:pPr>
      <w:r>
        <w:t xml:space="preserve">b) Modelo</w:t>
      </w:r>
    </w:p>
    <w:bookmarkStart w:id="116" w:name="i_supuestos_3"/>
    <w:p>
      <w:pPr>
        <w:pStyle w:val="Heading5"/>
      </w:pPr>
      <w:r>
        <w:t xml:space="preserve">i) Supuestos</w:t>
      </w:r>
    </w:p>
    <w:p>
      <w:pPr>
        <w:numPr>
          <w:ilvl w:val="0"/>
          <w:numId w:val="1048"/>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π</m:t>
        </m:r>
      </m:oMath>
      <w:r>
        <w:t xml:space="preserve"> </w:t>
      </w:r>
      <w:r>
        <w:t xml:space="preserve">y</w:t>
      </w:r>
      <w:r>
        <w:t xml:space="preserve"> </w:t>
      </w:r>
      <m:oMath>
        <m:r>
          <m:t>1</m:t>
        </m:r>
        <m:r>
          <m:rPr>
            <m:sty m:val="p"/>
          </m:rPr>
          <m:t>−</m:t>
        </m:r>
        <m:r>
          <m:t>π</m:t>
        </m:r>
      </m:oMath>
      <w:r>
        <w:t xml:space="preserve">, que el monopolista conoce; no sabe de qué tipo es cada uno.</w:t>
      </w:r>
    </w:p>
    <w:p>
      <w:pPr>
        <w:numPr>
          <w:ilvl w:val="0"/>
          <w:numId w:val="1048"/>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48"/>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116"/>
    <w:bookmarkStart w:id="123" w:name="ii_desarrollo_3"/>
    <w:p>
      <w:pPr>
        <w:pStyle w:val="Heading5"/>
      </w:pPr>
      <w:r>
        <w:t xml:space="preserve">ii) Desarrollo</w:t>
      </w:r>
    </w:p>
    <w:p>
      <w:pPr>
        <w:numPr>
          <w:ilvl w:val="0"/>
          <w:numId w:val="1049"/>
        </w:numPr>
      </w:pPr>
      <w:r>
        <w:t xml:space="preserve">El monopolista elige el menú que maximiza su beneficio esperado:</w:t>
      </w:r>
      <w:r>
        <w:t xml:space="preserve"> </w:t>
      </w:r>
      <w:bookmarkStart w:id="117" w:name="eq_segundo_grado"/>
      <w:bookmarkEnd w:id="11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π</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49"/>
        </w:numPr>
      </w:pPr>
      <w:r>
        <w:t xml:space="preserve">En el óptimo solo se saturan 2 (anexo </w:t>
      </w:r>
      <w:hyperlink w:anchor="anexo_segundo_grado">
        <w:r>
          <w:rPr>
            <w:rStyle w:val="Hyperlink"/>
          </w:rPr>
          <w:t xml:space="preserve">B.3</w:t>
        </w:r>
      </w:hyperlink>
      <w:r>
        <w:t xml:space="preserve">):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49"/>
        </w:numPr>
      </w:pPr>
      <w:r>
        <w:t xml:space="preserve">Sustituyendo los pagos y derivando respecto a las cantidades:</w:t>
      </w:r>
      <w:r>
        <w:t xml:space="preserve"> </w:t>
      </w:r>
      <w:bookmarkStart w:id="118" w:name="eq_autoseleccion"/>
      <w:bookmarkEnd w:id="118"/>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numPr>
          <w:ilvl w:val="0"/>
          <w:numId w:val="1049"/>
        </w:numPr>
      </w:pPr>
      <w:r>
        <w:rPr>
          <w:i/>
          <w:iCs/>
        </w:rPr>
        <w:t xml:space="preserve">Interpretación gráfica</w:t>
      </w:r>
      <w:r>
        <w:t xml:space="preserve"> </w:t>
      </w:r>
      <w:r>
        <w:t xml:space="preserve">(gráfico </w:t>
      </w:r>
      <w:hyperlink w:anchor="fig_autoseleccion">
        <w:r>
          <w:rPr>
            <w:rStyle w:val="Hyperlink"/>
          </w:rPr>
          <w:t xml:space="preserve">4</w:t>
        </w:r>
      </w:hyperlink>
      <w:r>
        <w:t xml:space="preserve">):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 el tipo alto compra donde su demanda corta a</w:t>
      </w:r>
      <w:r>
        <w:t xml:space="preserve"> </w:t>
      </w:r>
      <m:oMath>
        <m:r>
          <m:t>c</m:t>
        </m:r>
      </m:oMath>
      <w:r>
        <w:t xml:space="preserve">; el tipo bajo, a la izquierda de ese punto; la renta informativa es el área entre las 2 demandas hasta</w:t>
      </w:r>
      <w:r>
        <w:t xml:space="preserve"> </w:t>
      </w:r>
      <m:oMath>
        <m:sSub>
          <m:e>
            <m:r>
              <m:t>q</m:t>
            </m:r>
          </m:e>
          <m:sub>
            <m:r>
              <m:t>1</m:t>
            </m:r>
          </m:sub>
        </m:sSub>
      </m:oMath>
      <w:r>
        <w:t xml:space="preserve">.</w:t>
      </w:r>
    </w:p>
    <w:bookmarkStart w:id="122" w:name="fig_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Gráfico 4.– Discriminación de segundo grado con 2 tipos: cantidad eficiente para el tipo alto, distorsión abajo y renta informativa" title="" id="120" name="Picture"/>
            <a:graphic>
              <a:graphicData uri="http://schemas.openxmlformats.org/drawingml/2006/picture">
                <pic:pic>
                  <pic:nvPicPr>
                    <pic:cNvPr descr="C:\Users\vgutierrez\Documents\src\victorgutierrezmarcos.github.io-revision\oposicion\temario\fuentes\3A17\graficos/autoseleccion.png" id="121" name="Picture"/>
                    <pic:cNvPicPr>
                      <a:picLocks noChangeArrowheads="1" noChangeAspect="1"/>
                    </pic:cNvPicPr>
                  </pic:nvPicPr>
                  <pic:blipFill>
                    <a:blip r:embed="rId119"/>
                    <a:stretch>
                      <a:fillRect/>
                    </a:stretch>
                  </pic:blipFill>
                  <pic:spPr bwMode="auto">
                    <a:xfrm>
                      <a:off x="0" y="0"/>
                      <a:ext cx="3431293" cy="2639221"/>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_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23"/>
    <w:bookmarkStart w:id="124" w:name="iii_implicaciones_3"/>
    <w:p>
      <w:pPr>
        <w:pStyle w:val="Heading5"/>
      </w:pPr>
      <w:r>
        <w:t xml:space="preserve">iii) Implicaciones</w:t>
      </w:r>
    </w:p>
    <w:p>
      <w:pPr>
        <w:numPr>
          <w:ilvl w:val="0"/>
          <w:numId w:val="1050"/>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50"/>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π</m:t>
            </m:r>
          </m:e>
        </m:d>
        <m:r>
          <m:rPr>
            <m:sty m:val="p"/>
          </m:rPr>
          <m:t>/</m:t>
        </m:r>
        <m:r>
          <m:t>π</m:t>
        </m:r>
      </m:oMath>
      <w:r>
        <w:t xml:space="preserve"> </w:t>
      </w:r>
      <w:r>
        <w:t xml:space="preserve">grande) y más distintos sean, mayor es la distorsión; si</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50"/>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50"/>
        </w:numPr>
      </w:pPr>
      <w:r>
        <w:rPr>
          <w:i/>
          <w:iCs/>
        </w:rPr>
        <w:t xml:space="preserve">Bienestar</w:t>
      </w:r>
      <w:r>
        <w:t xml:space="preserve">: la cantidad del tipo alto es eficiente y la del bajo no; frente al precio uniforme, la autoselección puede aumentar o reducir el excedente total.</w:t>
      </w:r>
    </w:p>
    <w:bookmarkEnd w:id="124"/>
    <w:bookmarkEnd w:id="125"/>
    <w:bookmarkStart w:id="132" w:name="c_extensiones_1"/>
    <w:p>
      <w:pPr>
        <w:pStyle w:val="Heading4"/>
      </w:pPr>
      <w:r>
        <w:t xml:space="preserve">c) Extensiones</w:t>
      </w:r>
    </w:p>
    <w:p>
      <w:pPr>
        <w:numPr>
          <w:ilvl w:val="0"/>
          <w:numId w:val="1051"/>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Ejemplos: la tapa dura y la tapa blanda de un libro; la clase</w:t>
      </w:r>
      <w:r>
        <w:t xml:space="preserve"> </w:t>
      </w:r>
      <w:r>
        <w:rPr>
          <w:i/>
          <w:iCs/>
        </w:rPr>
        <w:t xml:space="preserve">business</w:t>
      </w:r>
      <w:r>
        <w:t xml:space="preserve"> </w:t>
      </w:r>
      <w:r>
        <w:t xml:space="preserve">y la turista; 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_DeneckereMcAfee1996Damaged">
        <w:r>
          <w:rPr>
            <w:rStyle w:val="Hyperlink"/>
          </w:rPr>
          <w:t xml:space="preserve">1996</w:t>
        </w:r>
      </w:hyperlink>
      <w:r>
        <w:t xml:space="preserve">)</w:t>
      </w:r>
      <w:r>
        <w:t xml:space="preserve">).</w:t>
      </w:r>
      <w:r>
        <w:rPr>
          <w:rStyle w:val="FootnoteReference"/>
        </w:rPr>
        <w:footnoteReference w:id="126"/>
      </w:r>
    </w:p>
    <w:p>
      <w:pPr>
        <w:keepNext/>
        <w:numPr>
          <w:ilvl w:val="0"/>
          <w:numId w:val="1051"/>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27"/>
      </w:r>
      <w:r>
        <w:t xml:space="preserve"> </w:t>
      </w:r>
      <w:r>
        <w:t xml:space="preserve">El gráfico </w:t>
      </w:r>
      <w:hyperlink w:anchor="fig_tarifa_dos_partes">
        <w:r>
          <w:rPr>
            <w:rStyle w:val="Hyperlink"/>
          </w:rPr>
          <w:t xml:space="preserve">5</w:t>
        </w:r>
      </w:hyperlink>
      <w:r>
        <w:t xml:space="preserve"> </w:t>
      </w:r>
      <w:r>
        <w:t xml:space="preserve">muestra 3 casos con 2 tipos de consumidores:</w:t>
      </w:r>
    </w:p>
    <w:p>
      <w:pPr>
        <w:numPr>
          <w:ilvl w:val="1"/>
          <w:numId w:val="1052"/>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52"/>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52"/>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p>
      <w:pPr>
        <w:numPr>
          <w:ilvl w:val="0"/>
          <w:numId w:val="1000"/>
        </w:numPr>
      </w:pPr>
      <w:r>
        <w:t xml:space="preserve">En el gráfico se ve también lo que el monopolista</w:t>
      </w:r>
      <w:r>
        <w:t xml:space="preserve"> </w:t>
      </w:r>
      <w:r>
        <w:rPr>
          <w:i/>
          <w:iCs/>
        </w:rPr>
        <w:t xml:space="preserve">no</w:t>
      </w:r>
      <w:r>
        <w:t xml:space="preserve"> </w:t>
      </w:r>
      <w:r>
        <w:t xml:space="preserve">se apropia: nada en el caso i); en el ii), la renta del tipo alto (lo que valora por encima de la cuota común y de lo que paga por unidad) y una pérdida irrecuperable en los 2 tipos, porque</w:t>
      </w:r>
      <w:r>
        <w:t xml:space="preserve"> </w:t>
      </w:r>
      <m:oMath>
        <m:r>
          <m:t>p</m:t>
        </m:r>
        <m:r>
          <m:rPr>
            <m:sty m:val="p"/>
          </m:rPr>
          <m:t>&gt;</m:t>
        </m:r>
        <m:r>
          <m:t>c</m:t>
        </m:r>
      </m:oMath>
      <w:r>
        <w:t xml:space="preserve">; en el iii), el excedente que habría generado el tipo bajo, que se pierde al quedar excluido.</w:t>
      </w:r>
    </w:p>
    <w:bookmarkStart w:id="131" w:name="fig_tarifa_dos_partes"/>
    <w:p>
      <w:pPr>
        <w:pStyle w:val="ImageCaption"/>
      </w:pPr>
      <w:r>
        <w:t xml:space="preserve">Gráfico 5.–</w:t>
      </w:r>
      <w:r>
        <w:t xml:space="preserve"> </w:t>
      </w:r>
      <w:r>
        <w:t xml:space="preserve">Tarifa en dos partes con 2 tipos: con cuotas distintas, con una cuota común que no excluye y con una cuota que excluye al tipo bajo. En dorado, lo que se apropia el monopolista; en morado, lo que se queda el consumidor, y en rojo, la pérdida irrecuperable</w:t>
      </w:r>
    </w:p>
    <w:p>
      <w:pPr>
        <w:pStyle w:val="CaptionedFigure"/>
      </w:pPr>
      <w:r>
        <w:drawing>
          <wp:inline>
            <wp:extent cx="5373246" cy="2422089"/>
            <wp:effectExtent b="0" l="0" r="0" t="0"/>
            <wp:docPr descr="Gráfico 5.– Tarifa en dos partes con 2 tipos: con cuotas distintas, con una cuota común que no excluye y con una cuota que excluye al tipo bajo. En dorado, lo que se apropia el monopolista; en morado, lo que se queda el consumidor, y en rojo, la pérdida irrecuperable" title="" id="129" name="Picture"/>
            <a:graphic>
              <a:graphicData uri="http://schemas.openxmlformats.org/drawingml/2006/picture">
                <pic:pic>
                  <pic:nvPicPr>
                    <pic:cNvPr descr="C:\Users\vgutierrez\Documents\src\victorgutierrezmarcos.github.io-revision\oposicion\temario\fuentes\3A17\graficos/tarifa-dos-partes.png" id="130" name="Picture"/>
                    <pic:cNvPicPr>
                      <a:picLocks noChangeArrowheads="1" noChangeAspect="1"/>
                    </pic:cNvPicPr>
                  </pic:nvPicPr>
                  <pic:blipFill>
                    <a:blip r:embed="rId128"/>
                    <a:stretch>
                      <a:fillRect/>
                    </a:stretch>
                  </pic:blipFill>
                  <pic:spPr bwMode="auto">
                    <a:xfrm>
                      <a:off x="0" y="0"/>
                      <a:ext cx="5373246" cy="24220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Oi</w:t>
      </w:r>
      <w:r>
        <w:t xml:space="preserve"> </w:t>
      </w:r>
      <w:r>
        <w:t xml:space="preserve">(</w:t>
      </w:r>
      <w:hyperlink w:anchor="ref_Oi1971Disneyland">
        <w:r>
          <w:rPr>
            <w:rStyle w:val="Hyperlink"/>
          </w:rPr>
          <w:t xml:space="preserve">1971</w:t>
        </w:r>
      </w:hyperlink>
      <w:r>
        <w:t xml:space="preserve">)</w:t>
      </w:r>
      <w:r>
        <w:t xml:space="preserve">.</w:t>
      </w:r>
    </w:p>
    <w:p>
      <w:pPr>
        <w:pStyle w:val="Cajadeanotacio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_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hyperlink r:id="rId32">
        <w:r>
          <w:rPr>
            <w:rStyle w:val="Referenciaatema"/>
          </w:rPr>
          <w:t xml:space="preserve">[ver tema 3.B.39]</w:t>
        </w:r>
      </w:hyperlink>
      <w:r>
        <w:t xml:space="preserve">.</w:t>
      </w:r>
    </w:p>
    <w:bookmarkEnd w:id="132"/>
    <w:bookmarkStart w:id="133" w:name="d_evidencia_emp__rica_1"/>
    <w:p>
      <w:pPr>
        <w:pStyle w:val="Heading4"/>
      </w:pPr>
      <w:r>
        <w:t xml:space="preserve">d) Evidencia empírica</w:t>
      </w:r>
    </w:p>
    <w:p>
      <w:pPr>
        <w:numPr>
          <w:ilvl w:val="0"/>
          <w:numId w:val="1053"/>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_Varian1989Price">
        <w:r>
          <w:rPr>
            <w:rStyle w:val="Hyperlink"/>
          </w:rPr>
          <w:t xml:space="preserve">1989</w:t>
        </w:r>
      </w:hyperlink>
      <w:r>
        <w:t xml:space="preserve">)</w:t>
      </w:r>
      <w:r>
        <w:t xml:space="preserve"> </w:t>
      </w:r>
      <w:r>
        <w:t xml:space="preserve">repasa los estudios empíricos.</w:t>
      </w:r>
    </w:p>
    <w:bookmarkEnd w:id="133"/>
    <w:bookmarkStart w:id="134" w:name="e_valoraci__n_1"/>
    <w:p>
      <w:pPr>
        <w:pStyle w:val="Heading4"/>
      </w:pPr>
      <w:r>
        <w:t xml:space="preserve">e) Valoración</w:t>
      </w:r>
    </w:p>
    <w:p>
      <w:pPr>
        <w:numPr>
          <w:ilvl w:val="0"/>
          <w:numId w:val="1054"/>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w:t>
      </w:r>
      <w:hyperlink w:anchor="anexo_regulacion">
        <w:r>
          <w:rPr>
            <w:rStyle w:val="Hyperlink"/>
          </w:rPr>
          <w:t xml:space="preserve">A</w:t>
        </w:r>
      </w:hyperlink>
      <w:r>
        <w:t xml:space="preserve">). Su límite es que el monopolista debe conocer la distribución de los tipos; cuando lo que observa es una característica del consumidor, pasamos a la discriminación de tercer grado.</w:t>
      </w:r>
    </w:p>
    <w:bookmarkEnd w:id="134"/>
    <w:bookmarkEnd w:id="135"/>
    <w:bookmarkStart w:id="149" w:name="sec_discriminacion_tercer_grado"/>
    <w:p>
      <w:pPr>
        <w:pStyle w:val="Heading3"/>
      </w:pPr>
      <w:r>
        <w:t xml:space="preserve">II.1.3.</w:t>
      </w:r>
      <w:r>
        <w:t xml:space="preserve"> </w:t>
      </w:r>
      <w:r>
        <w:t xml:space="preserve">Discriminación de tercer grado</w:t>
      </w:r>
    </w:p>
    <w:bookmarkStart w:id="137" w:name="a_idea_4"/>
    <w:p>
      <w:pPr>
        <w:pStyle w:val="Heading4"/>
      </w:pPr>
      <w:r>
        <w:t xml:space="preserve">a) Idea</w:t>
      </w:r>
    </w:p>
    <w:p>
      <w:pPr>
        <w:numPr>
          <w:ilvl w:val="0"/>
          <w:numId w:val="1055"/>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55"/>
        </w:numPr>
      </w:pPr>
      <w:r>
        <w:t xml:space="preserve">Además de la ausencia de reventa entre grupos, necesita poder separar la demanda en varios submercados y que sus elasticidades sean distintas.</w:t>
      </w:r>
      <w:r>
        <w:rPr>
          <w:rStyle w:val="FootnoteReference"/>
        </w:rPr>
        <w:footnoteReference w:id="136"/>
      </w:r>
    </w:p>
    <w:bookmarkEnd w:id="137"/>
    <w:bookmarkStart w:id="146" w:name="b_modelo_4"/>
    <w:p>
      <w:pPr>
        <w:pStyle w:val="Heading4"/>
      </w:pPr>
      <w:r>
        <w:t xml:space="preserve">b) Modelo</w:t>
      </w:r>
    </w:p>
    <w:bookmarkStart w:id="138" w:name="i_supuestos_4"/>
    <w:p>
      <w:pPr>
        <w:pStyle w:val="Heading5"/>
      </w:pPr>
      <w:r>
        <w:t xml:space="preserve">i) Supuestos</w:t>
      </w:r>
    </w:p>
    <w:p>
      <w:pPr>
        <w:numPr>
          <w:ilvl w:val="0"/>
          <w:numId w:val="1056"/>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 precio lineal dentro de cada grupo; sin reventa entre grupos; 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38"/>
    <w:bookmarkStart w:id="144" w:name="ii_desarrollo_4"/>
    <w:p>
      <w:pPr>
        <w:pStyle w:val="Heading5"/>
      </w:pPr>
      <w:r>
        <w:t xml:space="preserve">ii) Desarrollo</w:t>
      </w:r>
    </w:p>
    <w:p>
      <w:pPr>
        <w:numPr>
          <w:ilvl w:val="0"/>
          <w:numId w:val="1057"/>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57"/>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r>
        <w:t xml:space="preserve"> </w:t>
      </w:r>
      <w:bookmarkStart w:id="139" w:name="eq_tercer_grado"/>
      <w:bookmarkEnd w:id="139"/>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57"/>
        </w:numPr>
      </w:pPr>
      <w:r>
        <w:rPr>
          <w:i/>
          <w:iCs/>
        </w:rPr>
        <w:t xml:space="preserve">Interpretación gráfica</w:t>
      </w:r>
      <w:r>
        <w:t xml:space="preserve"> </w:t>
      </w:r>
      <w:r>
        <w:t xml:space="preserve">(gráfico </w:t>
      </w:r>
      <w:hyperlink w:anchor="fig_tercer_grado">
        <w:r>
          <w:rPr>
            <w:rStyle w:val="Hyperlink"/>
          </w:rPr>
          <w:t xml:space="preserve">6</w:t>
        </w:r>
      </w:hyperlink>
      <w:r>
        <w:t xml:space="preserve">): el IMg agregado (suma horizontal de los IMg de los 2 grupos) corta al CMg y fija la producción total; la altura de ese corte da en cada mercado la cantidad y, en su demanda, el precio.</w:t>
      </w:r>
    </w:p>
    <w:bookmarkStart w:id="143" w:name="fig_tercer_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Gráfico 6.– Discriminación de tercer grado: precio más alto en el mercado de demanda menos elástica" title="" id="141" name="Picture"/>
            <a:graphic>
              <a:graphicData uri="http://schemas.openxmlformats.org/drawingml/2006/picture">
                <pic:pic>
                  <pic:nvPicPr>
                    <pic:cNvPr descr="C:\Users\vgutierrez\Documents\src\victorgutierrezmarcos.github.io-revision\oposicion\temario\fuentes\3A17\graficos/tercer-grado.png" id="142" name="Picture"/>
                    <pic:cNvPicPr>
                      <a:picLocks noChangeArrowheads="1" noChangeAspect="1"/>
                    </pic:cNvPicPr>
                  </pic:nvPicPr>
                  <pic:blipFill>
                    <a:blip r:embed="rId140"/>
                    <a:stretch>
                      <a:fillRect/>
                    </a:stretch>
                  </pic:blipFill>
                  <pic:spPr bwMode="auto">
                    <a:xfrm>
                      <a:off x="0" y="0"/>
                      <a:ext cx="5670550" cy="230931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w:t>
      </w:r>
    </w:p>
    <w:bookmarkEnd w:id="144"/>
    <w:bookmarkStart w:id="145" w:name="iii_implicaciones_4"/>
    <w:p>
      <w:pPr>
        <w:pStyle w:val="Heading5"/>
      </w:pPr>
      <w:r>
        <w:t xml:space="preserve">iii) Implicaciones</w:t>
      </w:r>
    </w:p>
    <w:p>
      <w:pPr>
        <w:numPr>
          <w:ilvl w:val="0"/>
          <w:numId w:val="1058"/>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58"/>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_Schmalensee1981Output">
        <w:r>
          <w:rPr>
            <w:rStyle w:val="Hyperlink"/>
            <w:smallCaps/>
          </w:rPr>
          <w:t xml:space="preserve">Schmalensee</w:t>
        </w:r>
        <w:r>
          <w:rPr>
            <w:rStyle w:val="Hyperlink"/>
          </w:rPr>
          <w:t xml:space="preserve">, 1981</w:t>
        </w:r>
      </w:hyperlink>
      <w:r>
        <w:t xml:space="preserve">;</w:t>
      </w:r>
      <w:r>
        <w:t xml:space="preserve"> </w:t>
      </w:r>
      <w:hyperlink w:anchor="ref_Varian1985Price">
        <w:r>
          <w:rPr>
            <w:rStyle w:val="Hyperlink"/>
            <w:smallCaps/>
          </w:rPr>
          <w:t xml:space="preserve">Varian</w:t>
        </w:r>
        <w:r>
          <w:rPr>
            <w:rStyle w:val="Hyperlink"/>
          </w:rPr>
          <w:t xml:space="preserve">, 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_Robinson1933Economics">
        <w:r>
          <w:rPr>
            <w:rStyle w:val="Hyperlink"/>
            <w:smallCaps/>
          </w:rPr>
          <w:t xml:space="preserve">Robinson</w:t>
        </w:r>
        <w:r>
          <w:rPr>
            <w:rStyle w:val="Hyperlink"/>
          </w:rPr>
          <w:t xml:space="preserve">, 1933</w:t>
        </w:r>
      </w:hyperlink>
      <w:r>
        <w:t xml:space="preserve">)</w:t>
      </w:r>
      <w:r>
        <w:t xml:space="preserve">.</w:t>
      </w:r>
    </w:p>
    <w:p>
      <w:pPr>
        <w:numPr>
          <w:ilvl w:val="0"/>
          <w:numId w:val="1058"/>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45"/>
    <w:bookmarkEnd w:id="146"/>
    <w:bookmarkStart w:id="147" w:name="c_evidencia_emp__rica_1"/>
    <w:p>
      <w:pPr>
        <w:pStyle w:val="Heading4"/>
      </w:pPr>
      <w:r>
        <w:t xml:space="preserve">c) Evidencia empírica</w:t>
      </w:r>
    </w:p>
    <w:p>
      <w:pPr>
        <w:numPr>
          <w:ilvl w:val="0"/>
          <w:numId w:val="1059"/>
        </w:numPr>
      </w:pPr>
      <w:r>
        <w:t xml:space="preserve">Los descuentos para jóvenes y mayores en el transporte, las tarifas pensadas para quienes viajan por negocios, los precios distintos por país de los medicamentos o de los libros de texto, y los cupones de descuento, que separan a los consumidores más sensibles al precio: los que se toman la molestia de usarlos.</w:t>
      </w:r>
    </w:p>
    <w:bookmarkEnd w:id="147"/>
    <w:bookmarkStart w:id="148" w:name="d_valoraci__n_2"/>
    <w:p>
      <w:pPr>
        <w:pStyle w:val="Heading4"/>
      </w:pPr>
      <w:r>
        <w:t xml:space="preserve">d) Valoración</w:t>
      </w:r>
    </w:p>
    <w:p>
      <w:pPr>
        <w:numPr>
          <w:ilvl w:val="0"/>
          <w:numId w:val="1060"/>
        </w:numPr>
      </w:pPr>
      <w:r>
        <w:t xml:space="preserve">Es la forma de discriminación más frecuente y la más fácil de observar. Su efecto sobre el bienestar es ambiguo: la pregunta clave es si la discriminación abre mercados que con un precio uniforme no se atenderían.</w:t>
      </w:r>
    </w:p>
    <w:bookmarkEnd w:id="148"/>
    <w:bookmarkEnd w:id="149"/>
    <w:bookmarkStart w:id="158" w:name="sec_discriminacion_intertemporal_bienes"/>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50" w:name="a_idea_5"/>
    <w:p>
      <w:pPr>
        <w:pStyle w:val="Heading4"/>
      </w:pPr>
      <w:r>
        <w:t xml:space="preserve">a) Idea</w:t>
      </w:r>
    </w:p>
    <w:p>
      <w:pPr>
        <w:numPr>
          <w:ilvl w:val="0"/>
          <w:numId w:val="1061"/>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50"/>
    <w:bookmarkStart w:id="156" w:name="b_modelo_5"/>
    <w:p>
      <w:pPr>
        <w:pStyle w:val="Heading4"/>
      </w:pPr>
      <w:r>
        <w:t xml:space="preserve">b) Modelo</w:t>
      </w:r>
    </w:p>
    <w:bookmarkStart w:id="151" w:name="i_supuestos_5"/>
    <w:p>
      <w:pPr>
        <w:pStyle w:val="Heading5"/>
      </w:pPr>
      <w:r>
        <w:t xml:space="preserve">i) Supuestos</w:t>
      </w:r>
    </w:p>
    <w:p>
      <w:pPr>
        <w:numPr>
          <w:ilvl w:val="0"/>
          <w:numId w:val="1062"/>
        </w:numPr>
      </w:pPr>
      <w:r>
        <w:t xml:space="preserve">El bien es duradero: quien compra hoy no vuelve a comprar mañana.</w:t>
      </w:r>
    </w:p>
    <w:p>
      <w:pPr>
        <w:numPr>
          <w:ilvl w:val="0"/>
          <w:numId w:val="1062"/>
        </w:numPr>
      </w:pPr>
      <w:r>
        <w:t xml:space="preserve">El monopolista puede revisar el precio con frecuencia y no puede comprometerse a mantenerlo.</w:t>
      </w:r>
    </w:p>
    <w:p>
      <w:pPr>
        <w:numPr>
          <w:ilvl w:val="0"/>
          <w:numId w:val="1062"/>
        </w:numPr>
      </w:pPr>
      <w:r>
        <w:t xml:space="preserve">Los consumidores son pacientes y anticipan los precios futuros.</w:t>
      </w:r>
    </w:p>
    <w:bookmarkEnd w:id="151"/>
    <w:bookmarkStart w:id="154" w:name="ii_desarrollo_5"/>
    <w:p>
      <w:pPr>
        <w:pStyle w:val="Heading5"/>
      </w:pPr>
      <w:r>
        <w:t xml:space="preserve">ii) Desarrollo</w:t>
      </w:r>
    </w:p>
    <w:p>
      <w:pPr>
        <w:numPr>
          <w:ilvl w:val="0"/>
          <w:numId w:val="1063"/>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_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52"/>
      </w:r>
    </w:p>
    <w:bookmarkEnd w:id="154"/>
    <w:bookmarkStart w:id="155" w:name="iii_implicaciones_5"/>
    <w:p>
      <w:pPr>
        <w:pStyle w:val="Heading5"/>
      </w:pPr>
      <w:r>
        <w:t xml:space="preserve">iii) Implicaciones</w:t>
      </w:r>
    </w:p>
    <w:p>
      <w:pPr>
        <w:numPr>
          <w:ilvl w:val="0"/>
          <w:numId w:val="1064"/>
        </w:numPr>
      </w:pPr>
      <w:r>
        <w:t xml:space="preserve">El monopolista gana si consigue comprometerse a no bajar el precio. Por eso alquila en lugar de vender (</w:t>
      </w:r>
      <w:r>
        <w:rPr>
          <w:i/>
          <w:iCs/>
        </w:rPr>
        <w:t xml:space="preserve">leasing</w:t>
      </w:r>
      <w:r>
        <w:t xml:space="preserve">), limita la producción, garantiza la devolución del dinero si el precio baja o hace el bien menos duradero: obsolescencia, nuevas ediciones que acaban con el mercado de segunda mano, como en los libros de texto</w:t>
      </w:r>
      <w:r>
        <w:t xml:space="preserve"> </w:t>
      </w:r>
      <w:r>
        <w:t xml:space="preserve">(</w:t>
      </w:r>
      <w:hyperlink w:anchor="ref_Bulow1982Durable">
        <w:r>
          <w:rPr>
            <w:rStyle w:val="Hyperlink"/>
            <w:smallCaps/>
          </w:rPr>
          <w:t xml:space="preserve">Bulow</w:t>
        </w:r>
        <w:r>
          <w:rPr>
            <w:rStyle w:val="Hyperlink"/>
          </w:rPr>
          <w:t xml:space="preserve">, 1982</w:t>
        </w:r>
      </w:hyperlink>
      <w:r>
        <w:t xml:space="preserve">)</w:t>
      </w:r>
      <w:r>
        <w:t xml:space="preserve">.</w:t>
      </w:r>
    </w:p>
    <w:bookmarkEnd w:id="155"/>
    <w:bookmarkEnd w:id="156"/>
    <w:bookmarkStart w:id="157" w:name="c_evidencia_emp__rica_2"/>
    <w:p>
      <w:pPr>
        <w:pStyle w:val="Heading4"/>
      </w:pPr>
      <w:r>
        <w:t xml:space="preserve">c) Evidencia empírica</w:t>
      </w:r>
    </w:p>
    <w:p>
      <w:pPr>
        <w:numPr>
          <w:ilvl w:val="0"/>
          <w:numId w:val="1065"/>
        </w:numPr>
      </w:pPr>
      <w:r>
        <w:t xml:space="preserve">El precio de lanzamiento de los teléfonos y las consolas, que baja a los pocos meses, y las primeras ediciones en tapa dura de los libros.</w:t>
      </w:r>
    </w:p>
    <w:bookmarkEnd w:id="157"/>
    <w:bookmarkEnd w:id="158"/>
    <w:bookmarkStart w:id="159" w:name="sec_eficiencia_bienestar_discriminacion"/>
    <w:p>
      <w:pPr>
        <w:pStyle w:val="Heading3"/>
      </w:pPr>
      <w:r>
        <w:t xml:space="preserve">II.1.5.</w:t>
      </w:r>
      <w:r>
        <w:t xml:space="preserve"> </w:t>
      </w:r>
      <w:r>
        <w:t xml:space="preserve">Eficiencia y bienestar de la discriminación</w:t>
      </w:r>
    </w:p>
    <w:p>
      <w:pPr>
        <w:numPr>
          <w:ilvl w:val="0"/>
          <w:numId w:val="1066"/>
        </w:numPr>
      </w:pPr>
      <w:r>
        <w:t xml:space="preserve">El juicio depende del grado: el primero es eficiente pero deja a los consumidores sin excedente; el segundo distorsiona la cantidad del tipo bajo; el tercero solo mejora el excedente total si aumenta la cantidad. La lección general: cuanta más información e instrumentos tiene el monopolista, más excedente extrae, y eso no siempre empeora la eficiencia.</w:t>
      </w:r>
    </w:p>
    <w:p>
      <w:pPr>
        <w:numPr>
          <w:ilvl w:val="0"/>
          <w:numId w:val="1066"/>
        </w:numPr>
      </w:pPr>
      <w:r>
        <w:t xml:space="preserve">Una vez levantado el supuesto de precio único, pasamos al de unos costes sin ventajas de tamaño: el monopolio que nace de la tecnología.</w:t>
      </w:r>
    </w:p>
    <w:bookmarkEnd w:id="159"/>
    <w:bookmarkEnd w:id="160"/>
    <w:bookmarkStart w:id="190" w:name="sec_monopolio_natural"/>
    <w:p>
      <w:pPr>
        <w:pStyle w:val="Heading2"/>
      </w:pPr>
      <w:r>
        <w:t xml:space="preserve">II.2.</w:t>
      </w:r>
      <w:r>
        <w:t xml:space="preserve"> </w:t>
      </w:r>
      <w:r>
        <w:t xml:space="preserve">Monopolio natural</w:t>
      </w:r>
    </w:p>
    <w:p>
      <w:pPr>
        <w:numPr>
          <w:ilvl w:val="0"/>
          <w:numId w:val="1067"/>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70" w:name="sec_monopolio_natural_uniproducto"/>
    <w:p>
      <w:pPr>
        <w:pStyle w:val="Heading3"/>
      </w:pPr>
      <w:r>
        <w:t xml:space="preserve">II.2.1.</w:t>
      </w:r>
      <w:r>
        <w:t xml:space="preserve"> </w:t>
      </w:r>
      <w:r>
        <w:t xml:space="preserve">Monopolio natural uniproducto</w:t>
      </w:r>
    </w:p>
    <w:bookmarkStart w:id="167" w:name="existencia_subaditividad_de_costes"/>
    <w:p>
      <w:pPr>
        <w:pStyle w:val="Heading4"/>
      </w:pPr>
      <w:r>
        <w:t xml:space="preserve">Existencia: subaditividad de costes</w:t>
      </w:r>
    </w:p>
    <w:p>
      <w:pPr>
        <w:numPr>
          <w:ilvl w:val="0"/>
          <w:numId w:val="1068"/>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r>
        <w:t xml:space="preserve"> </w:t>
      </w:r>
      <w:bookmarkStart w:id="161" w:name="eq_subaditividad"/>
      <w:bookmarkEnd w:id="16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w:t>
      </w:r>
      <w:hyperlink r:id="rId24">
        <w:r>
          <w:rPr>
            <w:rStyle w:val="Referenciaatema"/>
          </w:rPr>
          <w:t xml:space="preserve">[ver tema 3.A.12]</w:t>
        </w:r>
      </w:hyperlink>
      <w:r>
        <w:t xml:space="preserve">.</w:t>
      </w:r>
    </w:p>
    <w:p>
      <w:pPr>
        <w:numPr>
          <w:ilvl w:val="0"/>
          <w:numId w:val="1068"/>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68"/>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62"/>
      </w:r>
    </w:p>
    <w:p>
      <w:pPr>
        <w:numPr>
          <w:ilvl w:val="0"/>
          <w:numId w:val="1068"/>
        </w:numPr>
      </w:pPr>
      <w:r>
        <w:t xml:space="preserve">Ejemplos: las redes (transporte y distribución de electricidad y de gas, abastecimiento de agua, vías férreas), no los servicios que circulan por ellas, que pueden prestarse en competencia.</w:t>
      </w:r>
    </w:p>
    <w:bookmarkStart w:id="166" w:name="fig_subaditividad_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Gráfico 7.– Subaditividad y sostenibilidad del monopolio natural uniproducto" title="" id="164" name="Picture"/>
            <a:graphic>
              <a:graphicData uri="http://schemas.openxmlformats.org/drawingml/2006/picture">
                <pic:pic>
                  <pic:nvPicPr>
                    <pic:cNvPr descr="C:\Users\vgutierrez\Documents\src\victorgutierrezmarcos.github.io-revision\oposicion\temario\fuentes\3A17\graficos/subaditividad-sostenibilidad.png" id="165" name="Picture"/>
                    <pic:cNvPicPr>
                      <a:picLocks noChangeArrowheads="1" noChangeAspect="1"/>
                    </pic:cNvPicPr>
                  </pic:nvPicPr>
                  <pic:blipFill>
                    <a:blip r:embed="rId163"/>
                    <a:stretch>
                      <a:fillRect/>
                    </a:stretch>
                  </pic:blipFill>
                  <pic:spPr bwMode="auto">
                    <a:xfrm>
                      <a:off x="0" y="0"/>
                      <a:ext cx="3700780" cy="2575948"/>
                    </a:xfrm>
                    <a:prstGeom prst="rect">
                      <a:avLst/>
                    </a:prstGeom>
                    <a:noFill/>
                    <a:ln w="9525">
                      <a:noFill/>
                      <a:headEnd/>
                      <a:tailEnd/>
                    </a:ln>
                  </pic:spPr>
                </pic:pic>
              </a:graphicData>
            </a:graphic>
          </wp:inline>
        </w:drawing>
      </w:r>
    </w:p>
    <w:bookmarkEnd w:id="166"/>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67"/>
    <w:bookmarkStart w:id="169" w:name="sostenibilidad"/>
    <w:p>
      <w:pPr>
        <w:pStyle w:val="Heading4"/>
      </w:pPr>
      <w:r>
        <w:t xml:space="preserve">Sostenibilidad</w:t>
      </w:r>
    </w:p>
    <w:p>
      <w:pPr>
        <w:numPr>
          <w:ilvl w:val="0"/>
          <w:numId w:val="1069"/>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keepNext/>
        <w:numPr>
          <w:ilvl w:val="0"/>
          <w:numId w:val="1069"/>
        </w:numPr>
      </w:pPr>
      <w:r>
        <w:t xml:space="preserve">Depende de dónde corte la demanda al coste medio (gráfico </w:t>
      </w:r>
      <w:hyperlink w:anchor="fig_subaditividad_sostenibilidad">
        <w:r>
          <w:rPr>
            <w:rStyle w:val="Hyperlink"/>
          </w:rPr>
          <w:t xml:space="preserve">7</w:t>
        </w:r>
      </w:hyperlink>
      <w:r>
        <w:t xml:space="preserve">):</w:t>
      </w:r>
    </w:p>
    <w:p>
      <w:pPr>
        <w:numPr>
          <w:ilvl w:val="1"/>
          <w:numId w:val="1070"/>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70"/>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70"/>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r>
        <w:rPr>
          <w:rStyle w:val="FootnoteReference"/>
        </w:rPr>
        <w:footnoteReference w:id="168"/>
      </w:r>
    </w:p>
    <w:p>
      <w:pPr>
        <w:numPr>
          <w:ilvl w:val="0"/>
          <w:numId w:val="1069"/>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bookmarkEnd w:id="169"/>
    <w:bookmarkEnd w:id="170"/>
    <w:bookmarkStart w:id="171" w:name="sec_monopolio_natural_multiproducto"/>
    <w:p>
      <w:pPr>
        <w:pStyle w:val="Heading3"/>
      </w:pPr>
      <w:r>
        <w:t xml:space="preserve">II.2.2.</w:t>
      </w:r>
      <w:r>
        <w:t xml:space="preserve"> </w:t>
      </w:r>
      <w:r>
        <w:t xml:space="preserve">Monopolio natural multiproducto</w:t>
      </w:r>
    </w:p>
    <w:p>
      <w:pPr>
        <w:numPr>
          <w:ilvl w:val="0"/>
          <w:numId w:val="1071"/>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4">
        <w:r>
          <w:rPr>
            <w:rStyle w:val="Referenciaatema"/>
          </w:rPr>
          <w:t xml:space="preserve">[ver tema 3.A.12]</w:t>
        </w:r>
      </w:hyperlink>
      <w:r>
        <w:t xml:space="preserve">.</w:t>
      </w:r>
    </w:p>
    <w:p>
      <w:pPr>
        <w:keepNext/>
        <w:numPr>
          <w:ilvl w:val="0"/>
          <w:numId w:val="1071"/>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_Faulhaber1975Cross">
        <w:r>
          <w:rPr>
            <w:rStyle w:val="Hyperlink"/>
            <w:smallCaps/>
          </w:rPr>
          <w:t xml:space="preserve">Faulhaber</w:t>
        </w:r>
        <w:r>
          <w:rPr>
            <w:rStyle w:val="Hyperlink"/>
          </w:rPr>
          <w:t xml:space="preserve">, 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72"/>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72"/>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71"/>
    <w:bookmarkStart w:id="189" w:name="sec_regulacion_monopolio_natural"/>
    <w:p>
      <w:pPr>
        <w:pStyle w:val="Heading3"/>
      </w:pPr>
      <w:r>
        <w:t xml:space="preserve">II.2.3.</w:t>
      </w:r>
      <w:r>
        <w:t xml:space="preserve"> </w:t>
      </w:r>
      <w:r>
        <w:t xml:space="preserve">Regulación del monopolio natural</w:t>
      </w:r>
    </w:p>
    <w:bookmarkStart w:id="172" w:name="a_idea_6"/>
    <w:p>
      <w:pPr>
        <w:pStyle w:val="Heading4"/>
      </w:pPr>
      <w:r>
        <w:t xml:space="preserve">a) Idea</w:t>
      </w:r>
    </w:p>
    <w:p>
      <w:pPr>
        <w:numPr>
          <w:ilvl w:val="0"/>
          <w:numId w:val="1073"/>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72"/>
    <w:bookmarkStart w:id="187" w:name="b_modelo_6"/>
    <w:p>
      <w:pPr>
        <w:pStyle w:val="Heading4"/>
      </w:pPr>
      <w:r>
        <w:t xml:space="preserve">b) Modelo</w:t>
      </w:r>
    </w:p>
    <w:bookmarkStart w:id="173" w:name="i_supuestos_6"/>
    <w:p>
      <w:pPr>
        <w:pStyle w:val="Heading5"/>
      </w:pPr>
      <w:r>
        <w:t xml:space="preserve">i) Supuestos</w:t>
      </w:r>
    </w:p>
    <w:p>
      <w:pPr>
        <w:numPr>
          <w:ilvl w:val="0"/>
          <w:numId w:val="1074"/>
        </w:numPr>
      </w:pPr>
      <w:r>
        <w:t xml:space="preserve">Un regulador benevolente, que maximiza el excedente total, e informado: conoce los costes y la demanda. La regulación con información asimétrica y la teoría positiva de la regulación están en el anexo </w:t>
      </w:r>
      <w:hyperlink w:anchor="anexo_regulacion">
        <w:r>
          <w:rPr>
            <w:rStyle w:val="Hyperlink"/>
          </w:rPr>
          <w:t xml:space="preserve">A</w:t>
        </w:r>
      </w:hyperlink>
      <w:r>
        <w:t xml:space="preserve"> </w:t>
      </w:r>
      <w:hyperlink r:id="rId33">
        <w:r>
          <w:rPr>
            <w:rStyle w:val="Referenciaatema"/>
          </w:rPr>
          <w:t xml:space="preserve">[ver tema 3.A.20]</w:t>
        </w:r>
      </w:hyperlink>
      <w:r>
        <w:t xml:space="preserve">.</w:t>
      </w:r>
    </w:p>
    <w:bookmarkEnd w:id="173"/>
    <w:bookmarkStart w:id="184" w:name="ii_desarrollo_6"/>
    <w:p>
      <w:pPr>
        <w:pStyle w:val="Heading5"/>
      </w:pPr>
      <w:r>
        <w:t xml:space="preserve">ii) Desarrollo</w:t>
      </w:r>
    </w:p>
    <w:p>
      <w:pPr>
        <w:keepNext/>
        <w:numPr>
          <w:ilvl w:val="0"/>
          <w:numId w:val="1075"/>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74"/>
      </w:r>
    </w:p>
    <w:p>
      <w:pPr>
        <w:numPr>
          <w:ilvl w:val="1"/>
          <w:numId w:val="1076"/>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8</w:t>
        </w:r>
      </w:hyperlink>
      <w:r>
        <w:t xml:space="preserve">), que hay que cubrir con una subvención de suma fija. Es lo mismo que impide la competencia perfecta con rendimientos crecientes: una empresa precio-aceptante pierde dinero</w:t>
      </w:r>
      <w:r>
        <w:t xml:space="preserve"> </w:t>
      </w:r>
      <w:hyperlink r:id="rId175">
        <w:r>
          <w:rPr>
            <w:rStyle w:val="Referenciaatema"/>
          </w:rPr>
          <w:t xml:space="preserve">[ver tema 3.A.21]</w:t>
        </w:r>
      </w:hyperlink>
      <w:r>
        <w:t xml:space="preserve">.</w:t>
      </w:r>
    </w:p>
    <w:p>
      <w:pPr>
        <w:numPr>
          <w:ilvl w:val="1"/>
          <w:numId w:val="1076"/>
        </w:numPr>
      </w:pPr>
      <w:r>
        <w:t xml:space="preserve">Problemas: 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 la subvención garantizada quita incentivos a reducir costes, y redistribuye de los contribuyentes a los usuarios.</w:t>
      </w:r>
      <w:r>
        <w:rPr>
          <w:rStyle w:val="FootnoteReference"/>
        </w:rPr>
        <w:footnoteReference w:id="176"/>
      </w:r>
    </w:p>
    <w:p>
      <w:pPr>
        <w:numPr>
          <w:ilvl w:val="1"/>
          <w:numId w:val="1076"/>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w:t>
      </w:r>
      <w:hyperlink w:anchor="anexo_regulacion">
        <w:r>
          <w:rPr>
            <w:rStyle w:val="Hyperlink"/>
          </w:rPr>
          <w:t xml:space="preserve">A</w:t>
        </w:r>
      </w:hyperlink>
      <w:r>
        <w:t xml:space="preserve">).</w:t>
      </w:r>
    </w:p>
    <w:p>
      <w:pPr>
        <w:keepNext/>
        <w:numPr>
          <w:ilvl w:val="0"/>
          <w:numId w:val="1075"/>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77"/>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77"/>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w:t>
      </w:r>
      <w:hyperlink w:anchor="sec_discriminacion_segundo_grado">
        <w:r>
          <w:rPr>
            <w:rStyle w:val="Hyperlink"/>
          </w:rPr>
          <w:t xml:space="preserve">II.1.2</w:t>
        </w:r>
      </w:hyperlink>
      <w:r>
        <w:t xml:space="preserve">).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77"/>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o cobrar cuotas distintas según la capacidad de pago (por ejemplo, con bonos sociales), que es discriminar en la parte fija.</w:t>
      </w:r>
      <w:r>
        <w:rPr>
          <w:rStyle w:val="FootnoteReference"/>
        </w:rPr>
        <w:footnoteReference w:id="178"/>
      </w:r>
    </w:p>
    <w:p>
      <w:pPr>
        <w:numPr>
          <w:ilvl w:val="1"/>
          <w:numId w:val="1077"/>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El desarrollo y la aplicación a la factura eléctrica están en el anexo </w:t>
      </w:r>
      <w:hyperlink w:anchor="anexo_regulacion">
        <w:r>
          <w:rPr>
            <w:rStyle w:val="Hyperlink"/>
          </w:rPr>
          <w:t xml:space="preserve">A</w:t>
        </w:r>
      </w:hyperlink>
      <w:r>
        <w:t xml:space="preserve">.</w:t>
      </w:r>
    </w:p>
    <w:p>
      <w:pPr>
        <w:numPr>
          <w:ilvl w:val="1"/>
          <w:numId w:val="1077"/>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 </w:t>
      </w:r>
      <w:r>
        <w:t xml:space="preserve">(anexo </w:t>
      </w:r>
      <w:hyperlink w:anchor="anexo_ramsey">
        <w:r>
          <w:rPr>
            <w:rStyle w:val="Hyperlink"/>
          </w:rPr>
          <w:t xml:space="preserve">B.6</w:t>
        </w:r>
      </w:hyperlink>
      <w:r>
        <w:t xml:space="preserve">):</w:t>
      </w:r>
      <w:r>
        <w:t xml:space="preserve"> </w:t>
      </w:r>
      <w:bookmarkStart w:id="179" w:name="eq_ramsey_boiteux"/>
      <w:bookmarkEnd w:id="179"/>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83" w:name="fig_regulacion_monopolio_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8.– Regulación del monopolio natural: pérdidas con p=\mathrm{CMg} y beneficio nulo con p=\mathrm{CMe}" title="" id="181" name="Picture"/>
            <a:graphic>
              <a:graphicData uri="http://schemas.openxmlformats.org/drawingml/2006/picture">
                <pic:pic>
                  <pic:nvPicPr>
                    <pic:cNvPr descr="C:\Users\vgutierrez\Documents\src\victorgutierrezmarcos.github.io-revision\oposicion\temario\fuentes\3A17\graficos/regulacion-monopolio-natural.png" id="182" name="Picture"/>
                    <pic:cNvPicPr>
                      <a:picLocks noChangeArrowheads="1" noChangeAspect="1"/>
                    </pic:cNvPicPr>
                  </pic:nvPicPr>
                  <pic:blipFill>
                    <a:blip r:embed="rId180"/>
                    <a:stretch>
                      <a:fillRect/>
                    </a:stretch>
                  </pic:blipFill>
                  <pic:spPr bwMode="auto">
                    <a:xfrm>
                      <a:off x="0" y="0"/>
                      <a:ext cx="3581400" cy="2115264"/>
                    </a:xfrm>
                    <a:prstGeom prst="rect">
                      <a:avLst/>
                    </a:prstGeom>
                    <a:noFill/>
                    <a:ln w="9525">
                      <a:noFill/>
                      <a:headEnd/>
                      <a:tailEnd/>
                    </a:ln>
                  </pic:spPr>
                </pic:pic>
              </a:graphicData>
            </a:graphic>
          </wp:inline>
        </w:drawing>
      </w:r>
    </w:p>
    <w:bookmarkEnd w:id="183"/>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184"/>
    <w:bookmarkStart w:id="186" w:name="iii_implicaciones_6"/>
    <w:p>
      <w:pPr>
        <w:pStyle w:val="Heading5"/>
      </w:pPr>
      <w:r>
        <w:t xml:space="preserve">iii) Implicaciones</w:t>
      </w:r>
    </w:p>
    <w:p>
      <w:pPr>
        <w:numPr>
          <w:ilvl w:val="0"/>
          <w:numId w:val="1078"/>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 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cuanto más aprieta (más coste fijo que cubrir), mayores son los márgenes, y si apretara sin límite (</w:t>
      </w:r>
      <m:oMath>
        <m:r>
          <m:t>λ</m:t>
        </m:r>
        <m:r>
          <m:rPr>
            <m:sty m:val="p"/>
          </m:rPr>
          <m:t>→</m:t>
        </m:r>
        <m:r>
          <m:rPr>
            <m:sty m:val="p"/>
          </m:rPr>
          <m:t>∞</m:t>
        </m:r>
      </m:oMath>
      <w:r>
        <w:t xml:space="preserve">), cada precio sería el de monopolio.</w:t>
      </w:r>
    </w:p>
    <w:p>
      <w:pPr>
        <w:numPr>
          <w:ilvl w:val="0"/>
          <w:numId w:val="1078"/>
        </w:numPr>
      </w:pPr>
      <w:r>
        <w:t xml:space="preserve">Entre ambos extremos, el regulador recarga más los bienes de demanda menos elástica, como el monopolista que discrimina en tercer grado (</w:t>
      </w:r>
      <w:hyperlink w:anchor="sec_discriminacion_tercer_grado">
        <w:r>
          <w:rPr>
            <w:rStyle w:val="Hyperlink"/>
          </w:rPr>
          <w:t xml:space="preserve">II.1.3</w:t>
        </w:r>
      </w:hyperlink>
      <w:r>
        <w:t xml:space="preserve">), porque ahí subir el precio distorsiona menos la cantidad, pero solo lo justo para cubrir costes. Es la misma regla de la elasticidad inversa de la imposición óptima</w:t>
      </w:r>
      <w:r>
        <w:t xml:space="preserve"> </w:t>
      </w:r>
      <w:hyperlink r:id="rId185">
        <w:r>
          <w:rPr>
            <w:rStyle w:val="Referenciaatema"/>
          </w:rPr>
          <w:t xml:space="preserve">[ver tema 4.B.11]</w:t>
        </w:r>
      </w:hyperlink>
      <w:r>
        <w:t xml:space="preserve">.</w:t>
      </w:r>
    </w:p>
    <w:p>
      <w:pPr>
        <w:numPr>
          <w:ilvl w:val="0"/>
          <w:numId w:val="1078"/>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 por eso se usa la misma letra en los 2 casos. Con demandas dependientes aparecen las elasticidades cruzadas, como en el monopolio multiproducto (</w:t>
      </w:r>
      <w:hyperlink w:anchor="sec_monopolio_multiproducto">
        <w:r>
          <w:rPr>
            <w:rStyle w:val="Hyperlink"/>
          </w:rPr>
          <w:t xml:space="preserve">II.3.1</w:t>
        </w:r>
      </w:hyperlink>
      <w:r>
        <w:t xml:space="preserve">).</w:t>
      </w:r>
    </w:p>
    <w:bookmarkEnd w:id="186"/>
    <w:bookmarkEnd w:id="187"/>
    <w:bookmarkStart w:id="188" w:name="c_valoraci__n"/>
    <w:p>
      <w:pPr>
        <w:pStyle w:val="Heading4"/>
      </w:pPr>
      <w:r>
        <w:t xml:space="preserve">c) Valoración</w:t>
      </w:r>
    </w:p>
    <w:p>
      <w:pPr>
        <w:numPr>
          <w:ilvl w:val="0"/>
          <w:numId w:val="1079"/>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79"/>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w:t>
      </w:r>
      <w:hyperlink w:anchor="anexo_regulacion">
        <w:r>
          <w:rPr>
            <w:rStyle w:val="Hyperlink"/>
          </w:rPr>
          <w:t xml:space="preserve">A</w:t>
        </w:r>
      </w:hyperlink>
      <w:r>
        <w:t xml:space="preserve">)</w:t>
      </w:r>
      <w:r>
        <w:t xml:space="preserve"> </w:t>
      </w:r>
      <w:hyperlink r:id="rId33">
        <w:r>
          <w:rPr>
            <w:rStyle w:val="Referenciaatema"/>
          </w:rPr>
          <w:t xml:space="preserve">[ver tema 3.A.20]</w:t>
        </w:r>
      </w:hyperlink>
      <w:r>
        <w:t xml:space="preserve">.</w:t>
      </w:r>
    </w:p>
    <w:p>
      <w:pPr>
        <w:numPr>
          <w:ilvl w:val="0"/>
          <w:numId w:val="1079"/>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88"/>
    <w:bookmarkEnd w:id="189"/>
    <w:bookmarkEnd w:id="190"/>
    <w:bookmarkStart w:id="198" w:name="sec_produccion_conjunta"/>
    <w:p>
      <w:pPr>
        <w:pStyle w:val="Heading2"/>
      </w:pPr>
      <w:r>
        <w:t xml:space="preserve">II.3.</w:t>
      </w:r>
      <w:r>
        <w:t xml:space="preserve"> </w:t>
      </w:r>
      <w:r>
        <w:t xml:space="preserve">Producción conjunta</w:t>
      </w:r>
    </w:p>
    <w:p>
      <w:pPr>
        <w:numPr>
          <w:ilvl w:val="0"/>
          <w:numId w:val="1080"/>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94" w:name="sec_monopolio_multiproducto"/>
    <w:p>
      <w:pPr>
        <w:pStyle w:val="Heading3"/>
      </w:pPr>
      <w:r>
        <w:t xml:space="preserve">II.3.1.</w:t>
      </w:r>
      <w:r>
        <w:t xml:space="preserve"> </w:t>
      </w:r>
      <w:r>
        <w:t xml:space="preserve">Monopolio multiproducto</w:t>
      </w:r>
    </w:p>
    <w:p>
      <w:pPr>
        <w:keepNext/>
        <w:numPr>
          <w:ilvl w:val="0"/>
          <w:numId w:val="1081"/>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82"/>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82"/>
        </w:numPr>
      </w:pPr>
      <w:r>
        <w:rPr>
          <w:i/>
          <w:iCs/>
        </w:rPr>
        <w:t xml:space="preserve">Demandas dependientes y costes separables</w:t>
      </w:r>
      <w:r>
        <w:t xml:space="preserve">: el margen de cada bien tiene en cuenta lo que su precio hace vender de los demás (anexo </w:t>
      </w:r>
      <w:hyperlink w:anchor="anexo_multiproducto">
        <w:r>
          <w:rPr>
            <w:rStyle w:val="Hyperlink"/>
          </w:rPr>
          <w:t xml:space="preserve">B.4</w:t>
        </w:r>
      </w:hyperlink>
      <w:r>
        <w:t xml:space="preserve">):</w:t>
      </w:r>
      <w:r>
        <w:t xml:space="preserve"> </w:t>
      </w:r>
      <w:bookmarkStart w:id="191" w:name="eq_lerner_multi"/>
      <w:bookmarkEnd w:id="191"/>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83"/>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92"/>
      </w:r>
    </w:p>
    <w:p>
      <w:pPr>
        <w:numPr>
          <w:ilvl w:val="2"/>
          <w:numId w:val="1083"/>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w:t>
      </w:r>
      <w:hyperlink w:anchor="sec_monopolio_bilateral">
        <w:r>
          <w:rPr>
            <w:rStyle w:val="Hyperlink"/>
          </w:rPr>
          <w:t xml:space="preserve">III.2</w:t>
        </w:r>
      </w:hyperlink>
      <w:r>
        <w:t xml:space="preserve">).</w:t>
      </w:r>
    </w:p>
    <w:p>
      <w:pPr>
        <w:numPr>
          <w:ilvl w:val="1"/>
          <w:numId w:val="1082"/>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hyperlink r:id="rId24">
        <w:r>
          <w:rPr>
            <w:rStyle w:val="Referenciaatema"/>
          </w:rPr>
          <w:t xml:space="preserve">[ver tema 3.A.12]</w:t>
        </w:r>
      </w:hyperlink>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93"/>
      </w:r>
    </w:p>
    <w:p>
      <w:pPr>
        <w:numPr>
          <w:ilvl w:val="1"/>
          <w:numId w:val="1082"/>
        </w:numPr>
      </w:pPr>
      <w:r>
        <w:rPr>
          <w:i/>
          <w:iCs/>
        </w:rPr>
        <w:t xml:space="preserve">Demandas dependientes y costes no separables</w:t>
      </w:r>
      <w:r>
        <w:t xml:space="preserve">: se combinan los 2 efectos anteriores; los márgenes de (</w:t>
      </w:r>
      <w:hyperlink w:anchor="eq_lerner_multi">
        <w:r>
          <w:rPr>
            <w:rStyle w:val="Hyperlink"/>
          </w:rPr>
          <w:t xml:space="preserve">17</w:t>
        </w:r>
      </w:hyperlink>
      <w:r>
        <w:t xml:space="preserve">)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81"/>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_Faulhaber1975Cross">
        <w:r>
          <w:rPr>
            <w:rStyle w:val="Hyperlink"/>
          </w:rPr>
          <w:t xml:space="preserve">1975</w:t>
        </w:r>
      </w:hyperlink>
      <w:r>
        <w:t xml:space="preserve">)</w:t>
      </w:r>
      <w:r>
        <w:t xml:space="preserve"> </w:t>
      </w:r>
      <w:r>
        <w:t xml:space="preserve">(</w:t>
      </w:r>
      <w:hyperlink w:anchor="sec_monopolio_natural_multiproducto">
        <w:r>
          <w:rPr>
            <w:rStyle w:val="Hyperlink"/>
          </w:rPr>
          <w:t xml:space="preserve">II.2.2</w:t>
        </w:r>
      </w:hyperlink>
      <w:r>
        <w:t xml:space="preserve">).</w:t>
      </w:r>
    </w:p>
    <w:bookmarkEnd w:id="194"/>
    <w:bookmarkStart w:id="195" w:name="sec_produccion_conjunta_proporciones"/>
    <w:p>
      <w:pPr>
        <w:pStyle w:val="Heading3"/>
      </w:pPr>
      <w:r>
        <w:t xml:space="preserve">II.3.2.</w:t>
      </w:r>
      <w:r>
        <w:t xml:space="preserve"> </w:t>
      </w:r>
      <w:r>
        <w:t xml:space="preserve">Producción conjunta en proporciones fijas</w:t>
      </w:r>
    </w:p>
    <w:p>
      <w:pPr>
        <w:numPr>
          <w:ilvl w:val="0"/>
          <w:numId w:val="1084"/>
        </w:numPr>
      </w:pPr>
      <w:r>
        <w:t xml:space="preserve">Hay bienes que salen</w:t>
      </w:r>
      <w:r>
        <w:t xml:space="preserve"> </w:t>
      </w:r>
      <w:r>
        <w:rPr>
          <w:i/>
          <w:iCs/>
        </w:rPr>
        <w:t xml:space="preserve">juntos</w:t>
      </w:r>
      <w:r>
        <w:t xml:space="preserve"> </w:t>
      </w:r>
      <w:r>
        <w:t xml:space="preserve">de un mismo proceso y en una proporción fija, como la carne y la piel de una res: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No hay un coste propio de cada bien, sino del proceso.</w:t>
      </w:r>
    </w:p>
    <w:p>
      <w:pPr>
        <w:numPr>
          <w:ilvl w:val="0"/>
          <w:numId w:val="1084"/>
        </w:numPr>
      </w:pPr>
      <w:r>
        <w:t xml:space="preserve">El monopolista produce hasta que lo que le aportan los 2 bienes juntos iguala el coste marginal del proceso:</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84"/>
        </w:numPr>
      </w:pPr>
      <w:r>
        <w:t xml:space="preserve">Si a esa cantidad el ingreso marginal de uno de ellos es negativo, le conviene</w:t>
      </w:r>
      <w:r>
        <w:t xml:space="preserve"> </w:t>
      </w:r>
      <w:r>
        <w:rPr>
          <w:i/>
          <w:iCs/>
        </w:rPr>
        <w:t xml:space="preserve">desechar</w:t>
      </w:r>
      <w:r>
        <w:t xml:space="preserve"> </w:t>
      </w:r>
      <w:r>
        <w:t xml:space="preserve">parte de ese bien en lugar de venderlo todo. El modelo completo, con su gráfico, está en el anexo </w:t>
      </w:r>
      <w:hyperlink w:anchor="anexo_proporciones_fijas">
        <w:r>
          <w:rPr>
            <w:rStyle w:val="Hyperlink"/>
          </w:rPr>
          <w:t xml:space="preserve">B.5</w:t>
        </w:r>
      </w:hyperlink>
      <w:r>
        <w:t xml:space="preserve">.</w:t>
      </w:r>
    </w:p>
    <w:bookmarkEnd w:id="195"/>
    <w:bookmarkStart w:id="196" w:name="sec_monopolio_multiplanta"/>
    <w:p>
      <w:pPr>
        <w:pStyle w:val="Heading3"/>
      </w:pPr>
      <w:r>
        <w:t xml:space="preserve">II.3.3.</w:t>
      </w:r>
      <w:r>
        <w:t xml:space="preserve"> </w:t>
      </w:r>
      <w:r>
        <w:t xml:space="preserve">Monopolio multiplanta</w:t>
      </w:r>
    </w:p>
    <w:p>
      <w:pPr>
        <w:numPr>
          <w:ilvl w:val="0"/>
          <w:numId w:val="1085"/>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numPr>
          <w:ilvl w:val="0"/>
          <w:numId w:val="1085"/>
        </w:numPr>
      </w:pPr>
      <w:r>
        <w:t xml:space="preserve">Son 2 decisiones:</w:t>
      </w:r>
      <w:r>
        <w:t xml:space="preserve"> </w:t>
      </w:r>
      <w:r>
        <w:rPr>
          <w:i/>
          <w:iCs/>
        </w:rPr>
        <w:t xml:space="preserve">cuánto</w:t>
      </w:r>
      <w:r>
        <w:t xml:space="preserve"> </w:t>
      </w:r>
      <w:r>
        <w:t xml:space="preserve">producir, igualando el IMg con el CMg de la empresa, que es la suma horizontal de los CMg de sus plantas, y</w:t>
      </w:r>
      <w:r>
        <w:t xml:space="preserve"> </w:t>
      </w:r>
      <w:r>
        <w:rPr>
          <w:i/>
          <w:iCs/>
        </w:rPr>
        <w:t xml:space="preserve">cómo repartirlo</w:t>
      </w:r>
      <w:r>
        <w:t xml:space="preserve">, igualando los costes marginales de las plantas, que es minimizar el coste</w:t>
      </w:r>
      <w:r>
        <w:t xml:space="preserve"> </w:t>
      </w:r>
      <w:hyperlink r:id="rId24">
        <w:r>
          <w:rPr>
            <w:rStyle w:val="Referenciaatema"/>
          </w:rPr>
          <w:t xml:space="preserve">[ver tema 3.A.12]</w:t>
        </w:r>
      </w:hyperlink>
      <w:r>
        <w:t xml:space="preserve">. Con costes marginales constantes y capacidades limitadas, llena primero la planta más barata, como en el orden de mérito del mercado eléctrico. Es el mismo problema que el de un cártel que maximiza el beneficio conjunto</w:t>
      </w:r>
      <w:r>
        <w:t xml:space="preserve"> </w:t>
      </w:r>
      <w:hyperlink r:id="rId28">
        <w:r>
          <w:rPr>
            <w:rStyle w:val="Referenciaatema"/>
          </w:rPr>
          <w:t xml:space="preserve">[ver tema 3.A.19]</w:t>
        </w:r>
      </w:hyperlink>
      <w:r>
        <w:t xml:space="preserve">.</w:t>
      </w:r>
    </w:p>
    <w:bookmarkEnd w:id="196"/>
    <w:bookmarkStart w:id="197" w:name="sec_eficiencia_bienestar_produccion"/>
    <w:p>
      <w:pPr>
        <w:pStyle w:val="Heading3"/>
      </w:pPr>
      <w:r>
        <w:t xml:space="preserve">II.3.4.</w:t>
      </w:r>
      <w:r>
        <w:t xml:space="preserve"> </w:t>
      </w:r>
      <w:r>
        <w:t xml:space="preserve">Eficiencia y bienestar de la producción conjunta</w:t>
      </w:r>
    </w:p>
    <w:p>
      <w:pPr>
        <w:numPr>
          <w:ilvl w:val="0"/>
          <w:numId w:val="1086"/>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086"/>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97"/>
    <w:bookmarkEnd w:id="198"/>
    <w:bookmarkEnd w:id="199"/>
    <w:bookmarkStart w:id="236" w:name="sec_otras_estructuras_mercado"/>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w:t>
      </w:r>
      <w:hyperlink w:anchor="anexo_nash">
        <w:r>
          <w:rPr>
            <w:rStyle w:val="Hyperlink"/>
          </w:rPr>
          <w:t xml:space="preserve">B.9</w:t>
        </w:r>
      </w:hyperlink>
      <w:r>
        <w:t xml:space="preserve">) son de profundización.</w:t>
      </w:r>
    </w:p>
    <w:p>
      <w:pPr>
        <w:numPr>
          <w:ilvl w:val="0"/>
          <w:numId w:val="1087"/>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219" w:name="sec_monopsonio"/>
    <w:p>
      <w:pPr>
        <w:pStyle w:val="Heading2"/>
      </w:pPr>
      <w:r>
        <w:t xml:space="preserve">III.1.</w:t>
      </w:r>
      <w:r>
        <w:t xml:space="preserve"> </w:t>
      </w:r>
      <w:r>
        <w:t xml:space="preserve">Monopsonio</w:t>
      </w:r>
    </w:p>
    <w:bookmarkStart w:id="200" w:name="a_idea_7"/>
    <w:p>
      <w:pPr>
        <w:pStyle w:val="Heading4"/>
      </w:pPr>
      <w:r>
        <w:t xml:space="preserve">a) Idea</w:t>
      </w:r>
    </w:p>
    <w:p>
      <w:pPr>
        <w:numPr>
          <w:ilvl w:val="0"/>
          <w:numId w:val="1088"/>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088"/>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200"/>
    <w:bookmarkStart w:id="215" w:name="b_modelo_7"/>
    <w:p>
      <w:pPr>
        <w:pStyle w:val="Heading4"/>
      </w:pPr>
      <w:r>
        <w:t xml:space="preserve">b) Modelo</w:t>
      </w:r>
    </w:p>
    <w:bookmarkStart w:id="201" w:name="i_supuestos_7"/>
    <w:p>
      <w:pPr>
        <w:pStyle w:val="Heading5"/>
      </w:pPr>
      <w:r>
        <w:t xml:space="preserve">i) Supuestos</w:t>
      </w:r>
    </w:p>
    <w:p>
      <w:pPr>
        <w:numPr>
          <w:ilvl w:val="0"/>
          <w:numId w:val="1089"/>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089"/>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201"/>
    <w:bookmarkStart w:id="209" w:name="ii_desarrollo_7"/>
    <w:p>
      <w:pPr>
        <w:pStyle w:val="Heading5"/>
      </w:pPr>
      <w:r>
        <w:t xml:space="preserve">ii) Desarrollo</w:t>
      </w:r>
    </w:p>
    <w:p>
      <w:pPr>
        <w:numPr>
          <w:ilvl w:val="0"/>
          <w:numId w:val="1090"/>
        </w:numPr>
      </w:pPr>
      <w:r>
        <w:rPr>
          <w:i/>
          <w:iCs/>
        </w:rPr>
        <w:t xml:space="preserve">Problema del monopsonista</w:t>
      </w:r>
      <w:r>
        <w:t xml:space="preserve">:</w:t>
      </w:r>
      <w:r>
        <w:t xml:space="preserve"> </w:t>
      </w:r>
      <w:bookmarkStart w:id="202" w:name="eq_problema_monopsonio"/>
      <w:bookmarkEnd w:id="20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090"/>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bookmarkStart w:id="203" w:name="eq_monopsonio"/>
    <w:bookmarkEnd w:id="203"/>
    <w:p>
      <w:pPr>
        <w:pStyle w:val="Funcionclave"/>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090"/>
        </w:numPr>
      </w:pPr>
      <w:r>
        <w:rPr>
          <w:i/>
          <w:iCs/>
        </w:rPr>
        <w:t xml:space="preserve">Interpretación gráfica</w:t>
      </w:r>
      <w:r>
        <w:t xml:space="preserve"> </w:t>
      </w:r>
      <w:r>
        <w:t xml:space="preserve">(gráfico </w:t>
      </w:r>
      <w:hyperlink w:anchor="fig_monopsonio">
        <w:r>
          <w:rPr>
            <w:rStyle w:val="Hyperlink"/>
          </w:rPr>
          <w:t xml:space="preserve">9</w:t>
        </w:r>
      </w:hyperlink>
      <w:r>
        <w:t xml:space="preserve">):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090"/>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090"/>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hyperlink r:id="rId24">
        <w:r>
          <w:rPr>
            <w:rStyle w:val="Referenciaatema"/>
          </w:rPr>
          <w:t xml:space="preserve">[ver tema 3.A.12]</w:t>
        </w:r>
      </w:hyperlink>
      <w:r>
        <w:t xml:space="preserve">.</w:t>
      </w:r>
    </w:p>
    <w:p>
      <w:pPr>
        <w:numPr>
          <w:ilvl w:val="0"/>
          <w:numId w:val="1090"/>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w:t>
      </w:r>
      <w:hyperlink w:anchor="tab_cuatro_casos">
        <w:r>
          <w:rPr>
            <w:rStyle w:val="Hyperlink"/>
          </w:rPr>
          <w:t xml:space="preserve">3</w:t>
        </w:r>
      </w:hyperlink>
      <w:r>
        <w:t xml:space="preserve">).</w:t>
      </w:r>
    </w:p>
    <w:bookmarkStart w:id="207" w:name="fig_monopsonio"/>
    <w:p>
      <w:pPr>
        <w:pStyle w:val="ImageCaption"/>
      </w:pPr>
      <w:r>
        <w:t xml:space="preserve">Gráfico 9.–</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Gráfico 9.– Monopsonio en el mercado de trabajo: menos empleo y menos salario que en competencia" title="" id="205" name="Picture"/>
            <a:graphic>
              <a:graphicData uri="http://schemas.openxmlformats.org/drawingml/2006/picture">
                <pic:pic>
                  <pic:nvPicPr>
                    <pic:cNvPr descr="C:\Users\vgutierrez\Documents\src\victorgutierrezmarcos.github.io-revision\oposicion\temario\fuentes\3A17\graficos/monopsonio.png" id="206" name="Picture"/>
                    <pic:cNvPicPr>
                      <a:picLocks noChangeArrowheads="1" noChangeAspect="1"/>
                    </pic:cNvPicPr>
                  </pic:nvPicPr>
                  <pic:blipFill>
                    <a:blip r:embed="rId204"/>
                    <a:stretch>
                      <a:fillRect/>
                    </a:stretch>
                  </pic:blipFill>
                  <pic:spPr bwMode="auto">
                    <a:xfrm>
                      <a:off x="0" y="0"/>
                      <a:ext cx="3568912" cy="2449613"/>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Start w:id="208" w:name="tab_cuatro_casos"/>
    <w:p>
      <w:pPr>
        <w:pStyle w:val="TableCaption"/>
      </w:pPr>
      <w:r>
        <w:t xml:space="preserve">Tabla 3.–</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3.– Contratación de trabajo según el poder de mercado de la empresa en el bien y en el factor"/>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vAlign w:val="center"/>
          </w:tcPr>
          <w:p>
            <w:pPr>
              <w:pStyle w:val="Celdatceeazulpalido"/>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208"/>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_Robinson1933Economics">
        <w:r>
          <w:rPr>
            <w:rStyle w:val="Hyperlink"/>
            <w:i/>
            <w:iCs/>
          </w:rPr>
          <w:t xml:space="preserve">1933</w:t>
        </w:r>
      </w:hyperlink>
      <w:r>
        <w:rPr>
          <w:i/>
          <w:iCs/>
        </w:rPr>
        <w:t xml:space="preserve">)</w:t>
      </w:r>
      <w:r>
        <w:rPr>
          <w:i/>
          <w:iCs/>
        </w:rPr>
        <w:t xml:space="preserve">.</w:t>
      </w:r>
    </w:p>
    <w:p>
      <w:pPr>
        <w:numPr>
          <w:ilvl w:val="0"/>
          <w:numId w:val="1091"/>
        </w:numPr>
      </w:pPr>
      <w:r>
        <w:rPr>
          <w:i/>
          <w:iCs/>
        </w:rPr>
        <w:t xml:space="preserve">Lectura de la tabla</w:t>
      </w:r>
      <w:r>
        <w:t xml:space="preserve">: con competencia en los 2 mercados (caso 1), el empleo y el salario son los más altos; con poder en los 2 (caso 4), los más bajos; con poder solo en uno (casos 2 y 3), quedan entre ambos, sin un orden claro entre ellos. 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w:t>
      </w:r>
      <w:hyperlink w:anchor="sec_monopolio_bilateral">
        <w:r>
          <w:rPr>
            <w:rStyle w:val="Hyperlink"/>
          </w:rPr>
          <w:t xml:space="preserve">III.2</w:t>
        </w:r>
      </w:hyperlink>
      <w:r>
        <w:t xml:space="preserve">) o por un salario mínimo superior al competitivo.</w:t>
      </w:r>
    </w:p>
    <w:bookmarkEnd w:id="209"/>
    <w:bookmarkStart w:id="214" w:name="iii_implicaciones_7"/>
    <w:p>
      <w:pPr>
        <w:pStyle w:val="Heading5"/>
      </w:pPr>
      <w:r>
        <w:t xml:space="preserve">iii) Implicaciones</w:t>
      </w:r>
    </w:p>
    <w:p>
      <w:pPr>
        <w:numPr>
          <w:ilvl w:val="0"/>
          <w:numId w:val="1092"/>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092"/>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el trabajador cobra menos que el valor de lo que aporta en el margen.</w:t>
      </w:r>
    </w:p>
    <w:p>
      <w:pPr>
        <w:keepNext/>
        <w:numPr>
          <w:ilvl w:val="0"/>
          <w:numId w:val="1092"/>
        </w:numPr>
      </w:pPr>
      <w:r>
        <w:rPr>
          <w:i/>
          <w:iCs/>
        </w:rPr>
        <w:t xml:space="preserve">Salario mínimo</w:t>
      </w:r>
      <w:r>
        <w:t xml:space="preserve"> </w:t>
      </w:r>
      <w:r>
        <w:t xml:space="preserve">(gráfico </w:t>
      </w:r>
      <w:hyperlink w:anchor="fig_salario_minimo">
        <w:r>
          <w:rPr>
            <w:rStyle w:val="Hyperlink"/>
          </w:rPr>
          <w:t xml:space="preserve">10</w:t>
        </w:r>
      </w:hyperlink>
      <w:r>
        <w:t xml:space="preserve">).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093"/>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093"/>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093"/>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hyperlink r:id="rId34">
        <w:r>
          <w:rPr>
            <w:rStyle w:val="Referenciaatema"/>
          </w:rPr>
          <w:t xml:space="preserve">[ver tema 3.A.25]</w:t>
        </w:r>
      </w:hyperlink>
      <w:r>
        <w:t xml:space="preserve">.</w:t>
      </w:r>
    </w:p>
    <w:bookmarkStart w:id="213" w:name="fig_salario_minimo"/>
    <w:p>
      <w:pPr>
        <w:pStyle w:val="ImageCaption"/>
      </w:pPr>
      <w:r>
        <w:t xml:space="preserve">Gráfico 10.–</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Gráfico 10.– Salario mínimo con monopsonio: el empleo sube hasta w^c y baja por encima" title="" id="211" name="Picture"/>
            <a:graphic>
              <a:graphicData uri="http://schemas.openxmlformats.org/drawingml/2006/picture">
                <pic:pic>
                  <pic:nvPicPr>
                    <pic:cNvPr descr="C:\Users\vgutierrez\Documents\src\victorgutierrezmarcos.github.io-revision\oposicion\temario\fuentes\3A17\graficos/salario-minimo.png" id="212" name="Picture"/>
                    <pic:cNvPicPr>
                      <a:picLocks noChangeArrowheads="1" noChangeAspect="1"/>
                    </pic:cNvPicPr>
                  </pic:nvPicPr>
                  <pic:blipFill>
                    <a:blip r:embed="rId210"/>
                    <a:stretch>
                      <a:fillRect/>
                    </a:stretch>
                  </pic:blipFill>
                  <pic:spPr bwMode="auto">
                    <a:xfrm>
                      <a:off x="0" y="0"/>
                      <a:ext cx="3568912" cy="2633105"/>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End w:id="214"/>
    <w:bookmarkEnd w:id="215"/>
    <w:bookmarkStart w:id="216" w:name="c_extensiones_2"/>
    <w:p>
      <w:pPr>
        <w:pStyle w:val="Heading4"/>
      </w:pPr>
      <w:r>
        <w:t xml:space="preserve">c) Extensiones</w:t>
      </w:r>
    </w:p>
    <w:p>
      <w:pPr>
        <w:numPr>
          <w:ilvl w:val="0"/>
          <w:numId w:val="1094"/>
        </w:numPr>
      </w:pPr>
      <w:r>
        <w:rPr>
          <w:i/>
          <w:iCs/>
        </w:rPr>
        <w:t xml:space="preserve">Monopsonio dinámico</w:t>
      </w:r>
      <w:r>
        <w:t xml:space="preserve"> </w:t>
      </w:r>
      <w:r>
        <w:t xml:space="preserve">(</w:t>
      </w:r>
      <w:hyperlink w:anchor="ref_Manning2003Monopsony">
        <w:r>
          <w:rPr>
            <w:rStyle w:val="Hyperlink"/>
            <w:smallCaps/>
          </w:rPr>
          <w:t xml:space="preserve">Manning</w:t>
        </w:r>
        <w:r>
          <w:rPr>
            <w:rStyle w:val="Hyperlink"/>
          </w:rPr>
          <w:t xml:space="preserve">, 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094"/>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hyperlink r:id="rId32">
        <w:r>
          <w:rPr>
            <w:rStyle w:val="Referenciaatema"/>
          </w:rPr>
          <w:t xml:space="preserve">[ver tema 3.B.39]</w:t>
        </w:r>
      </w:hyperlink>
      <w:r>
        <w:t xml:space="preserve">.</w:t>
      </w:r>
    </w:p>
    <w:bookmarkEnd w:id="216"/>
    <w:bookmarkStart w:id="217" w:name="d_evidencia_emp__rica_2"/>
    <w:p>
      <w:pPr>
        <w:pStyle w:val="Heading4"/>
      </w:pPr>
      <w:r>
        <w:t xml:space="preserve">d) Evidencia empírica</w:t>
      </w:r>
    </w:p>
    <w:p>
      <w:pPr>
        <w:numPr>
          <w:ilvl w:val="0"/>
          <w:numId w:val="1095"/>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_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095"/>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_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_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095"/>
        </w:numPr>
      </w:pPr>
      <w:r>
        <w:t xml:space="preserve">En España, el salario mínimo interprofesional (SMI) de 2026 es de 1.221 euros al mes en 14 pagas (17.094 euros al año), un 3,1 % más que en 2025</w:t>
      </w:r>
      <w:r>
        <w:t xml:space="preserve"> </w:t>
      </w:r>
      <w:r>
        <w:t xml:space="preserve">(</w:t>
      </w:r>
      <w:hyperlink w:anchor="ref_BOE2026SMI">
        <w:r>
          <w:rPr>
            <w:rStyle w:val="Hyperlink"/>
            <w:smallCaps/>
          </w:rPr>
          <w:t xml:space="preserve">Ministerio de Trabajo y Economía Social</w:t>
        </w:r>
        <w:r>
          <w:rPr>
            <w:rStyle w:val="Hyperlink"/>
          </w:rPr>
          <w:t xml:space="preserve">, 2026</w:t>
        </w:r>
      </w:hyperlink>
      <w:r>
        <w:t xml:space="preserve">)</w:t>
      </w:r>
      <w:r>
        <w:t xml:space="preserve">.</w:t>
      </w:r>
    </w:p>
    <w:bookmarkEnd w:id="217"/>
    <w:bookmarkStart w:id="218" w:name="e_valoraci__n_2"/>
    <w:p>
      <w:pPr>
        <w:pStyle w:val="Heading4"/>
      </w:pPr>
      <w:r>
        <w:t xml:space="preserve">e) Valoración</w:t>
      </w:r>
    </w:p>
    <w:p>
      <w:pPr>
        <w:numPr>
          <w:ilvl w:val="0"/>
          <w:numId w:val="1096"/>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218"/>
    <w:bookmarkEnd w:id="219"/>
    <w:bookmarkStart w:id="235" w:name="sec_monopolio_bilateral"/>
    <w:p>
      <w:pPr>
        <w:pStyle w:val="Heading2"/>
      </w:pPr>
      <w:r>
        <w:t xml:space="preserve">III.2.</w:t>
      </w:r>
      <w:r>
        <w:t xml:space="preserve"> </w:t>
      </w:r>
      <w:r>
        <w:t xml:space="preserve">Monopolio bilateral</w:t>
      </w:r>
    </w:p>
    <w:p>
      <w:pPr>
        <w:numPr>
          <w:ilvl w:val="0"/>
          <w:numId w:val="1097"/>
        </w:numPr>
      </w:pPr>
      <w:r>
        <w:t xml:space="preserve">Una vez estudiado el poder del comprador, pasamos al caso en que vendedor y comprador tienen poder a la vez.</w:t>
      </w:r>
    </w:p>
    <w:bookmarkStart w:id="220" w:name="a_idea_8"/>
    <w:p>
      <w:pPr>
        <w:pStyle w:val="Heading4"/>
      </w:pPr>
      <w:r>
        <w:t xml:space="preserve">a) Idea</w:t>
      </w:r>
    </w:p>
    <w:p>
      <w:pPr>
        <w:numPr>
          <w:ilvl w:val="0"/>
          <w:numId w:val="1098"/>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098"/>
        </w:numPr>
      </w:pPr>
      <w:r>
        <w:t xml:space="preserve">Cada uno querría imponer su precio y ninguno es precio-aceptante.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_Fellner1947Prices">
        <w:r>
          <w:rPr>
            <w:rStyle w:val="Hyperlink"/>
            <w:smallCaps/>
          </w:rPr>
          <w:t xml:space="preserve">Fellner</w:t>
        </w:r>
        <w:r>
          <w:rPr>
            <w:rStyle w:val="Hyperlink"/>
          </w:rPr>
          <w:t xml:space="preserve">, 1947</w:t>
        </w:r>
      </w:hyperlink>
      <w:r>
        <w:t xml:space="preserve">)</w:t>
      </w:r>
      <w:r>
        <w:t xml:space="preserve">. Es el mismo problema que</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hyperlink r:id="rId175">
        <w:r>
          <w:rPr>
            <w:rStyle w:val="Referenciaatema"/>
          </w:rPr>
          <w:t xml:space="preserve">[ver tema 3.A.21]</w:t>
        </w:r>
      </w:hyperlink>
      <w:r>
        <w:t xml:space="preserve">.</w:t>
      </w:r>
    </w:p>
    <w:bookmarkEnd w:id="220"/>
    <w:bookmarkStart w:id="229" w:name="b_modelo_8"/>
    <w:p>
      <w:pPr>
        <w:pStyle w:val="Heading4"/>
      </w:pPr>
      <w:r>
        <w:t xml:space="preserve">b) Modelo</w:t>
      </w:r>
    </w:p>
    <w:bookmarkStart w:id="221" w:name="i_supuestos_8"/>
    <w:p>
      <w:pPr>
        <w:pStyle w:val="Heading5"/>
      </w:pPr>
      <w:r>
        <w:t xml:space="preserve">i) Supuestos</w:t>
      </w:r>
    </w:p>
    <w:p>
      <w:pPr>
        <w:numPr>
          <w:ilvl w:val="0"/>
          <w:numId w:val="1099"/>
        </w:numPr>
      </w:pPr>
      <w:r>
        <w:t xml:space="preserve">Los de</w:t>
      </w:r>
      <w:r>
        <w:t xml:space="preserve"> </w:t>
      </w:r>
      <w:hyperlink w:anchor="sec_monopsonio">
        <w:r>
          <w:rPr>
            <w:rStyle w:val="Hyperlink"/>
          </w:rPr>
          <w:t xml:space="preserve">III.1</w:t>
        </w:r>
      </w:hyperlink>
      <w:r>
        <w:t xml:space="preserve">,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099"/>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w:t>
      </w:r>
      <w:r>
        <w:t xml:space="preserve"> </w:t>
      </w:r>
      <w:hyperlink w:anchor="sec_monopsonio">
        <w:r>
          <w:rPr>
            <w:rStyle w:val="Hyperlink"/>
          </w:rPr>
          <w:t xml:space="preserve">III.1</w:t>
        </w:r>
      </w:hyperlink>
      <w:r>
        <w:t xml:space="preserve"> </w:t>
      </w:r>
      <w:r>
        <w:t xml:space="preserve">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221"/>
    <w:bookmarkStart w:id="227" w:name="ii_desarrollo_8"/>
    <w:p>
      <w:pPr>
        <w:pStyle w:val="Heading5"/>
      </w:pPr>
      <w:r>
        <w:t xml:space="preserve">ii) Desarrollo</w:t>
      </w:r>
    </w:p>
    <w:p>
      <w:pPr>
        <w:keepNext/>
        <w:numPr>
          <w:ilvl w:val="0"/>
          <w:numId w:val="1100"/>
        </w:numPr>
      </w:pPr>
      <w:r>
        <w:rPr>
          <w:i/>
          <w:iCs/>
        </w:rPr>
        <w:t xml:space="preserve">Los 2 extremos</w:t>
      </w:r>
      <w:r>
        <w:t xml:space="preserve">, por capas sobre el gráfico del monopsonio (gráfico </w:t>
      </w:r>
      <w:hyperlink w:anchor="fig_monopolio_bilateral">
        <w:r>
          <w:rPr>
            <w:rStyle w:val="Hyperlink"/>
          </w:rPr>
          <w:t xml:space="preserve">11</w:t>
        </w:r>
      </w:hyperlink>
      <w:r>
        <w:t xml:space="preserve">):</w:t>
      </w:r>
    </w:p>
    <w:p>
      <w:pPr>
        <w:numPr>
          <w:ilvl w:val="1"/>
          <w:numId w:val="1101"/>
        </w:numPr>
      </w:pPr>
      <w:r>
        <w:rPr>
          <w:i/>
          <w:iCs/>
        </w:rPr>
        <w:t xml:space="preserve">si manda la empresa</w:t>
      </w:r>
      <w:r>
        <w:t xml:space="preserve">, es la solución de monopsonio de</w:t>
      </w:r>
      <w:r>
        <w:t xml:space="preserve"> </w:t>
      </w:r>
      <w:hyperlink w:anchor="sec_monopsonio">
        <w:r>
          <w:rPr>
            <w:rStyle w:val="Hyperlink"/>
          </w:rPr>
          <w:t xml:space="preserve">III.1</w:t>
        </w:r>
      </w:hyperlink>
      <w:r>
        <w:t xml:space="preserve">:</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01"/>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_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00"/>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_Galbraith1952American">
        <w:r>
          <w:rPr>
            <w:rStyle w:val="Hyperlink"/>
          </w:rPr>
          <w:t xml:space="preserve">1952</w:t>
        </w:r>
      </w:hyperlink>
      <w:r>
        <w:t xml:space="preserve">)</w:t>
      </w:r>
      <w:r>
        <w:t xml:space="preserve">.</w:t>
      </w:r>
    </w:p>
    <w:p>
      <w:pPr>
        <w:numPr>
          <w:ilvl w:val="0"/>
          <w:numId w:val="1100"/>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_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r>
        <w:t xml:space="preserve"> </w:t>
      </w:r>
      <w:bookmarkStart w:id="222" w:name="eq_nash_bilateral"/>
      <w:bookmarkEnd w:id="22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w:t>
      </w:r>
      <w:hyperlink w:anchor="anexo_nash">
        <w:r>
          <w:rPr>
            <w:rStyle w:val="Hyperlink"/>
          </w:rPr>
          <w:t xml:space="preserve">B.9</w:t>
        </w:r>
      </w:hyperlink>
      <w:r>
        <w:t xml:space="preserve">)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00"/>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w:t>
      </w:r>
      <w:hyperlink r:id="rId153">
        <w:r>
          <w:rPr>
            <w:rStyle w:val="Referenciaatema"/>
          </w:rPr>
          <w:t xml:space="preserve">[ver tema 3.A.14]</w:t>
        </w:r>
      </w:hyperlink>
      <w:r>
        <w:t xml:space="preserve">.</w:t>
      </w:r>
    </w:p>
    <w:bookmarkStart w:id="226" w:name="fig_monopolio_bilateral"/>
    <w:p>
      <w:pPr>
        <w:pStyle w:val="ImageCaption"/>
      </w:pPr>
      <w:r>
        <w:t xml:space="preserve">Gráfico 11.–</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Gráfico 11.– Monopolio bilateral sobre el gráfico del monopsonio: los extremos w^M y w^S y la cantidad eficiente" title="" id="224" name="Picture"/>
            <a:graphic>
              <a:graphicData uri="http://schemas.openxmlformats.org/drawingml/2006/picture">
                <pic:pic>
                  <pic:nvPicPr>
                    <pic:cNvPr descr="C:\Users\vgutierrez\Documents\src\victorgutierrezmarcos.github.io-revision\oposicion\temario\fuentes\3A17\graficos/monopolio-bilateral.png" id="225" name="Picture"/>
                    <pic:cNvPicPr>
                      <a:picLocks noChangeArrowheads="1" noChangeAspect="1"/>
                    </pic:cNvPicPr>
                  </pic:nvPicPr>
                  <pic:blipFill>
                    <a:blip r:embed="rId223"/>
                    <a:stretch>
                      <a:fillRect/>
                    </a:stretch>
                  </pic:blipFill>
                  <pic:spPr bwMode="auto">
                    <a:xfrm>
                      <a:off x="0" y="0"/>
                      <a:ext cx="3581400" cy="1972972"/>
                    </a:xfrm>
                    <a:prstGeom prst="rect">
                      <a:avLst/>
                    </a:prstGeom>
                    <a:noFill/>
                    <a:ln w="9525">
                      <a:noFill/>
                      <a:headEnd/>
                      <a:tailEnd/>
                    </a:ln>
                  </pic:spPr>
                </pic:pic>
              </a:graphicData>
            </a:graphic>
          </wp:inline>
        </w:drawing>
      </w:r>
    </w:p>
    <w:bookmarkEnd w:id="226"/>
    <w:p>
      <w:pPr>
        <w:pStyle w:val="Piedeimagen"/>
      </w:pPr>
      <w:r>
        <w:t xml:space="preserve">Fuente: elaboración propia a partir de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w:t>
      </w:r>
    </w:p>
    <w:bookmarkEnd w:id="227"/>
    <w:bookmarkStart w:id="228" w:name="iii_implicaciones_8"/>
    <w:p>
      <w:pPr>
        <w:pStyle w:val="Heading5"/>
      </w:pPr>
      <w:r>
        <w:t xml:space="preserve">iii) Implicaciones</w:t>
      </w:r>
    </w:p>
    <w:p>
      <w:pPr>
        <w:numPr>
          <w:ilvl w:val="0"/>
          <w:numId w:val="1102"/>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02"/>
        </w:numPr>
      </w:pPr>
      <w:r>
        <w:t xml:space="preserve">Hay incentivos a la</w:t>
      </w:r>
      <w:r>
        <w:t xml:space="preserve"> </w:t>
      </w:r>
      <w:r>
        <w:rPr>
          <w:i/>
          <w:iCs/>
        </w:rPr>
        <w:t xml:space="preserve">integración vertical</w:t>
      </w:r>
      <w:r>
        <w:t xml:space="preserve">: una sola empresa elegiría la cantidad eficiente sin negociar</w:t>
      </w:r>
      <w:r>
        <w:t xml:space="preserve"> </w:t>
      </w:r>
      <w:hyperlink r:id="rId25">
        <w:r>
          <w:rPr>
            <w:rStyle w:val="Referenciaatema"/>
          </w:rPr>
          <w:t xml:space="preserve">[ver tema 3.A.15]</w:t>
        </w:r>
      </w:hyperlink>
      <w:r>
        <w:t xml:space="preserve">.</w:t>
      </w:r>
    </w:p>
    <w:bookmarkEnd w:id="228"/>
    <w:bookmarkEnd w:id="229"/>
    <w:bookmarkStart w:id="232" w:name="c_extensiones_3"/>
    <w:p>
      <w:pPr>
        <w:pStyle w:val="Heading4"/>
      </w:pPr>
      <w:r>
        <w:t xml:space="preserve">c) Extensiones</w:t>
      </w:r>
    </w:p>
    <w:p>
      <w:pPr>
        <w:numPr>
          <w:ilvl w:val="0"/>
          <w:numId w:val="1103"/>
        </w:numPr>
      </w:pP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230"/>
      </w:r>
      <w:r>
        <w:t xml:space="preserve"> </w:t>
      </w:r>
      <w:r>
        <w:t xml:space="preserve">La integración, o una tarifa en dos partes entre ellos (</w:t>
      </w:r>
      <w:hyperlink w:anchor="sec_discriminacion_segundo_grado">
        <w:r>
          <w:rPr>
            <w:rStyle w:val="Hyperlink"/>
          </w:rPr>
          <w:t xml:space="preserve">II.1.2</w:t>
        </w:r>
      </w:hyperlink>
      <w:r>
        <w:t xml:space="preserve">), mejora a todos, incluidos los consumidores</w:t>
      </w:r>
      <w:r>
        <w:t xml:space="preserve"> </w:t>
      </w:r>
      <w:hyperlink r:id="rId25">
        <w:r>
          <w:rPr>
            <w:rStyle w:val="Referenciaatema"/>
          </w:rPr>
          <w:t xml:space="preserve">[ver tema 3.A.15]</w:t>
        </w:r>
      </w:hyperlink>
      <w:r>
        <w:t xml:space="preserve">. Es la misma lógica que la de los bienes complementarios del monopolio multiproducto (</w:t>
      </w:r>
      <w:hyperlink w:anchor="sec_monopolio_multiproducto">
        <w:r>
          <w:rPr>
            <w:rStyle w:val="Hyperlink"/>
          </w:rPr>
          <w:t xml:space="preserve">II.3.1</w:t>
        </w:r>
      </w:hyperlink>
      <w:r>
        <w:t xml:space="preserve">).</w:t>
      </w:r>
    </w:p>
    <w:p>
      <w:pPr>
        <w:numPr>
          <w:ilvl w:val="0"/>
          <w:numId w:val="1103"/>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_McDonaldSolow1981Wage">
        <w:r>
          <w:rPr>
            <w:rStyle w:val="Hyperlink"/>
          </w:rPr>
          <w:t xml:space="preserve">1981</w:t>
        </w:r>
      </w:hyperlink>
      <w:r>
        <w:t xml:space="preserve">)</w:t>
      </w:r>
      <w:r>
        <w:t xml:space="preserve"> </w:t>
      </w:r>
      <w:hyperlink r:id="rId231">
        <w:r>
          <w:rPr>
            <w:rStyle w:val="Referenciaatema"/>
          </w:rPr>
          <w:t xml:space="preserve">[ver tema 3.A.27]</w:t>
        </w:r>
      </w:hyperlink>
      <w:r>
        <w:t xml:space="preserve">.</w:t>
      </w:r>
    </w:p>
    <w:bookmarkEnd w:id="232"/>
    <w:bookmarkStart w:id="233" w:name="d_evidencia_emp__rica_3"/>
    <w:p>
      <w:pPr>
        <w:pStyle w:val="Heading4"/>
      </w:pPr>
      <w:r>
        <w:t xml:space="preserve">d) Evidencia empírica</w:t>
      </w:r>
    </w:p>
    <w:p>
      <w:pPr>
        <w:numPr>
          <w:ilvl w:val="0"/>
          <w:numId w:val="1104"/>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233"/>
    <w:bookmarkStart w:id="234" w:name="e_valoraci__n_3"/>
    <w:p>
      <w:pPr>
        <w:pStyle w:val="Heading4"/>
      </w:pPr>
      <w:r>
        <w:t xml:space="preserve">e) Valoración</w:t>
      </w:r>
    </w:p>
    <w:p>
      <w:pPr>
        <w:numPr>
          <w:ilvl w:val="0"/>
          <w:numId w:val="1105"/>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05"/>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34"/>
    <w:bookmarkEnd w:id="235"/>
    <w:bookmarkEnd w:id="236"/>
    <w:bookmarkStart w:id="237" w:name="conclusi__n"/>
    <w:p>
      <w:pPr>
        <w:pStyle w:val="Heading1"/>
      </w:pPr>
      <w:r>
        <w:t xml:space="preserve">Conclusión</w:t>
      </w:r>
      <w:r>
        <w:t xml:space="preserve"> </w:t>
      </w:r>
      <w:r>
        <w:rPr>
          <w:rStyle w:val="Minutos"/>
        </w:rPr>
        <w:t xml:space="preserve">1′</w:t>
      </w:r>
    </w:p>
    <w:p>
      <w:pPr>
        <w:keepNext/>
        <w:numPr>
          <w:ilvl w:val="0"/>
          <w:numId w:val="1106"/>
        </w:numPr>
      </w:pPr>
      <w:r>
        <w:rPr>
          <w:b/>
          <w:bCs/>
          <w:i/>
          <w:iCs/>
        </w:rPr>
        <w:t xml:space="preserve">Recapitulación (ideas clave)</w:t>
      </w:r>
      <w:r>
        <w:t xml:space="preserve">:</w:t>
      </w:r>
    </w:p>
    <w:p>
      <w:pPr>
        <w:numPr>
          <w:ilvl w:val="1"/>
          <w:numId w:val="1107"/>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w:t>
      </w:r>
      <w:hyperlink w:anchor="sec_teoria_monopolio_equilibrio">
        <w:r>
          <w:rPr>
            <w:rStyle w:val="Hyperlink"/>
          </w:rPr>
          <w:t xml:space="preserve">I</w:t>
        </w:r>
      </w:hyperlink>
      <w:r>
        <w:t xml:space="preserve">).</w:t>
      </w:r>
    </w:p>
    <w:p>
      <w:pPr>
        <w:numPr>
          <w:ilvl w:val="1"/>
          <w:numId w:val="1107"/>
        </w:numPr>
      </w:pPr>
      <w:r>
        <w:t xml:space="preserve">Los desarrollos adaptan esa misma regla y pueden cambiar el juicio de bienestar (</w:t>
      </w:r>
      <w:hyperlink w:anchor="sec_desarrollos_teoria_monopolio">
        <w:r>
          <w:rPr>
            <w:rStyle w:val="Hyperlink"/>
          </w:rPr>
          <w:t xml:space="preserve">II</w:t>
        </w:r>
      </w:hyperlink>
      <w:r>
        <w:t xml:space="preserve">): si discrimina, extrae más excedente (todo en el primer grado, con renta informativa y distorsión abajo en el segundo, con efectos ambiguos en el tercero); 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 y con varios bienes o plantas internaliza sus relaciones de demanda y de costes.</w:t>
      </w:r>
    </w:p>
    <w:p>
      <w:pPr>
        <w:numPr>
          <w:ilvl w:val="1"/>
          <w:numId w:val="1107"/>
        </w:numPr>
      </w:pPr>
      <w:r>
        <w:t xml:space="preserve">En el mercado de factores, el monopsonio es su espejo: contrata menos y paga menos de lo que vale el trabajo, sin paro involuntario; y con poder en los 2 lados el resultado lo decide la negociación (</w:t>
      </w:r>
      <w:hyperlink w:anchor="sec_otras_estructuras_mercado">
        <w:r>
          <w:rPr>
            <w:rStyle w:val="Hyperlink"/>
          </w:rPr>
          <w:t xml:space="preserve">III</w:t>
        </w:r>
      </w:hyperlink>
      <w:r>
        <w:t xml:space="preserve">).</w:t>
      </w:r>
    </w:p>
    <w:p>
      <w:pPr>
        <w:numPr>
          <w:ilvl w:val="0"/>
          <w:numId w:val="1106"/>
        </w:numPr>
      </w:pPr>
      <w:r>
        <w:rPr>
          <w:b/>
          <w:bCs/>
          <w:i/>
          <w:iCs/>
        </w:rPr>
        <w:t xml:space="preserve">Relevancia</w:t>
      </w:r>
      <w:r>
        <w:t xml:space="preserve">: es la base teórica de la defensa de la competencia</w:t>
      </w:r>
      <w:r>
        <w:t xml:space="preserve"> </w:t>
      </w:r>
      <w:hyperlink r:id="rId32">
        <w:r>
          <w:rPr>
            <w:rStyle w:val="Referenciaatema"/>
          </w:rPr>
          <w:t xml:space="preserve">[ver tema 3.B.39]</w:t>
        </w:r>
      </w:hyperlink>
      <w:r>
        <w:t xml:space="preserve">, de la regulación de las industrias de red</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 El poder de mercado ha vuelto al centro del debate con la evidencia de márgenes crecientes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w:t>
      </w:r>
      <w:r>
        <w:t xml:space="preserve">y de su relación con el estancamiento de los salarios</w:t>
      </w:r>
      <w:r>
        <w:t xml:space="preserve"> </w:t>
      </w:r>
      <w:r>
        <w:t xml:space="preserve">(</w:t>
      </w:r>
      <w:hyperlink w:anchor="ref_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numPr>
          <w:ilvl w:val="0"/>
          <w:numId w:val="1106"/>
        </w:numPr>
      </w:pPr>
      <w:r>
        <w:rPr>
          <w:b/>
          <w:bCs/>
          <w:i/>
          <w:iCs/>
        </w:rPr>
        <w:t xml:space="preserve">Extensiones y relación con otras partes del temario</w:t>
      </w:r>
      <w:r>
        <w:t xml:space="preserve">: entre los 2 polos están la competencia monopolística</w:t>
      </w:r>
      <w:r>
        <w:t xml:space="preserve"> </w:t>
      </w:r>
      <w:hyperlink r:id="rId27">
        <w:r>
          <w:rPr>
            <w:rStyle w:val="Referenciaatema"/>
          </w:rPr>
          <w:t xml:space="preserve">[ver tema 3.A.18]</w:t>
        </w:r>
      </w:hyperlink>
      <w:r>
        <w:t xml:space="preserve"> </w:t>
      </w:r>
      <w:r>
        <w:t xml:space="preserve">y el oligopolio</w:t>
      </w:r>
      <w:r>
        <w:t xml:space="preserve"> </w:t>
      </w:r>
      <w:hyperlink r:id="rId28">
        <w:r>
          <w:rPr>
            <w:rStyle w:val="Referenciaatema"/>
          </w:rPr>
          <w:t xml:space="preserve">[ver tema 3.A.19]</w:t>
        </w:r>
      </w:hyperlink>
      <w:r>
        <w:t xml:space="preserve">; las barreras de entrada y la amenaza de entrada, que puede disciplinar al monopolista, en la teoría de la empresa</w:t>
      </w:r>
      <w:r>
        <w:t xml:space="preserve"> </w:t>
      </w:r>
      <w:hyperlink r:id="rId25">
        <w:r>
          <w:rPr>
            <w:rStyle w:val="Referenciaatema"/>
          </w:rPr>
          <w:t xml:space="preserve">[ver tema 3.A.15]</w:t>
        </w:r>
      </w:hyperlink>
      <w:r>
        <w:t xml:space="preserve">; la regulación con información asimétrica y la definición del mercado relevante</w:t>
      </w:r>
      <w:r>
        <w:t xml:space="preserve"> </w:t>
      </w:r>
      <w:hyperlink r:id="rId33">
        <w:r>
          <w:rPr>
            <w:rStyle w:val="Referenciaatema"/>
          </w:rPr>
          <w:t xml:space="preserve">[ver tema 3.A.20]</w:t>
        </w:r>
      </w:hyperlink>
      <w:r>
        <w:t xml:space="preserve">; los fallos del sector público</w:t>
      </w:r>
      <w:r>
        <w:t xml:space="preserve"> </w:t>
      </w:r>
      <w:hyperlink r:id="rId97">
        <w:r>
          <w:rPr>
            <w:rStyle w:val="Referenciaatema"/>
          </w:rPr>
          <w:t xml:space="preserve">[ver tema 3.A.23]</w:t>
        </w:r>
      </w:hyperlink>
      <w:r>
        <w:t xml:space="preserve">; la negociación, en la teoría de juegos</w:t>
      </w:r>
      <w:r>
        <w:t xml:space="preserve"> </w:t>
      </w:r>
      <w:hyperlink r:id="rId153">
        <w:r>
          <w:rPr>
            <w:rStyle w:val="Referenciaatema"/>
          </w:rPr>
          <w:t xml:space="preserve">[ver tema 3.A.14]</w:t>
        </w:r>
      </w:hyperlink>
      <w:r>
        <w:t xml:space="preserve">, y la negociación salarial</w:t>
      </w:r>
      <w:r>
        <w:t xml:space="preserve"> </w:t>
      </w:r>
      <w:hyperlink r:id="rId231">
        <w:r>
          <w:rPr>
            <w:rStyle w:val="Referenciaatema"/>
          </w:rPr>
          <w:t xml:space="preserve">[ver tema 3.A.27]</w:t>
        </w:r>
      </w:hyperlink>
      <w:r>
        <w:t xml:space="preserve">.</w:t>
      </w:r>
    </w:p>
    <w:p>
      <w:pPr>
        <w:numPr>
          <w:ilvl w:val="0"/>
          <w:numId w:val="1106"/>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 defensa de la competencia frente a las conductas, regulación con incentivos frente a los monopolios naturales y atención al poder de compra en el mercado de trabajo.</w:t>
      </w:r>
    </w:p>
    <w:p>
      <w:pPr>
        <w:numPr>
          <w:ilvl w:val="0"/>
          <w:numId w:val="1106"/>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7"/>
    <w:bookmarkStart w:id="299" w:name="anexo_regulacion"/>
    <w:p>
      <w:pPr>
        <w:pStyle w:val="Heading1"/>
      </w:pPr>
      <w:r>
        <w:t xml:space="preserve">A. Anexo: regulación y control del monopolio</w:t>
      </w:r>
    </w:p>
    <w:p>
      <w:pPr>
        <w:pStyle w:val="Notaalopositor"/>
      </w:pPr>
      <w:r>
        <w:rPr>
          <w:b/>
          <w:bCs/>
        </w:rPr>
        <w:t xml:space="preserve">Nota al opositor. </w:t>
      </w:r>
      <w:r>
        <w:t xml:space="preserve">Con el título actual, la regulación y el control del poder de mercado son materia de otro tema</w:t>
      </w:r>
      <w:r>
        <w:t xml:space="preserve"> </w:t>
      </w:r>
      <w:hyperlink r:id="rId33">
        <w:r>
          <w:rPr>
            <w:rStyle w:val="Referenciaatema"/>
          </w:rPr>
          <w:t xml:space="preserve">[ver tema 3.A.20]</w:t>
        </w:r>
      </w:hyperlink>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w:t>
      </w:r>
      <w:r>
        <w:t xml:space="preserve"> </w:t>
      </w:r>
      <w:hyperlink w:anchor="sec_monopolio_natural">
        <w:r>
          <w:rPr>
            <w:rStyle w:val="Hyperlink"/>
          </w:rPr>
          <w:t xml:space="preserve">II.2</w:t>
        </w:r>
      </w:hyperlink>
      <w:r>
        <w:t xml:space="preserve">, para las preguntas del tribunal. En el cante basta la regulación básica de</w:t>
      </w:r>
      <w:r>
        <w:t xml:space="preserve"> </w:t>
      </w:r>
      <w:hyperlink w:anchor="sec_regulacion_monopolio_natural">
        <w:r>
          <w:rPr>
            <w:rStyle w:val="Hyperlink"/>
          </w:rPr>
          <w:t xml:space="preserve">II.2.3</w:t>
        </w:r>
      </w:hyperlink>
      <w:r>
        <w:t xml:space="preserve"> </w:t>
      </w:r>
      <w:r>
        <w:t xml:space="preserve">y una frase de remisión.</w:t>
      </w:r>
    </w:p>
    <w:bookmarkStart w:id="240" w:name="anexo_idea_justificacion"/>
    <w:p>
      <w:pPr>
        <w:pStyle w:val="Heading2"/>
      </w:pPr>
      <w:r>
        <w:t xml:space="preserve">A.1. Idea y justificación</w:t>
      </w:r>
    </w:p>
    <w:p>
      <w:pPr>
        <w:numPr>
          <w:ilvl w:val="0"/>
          <w:numId w:val="1108"/>
        </w:numPr>
      </w:pPr>
      <w:r>
        <w:t xml:space="preserve">El monopolio suele generar una ineficiencia respecto a la competencia perfecta (</w:t>
      </w:r>
      <w:hyperlink w:anchor="sec_analisis_eficiencia_bienestar">
        <w:r>
          <w:rPr>
            <w:rStyle w:val="Hyperlink"/>
          </w:rPr>
          <w:t xml:space="preserve">I.3</w:t>
        </w:r>
      </w:hyperlink>
      <w:r>
        <w:t xml:space="preserve">),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08"/>
        </w:numPr>
      </w:pPr>
      <w:r>
        <w:t xml:space="preserve">Su justificación parte de que un monopolio natural puede ser, en ciertos contextos, más eficiente que un mercado con varias empresas (</w:t>
      </w:r>
      <w:hyperlink w:anchor="sec_monopolio_natural">
        <w:r>
          <w:rPr>
            <w:rStyle w:val="Hyperlink"/>
          </w:rPr>
          <w:t xml:space="preserve">II.2</w:t>
        </w:r>
      </w:hyperlink>
      <w:r>
        <w:t xml:space="preserve">). Pero varios factores lo alejan del óptimo: ineficiencia, menor calidad, menor producción. Y hay críticas a la regulación: puede usarse en beneficio de los propios regulados y perpetuar su posición.</w:t>
      </w:r>
    </w:p>
    <w:p>
      <w:pPr>
        <w:keepNext/>
        <w:numPr>
          <w:ilvl w:val="0"/>
          <w:numId w:val="1108"/>
        </w:numPr>
      </w:pPr>
      <w:r>
        <w:t xml:space="preserve">Los modelos de la teoría de la regulación pueden clasificarse así:</w:t>
      </w:r>
    </w:p>
    <w:p>
      <w:pPr>
        <w:numPr>
          <w:ilvl w:val="1"/>
          <w:numId w:val="1109"/>
        </w:numPr>
      </w:pPr>
      <w:r>
        <w:rPr>
          <w:b/>
          <w:bCs/>
        </w:rPr>
        <w:t xml:space="preserve">teoría tradicional</w:t>
      </w:r>
      <w:r>
        <w:t xml:space="preserve">: el regulador solo busca el bienestar social y tiene información completa, así que no hay comportamiento estratégico (</w:t>
      </w:r>
      <w:hyperlink w:anchor="anexo_teoria_tradicional_regulacion">
        <w:r>
          <w:rPr>
            <w:rStyle w:val="Hyperlink"/>
          </w:rPr>
          <w:t xml:space="preserve">A.2</w:t>
        </w:r>
      </w:hyperlink>
      <w:r>
        <w:t xml:space="preserve">);</w:t>
      </w:r>
    </w:p>
    <w:p>
      <w:pPr>
        <w:keepNext/>
        <w:numPr>
          <w:ilvl w:val="1"/>
          <w:numId w:val="1109"/>
        </w:numPr>
      </w:pPr>
      <w:r>
        <w:rPr>
          <w:b/>
          <w:bCs/>
        </w:rPr>
        <w:t xml:space="preserve">nueva teoría de la regulación</w:t>
      </w:r>
      <w:r>
        <w:t xml:space="preserve">, que levanta esos supuestos por 2 vías:</w:t>
      </w:r>
    </w:p>
    <w:p>
      <w:pPr>
        <w:numPr>
          <w:ilvl w:val="2"/>
          <w:numId w:val="1110"/>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w:t>
      </w:r>
      <w:hyperlink w:anchor="anexo_nueva_teoria_regulacion">
        <w:r>
          <w:rPr>
            <w:rStyle w:val="Hyperlink"/>
          </w:rPr>
          <w:t xml:space="preserve">A.3</w:t>
        </w:r>
      </w:hyperlink>
      <w:r>
        <w:t xml:space="preserve">);</w:t>
      </w:r>
      <w:r>
        <w:rPr>
          <w:rStyle w:val="FootnoteReference"/>
        </w:rPr>
        <w:footnoteReference w:id="238"/>
      </w:r>
    </w:p>
    <w:p>
      <w:pPr>
        <w:numPr>
          <w:ilvl w:val="2"/>
          <w:numId w:val="1110"/>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w:t>
      </w:r>
      <w:hyperlink w:anchor="anexo_teoria_positiva_regulacion">
        <w:r>
          <w:rPr>
            <w:rStyle w:val="Hyperlink"/>
          </w:rPr>
          <w:t xml:space="preserve">A.4</w:t>
        </w:r>
      </w:hyperlink>
      <w:r>
        <w:t xml:space="preserve">).</w:t>
      </w:r>
      <w:r>
        <w:rPr>
          <w:rStyle w:val="FootnoteReference"/>
        </w:rPr>
        <w:footnoteReference w:id="239"/>
      </w:r>
    </w:p>
    <w:bookmarkEnd w:id="240"/>
    <w:bookmarkStart w:id="265" w:name="anexo_teoria_tradicional_regulacion"/>
    <w:p>
      <w:pPr>
        <w:pStyle w:val="Heading2"/>
      </w:pPr>
      <w:r>
        <w:t xml:space="preserve">A.2. Teoría tradicional de la regulación</w:t>
      </w:r>
    </w:p>
    <w:bookmarkStart w:id="241" w:name="anexo_idea"/>
    <w:p>
      <w:pPr>
        <w:pStyle w:val="Heading3"/>
      </w:pPr>
      <w:r>
        <w:t xml:space="preserve">III.2.1.</w:t>
      </w:r>
      <w:r>
        <w:t xml:space="preserve"> </w:t>
      </w:r>
      <w:r>
        <w:t xml:space="preserve">Idea</w:t>
      </w:r>
    </w:p>
    <w:p>
      <w:pPr>
        <w:numPr>
          <w:ilvl w:val="0"/>
          <w:numId w:val="1111"/>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41"/>
    <w:bookmarkStart w:id="263" w:name="anexo_desarrollo_esquema_etapas"/>
    <w:p>
      <w:pPr>
        <w:pStyle w:val="Heading3"/>
      </w:pPr>
      <w:r>
        <w:t xml:space="preserve">III.2.2.</w:t>
      </w:r>
      <w:r>
        <w:t xml:space="preserve"> </w:t>
      </w:r>
      <w:r>
        <w:t xml:space="preserve">Desarrollo: un esquema por etapas</w:t>
      </w:r>
    </w:p>
    <w:p>
      <w:pPr>
        <w:numPr>
          <w:ilvl w:val="0"/>
          <w:numId w:val="1112"/>
        </w:numPr>
      </w:pP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w:t>
      </w:r>
      <w:hyperlink w:anchor="fig_algoritmo_regulacion">
        <w:r>
          <w:rPr>
            <w:rStyle w:val="Hyperlink"/>
          </w:rPr>
          <w:t xml:space="preserve">12</w:t>
        </w:r>
      </w:hyperlink>
      <w:r>
        <w:t xml:space="preserve">). Lo completamos con una rama para cuando el regulador no conoce los costes y la demanda.</w:t>
      </w:r>
    </w:p>
    <w:bookmarkStart w:id="245" w:name="fig_algoritmo_regulacion"/>
    <w:p>
      <w:pPr>
        <w:pStyle w:val="ImageCaption"/>
      </w:pPr>
      <w:r>
        <w:t xml:space="preserve">Gráfico 12.–</w:t>
      </w:r>
      <w:r>
        <w:t xml:space="preserve"> </w:t>
      </w:r>
      <w:r>
        <w:t xml:space="preserve">Esquema por etapas para la regulación del poder de mercado</w:t>
      </w:r>
    </w:p>
    <w:p>
      <w:pPr>
        <w:pStyle w:val="CaptionedFigure"/>
      </w:pPr>
      <w:r>
        <w:drawing>
          <wp:inline>
            <wp:extent cx="5372100" cy="3570181"/>
            <wp:effectExtent b="0" l="0" r="0" t="0"/>
            <wp:docPr descr="Gráfico 12.– Esquema por etapas para la regulación del poder de mercado" title="" id="243" name="Picture"/>
            <a:graphic>
              <a:graphicData uri="http://schemas.openxmlformats.org/drawingml/2006/picture">
                <pic:pic>
                  <pic:nvPicPr>
                    <pic:cNvPr descr="C:\Users\vgutierrez\Documents\src\victorgutierrezmarcos.github.io-revision\oposicion\temario\fuentes\3A17\graficos/algoritmo-regulacion.png" id="244" name="Picture"/>
                    <pic:cNvPicPr>
                      <a:picLocks noChangeArrowheads="1" noChangeAspect="1"/>
                    </pic:cNvPicPr>
                  </pic:nvPicPr>
                  <pic:blipFill>
                    <a:blip r:embed="rId242"/>
                    <a:stretch>
                      <a:fillRect/>
                    </a:stretch>
                  </pic:blipFill>
                  <pic:spPr bwMode="auto">
                    <a:xfrm>
                      <a:off x="0" y="0"/>
                      <a:ext cx="5372100" cy="3570181"/>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Start w:id="247" w:name="tipo_de_regulaci__n_seg__n_el_orig_95905"/>
    <w:p>
      <w:pPr>
        <w:pStyle w:val="Heading4"/>
      </w:pPr>
      <w:r>
        <w:t xml:space="preserve">Tipo de regulación según el origen del poder de mercado</w:t>
      </w:r>
    </w:p>
    <w:p>
      <w:pPr>
        <w:keepNext/>
        <w:numPr>
          <w:ilvl w:val="0"/>
          <w:numId w:val="1113"/>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46"/>
      </w:r>
      <w:r>
        <w:t xml:space="preserve"> </w:t>
      </w:r>
      <w:r>
        <w:t xml:space="preserve">Esta intervención debe guiarse por 2 principios:</w:t>
      </w:r>
    </w:p>
    <w:p>
      <w:pPr>
        <w:numPr>
          <w:ilvl w:val="1"/>
          <w:numId w:val="1114"/>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hyperlink r:id="rId25">
        <w:r>
          <w:rPr>
            <w:rStyle w:val="Referenciaatema"/>
          </w:rPr>
          <w:t xml:space="preserve">[ver tema 3.A.15]</w:t>
        </w:r>
      </w:hyperlink>
      <w:r>
        <w:t xml:space="preserve">;</w:t>
      </w:r>
    </w:p>
    <w:p>
      <w:pPr>
        <w:numPr>
          <w:ilvl w:val="1"/>
          <w:numId w:val="1114"/>
        </w:numPr>
      </w:pPr>
      <w:r>
        <w:t xml:space="preserve">partir de la teoría de los mercados impugnables (contestables)</w:t>
      </w:r>
      <w:r>
        <w:t xml:space="preserve"> </w:t>
      </w:r>
      <w:r>
        <w:t xml:space="preserve">(</w:t>
      </w:r>
      <w:hyperlink w:anchor="ref_Baumol1982Contestable">
        <w:r>
          <w:rPr>
            <w:rStyle w:val="Hyperlink"/>
            <w:smallCaps/>
          </w:rPr>
          <w:t xml:space="preserve">Baumol</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p>
      <w:pPr>
        <w:numPr>
          <w:ilvl w:val="0"/>
          <w:numId w:val="1113"/>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13"/>
        </w:numPr>
      </w:pPr>
      <w:r>
        <w:rPr>
          <w:i/>
          <w:iCs/>
        </w:rPr>
        <w:t xml:space="preserve">Estrechez del mercado</w:t>
      </w:r>
      <w:r>
        <w:t xml:space="preserve">: la estructura de costes y la demanda hacen óptimo concentrar la producción en una sola empresa, es decir, hay subaditividad de costes: es un monopolio natural (</w:t>
      </w:r>
      <w:hyperlink w:anchor="sec_monopolio_natural">
        <w:r>
          <w:rPr>
            <w:rStyle w:val="Hyperlink"/>
          </w:rPr>
          <w:t xml:space="preserve">II.2</w:t>
        </w:r>
      </w:hyperlink>
      <w:r>
        <w:t xml:space="preserve">). Lo primero es saber si es sostenible.</w:t>
      </w:r>
    </w:p>
    <w:bookmarkEnd w:id="247"/>
    <w:bookmarkStart w:id="252" w:name="monopolio_natural_no_sostenible_co_85295"/>
    <w:p>
      <w:pPr>
        <w:pStyle w:val="Heading4"/>
      </w:pPr>
      <w:r>
        <w:t xml:space="preserve">Monopolio natural no sostenible: competencia por el mercado</w:t>
      </w:r>
    </w:p>
    <w:p>
      <w:pPr>
        <w:numPr>
          <w:ilvl w:val="0"/>
          <w:numId w:val="1115"/>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48"/>
      </w:r>
    </w:p>
    <w:p>
      <w:pPr>
        <w:keepNext/>
        <w:numPr>
          <w:ilvl w:val="0"/>
          <w:numId w:val="1115"/>
        </w:numPr>
      </w:pPr>
      <w:r>
        <w:t xml:space="preserve">La idea de</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w:t>
      </w:r>
      <w:r>
        <w:rPr>
          <w:rStyle w:val="FootnoteReference"/>
        </w:rPr>
        <w:footnoteReference w:id="249"/>
      </w:r>
      <w:r>
        <w:t xml:space="preserve"> </w:t>
      </w:r>
      <w:r>
        <w:t xml:space="preserve">Problemas:</w:t>
      </w:r>
    </w:p>
    <w:p>
      <w:pPr>
        <w:numPr>
          <w:ilvl w:val="1"/>
          <w:numId w:val="1116"/>
        </w:numPr>
      </w:pPr>
      <w:r>
        <w:t xml:space="preserve">la posible</w:t>
      </w:r>
      <w:r>
        <w:t xml:space="preserve"> </w:t>
      </w:r>
      <w:r>
        <w:rPr>
          <w:i/>
          <w:iCs/>
        </w:rPr>
        <w:t xml:space="preserve">colusión</w:t>
      </w:r>
      <w:r>
        <w:t xml:space="preserve"> </w:t>
      </w:r>
      <w:r>
        <w:t xml:space="preserve">entre los licitantes;</w:t>
      </w:r>
    </w:p>
    <w:p>
      <w:pPr>
        <w:numPr>
          <w:ilvl w:val="1"/>
          <w:numId w:val="1116"/>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50"/>
      </w:r>
    </w:p>
    <w:p>
      <w:pPr>
        <w:numPr>
          <w:ilvl w:val="1"/>
          <w:numId w:val="1116"/>
        </w:numPr>
      </w:pPr>
      <w:r>
        <w:t xml:space="preserve">la</w:t>
      </w:r>
      <w:r>
        <w:t xml:space="preserve"> </w:t>
      </w:r>
      <w:r>
        <w:rPr>
          <w:i/>
          <w:iCs/>
        </w:rPr>
        <w:t xml:space="preserve">duración</w:t>
      </w:r>
      <w:r>
        <w:t xml:space="preserve"> </w:t>
      </w:r>
      <w:r>
        <w:t xml:space="preserve">de la concesión;</w:t>
      </w:r>
      <w:r>
        <w:rPr>
          <w:rStyle w:val="FootnoteReference"/>
        </w:rPr>
        <w:footnoteReference w:id="251"/>
      </w:r>
    </w:p>
    <w:p>
      <w:pPr>
        <w:numPr>
          <w:ilvl w:val="1"/>
          <w:numId w:val="1116"/>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_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52"/>
    <w:bookmarkStart w:id="262" w:name="monopolio_natural_sostenible_efici_67976"/>
    <w:p>
      <w:pPr>
        <w:pStyle w:val="Heading4"/>
      </w:pPr>
      <w:r>
        <w:t xml:space="preserve">Monopolio natural sostenible: eficiencia asignativa frente a viabilidad financiera</w:t>
      </w:r>
    </w:p>
    <w:p>
      <w:pPr>
        <w:numPr>
          <w:ilvl w:val="0"/>
          <w:numId w:val="1117"/>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17"/>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w:t>
      </w:r>
      <w:hyperlink w:anchor="sec_regulacion_monopolio_natural">
        <w:r>
          <w:rPr>
            <w:rStyle w:val="Hyperlink"/>
          </w:rPr>
          <w:t xml:space="preserve">II.2.3</w:t>
        </w:r>
      </w:hyperlink>
      <w:r>
        <w:t xml:space="preserve">).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w:t>
      </w:r>
      <w:hyperlink w:anchor="fig_pcmg_beneficios">
        <w:r>
          <w:rPr>
            <w:rStyle w:val="Hyperlink"/>
          </w:rPr>
          <w:t xml:space="preserve">13</w:t>
        </w:r>
      </w:hyperlink>
      <w:r>
        <w:t xml:space="preserve">),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56" w:name="fig_pcmg_beneficios"/>
    <w:p>
      <w:pPr>
        <w:pStyle w:val="ImageCaption"/>
      </w:pPr>
      <w:r>
        <w:t xml:space="preserve">Gráfico 13.–</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Gráfico 13.– Precio igual al coste marginal en el tramo creciente del coste medio: beneficios que se pueden gravar" title="" id="254" name="Picture"/>
            <a:graphic>
              <a:graphicData uri="http://schemas.openxmlformats.org/drawingml/2006/picture">
                <pic:pic>
                  <pic:nvPicPr>
                    <pic:cNvPr descr="C:\Users\vgutierrez\Documents\src\victorgutierrezmarcos.github.io-revision\oposicion\temario\fuentes\3A17\graficos/pcmg-beneficios.png" id="255" name="Picture"/>
                    <pic:cNvPicPr>
                      <a:picLocks noChangeArrowheads="1" noChangeAspect="1"/>
                    </pic:cNvPicPr>
                  </pic:nvPicPr>
                  <pic:blipFill>
                    <a:blip r:embed="rId253"/>
                    <a:stretch>
                      <a:fillRect/>
                    </a:stretch>
                  </pic:blipFill>
                  <pic:spPr bwMode="auto">
                    <a:xfrm>
                      <a:off x="0" y="0"/>
                      <a:ext cx="2984500" cy="2282419"/>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p>
      <w:pPr>
        <w:keepNext/>
        <w:numPr>
          <w:ilvl w:val="0"/>
          <w:numId w:val="1118"/>
        </w:numPr>
      </w:pPr>
      <w:r>
        <w:rPr>
          <w:b/>
          <w:bCs/>
        </w:rPr>
        <w:t xml:space="preserve">Segundos óptimos</w:t>
      </w:r>
      <w:r>
        <w:t xml:space="preserve">. Ante la imposibilidad de asegurar la eficiencia asignativa sin subvención, buscan eliminar los beneficios extraordinarios:</w:t>
      </w:r>
    </w:p>
    <w:p>
      <w:pPr>
        <w:numPr>
          <w:ilvl w:val="1"/>
          <w:numId w:val="1119"/>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numPr>
          <w:ilvl w:val="1"/>
          <w:numId w:val="1119"/>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w:t>
      </w:r>
      <w:hyperlink w:anchor="sec_regulacion_monopolio_natural">
        <w:r>
          <w:rPr>
            <w:rStyle w:val="Hyperlink"/>
          </w:rPr>
          <w:t xml:space="preserve">II.2.3</w:t>
        </w:r>
      </w:hyperlink>
      <w:r>
        <w:t xml:space="preserve">). Tiene 2 problemas: supone que la demanda de acceso no depende de la cuota, cuando es previsible cierta sensibilidad, y, si la cuota es alta, puede expulsar a los consumidores de menos renta. Una solución es que la cuota sea distinta para consumidores distintos, por ejemplo según su renta: los de menos renta pagarían cuotas más bajas, compensadas con cuotas mayores al resto (</w:t>
      </w:r>
      <w:hyperlink w:anchor="sec_regulacion_monopolio_natural">
        <w:r>
          <w:rPr>
            <w:rStyle w:val="Hyperlink"/>
          </w:rPr>
          <w:t xml:space="preserve">II.2.3</w:t>
        </w:r>
      </w:hyperlink>
      <w:r>
        <w:t xml:space="preserve">).</w:t>
      </w:r>
    </w:p>
    <w:p>
      <w:pPr>
        <w:numPr>
          <w:ilvl w:val="1"/>
          <w:numId w:val="1119"/>
        </w:numPr>
      </w:pPr>
      <w:r>
        <w:rPr>
          <w:i/>
          <w:iCs/>
        </w:rPr>
        <w:t xml:space="preserve">Tarifas de punta y valle</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w:t>
      </w:r>
      <w:hyperlink w:anchor="fig_pico_valle">
        <w:r>
          <w:rPr>
            <w:rStyle w:val="Hyperlink"/>
          </w:rPr>
          <w:t xml:space="preserve">14</w:t>
        </w:r>
      </w:hyperlink>
      <w:r>
        <w:t xml:space="preserve">).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57"/>
      </w:r>
    </w:p>
    <w:p>
      <w:pPr>
        <w:numPr>
          <w:ilvl w:val="1"/>
          <w:numId w:val="1119"/>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w:t>
      </w:r>
      <w:hyperlink w:anchor="sec_regulacion_monopolio_natural">
        <w:r>
          <w:rPr>
            <w:rStyle w:val="Hyperlink"/>
          </w:rPr>
          <w:t xml:space="preserve">II.2.3</w:t>
        </w:r>
      </w:hyperlink>
      <w:r>
        <w:t xml:space="preserve"> </w:t>
      </w:r>
      <w:r>
        <w:t xml:space="preserve">y anexo </w:t>
      </w:r>
      <w:hyperlink w:anchor="anexo_ramsey">
        <w:r>
          <w:rPr>
            <w:rStyle w:val="Hyperlink"/>
          </w:rPr>
          <w:t xml:space="preserve">B.6</w:t>
        </w:r>
      </w:hyperlink>
      <w:r>
        <w:t xml:space="preserve">). Con demandas dependientes, además de la elasticidad propia cuentan las cruzadas, como en el monopolio multiproducto (</w:t>
      </w:r>
      <w:hyperlink w:anchor="sec_monopolio_multiproducto">
        <w:r>
          <w:rPr>
            <w:rStyle w:val="Hyperlink"/>
          </w:rPr>
          <w:t xml:space="preserve">II.3.1</w:t>
        </w:r>
      </w:hyperlink>
      <w:r>
        <w:t xml:space="preserve">):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w:t>
      </w:r>
      <w:hyperlink w:anchor="sec_monopolio_natural_multiproducto">
        <w:r>
          <w:rPr>
            <w:rStyle w:val="Hyperlink"/>
          </w:rPr>
          <w:t xml:space="preserve">II.2.2</w:t>
        </w:r>
      </w:hyperlink>
      <w:r>
        <w:t xml:space="preserve">).</w:t>
      </w:r>
    </w:p>
    <w:bookmarkStart w:id="261" w:name="fig_pico_valle"/>
    <w:p>
      <w:pPr>
        <w:pStyle w:val="ImageCaption"/>
      </w:pPr>
      <w:r>
        <w:t xml:space="preserve">Gráfico 14.–</w:t>
      </w:r>
      <w:r>
        <w:t xml:space="preserve"> </w:t>
      </w:r>
      <w:r>
        <w:t xml:space="preserve">Tarifas de punta y valle con punta firme</w:t>
      </w:r>
    </w:p>
    <w:p>
      <w:pPr>
        <w:pStyle w:val="CaptionedFigure"/>
      </w:pPr>
      <w:r>
        <w:drawing>
          <wp:inline>
            <wp:extent cx="3266151" cy="2795189"/>
            <wp:effectExtent b="0" l="0" r="0" t="0"/>
            <wp:docPr descr="Gráfico 14.– Tarifas de punta y valle con punta firme" title="" id="259" name="Picture"/>
            <a:graphic>
              <a:graphicData uri="http://schemas.openxmlformats.org/drawingml/2006/picture">
                <pic:pic>
                  <pic:nvPicPr>
                    <pic:cNvPr descr="C:\Users\vgutierrez\Documents\src\victorgutierrezmarcos.github.io-revision\oposicion\temario\fuentes\3A17\graficos/pico-valle.png" id="260" name="Picture"/>
                    <pic:cNvPicPr>
                      <a:picLocks noChangeArrowheads="1" noChangeAspect="1"/>
                    </pic:cNvPicPr>
                  </pic:nvPicPr>
                  <pic:blipFill>
                    <a:blip r:embed="rId258"/>
                    <a:stretch>
                      <a:fillRect/>
                    </a:stretch>
                  </pic:blipFill>
                  <pic:spPr bwMode="auto">
                    <a:xfrm>
                      <a:off x="0" y="0"/>
                      <a:ext cx="3266151" cy="2795189"/>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Steiner</w:t>
      </w:r>
      <w:r>
        <w:t xml:space="preserve"> </w:t>
      </w:r>
      <w:r>
        <w:t xml:space="preserve">(</w:t>
      </w:r>
      <w:hyperlink w:anchor="ref_Steiner1957Peak">
        <w:r>
          <w:rPr>
            <w:rStyle w:val="Hyperlink"/>
          </w:rPr>
          <w:t xml:space="preserve">1957</w:t>
        </w:r>
      </w:hyperlink>
      <w:r>
        <w:t xml:space="preserve">)</w:t>
      </w:r>
      <w:r>
        <w:t xml:space="preserve">.</w:t>
      </w:r>
    </w:p>
    <w:bookmarkEnd w:id="262"/>
    <w:bookmarkEnd w:id="263"/>
    <w:bookmarkStart w:id="264" w:name="anexo_valoracion"/>
    <w:p>
      <w:pPr>
        <w:pStyle w:val="Heading3"/>
      </w:pPr>
      <w:r>
        <w:t xml:space="preserve">III.2.3.</w:t>
      </w:r>
      <w:r>
        <w:t xml:space="preserve"> </w:t>
      </w:r>
      <w:r>
        <w:t xml:space="preserve">Valoración</w:t>
      </w:r>
    </w:p>
    <w:p>
      <w:pPr>
        <w:numPr>
          <w:ilvl w:val="0"/>
          <w:numId w:val="1120"/>
        </w:numPr>
      </w:pPr>
      <w:r>
        <w:t xml:space="preserve">La teoría tradicional supone que el regulador tiene toda la información necesaria, sin asimetrías en el proceso regulador, y que su único objetivo es el bienestar social. La nueva teoría de la regulación levanta el primer supuesto (</w:t>
      </w:r>
      <w:hyperlink w:anchor="anexo_nueva_teoria_regulacion">
        <w:r>
          <w:rPr>
            <w:rStyle w:val="Hyperlink"/>
          </w:rPr>
          <w:t xml:space="preserve">A.3</w:t>
        </w:r>
      </w:hyperlink>
      <w:r>
        <w:t xml:space="preserve">) y la teoría positiva, el segundo (</w:t>
      </w:r>
      <w:hyperlink w:anchor="anexo_teoria_positiva_regulacion">
        <w:r>
          <w:rPr>
            <w:rStyle w:val="Hyperlink"/>
          </w:rPr>
          <w:t xml:space="preserve">A.4</w:t>
        </w:r>
      </w:hyperlink>
      <w:r>
        <w:t xml:space="preserve">).</w:t>
      </w:r>
    </w:p>
    <w:bookmarkEnd w:id="264"/>
    <w:bookmarkEnd w:id="265"/>
    <w:bookmarkStart w:id="292" w:name="anexo_nueva_teoria_regulacion"/>
    <w:p>
      <w:pPr>
        <w:pStyle w:val="Heading2"/>
      </w:pPr>
      <w:r>
        <w:t xml:space="preserve">A.3. Nueva teoría de la regulación: información asimétrica</w:t>
      </w:r>
    </w:p>
    <w:p>
      <w:pPr>
        <w:numPr>
          <w:ilvl w:val="0"/>
          <w:numId w:val="112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 Todos los esquemas anteriores tienen 2 problemas: de</w:t>
      </w:r>
      <w:r>
        <w:t xml:space="preserve"> </w:t>
      </w:r>
      <w:r>
        <w:rPr>
          <w:i/>
          <w:iCs/>
        </w:rPr>
        <w:t xml:space="preserve">información</w:t>
      </w:r>
      <w:r>
        <w:t xml:space="preserve">, porque el regulador necesita conocer bien los costes, la demanda y las preferencias sociales, y 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hyperlink r:id="rId114">
        <w:r>
          <w:rPr>
            <w:rStyle w:val="Referenciaatema"/>
          </w:rPr>
          <w:t xml:space="preserve">[ver tema 3.A.13]</w:t>
        </w:r>
      </w:hyperlink>
      <w:r>
        <w:t xml:space="preserve">.</w:t>
      </w:r>
    </w:p>
    <w:bookmarkStart w:id="270" w:name="anexo_regulacion_tasa_rentabilidad"/>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22"/>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22"/>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15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22"/>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w:t>
      </w:r>
      <w:hyperlink w:anchor="anexo_aj">
        <w:r>
          <w:rPr>
            <w:rStyle w:val="Hyperlink"/>
          </w:rPr>
          <w:t xml:space="preserve">B.10</w:t>
        </w:r>
      </w:hyperlink>
      <w:r>
        <w:t xml:space="preserve">), lo que se traduce en costes y precios más altos.</w:t>
      </w:r>
    </w:p>
    <w:p>
      <w:pPr>
        <w:numPr>
          <w:ilvl w:val="0"/>
          <w:numId w:val="1122"/>
        </w:numPr>
      </w:pPr>
      <w:r>
        <w:rPr>
          <w:i/>
          <w:iCs/>
        </w:rPr>
        <w:t xml:space="preserve">Ventaja</w:t>
      </w:r>
      <w:r>
        <w:t xml:space="preserve">: el beneficio y el capital invertido son datos contables que se observan y se auditan con facilidad.</w:t>
      </w:r>
      <w:r>
        <w:t xml:space="preserve"> </w:t>
      </w:r>
      <w:r>
        <w:rPr>
          <w:i/>
          <w:iCs/>
        </w:rPr>
        <w:t xml:space="preserve">Inconvenientes</w:t>
      </w:r>
      <w:r>
        <w:t xml:space="preserve">: la sobrecapitalización; se regula como beneficio la remuneración contable del capital, que no es el beneficio económico, y no hay incentivos a reducir costes, porque lo que se ahorra se traslada al precio en la siguiente revisión.</w:t>
      </w:r>
    </w:p>
    <w:p>
      <w:pPr>
        <w:numPr>
          <w:ilvl w:val="0"/>
          <w:numId w:val="1122"/>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 una regulación por coste del servicio, emparentada con la de tasa de rentabilidad.</w:t>
      </w:r>
    </w:p>
    <w:bookmarkStart w:id="269" w:name="fig_averch_johnson"/>
    <w:p>
      <w:pPr>
        <w:pStyle w:val="ImageCaption"/>
      </w:pPr>
      <w:r>
        <w:t xml:space="preserve">Gráfico 15.–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15.– Regulación de la tasa de rentabilidad y efecto Averch-Johnson" title="" id="267" name="Picture"/>
            <a:graphic>
              <a:graphicData uri="http://schemas.openxmlformats.org/drawingml/2006/picture">
                <pic:pic>
                  <pic:nvPicPr>
                    <pic:cNvPr descr="C:\Users\vgutierrez\Documents\src\victorgutierrezmarcos.github.io-revision\oposicion\temario\fuentes\3A17\graficos/averch-johnson.png" id="268" name="Picture"/>
                    <pic:cNvPicPr>
                      <a:picLocks noChangeArrowheads="1" noChangeAspect="1"/>
                    </pic:cNvPicPr>
                  </pic:nvPicPr>
                  <pic:blipFill>
                    <a:blip r:embed="rId266"/>
                    <a:stretch>
                      <a:fillRect/>
                    </a:stretch>
                  </pic:blipFill>
                  <pic:spPr bwMode="auto">
                    <a:xfrm>
                      <a:off x="0" y="0"/>
                      <a:ext cx="2908342" cy="2119328"/>
                    </a:xfrm>
                    <a:prstGeom prst="rect">
                      <a:avLst/>
                    </a:prstGeom>
                    <a:noFill/>
                    <a:ln w="9525">
                      <a:noFill/>
                      <a:headEnd/>
                      <a:tailEnd/>
                    </a:ln>
                  </pic:spPr>
                </pic:pic>
              </a:graphicData>
            </a:graphic>
          </wp:inline>
        </w:drawing>
      </w:r>
    </w:p>
    <w:bookmarkEnd w:id="269"/>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bookmarkEnd w:id="270"/>
    <w:bookmarkStart w:id="272" w:name="anexo_precios_maximos_price"/>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23"/>
        </w:numPr>
      </w:pPr>
      <w:r>
        <w:t xml:space="preserve">La regla nace con el informe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24"/>
        </w:numPr>
      </w:pPr>
      <w:r>
        <w:t xml:space="preserve">el regulador fija un nivel inicial de ingresos que permite recuperar los «costes razonables» de la empresa;</w:t>
      </w:r>
    </w:p>
    <w:p>
      <w:pPr>
        <w:numPr>
          <w:ilvl w:val="1"/>
          <w:numId w:val="1124"/>
        </w:numPr>
      </w:pPr>
      <w:r>
        <w:t xml:space="preserve">a partir de esos ingresos, y para una demanda dada, se define un precio medio;</w:t>
      </w:r>
    </w:p>
    <w:p>
      <w:pPr>
        <w:numPr>
          <w:ilvl w:val="1"/>
          <w:numId w:val="1124"/>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71"/>
      </w:r>
    </w:p>
    <w:p>
      <w:pPr>
        <w:numPr>
          <w:ilvl w:val="0"/>
          <w:numId w:val="1123"/>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numPr>
          <w:ilvl w:val="0"/>
          <w:numId w:val="1123"/>
        </w:numPr>
      </w:pPr>
      <w:r>
        <w:rPr>
          <w:i/>
          <w:iCs/>
        </w:rPr>
        <w:t xml:space="preserve">Ventajas</w:t>
      </w:r>
      <w:r>
        <w:t xml:space="preserve">: incentiva la eficiencia productiva; 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 es relativamente sencilla de administrar y facilita los reequilibrios tarifarios.</w:t>
      </w:r>
    </w:p>
    <w:p>
      <w:pPr>
        <w:numPr>
          <w:ilvl w:val="0"/>
          <w:numId w:val="1123"/>
        </w:numPr>
      </w:pPr>
      <w:r>
        <w:rPr>
          <w:i/>
          <w:iCs/>
        </w:rPr>
        <w:t xml:space="preserve">Inconvenientes</w:t>
      </w:r>
      <w:r>
        <w:t xml:space="preserve">: hace falta mucha información para fijar</w:t>
      </w:r>
      <w:r>
        <w:t xml:space="preserve"> </w:t>
      </w:r>
      <m:oMath>
        <m:r>
          <m:t>X</m:t>
        </m:r>
      </m:oMath>
      <w:r>
        <w:t xml:space="preserve"> </w:t>
      </w:r>
      <w:r>
        <w:t xml:space="preserve">y el precio inicial; al acercarse el final del periodo, el interés por reducir costes disminuye, y la empresa puede retrasar mejoras hasta el comienzo del ciclo siguiente para disfrutarlas más tiempo; y la calidad puede deteriorarse para ahorrar costes.</w:t>
      </w:r>
    </w:p>
    <w:p>
      <w:pPr>
        <w:numPr>
          <w:ilvl w:val="0"/>
          <w:numId w:val="1123"/>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72"/>
    <w:bookmarkStart w:id="273" w:name="anexo_mecanismo_loeb_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25"/>
        </w:numPr>
      </w:pPr>
      <w:r>
        <w:t xml:space="preserve">El regulador deja al monopolista fijar el precio y le paga como subvención todo el excedente del consumidor que genera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25"/>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 de modo que la puja devuelva la renta al Estado.</w:t>
      </w:r>
    </w:p>
    <w:bookmarkEnd w:id="273"/>
    <w:bookmarkStart w:id="281" w:name="anexo_menu_contratos_laffont"/>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74" w:name="a_idea_9"/>
    <w:p>
      <w:pPr>
        <w:pStyle w:val="Heading4"/>
      </w:pPr>
      <w:r>
        <w:t xml:space="preserve">a) Idea</w:t>
      </w:r>
    </w:p>
    <w:p>
      <w:pPr>
        <w:numPr>
          <w:ilvl w:val="0"/>
          <w:numId w:val="1126"/>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bookmarkEnd w:id="274"/>
    <w:bookmarkStart w:id="280" w:name="b_modelo_9"/>
    <w:p>
      <w:pPr>
        <w:pStyle w:val="Heading4"/>
      </w:pPr>
      <w:r>
        <w:t xml:space="preserve">b) Modelo</w:t>
      </w:r>
    </w:p>
    <w:bookmarkStart w:id="276" w:name="i_supuestos_9"/>
    <w:p>
      <w:pPr>
        <w:pStyle w:val="Heading5"/>
      </w:pPr>
      <w:r>
        <w:t xml:space="preserve">i) Supuestos</w:t>
      </w:r>
    </w:p>
    <w:p>
      <w:pPr>
        <w:numPr>
          <w:ilvl w:val="0"/>
          <w:numId w:val="1127"/>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75"/>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76"/>
    <w:bookmarkStart w:id="277" w:name="ii_desarrollo_9"/>
    <w:p>
      <w:pPr>
        <w:pStyle w:val="Heading5"/>
      </w:pPr>
      <w:r>
        <w:t xml:space="preserve">ii) Desarrollo</w:t>
      </w:r>
    </w:p>
    <w:p>
      <w:pPr>
        <w:numPr>
          <w:ilvl w:val="0"/>
          <w:numId w:val="1128"/>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28"/>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w:t>
      </w:r>
      <w:hyperlink w:anchor="sec_discriminacion_segundo_grado">
        <w:r>
          <w:rPr>
            <w:rStyle w:val="Hyperlink"/>
          </w:rPr>
          <w:t xml:space="preserve">II.1.2</w:t>
        </w:r>
      </w:hyperlink>
      <w:r>
        <w:t xml:space="preserve">).</w:t>
      </w:r>
    </w:p>
    <w:p>
      <w:pPr>
        <w:numPr>
          <w:ilvl w:val="0"/>
          <w:numId w:val="1128"/>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77"/>
    <w:bookmarkStart w:id="279" w:name="iii_implicaciones_9"/>
    <w:p>
      <w:pPr>
        <w:pStyle w:val="Heading5"/>
      </w:pPr>
      <w:r>
        <w:t xml:space="preserve">iii) Implicaciones</w:t>
      </w:r>
    </w:p>
    <w:p>
      <w:pPr>
        <w:numPr>
          <w:ilvl w:val="0"/>
          <w:numId w:val="1129"/>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pPr>
      <w:r>
        <w:rPr>
          <w:b/>
          <w:bCs/>
        </w:rPr>
        <w:t xml:space="preserve">Contratos de coste incrementado y de precio fijo</w:t>
      </w:r>
      <w:r>
        <w:t xml:space="preserve"> </w:t>
      </w:r>
      <w:r>
        <w:t xml:space="preserve">(</w:t>
      </w:r>
      <w:hyperlink w:anchor="ref_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hyperlink r:id="rId114">
        <w:r>
          <w:rPr>
            <w:rStyle w:val="Referenciaatema"/>
          </w:rPr>
          <w:t xml:space="preserve">[ver tema 3.A.13]</w:t>
        </w:r>
      </w:hyperlink>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pPr>
      <w:r>
        <w:t xml:space="preserve">Se puede representar con un precio lineal en el coste de la empresa,</w:t>
      </w:r>
      <w:r>
        <w:rPr>
          <w:rStyle w:val="FootnoteReference"/>
        </w:rPr>
        <w:footnoteReference w:id="278"/>
      </w:r>
    </w:p>
    <w:p>
      <w:pPr>
        <w:pStyle w:val="Cajadeanotacio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numPr>
          <w:ilvl w:val="0"/>
          <w:numId w:val="1130"/>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numPr>
          <w:ilvl w:val="0"/>
          <w:numId w:val="1130"/>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 hace falta mucha información para fijar</w:t>
      </w:r>
      <w:r>
        <w:t xml:space="preserve"> </w:t>
      </w:r>
      <m:oMath>
        <m:r>
          <m:t>X</m:t>
        </m:r>
      </m:oMath>
      <w:r>
        <w:t xml:space="preserve"> </w:t>
      </w:r>
      <w:r>
        <w:t xml:space="preserve">y el precio inicial; si este es muy bajo, la empresa tendrá dificultades y buscará renegociar; si es muy alto, tendrá beneficios elevados, y el regulador que quiera extraerlos antes de que venza el periodo pagará un coste de credibilidad.</w:t>
      </w:r>
    </w:p>
    <w:bookmarkEnd w:id="279"/>
    <w:bookmarkEnd w:id="280"/>
    <w:bookmarkEnd w:id="281"/>
    <w:bookmarkStart w:id="282" w:name="anexo_efecto_trinquete_desfase"/>
    <w:p>
      <w:pPr>
        <w:pStyle w:val="Heading3"/>
      </w:pPr>
      <w:r>
        <w:t xml:space="preserve">III.2.8.</w:t>
      </w:r>
      <w:r>
        <w:t xml:space="preserve"> </w:t>
      </w:r>
      <w:r>
        <w:t xml:space="preserve">Efecto trinquete y desfase regulatorio</w:t>
      </w:r>
    </w:p>
    <w:p>
      <w:pPr>
        <w:numPr>
          <w:ilvl w:val="0"/>
          <w:numId w:val="1131"/>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131"/>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bookmarkEnd w:id="282"/>
    <w:bookmarkStart w:id="290" w:name="anexo_competencia_comparacion_yardstick"/>
    <w:p>
      <w:pPr>
        <w:pStyle w:val="Heading3"/>
      </w:pPr>
      <w:r>
        <w:t xml:space="preserve">III.2.9.</w:t>
      </w:r>
      <w:r>
        <w:t xml:space="preserve"> </w:t>
      </w:r>
      <w:r>
        <w:t xml:space="preserve">Competencia por comparación (</w:t>
      </w:r>
      <w:r>
        <w:rPr>
          <w:i/>
          <w:iCs/>
        </w:rPr>
        <w:t xml:space="preserve">yardstick competition</w:t>
      </w:r>
      <w:r>
        <w:t xml:space="preserve">)</w:t>
      </w:r>
    </w:p>
    <w:bookmarkStart w:id="283" w:name="a_idea_10"/>
    <w:p>
      <w:pPr>
        <w:pStyle w:val="Heading4"/>
      </w:pPr>
      <w:r>
        <w:t xml:space="preserve">a) Idea</w:t>
      </w:r>
    </w:p>
    <w:p>
      <w:pPr>
        <w:numPr>
          <w:ilvl w:val="0"/>
          <w:numId w:val="1132"/>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Así crea entre monopolios locales una competencia que no existe en el mercado, y resuelve el problema de la revelación de costes.</w:t>
      </w:r>
    </w:p>
    <w:bookmarkEnd w:id="283"/>
    <w:bookmarkStart w:id="287" w:name="b_modelo_10"/>
    <w:p>
      <w:pPr>
        <w:pStyle w:val="Heading4"/>
      </w:pPr>
      <w:r>
        <w:t xml:space="preserve">b) Modelo</w:t>
      </w:r>
    </w:p>
    <w:bookmarkStart w:id="284" w:name="i_supuestos_10"/>
    <w:p>
      <w:pPr>
        <w:pStyle w:val="Heading5"/>
      </w:pPr>
      <w:r>
        <w:t xml:space="preserve">i) Supuestos</w:t>
      </w:r>
    </w:p>
    <w:p>
      <w:pPr>
        <w:numPr>
          <w:ilvl w:val="0"/>
          <w:numId w:val="1133"/>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84"/>
    <w:bookmarkStart w:id="285" w:name="ii_desarrollo_10"/>
    <w:p>
      <w:pPr>
        <w:pStyle w:val="Heading5"/>
      </w:pPr>
      <w:r>
        <w:t xml:space="preserve">ii) Desarrollo</w:t>
      </w:r>
    </w:p>
    <w:p>
      <w:pPr>
        <w:numPr>
          <w:ilvl w:val="0"/>
          <w:numId w:val="1134"/>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85"/>
    <w:bookmarkStart w:id="286" w:name="iii_implicaciones_10"/>
    <w:p>
      <w:pPr>
        <w:pStyle w:val="Heading5"/>
      </w:pPr>
      <w:r>
        <w:t xml:space="preserve">iii) Implicaciones</w:t>
      </w:r>
    </w:p>
    <w:p>
      <w:pPr>
        <w:numPr>
          <w:ilvl w:val="0"/>
          <w:numId w:val="1135"/>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86"/>
    <w:bookmarkEnd w:id="287"/>
    <w:bookmarkStart w:id="288" w:name="c_evidencia_emp__rica_3"/>
    <w:p>
      <w:pPr>
        <w:pStyle w:val="Heading4"/>
      </w:pPr>
      <w:r>
        <w:t xml:space="preserve">c) Evidencia empírica</w:t>
      </w:r>
    </w:p>
    <w:p>
      <w:pPr>
        <w:numPr>
          <w:ilvl w:val="0"/>
          <w:numId w:val="1136"/>
        </w:numPr>
      </w:pPr>
      <w:r>
        <w:t xml:space="preserve">La comparación exige medir la eficiencia relativa con el análisis envolvente de datos (DEA) o con la frontera estocástica</w:t>
      </w:r>
      <w:r>
        <w:t xml:space="preserve"> </w:t>
      </w:r>
      <w:hyperlink r:id="rId24">
        <w:r>
          <w:rPr>
            <w:rStyle w:val="Referenciaatema"/>
          </w:rPr>
          <w:t xml:space="preserve">[ver tema 3.A.12]</w:t>
        </w:r>
      </w:hyperlink>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bookmarkEnd w:id="288"/>
    <w:bookmarkStart w:id="289" w:name="d_valoraci__n_3"/>
    <w:p>
      <w:pPr>
        <w:pStyle w:val="Heading4"/>
      </w:pPr>
      <w:r>
        <w:t xml:space="preserve">d) Valoración</w:t>
      </w:r>
    </w:p>
    <w:p>
      <w:pPr>
        <w:numPr>
          <w:ilvl w:val="0"/>
          <w:numId w:val="1137"/>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w:t>
      </w:r>
    </w:p>
    <w:bookmarkEnd w:id="289"/>
    <w:bookmarkEnd w:id="290"/>
    <w:bookmarkStart w:id="291" w:name="anexo_evidencia_empirica_regulacion"/>
    <w:p>
      <w:pPr>
        <w:pStyle w:val="Heading3"/>
      </w:pPr>
      <w:r>
        <w:t xml:space="preserve">III.2.10.</w:t>
      </w:r>
      <w:r>
        <w:t xml:space="preserve"> </w:t>
      </w:r>
      <w:r>
        <w:t xml:space="preserve">Evidencia empírica sobre la regulación por incentivos</w:t>
      </w:r>
    </w:p>
    <w:p>
      <w:pPr>
        <w:numPr>
          <w:ilvl w:val="0"/>
          <w:numId w:val="1138"/>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_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91"/>
    <w:bookmarkEnd w:id="292"/>
    <w:bookmarkStart w:id="296" w:name="anexo_teoria_positiva_regulacion"/>
    <w:p>
      <w:pPr>
        <w:pStyle w:val="Heading2"/>
      </w:pPr>
      <w:r>
        <w:t xml:space="preserve">A.4. Teoría positiva de la regulación</w:t>
      </w:r>
    </w:p>
    <w:p>
      <w:pPr>
        <w:numPr>
          <w:ilvl w:val="0"/>
          <w:numId w:val="1139"/>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hyperlink r:id="rId33">
        <w:r>
          <w:rPr>
            <w:rStyle w:val="Referenciaatema"/>
          </w:rPr>
          <w:t xml:space="preserve">[ver tema 3.A.20]</w:t>
        </w:r>
      </w:hyperlink>
      <w:r>
        <w:t xml:space="preserve">.</w:t>
      </w:r>
    </w:p>
    <w:p>
      <w:pPr>
        <w:numPr>
          <w:ilvl w:val="0"/>
          <w:numId w:val="1139"/>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93"/>
      </w:r>
      <w:r>
        <w:t xml:space="preserve"> </w:t>
      </w:r>
      <w:r>
        <w:t xml:space="preserve">Generan ineficiencias por 2 vías: se dedican recursos a conseguir el favor de los poderes públicos en lugar de a producir, y se toman decisiones favorables a esos grupos que no coinciden con las de la colectividad. Ejemplos: sindicatos y organizaciones empresariales.</w:t>
      </w:r>
    </w:p>
    <w:p>
      <w:pPr>
        <w:numPr>
          <w:ilvl w:val="0"/>
          <w:numId w:val="1139"/>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w:t>
      </w:r>
      <w:r>
        <w:t xml:space="preserve">formalizan la captura como un problema de agencia.</w:t>
      </w:r>
    </w:p>
    <w:p>
      <w:pPr>
        <w:numPr>
          <w:ilvl w:val="0"/>
          <w:numId w:val="1139"/>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hyperlink r:id="rId90">
        <w:r>
          <w:rPr>
            <w:rStyle w:val="Referenciaatema"/>
          </w:rPr>
          <w:t xml:space="preserve">[ver tema 4.B.2]</w:t>
        </w:r>
      </w:hyperlink>
      <w:r>
        <w:t xml:space="preserve">.</w:t>
      </w:r>
    </w:p>
    <w:p>
      <w:pPr>
        <w:numPr>
          <w:ilvl w:val="0"/>
          <w:numId w:val="1139"/>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_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w:t>
      </w:r>
      <w:r>
        <w:t xml:space="preserve"> </w:t>
      </w:r>
      <w:hyperlink w:anchor="sec_analisis_eficiencia_bienestar">
        <w:r>
          <w:rPr>
            <w:rStyle w:val="Hyperlink"/>
          </w:rPr>
          <w:t xml:space="preserve">I.3</w:t>
        </w:r>
      </w:hyperlink>
      <w:r>
        <w:t xml:space="preserve">.</w:t>
      </w:r>
    </w:p>
    <w:p>
      <w:pPr>
        <w:pStyle w:val="Cajadeanotaciones"/>
      </w:pPr>
      <w:r>
        <w:rPr>
          <w:b/>
          <w:bCs/>
        </w:rPr>
        <w:t xml:space="preserve">Material complementario sobre la teoría de</w:t>
      </w:r>
      <w:r>
        <w:rPr>
          <w:b/>
          <w:bCs/>
        </w:rPr>
        <w:t xml:space="preserve"> </w:t>
      </w:r>
      <w:r>
        <w:rPr>
          <w:b/>
          <w:bCs/>
          <w:smallCaps/>
        </w:rPr>
        <w:t xml:space="preserve">Stigler</w:t>
      </w:r>
      <w:r>
        <w:t xml:space="preserve">:</w:t>
      </w:r>
    </w:p>
    <w:p>
      <w:pPr>
        <w:pStyle w:val="Cajadeanotaciones"/>
        <w:numPr>
          <w:ilvl w:val="0"/>
          <w:numId w:val="1140"/>
        </w:numPr>
      </w:pPr>
      <w:r>
        <w:t xml:space="preserve">ProMarket, «Assessing George Stigler’s Economic Theory of Regulation»</w:t>
      </w:r>
      <w:r>
        <w:t xml:space="preserve"> </w:t>
      </w:r>
      <w:r>
        <w:t xml:space="preserve">(</w:t>
      </w:r>
      <w:hyperlink w:anchor="ref_ProMarket2021Stigler">
        <w:r>
          <w:rPr>
            <w:rStyle w:val="Hyperlink"/>
            <w:smallCaps/>
          </w:rPr>
          <w:t xml:space="preserve">ProMarket (Stigler Center, Universidad de Chicago)</w:t>
        </w:r>
        <w:r>
          <w:rPr>
            <w:rStyle w:val="Hyperlink"/>
          </w:rPr>
          <w:t xml:space="preserve">, 2021</w:t>
        </w:r>
      </w:hyperlink>
      <w:r>
        <w:t xml:space="preserve">)</w:t>
      </w:r>
      <w:r>
        <w:t xml:space="preserve">:</w:t>
      </w:r>
      <w:r>
        <w:t xml:space="preserve"> </w:t>
      </w:r>
      <w:hyperlink r:id="rId294">
        <w:r>
          <w:rPr>
            <w:rStyle w:val="Hyperlink"/>
          </w:rPr>
          <w:t xml:space="preserve">https://www.promarket.org/2021/07/27/assessing-george-stiglers-economic-theory-of-regulation/</w:t>
        </w:r>
      </w:hyperlink>
    </w:p>
    <w:p>
      <w:pPr>
        <w:pStyle w:val="Cajadeanotaciones"/>
        <w:numPr>
          <w:ilvl w:val="0"/>
          <w:numId w:val="1140"/>
        </w:numPr>
      </w:pPr>
      <w:r>
        <w:t xml:space="preserve">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r>
        <w:t xml:space="preserve"> </w:t>
      </w:r>
      <w:hyperlink r:id="rId295">
        <w:r>
          <w:rPr>
            <w:rStyle w:val="Hyperlink"/>
          </w:rPr>
          <w:t xml:space="preserve">https://www.youtube.com/watch?v=lhD5s-4v3oM</w:t>
        </w:r>
      </w:hyperlink>
    </w:p>
    <w:bookmarkEnd w:id="296"/>
    <w:bookmarkStart w:id="297" w:name="anexo_instituciones_regulatorias"/>
    <w:p>
      <w:pPr>
        <w:pStyle w:val="Heading2"/>
      </w:pPr>
      <w:r>
        <w:t xml:space="preserve">A.5. Instituciones regulatorias</w:t>
      </w:r>
    </w:p>
    <w:p>
      <w:pPr>
        <w:keepNext/>
        <w:numPr>
          <w:ilvl w:val="0"/>
          <w:numId w:val="1141"/>
        </w:numPr>
      </w:pPr>
      <w:r>
        <w:t xml:space="preserve">Los Estados combinan varios instrumentos:</w:t>
      </w:r>
    </w:p>
    <w:p>
      <w:pPr>
        <w:numPr>
          <w:ilvl w:val="1"/>
          <w:numId w:val="1142"/>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42"/>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w:t>
      </w:r>
      <w:hyperlink w:anchor="anexo_teoria_tradicional_regulacion">
        <w:r>
          <w:rPr>
            <w:rStyle w:val="Hyperlink"/>
          </w:rPr>
          <w:t xml:space="preserve">A.2</w:t>
        </w:r>
      </w:hyperlink>
      <w:r>
        <w:t xml:space="preserve">);</w:t>
      </w:r>
    </w:p>
    <w:p>
      <w:pPr>
        <w:numPr>
          <w:ilvl w:val="1"/>
          <w:numId w:val="1142"/>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42"/>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41"/>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_Ley3_2013CNMC">
        <w:r>
          <w:rPr>
            <w:rStyle w:val="Hyperlink"/>
            <w:smallCaps/>
          </w:rPr>
          <w:t xml:space="preserve">Jefatura del Estado</w:t>
        </w:r>
        <w:r>
          <w:rPr>
            <w:rStyle w:val="Hyperlink"/>
          </w:rPr>
          <w:t xml:space="preserve">, 2013</w:t>
        </w:r>
      </w:hyperlink>
      <w:r>
        <w:t xml:space="preserve">)</w:t>
      </w:r>
      <w:r>
        <w:t xml:space="preserve"> </w:t>
      </w:r>
      <w:hyperlink r:id="rId32">
        <w:r>
          <w:rPr>
            <w:rStyle w:val="Referenciaatema"/>
          </w:rPr>
          <w:t xml:space="preserve">[ver tema 3.B.39]</w:t>
        </w:r>
      </w:hyperlink>
      <w:r>
        <w:t xml:space="preserve">.</w:t>
      </w:r>
    </w:p>
    <w:bookmarkEnd w:id="297"/>
    <w:bookmarkStart w:id="298" w:name="anexo_valoracion_2"/>
    <w:p>
      <w:pPr>
        <w:pStyle w:val="Heading2"/>
      </w:pPr>
      <w:r>
        <w:t xml:space="preserve">A.6. Valoración</w:t>
      </w:r>
    </w:p>
    <w:p>
      <w:pPr>
        <w:numPr>
          <w:ilvl w:val="0"/>
          <w:numId w:val="1143"/>
        </w:numPr>
      </w:pPr>
      <w:r>
        <w:t xml:space="preserve">No hay regulación sin efectos indeseados: toda intervención altera los incentivos, y hay que comparar los fallos del mercado con los de la regulación, como subraya la teoría positiva</w:t>
      </w:r>
      <w:r>
        <w:t xml:space="preserve"> </w:t>
      </w:r>
      <w:hyperlink r:id="rId97">
        <w:r>
          <w:rPr>
            <w:rStyle w:val="Referenciaatema"/>
          </w:rPr>
          <w:t xml:space="preserve">[ver tema 3.A.23]</w:t>
        </w:r>
      </w:hyperlink>
      <w:r>
        <w:t xml:space="preserve">.</w:t>
      </w:r>
    </w:p>
    <w:bookmarkEnd w:id="298"/>
    <w:bookmarkEnd w:id="299"/>
    <w:bookmarkStart w:id="327" w:name="anexo_derivaciones"/>
    <w:p>
      <w:pPr>
        <w:pStyle w:val="Heading1"/>
      </w:pPr>
      <w:r>
        <w:t xml:space="preserve">B. Anexo: derivaciones</w:t>
      </w:r>
    </w:p>
    <w:bookmarkStart w:id="304" w:name="anexo_cso"/>
    <w:p>
      <w:pPr>
        <w:pStyle w:val="Heading2"/>
      </w:pPr>
      <w:r>
        <w:t xml:space="preserve">B.1. Condición de segundo orden del monopolista</w:t>
      </w:r>
    </w:p>
    <w:p>
      <w:pPr>
        <w:numPr>
          <w:ilvl w:val="0"/>
          <w:numId w:val="1144"/>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44"/>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44"/>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w:t>
      </w:r>
      <w:hyperlink w:anchor="fig_cso_monopolio">
        <w:r>
          <w:rPr>
            <w:rStyle w:val="Hyperlink"/>
          </w:rPr>
          <w:t xml:space="preserve">16</w:t>
        </w:r>
      </w:hyperlink>
      <w:r>
        <w:t xml:space="preserve">, derecha). Si el CMg cae más deprisa que el IMg y lo corta desde arriba, ese punto es un mínimo del beneficio: a su derecha el IMg supera al CMg y conviene producir más.</w:t>
      </w:r>
    </w:p>
    <w:p>
      <w:pPr>
        <w:numPr>
          <w:ilvl w:val="0"/>
          <w:numId w:val="1144"/>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única. ∎</w:t>
      </w:r>
    </w:p>
    <w:bookmarkStart w:id="303" w:name="fig_cso_monopolio"/>
    <w:p>
      <w:pPr>
        <w:pStyle w:val="ImageCaption"/>
      </w:pPr>
      <w:r>
        <w:t xml:space="preserve">Gráfico 16.–</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Gráfico 16.– Condición de segundo orden: CMg creciente (izquierda) y CMg decreciente que corta al IMg desde abajo (derecha)" title="" id="301" name="Picture"/>
            <a:graphic>
              <a:graphicData uri="http://schemas.openxmlformats.org/drawingml/2006/picture">
                <pic:pic>
                  <pic:nvPicPr>
                    <pic:cNvPr descr="C:\Users\vgutierrez\Documents\src\victorgutierrezmarcos.github.io-revision\oposicion\temario\fuentes\3A17\graficos/cso-monopolio.png" id="302" name="Picture"/>
                    <pic:cNvPicPr>
                      <a:picLocks noChangeArrowheads="1" noChangeAspect="1"/>
                    </pic:cNvPicPr>
                  </pic:nvPicPr>
                  <pic:blipFill>
                    <a:blip r:embed="rId300"/>
                    <a:stretch>
                      <a:fillRect/>
                    </a:stretch>
                  </pic:blipFill>
                  <pic:spPr bwMode="auto">
                    <a:xfrm>
                      <a:off x="0" y="0"/>
                      <a:ext cx="4951216" cy="2223307"/>
                    </a:xfrm>
                    <a:prstGeom prst="rect">
                      <a:avLst/>
                    </a:prstGeom>
                    <a:noFill/>
                    <a:ln w="9525">
                      <a:noFill/>
                      <a:headEnd/>
                      <a:tailEnd/>
                    </a:ln>
                  </pic:spPr>
                </pic:pic>
              </a:graphicData>
            </a:graphic>
          </wp:inline>
        </w:drawing>
      </w:r>
    </w:p>
    <w:bookmarkEnd w:id="30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14</w:t>
        </w:r>
      </w:hyperlink>
      <w:r>
        <w:t xml:space="preserve">)</w:t>
      </w:r>
      <w:r>
        <w:t xml:space="preserve">.</w:t>
      </w:r>
    </w:p>
    <w:bookmarkEnd w:id="304"/>
    <w:bookmarkStart w:id="309" w:name="anexo_viabilidad"/>
    <w:p>
      <w:pPr>
        <w:pStyle w:val="Heading2"/>
      </w:pPr>
      <w:r>
        <w:t xml:space="preserve">B.2. Condición de viabilidad a corto y largo plazo</w:t>
      </w:r>
    </w:p>
    <w:p>
      <w:pPr>
        <w:numPr>
          <w:ilvl w:val="0"/>
          <w:numId w:val="1145"/>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 A corto plazo, por tanto, la condición de participación no es</w:t>
      </w:r>
      <w:r>
        <w:t xml:space="preserve"> </w:t>
      </w:r>
      <m:oMath>
        <m:r>
          <m:t>B</m:t>
        </m:r>
        <m:d>
          <m:dPr>
            <m:begChr m:val="("/>
            <m:sepChr m:val=""/>
            <m:endChr m:val=")"/>
            <m:grow/>
          </m:dPr>
          <m:e>
            <m:r>
              <m:t>q</m:t>
            </m:r>
          </m:e>
        </m:d>
        <m:r>
          <m:rPr>
            <m:sty m:val="p"/>
          </m:rPr>
          <m:t>≥</m:t>
        </m:r>
        <m:r>
          <m:t>0</m:t>
        </m:r>
      </m:oMath>
      <w:r>
        <w:t xml:space="preserve">: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w:t>
      </w:r>
    </w:p>
    <w:p>
      <w:pPr>
        <w:numPr>
          <w:ilvl w:val="0"/>
          <w:numId w:val="1145"/>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es la condición de participación</w:t>
      </w:r>
      <w:r>
        <w:t xml:space="preserve"> </w:t>
      </w:r>
      <m:oMath>
        <m:r>
          <m:t>B</m:t>
        </m:r>
        <m:d>
          <m:dPr>
            <m:begChr m:val="("/>
            <m:sepChr m:val=""/>
            <m:endChr m:val=")"/>
            <m:grow/>
          </m:dPr>
          <m:e>
            <m:r>
              <m:t>q</m:t>
            </m:r>
          </m:e>
        </m:d>
        <m:r>
          <m:rPr>
            <m:sty m:val="p"/>
          </m:rPr>
          <m:t>≥</m:t>
        </m:r>
        <m:r>
          <m:t>0</m:t>
        </m:r>
      </m:oMath>
      <w:r>
        <w:t xml:space="preserve"> </w:t>
      </w:r>
      <w:r>
        <w:t xml:space="preserve">del problema (</w:t>
      </w:r>
      <w:hyperlink w:anchor="eq_monopolio">
        <w:r>
          <w:rPr>
            <w:rStyle w:val="Hyperlink"/>
          </w:rPr>
          <w:t xml:space="preserve">1</w:t>
        </w:r>
      </w:hyperlink>
      <w:r>
        <w:t xml:space="preserve">).</w:t>
      </w:r>
    </w:p>
    <w:p>
      <w:pPr>
        <w:numPr>
          <w:ilvl w:val="0"/>
          <w:numId w:val="1145"/>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w:t>
      </w:r>
      <w:hyperlink w:anchor="fig_viabilidad_monopolio">
        <w:r>
          <w:rPr>
            <w:rStyle w:val="Hyperlink"/>
          </w:rPr>
          <w:t xml:space="preserve">17</w:t>
        </w:r>
      </w:hyperlink>
      <w:r>
        <w:t xml:space="preserve">). ∎</w:t>
      </w:r>
    </w:p>
    <w:bookmarkStart w:id="308" w:name="fig_viabilidad_monopolio"/>
    <w:p>
      <w:pPr>
        <w:pStyle w:val="ImageCaption"/>
      </w:pPr>
      <w:r>
        <w:t xml:space="preserve">Gráfico 17.–</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Gráfico 17.– Viabilidad del monopolista: la condición se evalúa en q^M, no en el mínimo del coste medio" title="" id="306" name="Picture"/>
            <a:graphic>
              <a:graphicData uri="http://schemas.openxmlformats.org/drawingml/2006/picture">
                <pic:pic>
                  <pic:nvPicPr>
                    <pic:cNvPr descr="C:\Users\vgutierrez\Documents\src\victorgutierrezmarcos.github.io-revision\oposicion\temario\fuentes\3A17\graficos/viabilidad-monopolio.png" id="307" name="Picture"/>
                    <pic:cNvPicPr>
                      <a:picLocks noChangeArrowheads="1" noChangeAspect="1"/>
                    </pic:cNvPicPr>
                  </pic:nvPicPr>
                  <pic:blipFill>
                    <a:blip r:embed="rId305"/>
                    <a:stretch>
                      <a:fillRect/>
                    </a:stretch>
                  </pic:blipFill>
                  <pic:spPr bwMode="auto">
                    <a:xfrm>
                      <a:off x="0" y="0"/>
                      <a:ext cx="5073650" cy="2218904"/>
                    </a:xfrm>
                    <a:prstGeom prst="rect">
                      <a:avLst/>
                    </a:prstGeom>
                    <a:noFill/>
                    <a:ln w="9525">
                      <a:noFill/>
                      <a:headEnd/>
                      <a:tailEnd/>
                    </a:ln>
                  </pic:spPr>
                </pic:pic>
              </a:graphicData>
            </a:graphic>
          </wp:inline>
        </w:drawing>
      </w:r>
    </w:p>
    <w:bookmarkEnd w:id="308"/>
    <w:p>
      <w:pPr>
        <w:pStyle w:val="Piedeimagen"/>
      </w:pPr>
      <w:r>
        <w:t xml:space="preserve">Fuente: elaboración propia a partir de</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309"/>
    <w:bookmarkStart w:id="310" w:name="anexo_segundo_grado"/>
    <w:p>
      <w:pPr>
        <w:pStyle w:val="Heading2"/>
      </w:pPr>
      <w:r>
        <w:t xml:space="preserve">B.3. Discriminación de segundo grado con 2 tipos</w:t>
      </w:r>
    </w:p>
    <w:p>
      <w:pPr>
        <w:keepNext/>
        <w:numPr>
          <w:ilvl w:val="0"/>
          <w:numId w:val="1146"/>
        </w:numPr>
      </w:pPr>
      <w:r>
        <w:rPr>
          <w:i/>
          <w:iCs/>
        </w:rPr>
        <w:t xml:space="preserve">Qué restricciones se saturan</w:t>
      </w:r>
      <w:r>
        <w:t xml:space="preserve"> </w:t>
      </w:r>
      <w:r>
        <w:t xml:space="preserve">en el problema (</w:t>
      </w:r>
      <w:hyperlink w:anchor="eq_segundo_grado">
        <w:r>
          <w:rPr>
            <w:rStyle w:val="Hyperlink"/>
          </w:rPr>
          <w:t xml:space="preserve">6</w:t>
        </w:r>
      </w:hyperlink>
      <w:r>
        <w:t xml:space="preserve">):</w:t>
      </w:r>
    </w:p>
    <w:p>
      <w:pPr>
        <w:numPr>
          <w:ilvl w:val="1"/>
          <w:numId w:val="1147"/>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47"/>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47"/>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47"/>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46"/>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46"/>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π</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46"/>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π</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π</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46"/>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. ∎</w:t>
      </w:r>
    </w:p>
    <w:p>
      <w:pPr>
        <w:numPr>
          <w:ilvl w:val="0"/>
          <w:numId w:val="1146"/>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π</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π</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46"/>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π</m:t>
                </m:r>
              </m:num>
              <m:den>
                <m:r>
                  <m:t>π</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310"/>
    <w:bookmarkStart w:id="311" w:name="anexo_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48"/>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48"/>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48"/>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w:t>
      </w:r>
      <w:hyperlink w:anchor="eq_lerner_multi">
        <w:r>
          <w:rPr>
            <w:rStyle w:val="Hyperlink"/>
          </w:rPr>
          <w:t xml:space="preserve">17</w:t>
        </w:r>
      </w:hyperlink>
      <w:r>
        <w:t xml:space="preserve">).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. ∎</w:t>
      </w:r>
    </w:p>
    <w:bookmarkEnd w:id="311"/>
    <w:bookmarkStart w:id="321" w:name="anexo_proporciones_fijas"/>
    <w:p>
      <w:pPr>
        <w:pStyle w:val="Heading2"/>
      </w:pPr>
      <w:r>
        <w:t xml:space="preserve">B.5. Producción conjunta en proporciones fijas</w:t>
      </w:r>
    </w:p>
    <w:bookmarkStart w:id="312" w:name="a_idea_11"/>
    <w:p>
      <w:pPr>
        <w:pStyle w:val="Heading4"/>
      </w:pPr>
      <w:r>
        <w:t xml:space="preserve">a) Idea</w:t>
      </w:r>
    </w:p>
    <w:p>
      <w:pPr>
        <w:numPr>
          <w:ilvl w:val="0"/>
          <w:numId w:val="1149"/>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No hay un coste propio de cada bien, sino del proceso.</w:t>
      </w:r>
    </w:p>
    <w:bookmarkEnd w:id="312"/>
    <w:bookmarkStart w:id="320" w:name="b_modelo_11"/>
    <w:p>
      <w:pPr>
        <w:pStyle w:val="Heading4"/>
      </w:pPr>
      <w:r>
        <w:t xml:space="preserve">b) Modelo</w:t>
      </w:r>
    </w:p>
    <w:bookmarkStart w:id="313" w:name="i_supuestos_11"/>
    <w:p>
      <w:pPr>
        <w:pStyle w:val="Heading5"/>
      </w:pPr>
      <w:r>
        <w:t xml:space="preserve">i) Supuestos</w:t>
      </w:r>
    </w:p>
    <w:p>
      <w:pPr>
        <w:numPr>
          <w:ilvl w:val="0"/>
          <w:numId w:val="1150"/>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150"/>
        </w:numPr>
      </w:pPr>
      <w:r>
        <w:t xml:space="preserve">El monopolista puede desechar lo que sobre de cada bien.</w:t>
      </w:r>
    </w:p>
    <w:bookmarkEnd w:id="313"/>
    <w:bookmarkStart w:id="318" w:name="ii_desarrollo_11"/>
    <w:p>
      <w:pPr>
        <w:pStyle w:val="Heading5"/>
      </w:pPr>
      <w:r>
        <w:t xml:space="preserve">ii) Desarrollo</w:t>
      </w:r>
    </w:p>
    <w:p>
      <w:pPr>
        <w:numPr>
          <w:ilvl w:val="0"/>
          <w:numId w:val="1151"/>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151"/>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151"/>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w:t>
      </w:r>
      <w:hyperlink w:anchor="fig_produccion_conjunta">
        <w:r>
          <w:rPr>
            <w:rStyle w:val="Hyperlink"/>
          </w:rPr>
          <w:t xml:space="preserve">18</w:t>
        </w:r>
      </w:hyperlink>
      <w:r>
        <w:t xml:space="preserve">).</w:t>
      </w:r>
    </w:p>
    <w:bookmarkStart w:id="317" w:name="fig_produccion_conjunta"/>
    <w:p>
      <w:pPr>
        <w:pStyle w:val="ImageCaption"/>
      </w:pPr>
      <w:r>
        <w:t xml:space="preserve">Gráfico 18.–</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Gráfico 18.– Producción conjunta en proporciones fijas: suma vertical de los ingresos marginales" title="" id="315" name="Picture"/>
            <a:graphic>
              <a:graphicData uri="http://schemas.openxmlformats.org/drawingml/2006/picture">
                <pic:pic>
                  <pic:nvPicPr>
                    <pic:cNvPr descr="C:\Users\vgutierrez\Documents\src\victorgutierrezmarcos.github.io-revision\oposicion\temario\fuentes\3A17\graficos/produccion-conjunta.png" id="316" name="Picture"/>
                    <pic:cNvPicPr>
                      <a:picLocks noChangeArrowheads="1" noChangeAspect="1"/>
                    </pic:cNvPicPr>
                  </pic:nvPicPr>
                  <pic:blipFill>
                    <a:blip r:embed="rId314"/>
                    <a:stretch>
                      <a:fillRect/>
                    </a:stretch>
                  </pic:blipFill>
                  <pic:spPr bwMode="auto">
                    <a:xfrm>
                      <a:off x="0" y="0"/>
                      <a:ext cx="3293674" cy="2697327"/>
                    </a:xfrm>
                    <a:prstGeom prst="rect">
                      <a:avLst/>
                    </a:prstGeom>
                    <a:noFill/>
                    <a:ln w="9525">
                      <a:noFill/>
                      <a:headEnd/>
                      <a:tailEnd/>
                    </a:ln>
                  </pic:spPr>
                </pic:pic>
              </a:graphicData>
            </a:graphic>
          </wp:inline>
        </w:drawing>
      </w:r>
    </w:p>
    <w:bookmarkEnd w:id="317"/>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w:t>
      </w:r>
    </w:p>
    <w:bookmarkEnd w:id="318"/>
    <w:bookmarkStart w:id="319" w:name="iii_implicaciones_11"/>
    <w:p>
      <w:pPr>
        <w:pStyle w:val="Heading5"/>
      </w:pPr>
      <w:r>
        <w:t xml:space="preserve">iii) Implicaciones</w:t>
      </w:r>
    </w:p>
    <w:p>
      <w:pPr>
        <w:numPr>
          <w:ilvl w:val="0"/>
          <w:numId w:val="1152"/>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319"/>
    <w:bookmarkEnd w:id="320"/>
    <w:bookmarkEnd w:id="321"/>
    <w:bookmarkStart w:id="322" w:name="anexo_ramsey"/>
    <w:p>
      <w:pPr>
        <w:pStyle w:val="Heading2"/>
      </w:pPr>
      <w:r>
        <w:t xml:space="preserve">B.6. Precios de</w:t>
      </w:r>
      <w:r>
        <w:t xml:space="preserve"> </w:t>
      </w:r>
      <w:r>
        <w:rPr>
          <w:smallCaps/>
        </w:rPr>
        <w:t xml:space="preserve">Ramsey</w:t>
      </w:r>
      <w:r>
        <w:t xml:space="preserve">-</w:t>
      </w:r>
      <w:r>
        <w:rPr>
          <w:smallCaps/>
        </w:rPr>
        <w:t xml:space="preserve">Boiteux</w:t>
      </w:r>
    </w:p>
    <w:p>
      <w:pPr>
        <w:numPr>
          <w:ilvl w:val="0"/>
          <w:numId w:val="1153"/>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53"/>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53"/>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 ∎</w:t>
      </w:r>
    </w:p>
    <w:p>
      <w:pPr>
        <w:numPr>
          <w:ilvl w:val="0"/>
          <w:numId w:val="1153"/>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322"/>
    <w:bookmarkStart w:id="323" w:name="anexo_sostenibilidad"/>
    <w:p>
      <w:pPr>
        <w:pStyle w:val="Heading2"/>
      </w:pPr>
      <w:r>
        <w:t xml:space="preserve">B.7. Sostenibilidad del monopolio natural con reacción del incumbente</w:t>
      </w:r>
    </w:p>
    <w:p>
      <w:pPr>
        <w:numPr>
          <w:ilvl w:val="0"/>
          <w:numId w:val="1154"/>
        </w:numPr>
      </w:pPr>
      <w:r>
        <w:t xml:space="preserve">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54"/>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54"/>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55"/>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55"/>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mayor. ∎</w:t>
      </w:r>
    </w:p>
    <w:p>
      <w:pPr>
        <w:numPr>
          <w:ilvl w:val="0"/>
          <w:numId w:val="1154"/>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323"/>
    <w:bookmarkStart w:id="324" w:name="anexo_cuatro_casos"/>
    <w:p>
      <w:pPr>
        <w:pStyle w:val="Heading2"/>
      </w:pPr>
      <w:r>
        <w:t xml:space="preserve">B.8. Poder de mercado en el bien y en el trabajo: los 4 casos y el sindicato</w:t>
      </w:r>
    </w:p>
    <w:p>
      <w:pPr>
        <w:numPr>
          <w:ilvl w:val="0"/>
          <w:numId w:val="1156"/>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56"/>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56"/>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w:t>
      </w:r>
      <w:hyperlink w:anchor="tab_cuatro_casos">
        <w:r>
          <w:rPr>
            <w:rStyle w:val="Hyperlink"/>
          </w:rPr>
          <w:t xml:space="preserve">3</w:t>
        </w:r>
      </w:hyperlink>
      <w:r>
        <w:t xml:space="preserve">. El IPMg queda por debajo del VPMg, porque vender más baja el precio de todas las unidades, y el GMg por encima de la oferta, porque contratar más sube el salario de todos. El salario lo da siempre la oferta de trabajo en la cantidad contratada. ∎</w:t>
      </w:r>
    </w:p>
    <w:p>
      <w:pPr>
        <w:numPr>
          <w:ilvl w:val="0"/>
          <w:numId w:val="1156"/>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w:t>
      </w:r>
      <w:hyperlink w:anchor="sec_monopolio_bilateral">
        <w:r>
          <w:rPr>
            <w:rStyle w:val="Hyperlink"/>
          </w:rPr>
          <w:t xml:space="preserve">III.2</w:t>
        </w:r>
      </w:hyperlink>
      <w:r>
        <w:t xml:space="preserve">). ∎</w:t>
      </w:r>
    </w:p>
    <w:bookmarkEnd w:id="324"/>
    <w:bookmarkStart w:id="325" w:name="anexo_nash"/>
    <w:p>
      <w:pPr>
        <w:pStyle w:val="Heading2"/>
      </w:pPr>
      <w:r>
        <w:t xml:space="preserve">B.9. Solución de</w:t>
      </w:r>
      <w:r>
        <w:t xml:space="preserve"> </w:t>
      </w:r>
      <w:r>
        <w:rPr>
          <w:smallCaps/>
        </w:rPr>
        <w:t xml:space="preserve">Nash</w:t>
      </w:r>
      <w:r>
        <w:t xml:space="preserve"> </w:t>
      </w:r>
      <w:r>
        <w:t xml:space="preserve">del monopolio bilateral</w:t>
      </w:r>
    </w:p>
    <w:p>
      <w:pPr>
        <w:numPr>
          <w:ilvl w:val="0"/>
          <w:numId w:val="1157"/>
        </w:numPr>
      </w:pPr>
      <w:r>
        <w:t xml:space="preserve">Tomando logaritmos en (</w:t>
      </w:r>
      <w:hyperlink w:anchor="eq_nash_bilateral">
        <w:r>
          <w:rPr>
            <w:rStyle w:val="Hyperlink"/>
          </w:rPr>
          <w:t xml:space="preserve">21</w:t>
        </w:r>
      </w:hyperlink>
      <w:r>
        <w:t xml:space="preserve">),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57"/>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57"/>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57"/>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. ∎</w:t>
      </w:r>
    </w:p>
    <w:bookmarkEnd w:id="325"/>
    <w:bookmarkStart w:id="326" w:name="anexo_aj"/>
    <w:p>
      <w:pPr>
        <w:pStyle w:val="Heading2"/>
      </w:pPr>
      <w:r>
        <w:t xml:space="preserve">B.10. Efecto</w:t>
      </w:r>
      <w:r>
        <w:t xml:space="preserve"> </w:t>
      </w:r>
      <w:r>
        <w:rPr>
          <w:smallCaps/>
        </w:rPr>
        <w:t xml:space="preserve">Averch</w:t>
      </w:r>
      <w:r>
        <w:t xml:space="preserve">-</w:t>
      </w:r>
      <w:r>
        <w:rPr>
          <w:smallCaps/>
        </w:rPr>
        <w:t xml:space="preserve">Johnson</w:t>
      </w:r>
    </w:p>
    <w:p>
      <w:pPr>
        <w:numPr>
          <w:ilvl w:val="0"/>
          <w:numId w:val="1158"/>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58"/>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58"/>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58"/>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Sobrecapitaliza. ∎</w:t>
      </w:r>
    </w:p>
    <w:bookmarkEnd w:id="326"/>
    <w:bookmarkEnd w:id="327"/>
    <w:bookmarkStart w:id="330" w:name="anexo_test"/>
    <w:p>
      <w:pPr>
        <w:pStyle w:val="Heading1"/>
      </w:pPr>
      <w:r>
        <w:t xml:space="preserve">C. Anexo: aspectos para el test y preguntas del tribunal</w:t>
      </w:r>
    </w:p>
    <w:p>
      <w:pPr>
        <w:pStyle w:val="Cajadeanotaciones"/>
      </w:pPr>
      <w:r>
        <w:t xml:space="preserve">Preguntas tipo test del primer ejercicio:</w:t>
      </w:r>
      <w:r>
        <w:t xml:space="preserve"> </w:t>
      </w:r>
      <w:hyperlink r:id="rId328">
        <w:r>
          <w:rPr>
            <w:rStyle w:val="Hyperlink"/>
          </w:rPr>
          <w:t xml:space="preserve">simulador de test</w:t>
        </w:r>
      </w:hyperlink>
      <w:r>
        <w:t xml:space="preserve">.</w:t>
      </w:r>
    </w:p>
    <w:p>
      <w:pPr>
        <w:numPr>
          <w:ilvl w:val="0"/>
          <w:numId w:val="1159"/>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59"/>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59"/>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59"/>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59"/>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numPr>
          <w:ilvl w:val="0"/>
          <w:numId w:val="1159"/>
        </w:numPr>
      </w:pPr>
      <w:r>
        <w:rPr>
          <w:i/>
          <w:iCs/>
        </w:rPr>
        <w:t xml:space="preserve">Segundo grado con 2 tipos</w:t>
      </w:r>
      <w:r>
        <w:t xml:space="preserve">: no hay distorsión arriba; el tipo bajo compra menos de lo eficiente y no tiene excedente; el alto se queda con una renta informativa.</w:t>
      </w:r>
    </w:p>
    <w:p>
      <w:pPr>
        <w:numPr>
          <w:ilvl w:val="0"/>
          <w:numId w:val="1159"/>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59"/>
        </w:numPr>
      </w:pPr>
      <w:r>
        <w:rPr>
          <w:i/>
          <w:iCs/>
        </w:rPr>
        <w:t xml:space="preserve">Primer grado</w:t>
      </w:r>
      <w:r>
        <w:t xml:space="preserve">: eficiente (la cantidad es la competitiva), excedente del consumidor nulo.</w:t>
      </w:r>
    </w:p>
    <w:p>
      <w:pPr>
        <w:numPr>
          <w:ilvl w:val="0"/>
          <w:numId w:val="1159"/>
        </w:numPr>
      </w:pPr>
      <w:r>
        <w:rPr>
          <w:i/>
          <w:iCs/>
        </w:rPr>
        <w:t xml:space="preserve">Monopolio natural</w:t>
      </w:r>
      <w:r>
        <w:t xml:space="preserve">: la subaditividad es la definición; las economías de escala son suficientes pero no necesarias; las economías de alcance, necesarias pero no suficientes en el multiproducto; las pruebas de subsidios cruzados, necesarias para la sostenibilidad.</w:t>
      </w:r>
    </w:p>
    <w:p>
      <w:pPr>
        <w:numPr>
          <w:ilvl w:val="0"/>
          <w:numId w:val="1159"/>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59"/>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59"/>
        </w:numPr>
      </w:pPr>
      <w:r>
        <w:rPr>
          <w:i/>
          <w:iCs/>
        </w:rPr>
        <w:t xml:space="preserve">Doble marginalización</w:t>
      </w:r>
      <w:r>
        <w:t xml:space="preserve">: con demanda lineal, la cadena separada vende la mitad que la integrada.</w:t>
      </w:r>
    </w:p>
    <w:p>
      <w:pPr>
        <w:numPr>
          <w:ilvl w:val="0"/>
          <w:numId w:val="1159"/>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329" w:name="preguntas_probables_del_tribunal"/>
    <w:p>
      <w:pPr>
        <w:pStyle w:val="Heading4"/>
      </w:pPr>
      <w:r>
        <w:t xml:space="preserve">Preguntas probables del tribunal</w:t>
      </w:r>
    </w:p>
    <w:p>
      <w:pPr>
        <w:numPr>
          <w:ilvl w:val="0"/>
          <w:numId w:val="1160"/>
        </w:numPr>
      </w:pPr>
      <w:r>
        <w:t xml:space="preserve">¿Por qué el monopolista no tiene curva de oferta? ¿Por qué nunca produce en el tramo inelástico?</w:t>
      </w:r>
    </w:p>
    <w:p>
      <w:pPr>
        <w:numPr>
          <w:ilvl w:val="0"/>
          <w:numId w:val="1160"/>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60"/>
        </w:numPr>
      </w:pPr>
      <w:r>
        <w:t xml:space="preserve">¿Es eficiente la discriminación de primer grado? ¿Cuándo aumenta el excedente total la de tercer grado?</w:t>
      </w:r>
    </w:p>
    <w:p>
      <w:pPr>
        <w:numPr>
          <w:ilvl w:val="0"/>
          <w:numId w:val="1160"/>
        </w:numPr>
      </w:pPr>
      <w:r>
        <w:t xml:space="preserve">¿Por qué en la discriminación de segundo grado se distorsiona la cantidad del tipo bajo y no la del alto?</w:t>
      </w:r>
    </w:p>
    <w:p>
      <w:pPr>
        <w:numPr>
          <w:ilvl w:val="0"/>
          <w:numId w:val="1160"/>
        </w:numPr>
      </w:pPr>
      <w:r>
        <w:t xml:space="preserve">¿Son las economías de escala necesarias para que haya monopolio natural? ¿Y las de alcance en el multiproducto?</w:t>
      </w:r>
    </w:p>
    <w:p>
      <w:pPr>
        <w:numPr>
          <w:ilvl w:val="0"/>
          <w:numId w:val="1160"/>
        </w:numPr>
      </w:pPr>
      <w:r>
        <w:t xml:space="preserve">¿Qué dice la conjetura de</w:t>
      </w:r>
      <w:r>
        <w:t xml:space="preserve"> </w:t>
      </w:r>
      <w:r>
        <w:rPr>
          <w:smallCaps/>
        </w:rPr>
        <w:t xml:space="preserve">Coase</w:t>
      </w:r>
      <w:r>
        <w:t xml:space="preserve">?</w:t>
      </w:r>
    </w:p>
    <w:p>
      <w:pPr>
        <w:numPr>
          <w:ilvl w:val="0"/>
          <w:numId w:val="1160"/>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60"/>
        </w:numPr>
      </w:pPr>
      <w:r>
        <w:t xml:space="preserve">¿Hay paro involuntario con monopsonio? ¿Por qué un salario mínimo puede aumentar el empleo?</w:t>
      </w:r>
    </w:p>
    <w:p>
      <w:pPr>
        <w:numPr>
          <w:ilvl w:val="0"/>
          <w:numId w:val="1160"/>
        </w:numPr>
      </w:pPr>
      <w:r>
        <w:t xml:space="preserve">En el monopolio bilateral, ¿depende la cantidad del poder de negociación?</w:t>
      </w:r>
    </w:p>
    <w:p>
      <w:pPr>
        <w:numPr>
          <w:ilvl w:val="0"/>
          <w:numId w:val="1160"/>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29"/>
    <w:bookmarkEnd w:id="330"/>
    <w:bookmarkStart w:id="522" w:name="bibliografia"/>
    <w:p>
      <w:pPr>
        <w:pStyle w:val="Heading1"/>
      </w:pPr>
      <w:r>
        <w:t xml:space="preserve">Bibliografía</w:t>
      </w:r>
    </w:p>
    <w:bookmarkStart w:id="521" w:name="refs"/>
    <w:bookmarkStart w:id="332" w:name="ref_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331">
        <w:r>
          <w:rPr>
            <w:rStyle w:val="Hyperlink"/>
          </w:rPr>
          <w:t xml:space="preserve">https://doi.org/10.2307/1886045</w:t>
        </w:r>
      </w:hyperlink>
      <w:r>
        <w:t xml:space="preserve">.</w:t>
      </w:r>
    </w:p>
    <w:bookmarkEnd w:id="332"/>
    <w:bookmarkStart w:id="334"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333">
        <w:r>
          <w:rPr>
            <w:rStyle w:val="Hyperlink"/>
          </w:rPr>
          <w:t xml:space="preserve">https://doi.org/10.1093/qje/120.2.701</w:t>
        </w:r>
      </w:hyperlink>
      <w:r>
        <w:t xml:space="preserve">.</w:t>
      </w:r>
    </w:p>
    <w:bookmarkEnd w:id="334"/>
    <w:bookmarkStart w:id="335"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335"/>
    <w:bookmarkStart w:id="336"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36"/>
    <w:bookmarkStart w:id="337"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37"/>
    <w:bookmarkStart w:id="338"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38"/>
    <w:bookmarkStart w:id="340"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39">
        <w:r>
          <w:rPr>
            <w:rStyle w:val="Hyperlink"/>
          </w:rPr>
          <w:t xml:space="preserve">https://ideas.repec.org/a/aea/aecrev/v72y1982i1p1-15.html</w:t>
        </w:r>
      </w:hyperlink>
      <w:r>
        <w:t xml:space="preserve">.</w:t>
      </w:r>
    </w:p>
    <w:bookmarkEnd w:id="340"/>
    <w:bookmarkStart w:id="341"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41"/>
    <w:bookmarkStart w:id="343"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42">
        <w:r>
          <w:rPr>
            <w:rStyle w:val="Hyperlink"/>
          </w:rPr>
          <w:t xml:space="preserve">https://doi.org/10.2307/3003181</w:t>
        </w:r>
      </w:hyperlink>
      <w:r>
        <w:t xml:space="preserve">.</w:t>
      </w:r>
    </w:p>
    <w:bookmarkEnd w:id="343"/>
    <w:bookmarkStart w:id="344"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44"/>
    <w:bookmarkStart w:id="346"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45">
        <w:r>
          <w:rPr>
            <w:rStyle w:val="Hyperlink"/>
          </w:rPr>
          <w:t xml:space="preserve">https://doi.org/10.2307/1886017</w:t>
        </w:r>
      </w:hyperlink>
      <w:r>
        <w:t xml:space="preserve">.</w:t>
      </w:r>
    </w:p>
    <w:bookmarkEnd w:id="346"/>
    <w:bookmarkStart w:id="348"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47">
        <w:r>
          <w:rPr>
            <w:rStyle w:val="Hyperlink"/>
          </w:rPr>
          <w:t xml:space="preserve">https://doi.org/10.2307/2555382</w:t>
        </w:r>
      </w:hyperlink>
      <w:r>
        <w:t xml:space="preserve">.</w:t>
      </w:r>
    </w:p>
    <w:bookmarkEnd w:id="348"/>
    <w:bookmarkStart w:id="349"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49"/>
    <w:bookmarkStart w:id="351"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50">
        <w:r>
          <w:rPr>
            <w:rStyle w:val="Hyperlink"/>
          </w:rPr>
          <w:t xml:space="preserve">https://doi.org/10.2307/1905256</w:t>
        </w:r>
      </w:hyperlink>
      <w:r>
        <w:t xml:space="preserve">.</w:t>
      </w:r>
    </w:p>
    <w:bookmarkEnd w:id="351"/>
    <w:bookmarkStart w:id="353" w:name="ref_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52">
        <w:r>
          <w:rPr>
            <w:rStyle w:val="Hyperlink"/>
          </w:rPr>
          <w:t xml:space="preserve">https://doi.org/10.2307/2224123</w:t>
        </w:r>
      </w:hyperlink>
      <w:r>
        <w:t xml:space="preserve">.</w:t>
      </w:r>
    </w:p>
    <w:bookmarkEnd w:id="353"/>
    <w:bookmarkStart w:id="355"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54">
        <w:r>
          <w:rPr>
            <w:rStyle w:val="Hyperlink"/>
          </w:rPr>
          <w:t xml:space="preserve">https://doi.org/10.1016/S1573-448X(89)02011-X</w:t>
        </w:r>
      </w:hyperlink>
      <w:r>
        <w:t xml:space="preserve">.</w:t>
      </w:r>
    </w:p>
    <w:bookmarkEnd w:id="355"/>
    <w:bookmarkStart w:id="357" w:name="ref_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56">
        <w:r>
          <w:rPr>
            <w:rStyle w:val="Hyperlink"/>
          </w:rPr>
          <w:t xml:space="preserve">https://doi.org/10.1086/261058</w:t>
        </w:r>
      </w:hyperlink>
      <w:r>
        <w:t xml:space="preserve">.</w:t>
      </w:r>
    </w:p>
    <w:bookmarkEnd w:id="357"/>
    <w:bookmarkStart w:id="359" w:name="ref_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58">
        <w:r>
          <w:rPr>
            <w:rStyle w:val="Hyperlink"/>
          </w:rPr>
          <w:t xml:space="preserve">https://doi.org/10.1086/261135</w:t>
        </w:r>
      </w:hyperlink>
      <w:r>
        <w:t xml:space="preserve">.</w:t>
      </w:r>
    </w:p>
    <w:bookmarkEnd w:id="359"/>
    <w:bookmarkStart w:id="361"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60">
        <w:r>
          <w:rPr>
            <w:rStyle w:val="Hyperlink"/>
          </w:rPr>
          <w:t xml:space="preserve">https://www.gesetze-im-internet.de/aregv/anlage_3.html</w:t>
        </w:r>
      </w:hyperlink>
      <w:r>
        <w:t xml:space="preserve">.</w:t>
      </w:r>
    </w:p>
    <w:bookmarkEnd w:id="361"/>
    <w:bookmarkStart w:id="363"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62">
        <w:r>
          <w:rPr>
            <w:rStyle w:val="Hyperlink"/>
          </w:rPr>
          <w:t xml:space="preserve">https://www.bundesnetzagentur.de/DE/Beschlusskammern/BK08/BK8_05_EOG/54_Effizienzvgl/start.html</w:t>
        </w:r>
      </w:hyperlink>
      <w:r>
        <w:t xml:space="preserve">.</w:t>
      </w:r>
    </w:p>
    <w:bookmarkEnd w:id="363"/>
    <w:bookmarkStart w:id="365" w:name="ref_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64">
        <w:r>
          <w:rPr>
            <w:rStyle w:val="Hyperlink"/>
          </w:rPr>
          <w:t xml:space="preserve">https://ideas.repec.org/a/aea/aecrev/v84y1994i4p772-93.html</w:t>
        </w:r>
      </w:hyperlink>
      <w:r>
        <w:t xml:space="preserve">.</w:t>
      </w:r>
    </w:p>
    <w:bookmarkEnd w:id="365"/>
    <w:bookmarkStart w:id="367"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66">
        <w:r>
          <w:rPr>
            <w:rStyle w:val="Hyperlink"/>
          </w:rPr>
          <w:t xml:space="preserve">https://doi.org/10.2307/2549764</w:t>
        </w:r>
      </w:hyperlink>
      <w:r>
        <w:t xml:space="preserve">.</w:t>
      </w:r>
    </w:p>
    <w:bookmarkEnd w:id="367"/>
    <w:bookmarkStart w:id="369"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68">
        <w:r>
          <w:rPr>
            <w:rStyle w:val="Hyperlink"/>
          </w:rPr>
          <w:t xml:space="preserve">https://doi.org/10.1086/466731</w:t>
        </w:r>
      </w:hyperlink>
      <w:r>
        <w:t xml:space="preserve">.</w:t>
      </w:r>
    </w:p>
    <w:bookmarkEnd w:id="369"/>
    <w:bookmarkStart w:id="371"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70">
        <w:r>
          <w:rPr>
            <w:rStyle w:val="Hyperlink"/>
          </w:rPr>
          <w:t xml:space="preserve">https://www.cnmc.es/sites/default/files/1972516_6.pdf</w:t>
        </w:r>
      </w:hyperlink>
      <w:r>
        <w:t xml:space="preserve">.</w:t>
      </w:r>
    </w:p>
    <w:bookmarkEnd w:id="371"/>
    <w:bookmarkStart w:id="373"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72">
        <w:r>
          <w:rPr>
            <w:rStyle w:val="Hyperlink"/>
          </w:rPr>
          <w:t xml:space="preserve">https://www.cnmc.es/sites/default/files/2100627.pdf</w:t>
        </w:r>
      </w:hyperlink>
      <w:r>
        <w:t xml:space="preserve">.</w:t>
      </w:r>
    </w:p>
    <w:bookmarkEnd w:id="373"/>
    <w:bookmarkStart w:id="374"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74"/>
    <w:bookmarkStart w:id="376"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75">
        <w:r>
          <w:rPr>
            <w:rStyle w:val="Hyperlink"/>
          </w:rPr>
          <w:t xml:space="preserve">https://www.boe.es/buscar/act.php?id=BOE-A-2020-1066</w:t>
        </w:r>
      </w:hyperlink>
      <w:r>
        <w:t xml:space="preserve">.</w:t>
      </w:r>
    </w:p>
    <w:bookmarkEnd w:id="376"/>
    <w:bookmarkStart w:id="378"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7">
        <w:r>
          <w:rPr>
            <w:rStyle w:val="Hyperlink"/>
          </w:rPr>
          <w:t xml:space="preserve">https://eur-lex.europa.eu/eli/reg/2004/139/oj?locale=es</w:t>
        </w:r>
      </w:hyperlink>
      <w:r>
        <w:t xml:space="preserve">.</w:t>
      </w:r>
    </w:p>
    <w:bookmarkEnd w:id="378"/>
    <w:bookmarkStart w:id="37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79"/>
    <w:bookmarkStart w:id="381"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0">
        <w:r>
          <w:rPr>
            <w:rStyle w:val="Hyperlink"/>
          </w:rPr>
          <w:t xml:space="preserve">https://doi.org/10.2307/2231975</w:t>
        </w:r>
      </w:hyperlink>
      <w:r>
        <w:t xml:space="preserve">.</w:t>
      </w:r>
    </w:p>
    <w:bookmarkEnd w:id="381"/>
    <w:bookmarkStart w:id="383"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2">
        <w:r>
          <w:rPr>
            <w:rStyle w:val="Hyperlink"/>
          </w:rPr>
          <w:t xml:space="preserve">https://doi.org/10.1093/qje/qjz041</w:t>
        </w:r>
      </w:hyperlink>
      <w:r>
        <w:t xml:space="preserve">.</w:t>
      </w:r>
    </w:p>
    <w:bookmarkEnd w:id="383"/>
    <w:bookmarkStart w:id="385" w:name="ref_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84">
        <w:r>
          <w:rPr>
            <w:rStyle w:val="Hyperlink"/>
          </w:rPr>
          <w:t xml:space="preserve">https://doi.org/10.1093/jeea/jvac060</w:t>
        </w:r>
      </w:hyperlink>
      <w:r>
        <w:t xml:space="preserve">.</w:t>
      </w:r>
    </w:p>
    <w:bookmarkEnd w:id="385"/>
    <w:bookmarkStart w:id="387"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6">
        <w:r>
          <w:rPr>
            <w:rStyle w:val="Hyperlink"/>
          </w:rPr>
          <w:t xml:space="preserve">https://doi.org/10.1086/466643</w:t>
        </w:r>
      </w:hyperlink>
      <w:r>
        <w:t xml:space="preserve">.</w:t>
      </w:r>
    </w:p>
    <w:bookmarkEnd w:id="387"/>
    <w:bookmarkStart w:id="389" w:name="ref_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88">
        <w:r>
          <w:rPr>
            <w:rStyle w:val="Hyperlink"/>
          </w:rPr>
          <w:t xml:space="preserve">https://doi.org/10.1111/j.1430-9134.1996.00149.x</w:t>
        </w:r>
      </w:hyperlink>
      <w:r>
        <w:t xml:space="preserve">.</w:t>
      </w:r>
    </w:p>
    <w:bookmarkEnd w:id="389"/>
    <w:bookmarkStart w:id="391"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90">
        <w:r>
          <w:rPr>
            <w:rStyle w:val="Hyperlink"/>
          </w:rPr>
          <w:t xml:space="preserve">https://www.boe.es/diario_boe/txt.php?id=BOE-A-2026-19507</w:t>
        </w:r>
      </w:hyperlink>
      <w:r>
        <w:t xml:space="preserve">.</w:t>
      </w:r>
    </w:p>
    <w:bookmarkEnd w:id="391"/>
    <w:bookmarkStart w:id="392" w:name="ref_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92"/>
    <w:bookmarkStart w:id="393"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3"/>
    <w:bookmarkStart w:id="394" w:name="ref_Dupuit1849Peages"/>
    <w:p>
      <w:pPr>
        <w:pStyle w:val="Bibliography"/>
      </w:pPr>
      <w:r>
        <w:t xml:space="preserve">Dupuit, Jules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94"/>
    <w:bookmarkStart w:id="395"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95"/>
    <w:bookmarkStart w:id="397" w:name="ref_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96">
        <w:r>
          <w:rPr>
            <w:rStyle w:val="Hyperlink"/>
          </w:rPr>
          <w:t xml:space="preserve">https://doi.org/10.2307/1883013</w:t>
        </w:r>
      </w:hyperlink>
      <w:r>
        <w:t xml:space="preserve">.</w:t>
      </w:r>
    </w:p>
    <w:bookmarkEnd w:id="397"/>
    <w:bookmarkStart w:id="398"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8"/>
    <w:bookmarkStart w:id="400" w:name="ref_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399">
        <w:r>
          <w:rPr>
            <w:rStyle w:val="Hyperlink"/>
          </w:rPr>
          <w:t xml:space="preserve">https://ideas.repec.org/a/aea/aecrev/v65y1975i5p966-77.html</w:t>
        </w:r>
      </w:hyperlink>
      <w:r>
        <w:t xml:space="preserve">.</w:t>
      </w:r>
    </w:p>
    <w:bookmarkEnd w:id="400"/>
    <w:bookmarkStart w:id="402" w:name="ref_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401">
        <w:r>
          <w:rPr>
            <w:rStyle w:val="Hyperlink"/>
          </w:rPr>
          <w:t xml:space="preserve">https://doi.org/10.2307/1879566</w:t>
        </w:r>
      </w:hyperlink>
      <w:r>
        <w:t xml:space="preserve">.</w:t>
      </w:r>
    </w:p>
    <w:bookmarkEnd w:id="402"/>
    <w:bookmarkStart w:id="404"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3">
        <w:r>
          <w:rPr>
            <w:rStyle w:val="Hyperlink"/>
          </w:rPr>
          <w:t xml:space="preserve">https://doi.org/10.2307/2297615</w:t>
        </w:r>
      </w:hyperlink>
      <w:r>
        <w:t xml:space="preserve">.</w:t>
      </w:r>
    </w:p>
    <w:bookmarkEnd w:id="404"/>
    <w:bookmarkStart w:id="405" w:name="ref_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405"/>
    <w:bookmarkStart w:id="407" w:name="ref_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406">
        <w:r>
          <w:rPr>
            <w:rStyle w:val="Hyperlink"/>
          </w:rPr>
          <w:t xml:space="preserve">https://doi.org/10.1016/0022-0531(86)90024-4</w:t>
        </w:r>
      </w:hyperlink>
      <w:r>
        <w:t xml:space="preserve">.</w:t>
      </w:r>
    </w:p>
    <w:bookmarkEnd w:id="407"/>
    <w:bookmarkStart w:id="408"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8"/>
    <w:bookmarkStart w:id="410"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409">
        <w:r>
          <w:rPr>
            <w:rStyle w:val="Hyperlink"/>
          </w:rPr>
          <w:t xml:space="preserve">https://doi.org/10.2307/1907343</w:t>
        </w:r>
      </w:hyperlink>
      <w:r>
        <w:t xml:space="preserve">.</w:t>
      </w:r>
    </w:p>
    <w:bookmarkEnd w:id="410"/>
    <w:bookmarkStart w:id="412"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411">
        <w:r>
          <w:rPr>
            <w:rStyle w:val="Hyperlink"/>
          </w:rPr>
          <w:t xml:space="preserve">https://doi.org/10.2307/2224214</w:t>
        </w:r>
      </w:hyperlink>
      <w:r>
        <w:t xml:space="preserve">.</w:t>
      </w:r>
    </w:p>
    <w:bookmarkEnd w:id="412"/>
    <w:bookmarkStart w:id="414"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3">
        <w:r>
          <w:rPr>
            <w:rStyle w:val="Hyperlink"/>
          </w:rPr>
          <w:t xml:space="preserve">https://doi.org/10.2307/1907054</w:t>
        </w:r>
      </w:hyperlink>
      <w:r>
        <w:t xml:space="preserve">.</w:t>
      </w:r>
    </w:p>
    <w:bookmarkEnd w:id="414"/>
    <w:bookmarkStart w:id="415" w:name="ref_ICEXCECO3A17"/>
    <w:p>
      <w:pPr>
        <w:pStyle w:val="Bibliography"/>
      </w:pPr>
      <w:r>
        <w:t xml:space="preserve">ICEX-CECO (s. f.).</w:t>
      </w:r>
      <w:r>
        <w:t xml:space="preserve"> </w:t>
      </w:r>
      <w:r>
        <w:t xml:space="preserve">«Apuntes de los temas 3.A.17 y 3.A.25 (temario anterior): monopolio y regulación»</w:t>
      </w:r>
      <w:r>
        <w:t xml:space="preserve">. ICEX-CECO.</w:t>
      </w:r>
    </w:p>
    <w:bookmarkEnd w:id="415"/>
    <w:bookmarkStart w:id="416"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6"/>
    <w:bookmarkStart w:id="418" w:name="ref_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417">
        <w:r>
          <w:rPr>
            <w:rStyle w:val="Hyperlink"/>
          </w:rPr>
          <w:t xml:space="preserve">https://www.boe.es/eli/es/l/2013/06/04/3</w:t>
        </w:r>
      </w:hyperlink>
      <w:r>
        <w:t xml:space="preserve">.</w:t>
      </w:r>
    </w:p>
    <w:bookmarkEnd w:id="418"/>
    <w:bookmarkStart w:id="420" w:name="ref_BOE2015Desindexacion"/>
    <w:p>
      <w:pPr>
        <w:pStyle w:val="Bibliography"/>
      </w:pPr>
      <w:r>
        <w:t xml:space="preserve">Jefatura del Estado (2015).</w:t>
      </w:r>
      <w:r>
        <w:t xml:space="preserve"> </w:t>
      </w:r>
      <w:r>
        <w:t xml:space="preserve">«Ley 2/2015, de 30 de marzo, de desindexación de la economía española (BOE-A-2015-3443)»</w:t>
      </w:r>
      <w:r>
        <w:t xml:space="preserve">. 2015.</w:t>
      </w:r>
      <w:r>
        <w:t xml:space="preserve"> </w:t>
      </w:r>
      <w:hyperlink r:id="rId419">
        <w:r>
          <w:rPr>
            <w:rStyle w:val="Hyperlink"/>
          </w:rPr>
          <w:t xml:space="preserve">https://www.boe.es/buscar/act.php?id=BOE-A-2015-3443</w:t>
        </w:r>
      </w:hyperlink>
      <w:r>
        <w:t xml:space="preserve">.</w:t>
      </w:r>
    </w:p>
    <w:bookmarkEnd w:id="420"/>
    <w:bookmarkStart w:id="422"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21">
        <w:r>
          <w:rPr>
            <w:rStyle w:val="Hyperlink"/>
          </w:rPr>
          <w:t xml:space="preserve">https://doi.org/10.1086/466794</w:t>
        </w:r>
      </w:hyperlink>
      <w:r>
        <w:t xml:space="preserve">.</w:t>
      </w:r>
    </w:p>
    <w:bookmarkEnd w:id="422"/>
    <w:bookmarkStart w:id="423"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23"/>
    <w:bookmarkStart w:id="424"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24"/>
    <w:bookmarkStart w:id="426"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25">
        <w:r>
          <w:rPr>
            <w:rStyle w:val="Hyperlink"/>
          </w:rPr>
          <w:t xml:space="preserve">https://doi.org/10.1086/261392</w:t>
        </w:r>
      </w:hyperlink>
      <w:r>
        <w:t xml:space="preserve">.</w:t>
      </w:r>
    </w:p>
    <w:bookmarkEnd w:id="426"/>
    <w:bookmarkStart w:id="428"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27">
        <w:r>
          <w:rPr>
            <w:rStyle w:val="Hyperlink"/>
          </w:rPr>
          <w:t xml:space="preserve">https://doi.org/10.2307/1911362</w:t>
        </w:r>
      </w:hyperlink>
      <w:r>
        <w:t xml:space="preserve">.</w:t>
      </w:r>
    </w:p>
    <w:bookmarkEnd w:id="428"/>
    <w:bookmarkStart w:id="430"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29">
        <w:r>
          <w:rPr>
            <w:rStyle w:val="Hyperlink"/>
          </w:rPr>
          <w:t xml:space="preserve">https://doi.org/10.2307/2937958</w:t>
        </w:r>
      </w:hyperlink>
      <w:r>
        <w:t xml:space="preserve">.</w:t>
      </w:r>
    </w:p>
    <w:bookmarkEnd w:id="430"/>
    <w:bookmarkStart w:id="431"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431"/>
    <w:bookmarkStart w:id="433"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32">
        <w:r>
          <w:rPr>
            <w:rStyle w:val="Hyperlink"/>
          </w:rPr>
          <w:t xml:space="preserve">https://www.jstor.org/stable/1823775</w:t>
        </w:r>
      </w:hyperlink>
      <w:r>
        <w:t xml:space="preserve">.</w:t>
      </w:r>
    </w:p>
    <w:bookmarkEnd w:id="433"/>
    <w:bookmarkStart w:id="435"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34">
        <w:r>
          <w:rPr>
            <w:rStyle w:val="Hyperlink"/>
          </w:rPr>
          <w:t xml:space="preserve">https://doi.org/10.2307/2967480</w:t>
        </w:r>
      </w:hyperlink>
      <w:r>
        <w:t xml:space="preserve">.</w:t>
      </w:r>
    </w:p>
    <w:bookmarkEnd w:id="435"/>
    <w:bookmarkStart w:id="436" w:name="ref_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36"/>
    <w:bookmarkStart w:id="438"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37">
        <w:r>
          <w:rPr>
            <w:rStyle w:val="Hyperlink"/>
          </w:rPr>
          <w:t xml:space="preserve">https://doi.org/10.1086/466949</w:t>
        </w:r>
      </w:hyperlink>
      <w:r>
        <w:t xml:space="preserve">.</w:t>
      </w:r>
    </w:p>
    <w:bookmarkEnd w:id="438"/>
    <w:bookmarkStart w:id="439" w:name="ref_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39"/>
    <w:bookmarkStart w:id="441"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40">
        <w:r>
          <w:rPr>
            <w:rStyle w:val="Hyperlink"/>
          </w:rPr>
          <w:t xml:space="preserve">https://www.marxists.org/reference/subject/economics/marshall/bk1ch01.htm</w:t>
        </w:r>
      </w:hyperlink>
      <w:r>
        <w:t xml:space="preserve">.</w:t>
      </w:r>
    </w:p>
    <w:bookmarkEnd w:id="441"/>
    <w:bookmarkStart w:id="443"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42">
        <w:r>
          <w:rPr>
            <w:rStyle w:val="Hyperlink"/>
          </w:rPr>
          <w:t xml:space="preserve">https://doi.org/10.2307/2555674</w:t>
        </w:r>
      </w:hyperlink>
      <w:r>
        <w:t xml:space="preserve">.</w:t>
      </w:r>
    </w:p>
    <w:bookmarkEnd w:id="443"/>
    <w:bookmarkStart w:id="445" w:name="ref_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44">
        <w:r>
          <w:rPr>
            <w:rStyle w:val="Hyperlink"/>
          </w:rPr>
          <w:t xml:space="preserve">https://ideas.repec.org/a/aea/aecrev/v71y1981i5p896-908.html</w:t>
        </w:r>
      </w:hyperlink>
      <w:r>
        <w:t xml:space="preserve">.</w:t>
      </w:r>
    </w:p>
    <w:bookmarkEnd w:id="445"/>
    <w:bookmarkStart w:id="447" w:name="ref_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46">
        <w:r>
          <w:rPr>
            <w:rStyle w:val="Hyperlink"/>
          </w:rPr>
          <w:t xml:space="preserve">https://www.gutenberg.org/cache/epub/30107/pg30107.txt</w:t>
        </w:r>
      </w:hyperlink>
      <w:r>
        <w:t xml:space="preserve">.</w:t>
      </w:r>
    </w:p>
    <w:bookmarkEnd w:id="447"/>
    <w:bookmarkStart w:id="449"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48">
        <w:r>
          <w:rPr>
            <w:rStyle w:val="Hyperlink"/>
          </w:rPr>
          <w:t xml:space="preserve">https://www.boe.es/eli/es/rd/2017/02/03/55</w:t>
        </w:r>
      </w:hyperlink>
      <w:r>
        <w:t xml:space="preserve">.</w:t>
      </w:r>
    </w:p>
    <w:bookmarkEnd w:id="449"/>
    <w:bookmarkStart w:id="451" w:name="ref_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50">
        <w:r>
          <w:rPr>
            <w:rStyle w:val="Hyperlink"/>
          </w:rPr>
          <w:t xml:space="preserve">https://www.boe.es/diario_boe/txt.php?id=BOE-A-2026-3815</w:t>
        </w:r>
      </w:hyperlink>
      <w:r>
        <w:t xml:space="preserve">.</w:t>
      </w:r>
    </w:p>
    <w:bookmarkEnd w:id="451"/>
    <w:bookmarkStart w:id="453"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52">
        <w:r>
          <w:rPr>
            <w:rStyle w:val="Hyperlink"/>
          </w:rPr>
          <w:t xml:space="preserve">https://doi.org/10.1086/258035</w:t>
        </w:r>
      </w:hyperlink>
      <w:r>
        <w:t xml:space="preserve">.</w:t>
      </w:r>
    </w:p>
    <w:bookmarkEnd w:id="453"/>
    <w:bookmarkStart w:id="455"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54">
        <w:r>
          <w:rPr>
            <w:rStyle w:val="Hyperlink"/>
          </w:rPr>
          <w:t xml:space="preserve">https://doi.org/10.1016/0022-0531(78)90085-6</w:t>
        </w:r>
      </w:hyperlink>
      <w:r>
        <w:t xml:space="preserve">.</w:t>
      </w:r>
    </w:p>
    <w:bookmarkEnd w:id="455"/>
    <w:bookmarkStart w:id="457"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56">
        <w:r>
          <w:rPr>
            <w:rStyle w:val="Hyperlink"/>
          </w:rPr>
          <w:t xml:space="preserve">https://doi.org/10.2307/1907266</w:t>
        </w:r>
      </w:hyperlink>
      <w:r>
        <w:t xml:space="preserve">.</w:t>
      </w:r>
    </w:p>
    <w:bookmarkEnd w:id="457"/>
    <w:bookmarkStart w:id="459"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58">
        <w:r>
          <w:rPr>
            <w:rStyle w:val="Hyperlink"/>
          </w:rPr>
          <w:t xml:space="preserve">https://doi.org/10.2307/1881841</w:t>
        </w:r>
      </w:hyperlink>
      <w:r>
        <w:t xml:space="preserve">.</w:t>
      </w:r>
    </w:p>
    <w:bookmarkEnd w:id="459"/>
    <w:bookmarkStart w:id="461"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60">
        <w:r>
          <w:rPr>
            <w:rStyle w:val="Hyperlink"/>
          </w:rPr>
          <w:t xml:space="preserve">https://doi.org/10.4159/9780674041660</w:t>
        </w:r>
      </w:hyperlink>
      <w:r>
        <w:t xml:space="preserve">.</w:t>
      </w:r>
    </w:p>
    <w:bookmarkEnd w:id="461"/>
    <w:bookmarkStart w:id="463"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62">
        <w:r>
          <w:rPr>
            <w:rStyle w:val="Hyperlink"/>
          </w:rPr>
          <w:t xml:space="preserve">https://doi.org/10.2307/3003484</w:t>
        </w:r>
      </w:hyperlink>
      <w:r>
        <w:t xml:space="preserve">.</w:t>
      </w:r>
    </w:p>
    <w:bookmarkEnd w:id="463"/>
    <w:bookmarkStart w:id="465"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64">
        <w:r>
          <w:rPr>
            <w:rStyle w:val="Hyperlink"/>
          </w:rPr>
          <w:t xml:space="preserve">https://doi.org/10.1086/466865</w:t>
        </w:r>
      </w:hyperlink>
      <w:r>
        <w:t xml:space="preserve">.</w:t>
      </w:r>
    </w:p>
    <w:bookmarkEnd w:id="465"/>
    <w:bookmarkStart w:id="467"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66">
        <w:r>
          <w:rPr>
            <w:rStyle w:val="Hyperlink"/>
          </w:rPr>
          <w:t xml:space="preserve">https://www.econlib.org/library/NPDBooks/Pigou/pgEW28.html</w:t>
        </w:r>
      </w:hyperlink>
      <w:r>
        <w:t xml:space="preserve">.</w:t>
      </w:r>
    </w:p>
    <w:bookmarkEnd w:id="467"/>
    <w:bookmarkStart w:id="469"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68">
        <w:r>
          <w:rPr>
            <w:rStyle w:val="Hyperlink"/>
          </w:rPr>
          <w:t xml:space="preserve">https://doi.org/10.1086/260357</w:t>
        </w:r>
      </w:hyperlink>
      <w:r>
        <w:t xml:space="preserve">.</w:t>
      </w:r>
    </w:p>
    <w:bookmarkEnd w:id="469"/>
    <w:bookmarkStart w:id="470"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94">
        <w:r>
          <w:rPr>
            <w:rStyle w:val="Hyperlink"/>
          </w:rPr>
          <w:t xml:space="preserve">https://www.promarket.org/2021/07/27/assessing-george-stiglers-economic-theory-of-regulation/</w:t>
        </w:r>
      </w:hyperlink>
      <w:r>
        <w:t xml:space="preserve">.</w:t>
      </w:r>
    </w:p>
    <w:bookmarkEnd w:id="470"/>
    <w:bookmarkStart w:id="472"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71">
        <w:r>
          <w:rPr>
            <w:rStyle w:val="Hyperlink"/>
          </w:rPr>
          <w:t xml:space="preserve">https://doi.org/10.2307/2222721</w:t>
        </w:r>
      </w:hyperlink>
      <w:r>
        <w:t xml:space="preserve">.</w:t>
      </w:r>
    </w:p>
    <w:bookmarkEnd w:id="472"/>
    <w:bookmarkStart w:id="474" w:name="ref_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73">
        <w:r>
          <w:rPr>
            <w:rStyle w:val="Hyperlink"/>
          </w:rPr>
          <w:t xml:space="preserve">https://plato.stanford.edu/entries/ceteris-paribus/</w:t>
        </w:r>
      </w:hyperlink>
      <w:r>
        <w:t xml:space="preserve">.</w:t>
      </w:r>
    </w:p>
    <w:bookmarkEnd w:id="474"/>
    <w:bookmarkStart w:id="476" w:name="ref_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75">
        <w:r>
          <w:rPr>
            <w:rStyle w:val="Hyperlink"/>
          </w:rPr>
          <w:t xml:space="preserve">https://www.gutenberg.org/cache/epub/33310/pg33310.txt</w:t>
        </w:r>
      </w:hyperlink>
      <w:r>
        <w:t xml:space="preserve">.</w:t>
      </w:r>
    </w:p>
    <w:bookmarkEnd w:id="476"/>
    <w:bookmarkStart w:id="477"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77"/>
    <w:bookmarkStart w:id="479"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78">
        <w:r>
          <w:rPr>
            <w:rStyle w:val="Hyperlink"/>
          </w:rPr>
          <w:t xml:space="preserve">https://doi.org/10.2307/1912531</w:t>
        </w:r>
      </w:hyperlink>
      <w:r>
        <w:t xml:space="preserve">.</w:t>
      </w:r>
    </w:p>
    <w:bookmarkEnd w:id="479"/>
    <w:bookmarkStart w:id="481" w:name="ref_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80">
        <w:r>
          <w:rPr>
            <w:rStyle w:val="Hyperlink"/>
          </w:rPr>
          <w:t xml:space="preserve">https://www.youtube.com/watch?v=TO4snWe61JE</w:t>
        </w:r>
      </w:hyperlink>
      <w:r>
        <w:t xml:space="preserve">.</w:t>
      </w:r>
    </w:p>
    <w:bookmarkEnd w:id="481"/>
    <w:bookmarkStart w:id="482" w:name="ref_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82"/>
    <w:bookmarkStart w:id="484"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83">
        <w:r>
          <w:rPr>
            <w:rStyle w:val="Hyperlink"/>
          </w:rPr>
          <w:t xml:space="preserve">https://minneapolisfed.org/article/2012/new-and-larger-costs-of-monopoly-and-tariffs</w:t>
        </w:r>
      </w:hyperlink>
      <w:r>
        <w:t xml:space="preserve">.</w:t>
      </w:r>
    </w:p>
    <w:bookmarkEnd w:id="484"/>
    <w:bookmarkStart w:id="485"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85"/>
    <w:bookmarkStart w:id="48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86"/>
    <w:bookmarkStart w:id="487"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87"/>
    <w:bookmarkStart w:id="489"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88">
        <w:r>
          <w:rPr>
            <w:rStyle w:val="Hyperlink"/>
          </w:rPr>
          <w:t xml:space="preserve">https://www.gutenberg.org/cache/epub/3300/pg3300.txt</w:t>
        </w:r>
      </w:hyperlink>
      <w:r>
        <w:t xml:space="preserve">.</w:t>
      </w:r>
    </w:p>
    <w:bookmarkEnd w:id="489"/>
    <w:bookmarkStart w:id="491"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90">
        <w:r>
          <w:rPr>
            <w:rStyle w:val="Hyperlink"/>
          </w:rPr>
          <w:t xml:space="preserve">https://doi.org/10.1086/256964</w:t>
        </w:r>
      </w:hyperlink>
      <w:r>
        <w:t xml:space="preserve">.</w:t>
      </w:r>
    </w:p>
    <w:bookmarkEnd w:id="491"/>
    <w:bookmarkStart w:id="493"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92">
        <w:r>
          <w:rPr>
            <w:rStyle w:val="Hyperlink"/>
          </w:rPr>
          <w:t xml:space="preserve">https://doi.org/10.2307/1885712</w:t>
        </w:r>
      </w:hyperlink>
      <w:r>
        <w:t xml:space="preserve">.</w:t>
      </w:r>
    </w:p>
    <w:bookmarkEnd w:id="493"/>
    <w:bookmarkStart w:id="494"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95">
        <w:r>
          <w:rPr>
            <w:rStyle w:val="Hyperlink"/>
          </w:rPr>
          <w:t xml:space="preserve">https://www.youtube.com/watch?v=lhD5s-4v3oM</w:t>
        </w:r>
      </w:hyperlink>
      <w:r>
        <w:t xml:space="preserve">.</w:t>
      </w:r>
    </w:p>
    <w:bookmarkEnd w:id="494"/>
    <w:bookmarkStart w:id="496"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95">
        <w:r>
          <w:rPr>
            <w:rStyle w:val="Hyperlink"/>
          </w:rPr>
          <w:t xml:space="preserve">https://doi.org/10.2307/3003160</w:t>
        </w:r>
      </w:hyperlink>
      <w:r>
        <w:t xml:space="preserve">.</w:t>
      </w:r>
    </w:p>
    <w:bookmarkEnd w:id="496"/>
    <w:bookmarkStart w:id="498"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97">
        <w:r>
          <w:rPr>
            <w:rStyle w:val="Hyperlink"/>
          </w:rPr>
          <w:t xml:space="preserve">https://www.nobelprize.org/prizes/economic-sciences/1982/summary/</w:t>
        </w:r>
      </w:hyperlink>
      <w:r>
        <w:t xml:space="preserve">.</w:t>
      </w:r>
    </w:p>
    <w:bookmarkEnd w:id="498"/>
    <w:bookmarkStart w:id="500"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99">
        <w:r>
          <w:rPr>
            <w:rStyle w:val="Hyperlink"/>
          </w:rPr>
          <w:t xml:space="preserve">https://www.nobelprize.org/prizes/economic-sciences/2014/summary/</w:t>
        </w:r>
      </w:hyperlink>
      <w:r>
        <w:t xml:space="preserve">.</w:t>
      </w:r>
    </w:p>
    <w:bookmarkEnd w:id="500"/>
    <w:bookmarkStart w:id="50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01"/>
    <w:bookmarkStart w:id="503" w:name="ref_Nobel2014TiroleLecture"/>
    <w:p>
      <w:pPr>
        <w:pStyle w:val="Bibliography"/>
      </w:pPr>
      <w:r>
        <w:t xml:space="preserve">Tirole, Jean (2014).</w:t>
      </w:r>
      <w:r>
        <w:t xml:space="preserve"> </w:t>
      </w:r>
      <w:r>
        <w:t xml:space="preserve">«Market Failures and Public Policy (Prize Lecture)»</w:t>
      </w:r>
      <w:r>
        <w:t xml:space="preserve">. 2014.</w:t>
      </w:r>
      <w:r>
        <w:t xml:space="preserve"> </w:t>
      </w:r>
      <w:hyperlink r:id="rId502">
        <w:r>
          <w:rPr>
            <w:rStyle w:val="Hyperlink"/>
          </w:rPr>
          <w:t xml:space="preserve">https://www.nobelprize.org/prizes/economic-sciences/2014/tirole/lecture/</w:t>
        </w:r>
      </w:hyperlink>
      <w:r>
        <w:t xml:space="preserve">.</w:t>
      </w:r>
    </w:p>
    <w:bookmarkEnd w:id="503"/>
    <w:bookmarkStart w:id="504"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04"/>
    <w:bookmarkStart w:id="506"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05">
        <w:r>
          <w:rPr>
            <w:rStyle w:val="Hyperlink"/>
          </w:rPr>
          <w:t xml:space="preserve">https://www.boe.es/buscar/doc.php?id=DOUE-Z-2010-70002</w:t>
        </w:r>
      </w:hyperlink>
      <w:r>
        <w:t xml:space="preserve">.</w:t>
      </w:r>
    </w:p>
    <w:bookmarkEnd w:id="506"/>
    <w:bookmarkStart w:id="507" w:name="ref_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507"/>
    <w:bookmarkStart w:id="508" w:name="ref_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508"/>
    <w:bookmarkStart w:id="510" w:name="ref_Varian1989Price"/>
    <w:p>
      <w:pPr>
        <w:pStyle w:val="Bibliography"/>
      </w:pPr>
      <w:r>
        <w:t xml:space="preserve">Varian, Hal R.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509">
        <w:r>
          <w:rPr>
            <w:rStyle w:val="Hyperlink"/>
          </w:rPr>
          <w:t xml:space="preserve">https://doi.org/10.1016/S1573-448X(89)01013-7</w:t>
        </w:r>
      </w:hyperlink>
      <w:r>
        <w:t xml:space="preserve">.</w:t>
      </w:r>
    </w:p>
    <w:bookmarkEnd w:id="510"/>
    <w:bookmarkStart w:id="511"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511"/>
    <w:bookmarkStart w:id="512"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512"/>
    <w:bookmarkStart w:id="514"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513">
        <w:r>
          <w:rPr>
            <w:rStyle w:val="Hyperlink"/>
          </w:rPr>
          <w:t xml:space="preserve">https://doi.org/10.2307/3003414</w:t>
        </w:r>
      </w:hyperlink>
      <w:r>
        <w:t xml:space="preserve">.</w:t>
      </w:r>
    </w:p>
    <w:bookmarkEnd w:id="514"/>
    <w:bookmarkStart w:id="516"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515">
        <w:r>
          <w:rPr>
            <w:rStyle w:val="Hyperlink"/>
          </w:rPr>
          <w:t xml:space="preserve">https://doi.org/10.2307/3003191</w:t>
        </w:r>
      </w:hyperlink>
      <w:r>
        <w:t xml:space="preserve">.</w:t>
      </w:r>
    </w:p>
    <w:bookmarkEnd w:id="516"/>
    <w:bookmarkStart w:id="518"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517">
        <w:r>
          <w:rPr>
            <w:rStyle w:val="Hyperlink"/>
          </w:rPr>
          <w:t xml:space="preserve">https://doi.org/10.2514/8.155</w:t>
        </w:r>
      </w:hyperlink>
      <w:r>
        <w:t xml:space="preserve">.</w:t>
      </w:r>
    </w:p>
    <w:bookmarkEnd w:id="518"/>
    <w:bookmarkStart w:id="520" w:name="ref_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519">
        <w:r>
          <w:rPr>
            <w:rStyle w:val="Hyperlink"/>
          </w:rPr>
          <w:t xml:space="preserve">https://doi.org/10.1257/aer.20200025</w:t>
        </w:r>
      </w:hyperlink>
      <w:r>
        <w:t xml:space="preserve">.</w:t>
      </w:r>
    </w:p>
    <w:bookmarkEnd w:id="520"/>
    <w:bookmarkEnd w:id="521"/>
    <w:bookmarkEnd w:id="52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hyperlink r:id="rId26">
        <w:r>
          <w:rPr>
            <w:rStyle w:val="Referenciaatema"/>
          </w:rPr>
          <w:t xml:space="preserve">[ver tema 3.A.16]</w:t>
        </w:r>
      </w:hyperlink>
      <w:r>
        <w:t xml:space="preserve">.</w:t>
      </w:r>
    </w:p>
  </w:footnote>
  <w:footnote w:id="35">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en el origen de la teoría de la disuasión de la entrada</w:t>
      </w:r>
      <w:r>
        <w:t xml:space="preserve"> </w:t>
      </w:r>
      <w:hyperlink r:id="rId25">
        <w:r>
          <w:rPr>
            <w:rStyle w:val="Referenciaatema"/>
          </w:rPr>
          <w:t xml:space="preserve">[ver tema 3.A.15]</w:t>
        </w:r>
      </w:hyperlink>
      <w:r>
        <w:t xml:space="preserve">.</w:t>
      </w:r>
    </w:p>
  </w:footnote>
  <w:footnote w:id="38">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w:t>
      </w:r>
    </w:p>
  </w:footnote>
  <w:footnote w:id="39">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43">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_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45">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47">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la formula por primera vez para el monopolio.</w:t>
      </w:r>
    </w:p>
  </w:footnote>
  <w:footnote w:id="50">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51">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 title="" id="53" name="Picture"/>
            <a:graphic>
              <a:graphicData uri="http://schemas.openxmlformats.org/drawingml/2006/picture">
                <pic:pic>
                  <pic:nvPicPr>
                    <pic:cNvPr descr="C:\Users\vgutierrez\Documents\src\victorgutierrezmarcos.github.io-revision\oposicion\temario\fuentes\3A17\graficos/tramo-elastico.png" id="54" name="Picture"/>
                    <pic:cNvPicPr>
                      <a:picLocks noChangeArrowheads="1" noChangeAspect="1"/>
                    </pic:cNvPicPr>
                  </pic:nvPicPr>
                  <pic:blipFill>
                    <a:blip r:embed="rId52"/>
                    <a:stretch>
                      <a:fillRect/>
                    </a:stretch>
                  </pic:blipFill>
                  <pic:spPr bwMode="auto">
                    <a:xfrm>
                      <a:off x="0" y="0"/>
                      <a:ext cx="2686050" cy="3051713"/>
                    </a:xfrm>
                    <a:prstGeom prst="rect">
                      <a:avLst/>
                    </a:prstGeom>
                    <a:noFill/>
                    <a:ln w="9525">
                      <a:noFill/>
                      <a:headEnd/>
                      <a:tailEnd/>
                    </a:ln>
                  </pic:spPr>
                </pic:pic>
              </a:graphicData>
            </a:graphic>
          </wp:inline>
        </w:drawing>
      </w:r>
    </w:p>
  </w:footnote>
  <w:footnote w:id="55">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57">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58">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59">
    <w:p>
      <w:pPr>
        <w:pStyle w:val="FootnoteText"/>
      </w:pPr>
      <w:r>
        <w:rPr>
          <w:rStyle w:val="FootnoteReference"/>
        </w:rPr>
        <w:footnoteRef/>
      </w:r>
      <w:r>
        <w:t xml:space="preserve"> </w:t>
      </w:r>
      <w:r>
        <w:t xml:space="preserve">Precisión sobre la condición de participación de (</w:t>
      </w:r>
      <w:hyperlink w:anchor="eq_monopolio">
        <w:r>
          <w:rPr>
            <w:rStyle w:val="Hyperlink"/>
          </w:rPr>
          <w:t xml:space="preserve">1</w:t>
        </w:r>
      </w:hyperlink>
      <w:r>
        <w:t xml:space="preserve">):</w:t>
      </w:r>
      <w:r>
        <w:t xml:space="preserve"> </w:t>
      </w:r>
      <m:oMath>
        <m:r>
          <m:t>B</m:t>
        </m:r>
        <m:d>
          <m:dPr>
            <m:begChr m:val="("/>
            <m:sepChr m:val=""/>
            <m:endChr m:val=")"/>
            <m:grow/>
          </m:dPr>
          <m:e>
            <m:r>
              <m:t>q</m:t>
            </m:r>
          </m:e>
        </m:d>
        <m:r>
          <m:rPr>
            <m:sty m:val="p"/>
          </m:rPr>
          <m:t>≥</m:t>
        </m:r>
        <m:r>
          <m:t>0</m:t>
        </m:r>
      </m:oMath>
      <w:r>
        <w:t xml:space="preserve"> </w:t>
      </w:r>
      <w:r>
        <w:t xml:space="preserve">es la de largo plazo; a corto plazo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 produzca o no, y lo que se compara es</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r>
          <m:rPr>
            <m:sty m:val="p"/>
          </m:rPr>
          <m:t>=</m:t>
        </m:r>
        <m:r>
          <m:rPr>
            <m:sty m:val="p"/>
          </m:rPr>
          <m:t>−</m:t>
        </m:r>
        <m:r>
          <m:rPr>
            <m:sty m:val="p"/>
          </m:rPr>
          <m:t>C</m:t>
        </m:r>
        <m:r>
          <m:rPr>
            <m:sty m:val="p"/>
          </m:rPr>
          <m:t>F</m:t>
        </m:r>
      </m:oMath>
      <w:r>
        <w:t xml:space="preserve">. 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 title="" id="61" name="Picture"/>
            <a:graphic>
              <a:graphicData uri="http://schemas.openxmlformats.org/drawingml/2006/picture">
                <pic:pic>
                  <pic:nvPicPr>
                    <pic:cNvPr descr="C:\Users\vgutierrez\Documents\src\victorgutierrezmarcos.github.io-revision\oposicion\temario\fuentes\3A17\graficos/monopolio-corto-plazo.png" id="62" name="Picture"/>
                    <pic:cNvPicPr>
                      <a:picLocks noChangeArrowheads="1" noChangeAspect="1"/>
                    </pic:cNvPicPr>
                  </pic:nvPicPr>
                  <pic:blipFill>
                    <a:blip r:embed="rId60"/>
                    <a:stretch>
                      <a:fillRect/>
                    </a:stretch>
                  </pic:blipFill>
                  <pic:spPr bwMode="auto">
                    <a:xfrm>
                      <a:off x="0" y="0"/>
                      <a:ext cx="3581400" cy="1463391"/>
                    </a:xfrm>
                    <a:prstGeom prst="rect">
                      <a:avLst/>
                    </a:prstGeom>
                    <a:noFill/>
                    <a:ln w="9525">
                      <a:noFill/>
                      <a:headEnd/>
                      <a:tailEnd/>
                    </a:ln>
                  </pic:spPr>
                </pic:pic>
              </a:graphicData>
            </a:graphic>
          </wp:inline>
        </w:drawing>
      </w:r>
    </w:p>
  </w:footnote>
  <w:footnote w:id="63">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64">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70">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 title="" id="72" name="Picture"/>
            <a:graphic>
              <a:graphicData uri="http://schemas.openxmlformats.org/drawingml/2006/picture">
                <pic:pic>
                  <pic:nvPicPr>
                    <pic:cNvPr descr="C:\Users\vgutierrez\Documents\src\victorgutierrezmarcos.github.io-revision\oposicion\temario\fuentes\3A17\graficos/escala-monopolio.png" id="73" name="Picture"/>
                    <pic:cNvPicPr>
                      <a:picLocks noChangeArrowheads="1" noChangeAspect="1"/>
                    </pic:cNvPicPr>
                  </pic:nvPicPr>
                  <pic:blipFill>
                    <a:blip r:embed="rId71"/>
                    <a:stretch>
                      <a:fillRect/>
                    </a:stretch>
                  </pic:blipFill>
                  <pic:spPr bwMode="auto">
                    <a:xfrm>
                      <a:off x="0" y="0"/>
                      <a:ext cx="5073650" cy="1553950"/>
                    </a:xfrm>
                    <a:prstGeom prst="rect">
                      <a:avLst/>
                    </a:prstGeom>
                    <a:noFill/>
                    <a:ln w="9525">
                      <a:noFill/>
                      <a:headEnd/>
                      <a:tailEnd/>
                    </a:ln>
                  </pic:spPr>
                </pic:pic>
              </a:graphicData>
            </a:graphic>
          </wp:inline>
        </w:drawing>
      </w:r>
    </w:p>
  </w:footnote>
  <w:footnote w:id="79">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hyperlink r:id="rId26">
        <w:r>
          <w:rPr>
            <w:rStyle w:val="Referenciaatema"/>
          </w:rPr>
          <w:t xml:space="preserve">[ver tema 3.A.16]</w:t>
        </w:r>
      </w:hyperlink>
      <w:r>
        <w:t xml:space="preserve">.</w:t>
      </w:r>
    </w:p>
  </w:footnote>
  <w:footnote w:id="84">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89">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w:t>
      </w:r>
      <w:hyperlink w:anchor="sec_monopsonio">
        <w:r>
          <w:rPr>
            <w:rStyle w:val="Hyperlink"/>
          </w:rPr>
          <w:t xml:space="preserve">III.1</w:t>
        </w:r>
      </w:hyperlink>
      <w:r>
        <w:t xml:space="preserve">). Tampoco se dice que la retribución de los factores sea menor que en competencia, porque con menos producción su productividad marginal es mayor, sino que es menor que el valor de su producto marginal.</w:t>
      </w:r>
    </w:p>
  </w:footnote>
  <w:footnote w:id="108">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26">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_SalaiMartin2013Barbie">
        <w:r>
          <w:rPr>
            <w:rStyle w:val="Hyperlink"/>
            <w:smallCaps/>
          </w:rPr>
          <w:t xml:space="preserve">Sala-i-Martín</w:t>
        </w:r>
        <w:r>
          <w:rPr>
            <w:rStyle w:val="Hyperlink"/>
          </w:rPr>
          <w:t xml:space="preserve">, 2013</w:t>
        </w:r>
      </w:hyperlink>
      <w:r>
        <w:t xml:space="preserve">)</w:t>
      </w:r>
      <w:r>
        <w:t xml:space="preserve">. Más que discriminación de tercer grado, es un ejemplo de versiones entre las que el comprador elige.</w:t>
      </w:r>
    </w:p>
  </w:footnote>
  <w:footnote w:id="127">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el dilema es cobrar una entrada cara y atracciones baratas o al revés.</w:t>
      </w:r>
    </w:p>
  </w:footnote>
  <w:footnote w:id="136">
    <w:p>
      <w:pPr>
        <w:pStyle w:val="FootnoteText"/>
      </w:pPr>
      <w:r>
        <w:rPr>
          <w:rStyle w:val="FootnoteReference"/>
        </w:rPr>
        <w:footnoteRef/>
      </w:r>
      <w:r>
        <w:t xml:space="preserve"> </w:t>
      </w:r>
      <w:r>
        <w:t xml:space="preserve">Es una situación de información asimétrica</w:t>
      </w:r>
      <w:r>
        <w:t xml:space="preserve"> </w:t>
      </w:r>
      <w:hyperlink r:id="rId114">
        <w:r>
          <w:rPr>
            <w:rStyle w:val="Referenciaatema"/>
          </w:rPr>
          <w:t xml:space="preserve">[ver tema 3.A.13]</w:t>
        </w:r>
      </w:hyperlink>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52">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hyperlink r:id="rId153">
        <w:r>
          <w:rPr>
            <w:rStyle w:val="Referenciaatema"/>
          </w:rPr>
          <w:t xml:space="preserve">[ver tema 3.A.14]</w:t>
        </w:r>
      </w:hyperlink>
      <w:r>
        <w:t xml:space="preserve">.</w:t>
      </w:r>
    </w:p>
  </w:footnote>
  <w:footnote w:id="162">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68">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w:t>
      </w:r>
      <w:hyperlink w:anchor="anexo_sostenibilidad">
        <w:r>
          <w:rPr>
            <w:rStyle w:val="Hyperlink"/>
          </w:rPr>
          <w:t xml:space="preserve">B.7</w:t>
        </w:r>
      </w:hyperlink>
      <w:r>
        <w:t xml:space="preserve">.</w:t>
      </w:r>
    </w:p>
  </w:footnote>
  <w:footnote w:id="174">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hyperlink r:id="rId31">
        <w:r>
          <w:rPr>
            <w:rStyle w:val="Referenciaatema"/>
          </w:rPr>
          <w:t xml:space="preserve">[ver tema 3.A.22]</w:t>
        </w:r>
      </w:hyperlink>
      <w:r>
        <w:t xml:space="preserve">.</w:t>
      </w:r>
    </w:p>
  </w:footnote>
  <w:footnote w:id="176">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77">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78">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_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2005</w:t>
        </w:r>
      </w:hyperlink>
      <w:r>
        <w:t xml:space="preserve">)</w:t>
      </w:r>
      <w:r>
        <w:t xml:space="preserve">. Las 2 cosas pueden chocar: los usuarios de demanda de acceso más inelástica suelen ser los de menor renta, porque los servicios de red son de primera necesidad.</w:t>
      </w:r>
    </w:p>
  </w:footnote>
  <w:footnote w:id="192">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93">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hyperlink r:id="rId24">
        <w:r>
          <w:rPr>
            <w:rStyle w:val="Referenciaatema"/>
          </w:rPr>
          <w:t xml:space="preserve">[ver tema 3.A.12]</w:t>
        </w:r>
      </w:hyperlink>
      <w:r>
        <w:t xml:space="preserve">.</w:t>
      </w:r>
    </w:p>
  </w:footnote>
  <w:footnote w:id="230">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38">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39">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246">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hyperlink r:id="rId32">
        <w:r>
          <w:rPr>
            <w:rStyle w:val="Referenciaatema"/>
          </w:rPr>
          <w:t xml:space="preserve">[ver tema 3.B.39]</w:t>
        </w:r>
      </w:hyperlink>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El cuarto, el control de las ayudas de Estado (arts. 107 a 109 del TFUE).</w:t>
      </w:r>
    </w:p>
  </w:footnote>
  <w:footnote w:id="248">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49">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p>
  </w:footnote>
  <w:footnote w:id="250">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51">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57">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Es una tarifa de punta y valle: quien consume en punta paga la red que se dimensiona para la punta.</w:t>
      </w:r>
    </w:p>
  </w:footnote>
  <w:footnote w:id="271">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75">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sec_regulacion_monopolio_natural">
        <w:r>
          <w:rPr>
            <w:rStyle w:val="Hyperlink"/>
          </w:rPr>
          <w:t xml:space="preserve">II.2.3</w:t>
        </w:r>
      </w:hyperlink>
      <w:r>
        <w:t xml:space="preserve">):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78">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93">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2" Target="media/rId242.png" /><Relationship Type="http://schemas.openxmlformats.org/officeDocument/2006/relationships/image" Id="rId119" Target="media/rId119.png" /><Relationship Type="http://schemas.openxmlformats.org/officeDocument/2006/relationships/image" Id="rId266" Target="media/rId266.png" /><Relationship Type="http://schemas.openxmlformats.org/officeDocument/2006/relationships/image" Id="rId85" Target="media/rId85.png" /><Relationship Type="http://schemas.openxmlformats.org/officeDocument/2006/relationships/image" Id="rId300" Target="media/rId30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23" Target="media/rId223.png" /><Relationship Type="http://schemas.openxmlformats.org/officeDocument/2006/relationships/image" Id="rId60" Target="media/rId60.png" /><Relationship Type="http://schemas.openxmlformats.org/officeDocument/2006/relationships/image" Id="rId204" Target="media/rId204.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103" Target="media/rId103.png" /><Relationship Type="http://schemas.openxmlformats.org/officeDocument/2006/relationships/image" Id="rId314" Target="media/rId314.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163" Target="media/rId163.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52" Target="media/rId52.png" /><Relationship Type="http://schemas.openxmlformats.org/officeDocument/2006/relationships/image" Id="rId305" Target="media/rId305.png" /><Relationship Type="http://schemas.openxmlformats.org/officeDocument/2006/relationships/hyperlink" Id="rId454" Target="https://doi.org/10.1016/0022-0531(78)90085-6" TargetMode="External" /><Relationship Type="http://schemas.openxmlformats.org/officeDocument/2006/relationships/hyperlink" Id="rId406" Target="https://doi.org/10.1016/0022-0531(86)90024-4" TargetMode="External" /><Relationship Type="http://schemas.openxmlformats.org/officeDocument/2006/relationships/hyperlink" Id="rId509" Target="https://doi.org/10.1016/S1573-448X(89)01013-7" TargetMode="External" /><Relationship Type="http://schemas.openxmlformats.org/officeDocument/2006/relationships/hyperlink" Id="rId354" Target="https://doi.org/10.1016/S1573-448X(89)02011-X" TargetMode="External" /><Relationship Type="http://schemas.openxmlformats.org/officeDocument/2006/relationships/hyperlink" Id="rId490" Target="https://doi.org/10.1086/256964" TargetMode="External" /><Relationship Type="http://schemas.openxmlformats.org/officeDocument/2006/relationships/hyperlink" Id="rId452" Target="https://doi.org/10.1086/258035" TargetMode="External" /><Relationship Type="http://schemas.openxmlformats.org/officeDocument/2006/relationships/hyperlink" Id="rId468" Target="https://doi.org/10.1086/260357" TargetMode="External" /><Relationship Type="http://schemas.openxmlformats.org/officeDocument/2006/relationships/hyperlink" Id="rId356" Target="https://doi.org/10.1086/261058" TargetMode="External" /><Relationship Type="http://schemas.openxmlformats.org/officeDocument/2006/relationships/hyperlink" Id="rId358" Target="https://doi.org/10.1086/261135" TargetMode="External" /><Relationship Type="http://schemas.openxmlformats.org/officeDocument/2006/relationships/hyperlink" Id="rId425" Target="https://doi.org/10.1086/261392" TargetMode="External" /><Relationship Type="http://schemas.openxmlformats.org/officeDocument/2006/relationships/hyperlink" Id="rId386" Target="https://doi.org/10.1086/466643" TargetMode="External" /><Relationship Type="http://schemas.openxmlformats.org/officeDocument/2006/relationships/hyperlink" Id="rId368" Target="https://doi.org/10.1086/466731" TargetMode="External" /><Relationship Type="http://schemas.openxmlformats.org/officeDocument/2006/relationships/hyperlink" Id="rId421" Target="https://doi.org/10.1086/466794" TargetMode="External" /><Relationship Type="http://schemas.openxmlformats.org/officeDocument/2006/relationships/hyperlink" Id="rId464" Target="https://doi.org/10.1086/466865" TargetMode="External" /><Relationship Type="http://schemas.openxmlformats.org/officeDocument/2006/relationships/hyperlink" Id="rId437" Target="https://doi.org/10.1086/466949" TargetMode="External" /><Relationship Type="http://schemas.openxmlformats.org/officeDocument/2006/relationships/hyperlink" Id="rId384" Target="https://doi.org/10.1093/jeea/jvac060" TargetMode="External" /><Relationship Type="http://schemas.openxmlformats.org/officeDocument/2006/relationships/hyperlink" Id="rId333" Target="https://doi.org/10.1093/qje/120.2.701" TargetMode="External" /><Relationship Type="http://schemas.openxmlformats.org/officeDocument/2006/relationships/hyperlink" Id="rId382" Target="https://doi.org/10.1093/qje/qjz041" TargetMode="External" /><Relationship Type="http://schemas.openxmlformats.org/officeDocument/2006/relationships/hyperlink" Id="rId388" Target="https://doi.org/10.1111/j.1430-9134.1996.00149.x" TargetMode="External" /><Relationship Type="http://schemas.openxmlformats.org/officeDocument/2006/relationships/hyperlink" Id="rId519" Target="https://doi.org/10.1257/aer.20200025" TargetMode="External" /><Relationship Type="http://schemas.openxmlformats.org/officeDocument/2006/relationships/hyperlink" Id="rId401" Target="https://doi.org/10.2307/1879566" TargetMode="External" /><Relationship Type="http://schemas.openxmlformats.org/officeDocument/2006/relationships/hyperlink" Id="rId458" Target="https://doi.org/10.2307/1881841" TargetMode="External" /><Relationship Type="http://schemas.openxmlformats.org/officeDocument/2006/relationships/hyperlink" Id="rId396" Target="https://doi.org/10.2307/1883013" TargetMode="External" /><Relationship Type="http://schemas.openxmlformats.org/officeDocument/2006/relationships/hyperlink" Id="rId492" Target="https://doi.org/10.2307/1885712" TargetMode="External" /><Relationship Type="http://schemas.openxmlformats.org/officeDocument/2006/relationships/hyperlink" Id="rId345" Target="https://doi.org/10.2307/1886017" TargetMode="External" /><Relationship Type="http://schemas.openxmlformats.org/officeDocument/2006/relationships/hyperlink" Id="rId331" Target="https://doi.org/10.2307/1886045" TargetMode="External" /><Relationship Type="http://schemas.openxmlformats.org/officeDocument/2006/relationships/hyperlink" Id="rId350" Target="https://doi.org/10.2307/1905256" TargetMode="External" /><Relationship Type="http://schemas.openxmlformats.org/officeDocument/2006/relationships/hyperlink" Id="rId413" Target="https://doi.org/10.2307/1907054" TargetMode="External" /><Relationship Type="http://schemas.openxmlformats.org/officeDocument/2006/relationships/hyperlink" Id="rId456" Target="https://doi.org/10.2307/1907266" TargetMode="External" /><Relationship Type="http://schemas.openxmlformats.org/officeDocument/2006/relationships/hyperlink" Id="rId409" Target="https://doi.org/10.2307/1907343" TargetMode="External" /><Relationship Type="http://schemas.openxmlformats.org/officeDocument/2006/relationships/hyperlink" Id="rId427" Target="https://doi.org/10.2307/1911362" TargetMode="External" /><Relationship Type="http://schemas.openxmlformats.org/officeDocument/2006/relationships/hyperlink" Id="rId478" Target="https://doi.org/10.2307/1912531" TargetMode="External" /><Relationship Type="http://schemas.openxmlformats.org/officeDocument/2006/relationships/hyperlink" Id="rId471" Target="https://doi.org/10.2307/2222721" TargetMode="External" /><Relationship Type="http://schemas.openxmlformats.org/officeDocument/2006/relationships/hyperlink" Id="rId352" Target="https://doi.org/10.2307/2224123" TargetMode="External" /><Relationship Type="http://schemas.openxmlformats.org/officeDocument/2006/relationships/hyperlink" Id="rId411" Target="https://doi.org/10.2307/2224214" TargetMode="External" /><Relationship Type="http://schemas.openxmlformats.org/officeDocument/2006/relationships/hyperlink" Id="rId380" Target="https://doi.org/10.2307/2231975" TargetMode="External" /><Relationship Type="http://schemas.openxmlformats.org/officeDocument/2006/relationships/hyperlink" Id="rId403" Target="https://doi.org/10.2307/2297615" TargetMode="External" /><Relationship Type="http://schemas.openxmlformats.org/officeDocument/2006/relationships/hyperlink" Id="rId366" Target="https://doi.org/10.2307/2549764" TargetMode="External" /><Relationship Type="http://schemas.openxmlformats.org/officeDocument/2006/relationships/hyperlink" Id="rId347" Target="https://doi.org/10.2307/2555382" TargetMode="External" /><Relationship Type="http://schemas.openxmlformats.org/officeDocument/2006/relationships/hyperlink" Id="rId442" Target="https://doi.org/10.2307/2555674" TargetMode="External" /><Relationship Type="http://schemas.openxmlformats.org/officeDocument/2006/relationships/hyperlink" Id="rId429" Target="https://doi.org/10.2307/2937958" TargetMode="External" /><Relationship Type="http://schemas.openxmlformats.org/officeDocument/2006/relationships/hyperlink" Id="rId434" Target="https://doi.org/10.2307/2967480" TargetMode="External" /><Relationship Type="http://schemas.openxmlformats.org/officeDocument/2006/relationships/hyperlink" Id="rId495" Target="https://doi.org/10.2307/3003160" TargetMode="External" /><Relationship Type="http://schemas.openxmlformats.org/officeDocument/2006/relationships/hyperlink" Id="rId342" Target="https://doi.org/10.2307/3003181" TargetMode="External" /><Relationship Type="http://schemas.openxmlformats.org/officeDocument/2006/relationships/hyperlink" Id="rId515" Target="https://doi.org/10.2307/3003191" TargetMode="External" /><Relationship Type="http://schemas.openxmlformats.org/officeDocument/2006/relationships/hyperlink" Id="rId513" Target="https://doi.org/10.2307/3003414" TargetMode="External" /><Relationship Type="http://schemas.openxmlformats.org/officeDocument/2006/relationships/hyperlink" Id="rId462" Target="https://doi.org/10.2307/3003484" TargetMode="External" /><Relationship Type="http://schemas.openxmlformats.org/officeDocument/2006/relationships/hyperlink" Id="rId517" Target="https://doi.org/10.2514/8.155" TargetMode="External" /><Relationship Type="http://schemas.openxmlformats.org/officeDocument/2006/relationships/hyperlink" Id="rId460" Target="https://doi.org/10.4159/9780674041660" TargetMode="External" /><Relationship Type="http://schemas.openxmlformats.org/officeDocument/2006/relationships/hyperlink" Id="rId377" Target="https://eur-lex.europa.eu/eli/reg/2004/139/oj?locale=es" TargetMode="External" /><Relationship Type="http://schemas.openxmlformats.org/officeDocument/2006/relationships/hyperlink" Id="rId399" Target="https://ideas.repec.org/a/aea/aecrev/v65y1975i5p966-77.html" TargetMode="External" /><Relationship Type="http://schemas.openxmlformats.org/officeDocument/2006/relationships/hyperlink" Id="rId444" Target="https://ideas.repec.org/a/aea/aecrev/v71y1981i5p896-908.html" TargetMode="External" /><Relationship Type="http://schemas.openxmlformats.org/officeDocument/2006/relationships/hyperlink" Id="rId339" Target="https://ideas.repec.org/a/aea/aecrev/v72y1982i1p1-15.html" TargetMode="External" /><Relationship Type="http://schemas.openxmlformats.org/officeDocument/2006/relationships/hyperlink" Id="rId364" Target="https://ideas.repec.org/a/aea/aecrev/v84y1994i4p772-93.html" TargetMode="External" /><Relationship Type="http://schemas.openxmlformats.org/officeDocument/2006/relationships/hyperlink" Id="rId483" Target="https://minneapolisfed.org/article/2012/new-and-larger-costs-of-monopoly-and-tariffs" TargetMode="External" /><Relationship Type="http://schemas.openxmlformats.org/officeDocument/2006/relationships/hyperlink" Id="rId473" Target="https://plato.stanford.edu/entries/ceteris-paribus/" TargetMode="External" /><Relationship Type="http://schemas.openxmlformats.org/officeDocument/2006/relationships/hyperlink" Id="rId419" Target="https://www.boe.es/buscar/act.php?id=BOE-A-2015-3443" TargetMode="External" /><Relationship Type="http://schemas.openxmlformats.org/officeDocument/2006/relationships/hyperlink" Id="rId375" Target="https://www.boe.es/buscar/act.php?id=BOE-A-2020-1066" TargetMode="External" /><Relationship Type="http://schemas.openxmlformats.org/officeDocument/2006/relationships/hyperlink" Id="rId505" Target="https://www.boe.es/buscar/doc.php?id=DOUE-Z-2010-70002" TargetMode="External" /><Relationship Type="http://schemas.openxmlformats.org/officeDocument/2006/relationships/hyperlink" Id="rId390" Target="https://www.boe.es/diario_boe/txt.php?id=BOE-A-2026-19507" TargetMode="External" /><Relationship Type="http://schemas.openxmlformats.org/officeDocument/2006/relationships/hyperlink" Id="rId450" Target="https://www.boe.es/diario_boe/txt.php?id=BOE-A-2026-3815" TargetMode="External" /><Relationship Type="http://schemas.openxmlformats.org/officeDocument/2006/relationships/hyperlink" Id="rId417" Target="https://www.boe.es/eli/es/l/2013/06/04/3" TargetMode="External" /><Relationship Type="http://schemas.openxmlformats.org/officeDocument/2006/relationships/hyperlink" Id="rId448" Target="https://www.boe.es/eli/es/rd/2017/02/03/55" TargetMode="External" /><Relationship Type="http://schemas.openxmlformats.org/officeDocument/2006/relationships/hyperlink" Id="rId362" Target="https://www.bundesnetzagentur.de/DE/Beschlusskammern/BK08/BK8_05_EOG/54_Effizienzvgl/start.html" TargetMode="External" /><Relationship Type="http://schemas.openxmlformats.org/officeDocument/2006/relationships/hyperlink" Id="rId370" Target="https://www.cnmc.es/sites/default/files/1972516_6.pdf" TargetMode="External" /><Relationship Type="http://schemas.openxmlformats.org/officeDocument/2006/relationships/hyperlink" Id="rId372" Target="https://www.cnmc.es/sites/default/files/2100627.pdf" TargetMode="External" /><Relationship Type="http://schemas.openxmlformats.org/officeDocument/2006/relationships/hyperlink" Id="rId466" Target="https://www.econlib.org/library/NPDBooks/Pigou/pgEW28.html" TargetMode="External" /><Relationship Type="http://schemas.openxmlformats.org/officeDocument/2006/relationships/hyperlink" Id="rId360" Target="https://www.gesetze-im-internet.de/aregv/anlage_3.html" TargetMode="External" /><Relationship Type="http://schemas.openxmlformats.org/officeDocument/2006/relationships/hyperlink" Id="rId446" Target="https://www.gutenberg.org/cache/epub/30107/pg30107.txt" TargetMode="External" /><Relationship Type="http://schemas.openxmlformats.org/officeDocument/2006/relationships/hyperlink" Id="rId488" Target="https://www.gutenberg.org/cache/epub/3300/pg3300.txt" TargetMode="External" /><Relationship Type="http://schemas.openxmlformats.org/officeDocument/2006/relationships/hyperlink" Id="rId475" Target="https://www.gutenberg.org/cache/epub/33310/pg33310.txt" TargetMode="External" /><Relationship Type="http://schemas.openxmlformats.org/officeDocument/2006/relationships/hyperlink" Id="rId432" Target="https://www.jstor.org/stable/1823775" TargetMode="External" /><Relationship Type="http://schemas.openxmlformats.org/officeDocument/2006/relationships/hyperlink" Id="rId440" Target="https://www.marxists.org/reference/subject/economics/marshall/bk1ch01.htm" TargetMode="External" /><Relationship Type="http://schemas.openxmlformats.org/officeDocument/2006/relationships/hyperlink" Id="rId497" Target="https://www.nobelprize.org/prizes/economic-sciences/1982/summary/" TargetMode="External" /><Relationship Type="http://schemas.openxmlformats.org/officeDocument/2006/relationships/hyperlink" Id="rId499" Target="https://www.nobelprize.org/prizes/economic-sciences/2014/summary/" TargetMode="External" /><Relationship Type="http://schemas.openxmlformats.org/officeDocument/2006/relationships/hyperlink" Id="rId502" Target="https://www.nobelprize.org/prizes/economic-sciences/2014/tirole/lecture/" TargetMode="External" /><Relationship Type="http://schemas.openxmlformats.org/officeDocument/2006/relationships/hyperlink" Id="rId294"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8" Target="https://www.victorgutierrezmarcos.es/oposicion/temario/primer-ejercicio/test/simulador.html" TargetMode="External" /><Relationship Type="http://schemas.openxmlformats.org/officeDocument/2006/relationships/hyperlink" Id="rId153" Target="https://www.victorgutierrezmarcos.es/oposicion/temario/tema-no-disponible.html?tema=3.A.14" TargetMode="External" /><Relationship Type="http://schemas.openxmlformats.org/officeDocument/2006/relationships/hyperlink" Id="rId25" Target="https://www.victorgutierrezmarcos.es/oposicion/temario/tema-no-disponible.html?tema=3.A.15"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0" Target="https://www.youtube.com/watch?v=TO4snWe61JE" TargetMode="External" /><Relationship Type="http://schemas.openxmlformats.org/officeDocument/2006/relationships/hyperlink" Id="rId295"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54" Target="https://doi.org/10.1016/0022-0531(78)90085-6" TargetMode="External" /><Relationship Type="http://schemas.openxmlformats.org/officeDocument/2006/relationships/hyperlink" Id="rId406" Target="https://doi.org/10.1016/0022-0531(86)90024-4" TargetMode="External" /><Relationship Type="http://schemas.openxmlformats.org/officeDocument/2006/relationships/hyperlink" Id="rId509" Target="https://doi.org/10.1016/S1573-448X(89)01013-7" TargetMode="External" /><Relationship Type="http://schemas.openxmlformats.org/officeDocument/2006/relationships/hyperlink" Id="rId354" Target="https://doi.org/10.1016/S1573-448X(89)02011-X" TargetMode="External" /><Relationship Type="http://schemas.openxmlformats.org/officeDocument/2006/relationships/hyperlink" Id="rId490" Target="https://doi.org/10.1086/256964" TargetMode="External" /><Relationship Type="http://schemas.openxmlformats.org/officeDocument/2006/relationships/hyperlink" Id="rId452" Target="https://doi.org/10.1086/258035" TargetMode="External" /><Relationship Type="http://schemas.openxmlformats.org/officeDocument/2006/relationships/hyperlink" Id="rId468" Target="https://doi.org/10.1086/260357" TargetMode="External" /><Relationship Type="http://schemas.openxmlformats.org/officeDocument/2006/relationships/hyperlink" Id="rId356" Target="https://doi.org/10.1086/261058" TargetMode="External" /><Relationship Type="http://schemas.openxmlformats.org/officeDocument/2006/relationships/hyperlink" Id="rId358" Target="https://doi.org/10.1086/261135" TargetMode="External" /><Relationship Type="http://schemas.openxmlformats.org/officeDocument/2006/relationships/hyperlink" Id="rId425" Target="https://doi.org/10.1086/261392" TargetMode="External" /><Relationship Type="http://schemas.openxmlformats.org/officeDocument/2006/relationships/hyperlink" Id="rId386" Target="https://doi.org/10.1086/466643" TargetMode="External" /><Relationship Type="http://schemas.openxmlformats.org/officeDocument/2006/relationships/hyperlink" Id="rId368" Target="https://doi.org/10.1086/466731" TargetMode="External" /><Relationship Type="http://schemas.openxmlformats.org/officeDocument/2006/relationships/hyperlink" Id="rId421" Target="https://doi.org/10.1086/466794" TargetMode="External" /><Relationship Type="http://schemas.openxmlformats.org/officeDocument/2006/relationships/hyperlink" Id="rId464" Target="https://doi.org/10.1086/466865" TargetMode="External" /><Relationship Type="http://schemas.openxmlformats.org/officeDocument/2006/relationships/hyperlink" Id="rId437" Target="https://doi.org/10.1086/466949" TargetMode="External" /><Relationship Type="http://schemas.openxmlformats.org/officeDocument/2006/relationships/hyperlink" Id="rId384" Target="https://doi.org/10.1093/jeea/jvac060" TargetMode="External" /><Relationship Type="http://schemas.openxmlformats.org/officeDocument/2006/relationships/hyperlink" Id="rId333" Target="https://doi.org/10.1093/qje/120.2.701" TargetMode="External" /><Relationship Type="http://schemas.openxmlformats.org/officeDocument/2006/relationships/hyperlink" Id="rId382" Target="https://doi.org/10.1093/qje/qjz041" TargetMode="External" /><Relationship Type="http://schemas.openxmlformats.org/officeDocument/2006/relationships/hyperlink" Id="rId388" Target="https://doi.org/10.1111/j.1430-9134.1996.00149.x" TargetMode="External" /><Relationship Type="http://schemas.openxmlformats.org/officeDocument/2006/relationships/hyperlink" Id="rId519" Target="https://doi.org/10.1257/aer.20200025" TargetMode="External" /><Relationship Type="http://schemas.openxmlformats.org/officeDocument/2006/relationships/hyperlink" Id="rId401" Target="https://doi.org/10.2307/1879566" TargetMode="External" /><Relationship Type="http://schemas.openxmlformats.org/officeDocument/2006/relationships/hyperlink" Id="rId458" Target="https://doi.org/10.2307/1881841" TargetMode="External" /><Relationship Type="http://schemas.openxmlformats.org/officeDocument/2006/relationships/hyperlink" Id="rId396" Target="https://doi.org/10.2307/1883013" TargetMode="External" /><Relationship Type="http://schemas.openxmlformats.org/officeDocument/2006/relationships/hyperlink" Id="rId492" Target="https://doi.org/10.2307/1885712" TargetMode="External" /><Relationship Type="http://schemas.openxmlformats.org/officeDocument/2006/relationships/hyperlink" Id="rId345" Target="https://doi.org/10.2307/1886017" TargetMode="External" /><Relationship Type="http://schemas.openxmlformats.org/officeDocument/2006/relationships/hyperlink" Id="rId331" Target="https://doi.org/10.2307/1886045" TargetMode="External" /><Relationship Type="http://schemas.openxmlformats.org/officeDocument/2006/relationships/hyperlink" Id="rId350" Target="https://doi.org/10.2307/1905256" TargetMode="External" /><Relationship Type="http://schemas.openxmlformats.org/officeDocument/2006/relationships/hyperlink" Id="rId413" Target="https://doi.org/10.2307/1907054" TargetMode="External" /><Relationship Type="http://schemas.openxmlformats.org/officeDocument/2006/relationships/hyperlink" Id="rId456" Target="https://doi.org/10.2307/1907266" TargetMode="External" /><Relationship Type="http://schemas.openxmlformats.org/officeDocument/2006/relationships/hyperlink" Id="rId409" Target="https://doi.org/10.2307/1907343" TargetMode="External" /><Relationship Type="http://schemas.openxmlformats.org/officeDocument/2006/relationships/hyperlink" Id="rId427" Target="https://doi.org/10.2307/1911362" TargetMode="External" /><Relationship Type="http://schemas.openxmlformats.org/officeDocument/2006/relationships/hyperlink" Id="rId478" Target="https://doi.org/10.2307/1912531" TargetMode="External" /><Relationship Type="http://schemas.openxmlformats.org/officeDocument/2006/relationships/hyperlink" Id="rId471" Target="https://doi.org/10.2307/2222721" TargetMode="External" /><Relationship Type="http://schemas.openxmlformats.org/officeDocument/2006/relationships/hyperlink" Id="rId352" Target="https://doi.org/10.2307/2224123" TargetMode="External" /><Relationship Type="http://schemas.openxmlformats.org/officeDocument/2006/relationships/hyperlink" Id="rId411" Target="https://doi.org/10.2307/2224214" TargetMode="External" /><Relationship Type="http://schemas.openxmlformats.org/officeDocument/2006/relationships/hyperlink" Id="rId380" Target="https://doi.org/10.2307/2231975" TargetMode="External" /><Relationship Type="http://schemas.openxmlformats.org/officeDocument/2006/relationships/hyperlink" Id="rId403" Target="https://doi.org/10.2307/2297615" TargetMode="External" /><Relationship Type="http://schemas.openxmlformats.org/officeDocument/2006/relationships/hyperlink" Id="rId366" Target="https://doi.org/10.2307/2549764" TargetMode="External" /><Relationship Type="http://schemas.openxmlformats.org/officeDocument/2006/relationships/hyperlink" Id="rId347" Target="https://doi.org/10.2307/2555382" TargetMode="External" /><Relationship Type="http://schemas.openxmlformats.org/officeDocument/2006/relationships/hyperlink" Id="rId442" Target="https://doi.org/10.2307/2555674" TargetMode="External" /><Relationship Type="http://schemas.openxmlformats.org/officeDocument/2006/relationships/hyperlink" Id="rId429" Target="https://doi.org/10.2307/2937958" TargetMode="External" /><Relationship Type="http://schemas.openxmlformats.org/officeDocument/2006/relationships/hyperlink" Id="rId434" Target="https://doi.org/10.2307/2967480" TargetMode="External" /><Relationship Type="http://schemas.openxmlformats.org/officeDocument/2006/relationships/hyperlink" Id="rId495" Target="https://doi.org/10.2307/3003160" TargetMode="External" /><Relationship Type="http://schemas.openxmlformats.org/officeDocument/2006/relationships/hyperlink" Id="rId342" Target="https://doi.org/10.2307/3003181" TargetMode="External" /><Relationship Type="http://schemas.openxmlformats.org/officeDocument/2006/relationships/hyperlink" Id="rId515" Target="https://doi.org/10.2307/3003191" TargetMode="External" /><Relationship Type="http://schemas.openxmlformats.org/officeDocument/2006/relationships/hyperlink" Id="rId513" Target="https://doi.org/10.2307/3003414" TargetMode="External" /><Relationship Type="http://schemas.openxmlformats.org/officeDocument/2006/relationships/hyperlink" Id="rId462" Target="https://doi.org/10.2307/3003484" TargetMode="External" /><Relationship Type="http://schemas.openxmlformats.org/officeDocument/2006/relationships/hyperlink" Id="rId517" Target="https://doi.org/10.2514/8.155" TargetMode="External" /><Relationship Type="http://schemas.openxmlformats.org/officeDocument/2006/relationships/hyperlink" Id="rId460" Target="https://doi.org/10.4159/9780674041660" TargetMode="External" /><Relationship Type="http://schemas.openxmlformats.org/officeDocument/2006/relationships/hyperlink" Id="rId377" Target="https://eur-lex.europa.eu/eli/reg/2004/139/oj?locale=es" TargetMode="External" /><Relationship Type="http://schemas.openxmlformats.org/officeDocument/2006/relationships/hyperlink" Id="rId399" Target="https://ideas.repec.org/a/aea/aecrev/v65y1975i5p966-77.html" TargetMode="External" /><Relationship Type="http://schemas.openxmlformats.org/officeDocument/2006/relationships/hyperlink" Id="rId444" Target="https://ideas.repec.org/a/aea/aecrev/v71y1981i5p896-908.html" TargetMode="External" /><Relationship Type="http://schemas.openxmlformats.org/officeDocument/2006/relationships/hyperlink" Id="rId339" Target="https://ideas.repec.org/a/aea/aecrev/v72y1982i1p1-15.html" TargetMode="External" /><Relationship Type="http://schemas.openxmlformats.org/officeDocument/2006/relationships/hyperlink" Id="rId364" Target="https://ideas.repec.org/a/aea/aecrev/v84y1994i4p772-93.html" TargetMode="External" /><Relationship Type="http://schemas.openxmlformats.org/officeDocument/2006/relationships/hyperlink" Id="rId483" Target="https://minneapolisfed.org/article/2012/new-and-larger-costs-of-monopoly-and-tariffs" TargetMode="External" /><Relationship Type="http://schemas.openxmlformats.org/officeDocument/2006/relationships/hyperlink" Id="rId473" Target="https://plato.stanford.edu/entries/ceteris-paribus/" TargetMode="External" /><Relationship Type="http://schemas.openxmlformats.org/officeDocument/2006/relationships/hyperlink" Id="rId419" Target="https://www.boe.es/buscar/act.php?id=BOE-A-2015-3443" TargetMode="External" /><Relationship Type="http://schemas.openxmlformats.org/officeDocument/2006/relationships/hyperlink" Id="rId375" Target="https://www.boe.es/buscar/act.php?id=BOE-A-2020-1066" TargetMode="External" /><Relationship Type="http://schemas.openxmlformats.org/officeDocument/2006/relationships/hyperlink" Id="rId505" Target="https://www.boe.es/buscar/doc.php?id=DOUE-Z-2010-70002" TargetMode="External" /><Relationship Type="http://schemas.openxmlformats.org/officeDocument/2006/relationships/hyperlink" Id="rId390" Target="https://www.boe.es/diario_boe/txt.php?id=BOE-A-2026-19507" TargetMode="External" /><Relationship Type="http://schemas.openxmlformats.org/officeDocument/2006/relationships/hyperlink" Id="rId450" Target="https://www.boe.es/diario_boe/txt.php?id=BOE-A-2026-3815" TargetMode="External" /><Relationship Type="http://schemas.openxmlformats.org/officeDocument/2006/relationships/hyperlink" Id="rId417" Target="https://www.boe.es/eli/es/l/2013/06/04/3" TargetMode="External" /><Relationship Type="http://schemas.openxmlformats.org/officeDocument/2006/relationships/hyperlink" Id="rId448" Target="https://www.boe.es/eli/es/rd/2017/02/03/55" TargetMode="External" /><Relationship Type="http://schemas.openxmlformats.org/officeDocument/2006/relationships/hyperlink" Id="rId362" Target="https://www.bundesnetzagentur.de/DE/Beschlusskammern/BK08/BK8_05_EOG/54_Effizienzvgl/start.html" TargetMode="External" /><Relationship Type="http://schemas.openxmlformats.org/officeDocument/2006/relationships/hyperlink" Id="rId370" Target="https://www.cnmc.es/sites/default/files/1972516_6.pdf" TargetMode="External" /><Relationship Type="http://schemas.openxmlformats.org/officeDocument/2006/relationships/hyperlink" Id="rId372" Target="https://www.cnmc.es/sites/default/files/2100627.pdf" TargetMode="External" /><Relationship Type="http://schemas.openxmlformats.org/officeDocument/2006/relationships/hyperlink" Id="rId466" Target="https://www.econlib.org/library/NPDBooks/Pigou/pgEW28.html" TargetMode="External" /><Relationship Type="http://schemas.openxmlformats.org/officeDocument/2006/relationships/hyperlink" Id="rId360" Target="https://www.gesetze-im-internet.de/aregv/anlage_3.html" TargetMode="External" /><Relationship Type="http://schemas.openxmlformats.org/officeDocument/2006/relationships/hyperlink" Id="rId446" Target="https://www.gutenberg.org/cache/epub/30107/pg30107.txt" TargetMode="External" /><Relationship Type="http://schemas.openxmlformats.org/officeDocument/2006/relationships/hyperlink" Id="rId488" Target="https://www.gutenberg.org/cache/epub/3300/pg3300.txt" TargetMode="External" /><Relationship Type="http://schemas.openxmlformats.org/officeDocument/2006/relationships/hyperlink" Id="rId475" Target="https://www.gutenberg.org/cache/epub/33310/pg33310.txt" TargetMode="External" /><Relationship Type="http://schemas.openxmlformats.org/officeDocument/2006/relationships/hyperlink" Id="rId432" Target="https://www.jstor.org/stable/1823775" TargetMode="External" /><Relationship Type="http://schemas.openxmlformats.org/officeDocument/2006/relationships/hyperlink" Id="rId440" Target="https://www.marxists.org/reference/subject/economics/marshall/bk1ch01.htm" TargetMode="External" /><Relationship Type="http://schemas.openxmlformats.org/officeDocument/2006/relationships/hyperlink" Id="rId497" Target="https://www.nobelprize.org/prizes/economic-sciences/1982/summary/" TargetMode="External" /><Relationship Type="http://schemas.openxmlformats.org/officeDocument/2006/relationships/hyperlink" Id="rId499" Target="https://www.nobelprize.org/prizes/economic-sciences/2014/summary/" TargetMode="External" /><Relationship Type="http://schemas.openxmlformats.org/officeDocument/2006/relationships/hyperlink" Id="rId502" Target="https://www.nobelprize.org/prizes/economic-sciences/2014/tirole/lecture/" TargetMode="External" /><Relationship Type="http://schemas.openxmlformats.org/officeDocument/2006/relationships/hyperlink" Id="rId294"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8" Target="https://www.victorgutierrezmarcos.es/oposicion/temario/primer-ejercicio/test/simulador.html" TargetMode="External" /><Relationship Type="http://schemas.openxmlformats.org/officeDocument/2006/relationships/hyperlink" Id="rId153" Target="https://www.victorgutierrezmarcos.es/oposicion/temario/tema-no-disponible.html?tema=3.A.14" TargetMode="External" /><Relationship Type="http://schemas.openxmlformats.org/officeDocument/2006/relationships/hyperlink" Id="rId25" Target="https://www.victorgutierrezmarcos.es/oposicion/temario/tema-no-disponible.html?tema=3.A.15"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0" Target="https://www.youtube.com/watch?v=TO4snWe61JE" TargetMode="External" /><Relationship Type="http://schemas.openxmlformats.org/officeDocument/2006/relationships/hyperlink" Id="rId295" Target="https://www.youtube.com/watch?v=lhD5s-4v3oM" TargetMode="External"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71" Target="media/rId7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2026-10-19T16:20:41Z</dcterms:created>
  <dcterms:modified xsi:type="dcterms:W3CDTF">2026-10-19T16:20:41Z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3A17</vt:lpwstr>
  </property>
  <property fmtid="{D5CDD505-2E9C-101B-9397-08002B2CF9AE}" pid="6" name="bibliography">
    <vt:lpwstr>C:\Users\vgutierrez\Documents\src\victorgutierrezmarcos.github.io-revision\oposicion\temario\fuentes\3A17\3A17.bib</vt:lpwstr>
  </property>
  <property fmtid="{D5CDD505-2E9C-101B-9397-08002B2CF9AE}" pid="7" name="carpeta">
    <vt:lpwstr>tercer-ejercicio</vt:lpwstr>
  </property>
  <property fmtid="{D5CDD505-2E9C-101B-9397-08002B2CF9AE}" pid="8" name="codigo">
    <vt:lpwstr>3.A.17</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C:\Users\vgutierrez\Documents\src\victorgutierrezmarcos.github.io-revision\oposicion\temario\fuentes\3A17\graficos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36 págs. · Anexos: 20 · Bibliografía: 6</vt:lpwstr>
  </property>
  <property fmtid="{D5CDD505-2E9C-101B-9397-08002B2CF9AE}" pid="20"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21" name="reference-section-title">
    <vt:lpwstr>Bibliografía</vt:lpwstr>
  </property>
  <property fmtid="{D5CDD505-2E9C-101B-9397-08002B2CF9AE}" pid="22" name="resumen">
    <vt:lpwstr>Equilibrio del monopolio e índice de Lerner, Harberger, discriminación de precios, monopolio natural, Ramsey-Boiteux, monopsonio y monopolio bilateral.</vt:lpwstr>
  </property>
  <property fmtid="{D5CDD505-2E9C-101B-9397-08002B2CF9AE}" pid="23" name="titulo">
    <vt:lpwstr>Análisis de mercados (II). Teoría del monopolio. Discriminación de precios. Monopolio natural. Producción conjunta. Análisis de eficiencia y bienestar. Monopsonio. Monopolio bilateral.</vt:lpwstr>
  </property>
  <property fmtid="{D5CDD505-2E9C-101B-9397-08002B2CF9AE}" pid="24" name="titulo-cita">
    <vt:lpwstr>Análisis de mercados (II). Teoría del monopolio. Discriminación de precios. Monopolio natural. Producción conjunta. Análisis de eficiencia y bienestar. Monopsonio. Monopolio bilateral</vt:lpwstr>
  </property>
  <property fmtid="{D5CDD505-2E9C-101B-9397-08002B2CF9AE}" pid="25" name="titulo-seo">
    <vt:lpwstr>Monopolio, discriminación de precios y monopsonio</vt:lpwstr>
  </property>
</Properties>
</file>