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2.png" ContentType="image/png"/>
  <Override PartName="/word/media/rId127.png" ContentType="image/png"/>
  <Override PartName="/word/media/rId146.png" ContentType="image/png"/>
  <Override PartName="/word/media/rId138.png" ContentType="image/png"/>
  <Override PartName="/word/media/rId142.png" ContentType="image/png"/>
  <Override PartName="/word/media/rId52.png" ContentType="image/png"/>
  <Override PartName="/word/media/rId35.png" ContentType="image/png"/>
  <Override PartName="/word/media/rId46.png" ContentType="image/png"/>
  <Override PartName="/word/media/rId69.png" ContentType="image/png"/>
  <Override PartName="/word/media/rId22.png" ContentType="image/png"/>
  <Override PartName="/word/media/rId152.png" ContentType="image/png"/>
  <Override PartName="/word/media/rId62.png" ContentType="image/png"/>
  <Override PartName="/word/media/rId30.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13/10/2026</w:t>
      </w:r>
    </w:p>
    <w:bookmarkStart w:id="21"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w:t>
      </w:r>
      <w:hyperlink w:anchor="ref-Moncloa2025Pensiones">
        <w:r>
          <w:rPr>
            <w:rStyle w:val="Hyperlink"/>
            <w:smallCaps/>
          </w:rPr>
          <w:t xml:space="preserve">Ministerio de Inclusión, Seguridad Social y Migraciones</w:t>
        </w:r>
        <w:r>
          <w:rPr>
            <w:rStyle w:val="Hyperlink"/>
          </w:rPr>
          <w:t xml:space="preserve"> </w:t>
        </w:r>
        <w:r>
          <w:rPr>
            <w:rStyle w:val="Hyperlink"/>
          </w:rPr>
          <w:t xml:space="preserve">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Para responderla hay que medir el bienestar en euros, y la utilidad es</w:t>
      </w:r>
      <w:r>
        <w:t xml:space="preserve"> </w:t>
      </w:r>
      <w:r>
        <w:rPr>
          <w:i/>
          <w:iCs/>
        </w:rPr>
        <w:t xml:space="preserve">ordinal</w:t>
      </w:r>
      <w:r>
        <w:t xml:space="preserve">: no se puede restar ni sumar. Hace falta una herramienta que traduzca la utilidad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numPr>
          <w:ilvl w:val="0"/>
          <w:numId w:val="1001"/>
        </w:numPr>
      </w:pPr>
      <w:r>
        <w:rPr>
          <w:b/>
          <w:bCs/>
          <w:i/>
          <w:iCs/>
        </w:rPr>
        <w:t xml:space="preserve">Relevancia</w:t>
      </w:r>
      <w:r>
        <w:t xml:space="preserve">:</w:t>
      </w:r>
    </w:p>
    <w:p>
      <w:pPr>
        <w:numPr>
          <w:ilvl w:val="1"/>
          <w:numId w:val="1003"/>
        </w:numPr>
      </w:pPr>
      <w:r>
        <w:rPr>
          <w:i/>
          <w:iCs/>
        </w:rPr>
        <w:t xml:space="preserve">Teórica</w:t>
      </w:r>
      <w:r>
        <w:t xml:space="preserve">: la dualidad da rigor y sencillez a la teoría de la demanda (la ecuación de</w:t>
      </w:r>
      <w:r>
        <w:t xml:space="preserve"> </w:t>
      </w:r>
      <w:r>
        <w:rPr>
          <w:smallCaps/>
        </w:rPr>
        <w:t xml:space="preserve">Slutsky</w:t>
      </w:r>
      <w:r>
        <w:t xml:space="preserve"> </w:t>
      </w:r>
      <w:r>
        <w:t xml:space="preserve">se demuestra en dos líneas), resuelve su principal limitación, que las preferencias no son observables, 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r>
        <w:rPr>
          <w:rStyle w:val="Referenciaatema"/>
        </w:rPr>
        <w:t xml:space="preserve">[ver tema 4.B.11]</w:t>
      </w:r>
      <w:r>
        <w:t xml:space="preserve">, la construcción de índices de precios</w:t>
      </w:r>
      <w:r>
        <w:t xml:space="preserve"> </w:t>
      </w:r>
      <w:r>
        <w:rPr>
          <w:rStyle w:val="Referenciaatema"/>
        </w:rPr>
        <w:t xml:space="preserve">[ver tema 4.A.1]</w:t>
      </w:r>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r>
        <w:rPr>
          <w:rStyle w:val="Referenciaatema"/>
        </w:rPr>
        <w:t xml:space="preserve">[ver tema 4.B.6]</w:t>
      </w:r>
      <w:r>
        <w:t xml:space="preserve"> </w:t>
      </w:r>
      <w:r>
        <w:t xml:space="preserve">y de la medición del exceso de gravamen de los impuestos</w:t>
      </w:r>
      <w:r>
        <w:t xml:space="preserve"> </w:t>
      </w:r>
      <w:r>
        <w:rPr>
          <w:rStyle w:val="Referenciaatema"/>
        </w:rPr>
        <w:t xml:space="preserve">[ver tema 4.B.9]</w:t>
      </w:r>
      <w:r>
        <w:t xml:space="preserve">.</w:t>
      </w:r>
    </w:p>
    <w:p>
      <w:pPr>
        <w:numPr>
          <w:ilvl w:val="0"/>
          <w:numId w:val="1001"/>
        </w:numPr>
      </w:pPr>
      <w:r>
        <w:rPr>
          <w:b/>
          <w:bCs/>
          <w:i/>
          <w:iCs/>
        </w:rPr>
        <w:t xml:space="preserve">Contextualización</w:t>
      </w:r>
      <w:r>
        <w:t xml:space="preserve">:</w:t>
      </w:r>
    </w:p>
    <w:p>
      <w:pPr>
        <w:numPr>
          <w:ilvl w:val="1"/>
          <w:numId w:val="1004"/>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r>
        <w:rPr>
          <w:rStyle w:val="Referenciaatema"/>
        </w:rPr>
        <w:t xml:space="preserve">[ver tema 3.A.8]</w:t>
      </w:r>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 ¿qué demandas observadas son compatibles con la maximización de unas preferencias?, ¿son también suficientes las condiciones necesarias para esa compatibilidad?, ¿qué tipo de preferencias genera una clase particular de demandas? El análisis de dualidad ha sido determinante para responderlas.</w:t>
      </w:r>
    </w:p>
    <w:p>
      <w:pPr>
        <w:numPr>
          <w:ilvl w:val="1"/>
          <w:numId w:val="1004"/>
        </w:numPr>
      </w:pPr>
      <w:r>
        <w:t xml:space="preserve">Esas preguntas se han abordado desde cuatro líneas de trabajo con un origen distinto:</w:t>
      </w:r>
    </w:p>
    <w:p>
      <w:pPr>
        <w:numPr>
          <w:ilvl w:val="2"/>
          <w:numId w:val="1005"/>
        </w:numPr>
      </w:pPr>
      <w:r>
        <w:rPr>
          <w:b/>
          <w:bCs/>
        </w:rPr>
        <w:t xml:space="preserve">Dualidad</w:t>
      </w:r>
      <w:r>
        <w:t xml:space="preserve">.</w:t>
      </w:r>
      <w:r>
        <w:t xml:space="preserve"> </w:t>
      </w:r>
      <w:r>
        <w:rPr>
          <w:smallCaps/>
        </w:rPr>
        <w:t xml:space="preserve">Hotelling</w:t>
      </w:r>
      <w:r>
        <w:t xml:space="preserve"> </w:t>
      </w:r>
      <w:r>
        <w:t xml:space="preserve">(</w:t>
      </w:r>
      <w:hyperlink w:anchor="ref-Hotelling1932Edgeworth">
        <w:r>
          <w:rPr>
            <w:rStyle w:val="Hyperlink"/>
          </w:rPr>
          <w:t xml:space="preserve">1932</w:t>
        </w:r>
      </w:hyperlink>
      <w:r>
        <w:t xml:space="preserve">)</w:t>
      </w:r>
      <w:r>
        <w:t xml:space="preserve"> </w:t>
      </w:r>
      <w:r>
        <w:t xml:space="preserve">obtiene las demandas y ofertas de la empresa derivando su función de beneficio;</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introduce la demanda compensada;</w:t>
      </w:r>
      <w:r>
        <w:t xml:space="preserve"> </w:t>
      </w:r>
      <w:r>
        <w:rPr>
          <w:smallCaps/>
        </w:rPr>
        <w:t xml:space="preserve">Roy</w:t>
      </w:r>
      <w:r>
        <w:t xml:space="preserve"> </w:t>
      </w:r>
      <w:r>
        <w:t xml:space="preserve">(</w:t>
      </w:r>
      <w:hyperlink w:anchor="ref-Roy1947Distribution">
        <w:r>
          <w:rPr>
            <w:rStyle w:val="Hyperlink"/>
          </w:rPr>
          <w:t xml:space="preserve">1947</w:t>
        </w:r>
      </w:hyperlink>
      <w:r>
        <w:t xml:space="preserve">)</w:t>
      </w:r>
      <w:r>
        <w:t xml:space="preserve"> </w:t>
      </w:r>
      <w:r>
        <w:t xml:space="preserve">obtiene las demandas a partir de la función indirecta de utilidad;</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deriva las demandas condicionadas de factores de la función de costes, y</w:t>
      </w:r>
      <w:r>
        <w:t xml:space="preserve"> </w:t>
      </w:r>
      <w:r>
        <w:rPr>
          <w:smallCaps/>
        </w:rPr>
        <w:t xml:space="preserve">McKenzie</w:t>
      </w:r>
      <w:r>
        <w:t xml:space="preserve"> </w:t>
      </w:r>
      <w:r>
        <w:t xml:space="preserve">(</w:t>
      </w:r>
      <w:hyperlink w:anchor="ref-McKenzie1957Demand">
        <w:r>
          <w:rPr>
            <w:rStyle w:val="Hyperlink"/>
          </w:rPr>
          <w:t xml:space="preserve">1957</w:t>
        </w:r>
      </w:hyperlink>
      <w:r>
        <w:t xml:space="preserve">)</w:t>
      </w:r>
      <w:r>
        <w:t xml:space="preserve"> </w:t>
      </w:r>
      <w:r>
        <w:t xml:space="preserve">traslada el resultado al consumidor con la función de gasto, «sin índice de utilidad».</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5"/>
        </w:numPr>
      </w:pPr>
      <w:r>
        <w:rPr>
          <w:b/>
          <w:bCs/>
        </w:rPr>
        <w:t xml:space="preserve">Integrabilidad</w:t>
      </w:r>
      <w:r>
        <w:t xml:space="preserve">.</w:t>
      </w:r>
      <w:r>
        <w:t xml:space="preserve"> </w:t>
      </w:r>
      <w:r>
        <w:rPr>
          <w:smallCaps/>
        </w:rPr>
        <w:t xml:space="preserve">Antonelli</w:t>
      </w:r>
      <w:r>
        <w:t xml:space="preserve"> </w:t>
      </w:r>
      <w:r>
        <w:t xml:space="preserve">(</w:t>
      </w:r>
      <w:hyperlink w:anchor="ref-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5"/>
        </w:numPr>
      </w:pPr>
      <w:r>
        <w:rPr>
          <w:b/>
          <w:bCs/>
        </w:rPr>
        <w:t xml:space="preserve">Medición del bienestar</w:t>
      </w:r>
      <w:r>
        <w:t xml:space="preserve">.</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hyperlink w:anchor="ref-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numPr>
          <w:ilvl w:val="2"/>
          <w:numId w:val="1005"/>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 y los sistemas de demanda son una parte central de esa obra.</w:t>
      </w:r>
    </w:p>
    <w:p>
      <w:pPr>
        <w:numPr>
          <w:ilvl w:val="1"/>
          <w:numId w:val="1004"/>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Aquí se usa en sentido estricto, aunque alguna vez aparezca el amplio.</w:t>
      </w:r>
      <w:r>
        <w:rPr>
          <w:rStyle w:val="FootnoteReference"/>
        </w:rPr>
        <w:footnoteReference w:id="20"/>
      </w:r>
    </w:p>
    <w:p>
      <w:pPr>
        <w:numPr>
          <w:ilvl w:val="0"/>
          <w:numId w:val="1001"/>
        </w:numPr>
      </w:pPr>
      <w:r>
        <w:rPr>
          <w:b/>
          <w:bCs/>
          <w:i/>
          <w:iCs/>
        </w:rPr>
        <w:t xml:space="preserve">Problemática (preguntas clave)</w:t>
      </w:r>
      <w:r>
        <w:t xml:space="preserve">:</w:t>
      </w:r>
    </w:p>
    <w:p>
      <w:pPr>
        <w:numPr>
          <w:ilvl w:val="1"/>
          <w:numId w:val="1006"/>
        </w:numPr>
      </w:pPr>
      <w:r>
        <w:t xml:space="preserve">¿Qué se gana al «dar la vuelta» al problema del consumidor y minimizar el gasto en lugar de maximizar la utilidad? ¿Se llega a la misma decisión?</w:t>
      </w:r>
    </w:p>
    <w:p>
      <w:pPr>
        <w:numPr>
          <w:ilvl w:val="1"/>
          <w:numId w:val="1006"/>
        </w:numPr>
      </w:pPr>
      <w:r>
        <w:t xml:space="preserve">¿Cómo se estiman en la práctica los sistemas de demanda?</w:t>
      </w:r>
    </w:p>
    <w:p>
      <w:pPr>
        <w:numPr>
          <w:ilvl w:val="1"/>
          <w:numId w:val="1006"/>
        </w:numPr>
      </w:pPr>
      <w:r>
        <w:t xml:space="preserve">¿Qué demandas observadas son compatibles con la maximización de unas preferencias y cómo pueden recuperarse estas a partir de aquellas?</w:t>
      </w:r>
    </w:p>
    <w:p>
      <w:pPr>
        <w:numPr>
          <w:ilvl w:val="1"/>
          <w:numId w:val="1006"/>
        </w:numPr>
      </w:pPr>
      <w:r>
        <w:t xml:space="preserve">¿Cómo se mide en unidades monetarias lo que gana o pierde un consumidor cuando cambian los precios, y qué error se comete con el excedente del consumidor o con los índices de precios?</w:t>
      </w:r>
    </w:p>
    <w:p>
      <w:pPr>
        <w:numPr>
          <w:ilvl w:val="0"/>
          <w:numId w:val="1001"/>
        </w:numPr>
      </w:pPr>
      <w:r>
        <w:rPr>
          <w:b/>
          <w:bCs/>
          <w:i/>
          <w:iCs/>
        </w:rPr>
        <w:t xml:space="preserve">Estructura</w:t>
      </w:r>
      <w:r>
        <w:t xml:space="preserve">: la exposición se organiza en tres partes.</w:t>
      </w:r>
    </w:p>
    <w:p>
      <w:pPr>
        <w:numPr>
          <w:ilvl w:val="1"/>
          <w:numId w:val="1007"/>
        </w:numPr>
      </w:pPr>
      <w:r>
        <w:rPr>
          <w:b/>
          <w:bCs/>
        </w:rPr>
        <w:t xml:space="preserve">I. Análisis teórico de la dualidad</w:t>
      </w:r>
      <w:r>
        <w:t xml:space="preserve">: partiremos de los ingredientes comunes a los dos enfoques (I.1); 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(I.2), y estableceremos las relaciones de dualidad entre ambos (I.3).</w:t>
      </w:r>
    </w:p>
    <w:p>
      <w:pPr>
        <w:numPr>
          <w:ilvl w:val="1"/>
          <w:numId w:val="1007"/>
        </w:numPr>
      </w:pPr>
      <w:r>
        <w:rPr>
          <w:b/>
          <w:bCs/>
        </w:rPr>
        <w:t xml:space="preserve">II. Desarrollos empíricos</w:t>
      </w:r>
      <w:r>
        <w:t xml:space="preserve">: veremos para qué se estiman los sistemas completos de demanda (II.1) 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(II.2), y los valoraremos (II.3).</w:t>
      </w:r>
    </w:p>
    <w:p>
      <w:pPr>
        <w:numPr>
          <w:ilvl w:val="1"/>
          <w:numId w:val="1007"/>
        </w:numPr>
      </w:pPr>
      <w:r>
        <w:rPr>
          <w:b/>
          <w:bCs/>
        </w:rPr>
        <w:t xml:space="preserve">III. Aplicaciones de la dualidad</w:t>
      </w:r>
      <w:r>
        <w:t xml:space="preserve">: la integrabilidad de las preferencias, que pregunta cuándo un sistema de demandas procede de unas preferencias (III.1); la ecuación de</w:t>
      </w:r>
      <w:r>
        <w:t xml:space="preserve"> </w:t>
      </w:r>
      <w:r>
        <w:rPr>
          <w:smallCaps/>
        </w:rPr>
        <w:t xml:space="preserve">Slutsky</w:t>
      </w:r>
      <w:r>
        <w:t xml:space="preserve"> </w:t>
      </w:r>
      <w:r>
        <w:t xml:space="preserve">y la clasificación de los bienes, propia y cruzada, neta y bruta (III.2), y la medición de los cambios en el bienestar, con el excedente del consumidor, la métrica monetaria, las variaciones compensatoria y equivalente y los índices de coste de la vida (III.3).</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pPr>
      <w:r>
        <w:rPr>
          <w:b/>
          <w:bCs/>
        </w:rPr>
        <w:t xml:space="preserve">Nota al opositor. </w:t>
      </w:r>
      <w:r>
        <w:t xml:space="preserve">La exposición va de las herramientas (I) a su estimación (II) y a sus aplicaciones (III). Reparto del cante: introducción, 2 minutos; I, 10 (I.1, 2; I.2, 5; I.3, 3); II, 5 (II.1, 0,5; II.2, 3,5; II.3, 1); III, 12 (III.1, 2,5; III.2, 3,5; III.3, 6), y conclusión, 1. El bloque I 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1"/>
    <w:bookmarkStart w:id="75" w:name="X71f534b4cdd64c3c6c7a75da5470e7aafa576ae"/>
    <w:p>
      <w:pPr>
        <w:pStyle w:val="Heading1"/>
      </w:pPr>
      <w:r>
        <w:t xml:space="preserve">I.</w:t>
      </w:r>
      <w:r>
        <w:t xml:space="preserve"> </w:t>
      </w:r>
      <w:r>
        <w:t xml:space="preserve">Análisis teórico de la dualidad en la decisión de consumo</w:t>
      </w:r>
    </w:p>
    <w:p>
      <w:pPr>
        <w:pStyle w:val="Notaalopositor"/>
      </w:pPr>
      <w:r>
        <w:rPr>
          <w:b/>
          <w:bCs/>
        </w:rPr>
        <w:t xml:space="preserve">Nota al opositor. </w:t>
      </w:r>
      <w:r>
        <w:t xml:space="preserve">En el cante: los ingredientes, con el esquema que lleva de las preferencias a las dos demandas (2 minutos);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A) son de profundización.</w:t>
      </w:r>
    </w:p>
    <w:p>
      <w:pPr>
        <w:numPr>
          <w:ilvl w:val="0"/>
          <w:numId w:val="1008"/>
        </w:numPr>
      </w:pPr>
      <w:r>
        <w:t xml:space="preserve">Este bloque responde a la primera pregunta.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27" w:name="Xadf3614fecccd08a3ec2ecd90481c1f5511b388"/>
    <w:p>
      <w:pPr>
        <w:pStyle w:val="Heading2"/>
      </w:pPr>
      <w:r>
        <w:t xml:space="preserve">I.1.</w:t>
      </w:r>
      <w:r>
        <w:t xml:space="preserve"> </w:t>
      </w:r>
      <w:r>
        <w:t xml:space="preserve">Ingredientes comunes del problema primal y el problema dual</w:t>
      </w:r>
    </w:p>
    <w:p>
      <w:pPr>
        <w:numPr>
          <w:ilvl w:val="0"/>
          <w:numId w:val="1009"/>
        </w:numPr>
      </w:pPr>
      <w:r>
        <w:t xml:space="preserve">Para modelizar al consumidor caben dos enfoques del mismo problema:</w:t>
      </w:r>
    </w:p>
    <w:p>
      <w:pPr>
        <w:numPr>
          <w:ilvl w:val="1"/>
          <w:numId w:val="1010"/>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0"/>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09"/>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1).</w:t>
      </w:r>
    </w:p>
    <w:bookmarkStart w:id="25" w:name="fig:esquema-ingredientes-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 title="" id="23" name="Picture"/>
            <a:graphic>
              <a:graphicData uri="http://schemas.openxmlformats.org/drawingml/2006/picture">
                <pic:pic>
                  <pic:nvPicPr>
                    <pic:cNvPr descr="C:\Users\vgutierrez\Documents\src\victorgutierrezmarcos.github.io-revision\oposicion\temario\fuentes\3A09\graficos/esquema-ingredientes-dualidad.png" id="24" name="Picture"/>
                    <pic:cNvPicPr>
                      <a:picLocks noChangeArrowheads="1" noChangeAspect="1"/>
                    </pic:cNvPicPr>
                  </pic:nvPicPr>
                  <pic:blipFill>
                    <a:blip r:embed="rId22"/>
                    <a:stretch>
                      <a:fillRect/>
                    </a:stretch>
                  </pic:blipFill>
                  <pic:spPr bwMode="auto">
                    <a:xfrm>
                      <a:off x="0" y="0"/>
                      <a:ext cx="5670550" cy="1833824"/>
                    </a:xfrm>
                    <a:prstGeom prst="rect">
                      <a:avLst/>
                    </a:prstGeom>
                    <a:noFill/>
                    <a:ln w="9525">
                      <a:noFill/>
                      <a:headEnd/>
                      <a:tailEnd/>
                    </a:ln>
                  </pic:spPr>
                </pic:pic>
              </a:graphicData>
            </a:graphic>
          </wp:inline>
        </w:drawing>
      </w:r>
    </w:p>
    <w:bookmarkEnd w:id="25"/>
    <w:p>
      <w:pPr>
        <w:pStyle w:val="Piedeimagen"/>
      </w:pPr>
      <w:r>
        <w:t xml:space="preserve">Fuente: elaboración propia.</w:t>
      </w:r>
    </w:p>
    <w:p>
      <w:pPr>
        <w:numPr>
          <w:ilvl w:val="0"/>
          <w:numId w:val="1011"/>
        </w:numPr>
      </w:pPr>
      <w:r>
        <w:t xml:space="preserve">Recorremos el esquema parte por parte:</w:t>
      </w:r>
    </w:p>
    <w:p>
      <w:pPr>
        <w:numPr>
          <w:ilvl w:val="1"/>
          <w:numId w:val="1012"/>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numPr>
          <w:ilvl w:val="1"/>
          <w:numId w:val="1012"/>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3"/>
        </w:numPr>
      </w:pPr>
      <w:r>
        <w:rPr>
          <w:i/>
          <w:iCs/>
        </w:rPr>
        <w:t xml:space="preserve">completitud</w:t>
      </w:r>
      <w:r>
        <w:t xml:space="preserve">: dos cestas cualesquiera pueden compararse;</w:t>
      </w:r>
    </w:p>
    <w:p>
      <w:pPr>
        <w:numPr>
          <w:ilvl w:val="2"/>
          <w:numId w:val="1013"/>
        </w:numPr>
      </w:pPr>
      <w:r>
        <w:rPr>
          <w:i/>
          <w:iCs/>
        </w:rPr>
        <w:t xml:space="preserve">reflexividad</w:t>
      </w:r>
      <w:r>
        <w:t xml:space="preserve">: cada cesta es al menos tan buena como sí misma;</w:t>
      </w:r>
    </w:p>
    <w:p>
      <w:pPr>
        <w:numPr>
          <w:ilvl w:val="2"/>
          <w:numId w:val="1013"/>
        </w:numPr>
      </w:pPr>
      <w:r>
        <w:rPr>
          <w:i/>
          <w:iCs/>
        </w:rPr>
        <w:t xml:space="preserve">transitividad</w:t>
      </w:r>
      <w:r>
        <w:t xml:space="preserve">: las comparaciones son coherentes entre sí;</w:t>
      </w:r>
    </w:p>
    <w:p>
      <w:pPr>
        <w:numPr>
          <w:ilvl w:val="2"/>
          <w:numId w:val="1013"/>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3"/>
        </w:numPr>
      </w:pPr>
      <w:r>
        <w:rPr>
          <w:i/>
          <w:iCs/>
        </w:rPr>
        <w:t xml:space="preserve">insaciabilidad local</w:t>
      </w:r>
      <w:r>
        <w:t xml:space="preserve">: cerca de cada cesta hay otra preferida (la monotonía estricta, más fuerte, también la garantiza);</w:t>
      </w:r>
    </w:p>
    <w:p>
      <w:pPr>
        <w:numPr>
          <w:ilvl w:val="2"/>
          <w:numId w:val="1013"/>
        </w:numPr>
      </w:pPr>
      <w:r>
        <w:rPr>
          <w:i/>
          <w:iCs/>
        </w:rPr>
        <w:t xml:space="preserve">convexidad estricta</w:t>
      </w:r>
      <w:r>
        <w:t xml:space="preserve">: las combinaciones de cestas indiferentes se prefieren a los extremos;</w:t>
      </w:r>
    </w:p>
    <w:p>
      <w:pPr>
        <w:numPr>
          <w:ilvl w:val="2"/>
          <w:numId w:val="1013"/>
        </w:numPr>
      </w:pPr>
      <w:r>
        <w:rPr>
          <w:i/>
          <w:iCs/>
        </w:rPr>
        <w:t xml:space="preserve">diferenciabilidad</w:t>
      </w:r>
      <w:r>
        <w:t xml:space="preserve">: que la función de utilidad tenga derivadas, para poder usar el cálculo diferencial.</w:t>
      </w:r>
    </w:p>
    <w:p>
      <w:pPr>
        <w:numPr>
          <w:ilvl w:val="1"/>
          <w:numId w:val="1012"/>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r>
        <w:rPr>
          <w:rStyle w:val="Referenciaatema"/>
        </w:rPr>
        <w:t xml:space="preserve">[ver tema 3.A.8]</w:t>
      </w:r>
      <w:r>
        <w:t xml:space="preserve">.</w:t>
      </w:r>
    </w:p>
    <w:p>
      <w:pPr>
        <w:numPr>
          <w:ilvl w:val="2"/>
          <w:numId w:val="1014"/>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14"/>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numPr>
          <w:ilvl w:val="1"/>
          <w:numId w:val="1012"/>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15"/>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15"/>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2"/>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1"/>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1).</w:t>
      </w:r>
    </w:p>
    <w:bookmarkStart w:id="26" w:name="tab:ingredientes"/>
    <w:p>
      <w:pPr>
        <w:pStyle w:val="TableCaption"/>
      </w:pPr>
      <w:r>
        <w:t xml:space="preserve">Los mismos ingredientes, con los papeles cambiados</w:t>
      </w:r>
    </w:p>
    <w:tbl>
      <w:tblPr>
        <w:tblStyle w:val="Table"/>
        <w:tblW w:type="auto" w:w="0"/>
        <w:tblLook w:firstRow="1" w:lastRow="0" w:firstColumn="0" w:lastColumn="0" w:noHBand="0" w:noVBand="0" w:val="0020"/>
        <w:tblCaption w:val="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Problema primal</w:t>
            </w:r>
          </w:p>
        </w:tc>
        <w:tc>
          <w:tcPr/>
          <w:p>
            <w:pPr>
              <w:pStyle w:val="Celdatceeazulpalido"/>
              <w:jc w:val="left"/>
            </w:pPr>
            <w:r>
              <w:rPr>
                <w:b/>
                <w:bCs/>
              </w:rPr>
              <w:t xml:space="preserve">Problema dual</w:t>
            </w:r>
          </w:p>
        </w:tc>
      </w:tr>
      <w:t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26"/>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MatePerez2007Microeconomia">
        <w:r>
          <w:rPr>
            <w:rStyle w:val="Hyperlink"/>
            <w:i/>
            <w:iCs/>
          </w:rPr>
          <w:t xml:space="preserve">2007</w:t>
        </w:r>
      </w:hyperlink>
      <w:r>
        <w:rPr>
          <w:i/>
          <w:iCs/>
        </w:rPr>
        <w:t xml:space="preserve">)</w:t>
      </w:r>
      <w:r>
        <w:rPr>
          <w:i/>
          <w:iCs/>
        </w:rPr>
        <w:t xml:space="preserve">.</w:t>
      </w:r>
    </w:p>
    <w:bookmarkEnd w:id="27"/>
    <w:bookmarkStart w:id="61" w:name="problemas-primal-y-dual"/>
    <w:p>
      <w:pPr>
        <w:pStyle w:val="Heading2"/>
      </w:pPr>
      <w:r>
        <w:t xml:space="preserve">I.2.</w:t>
      </w:r>
      <w:r>
        <w:t xml:space="preserve"> </w:t>
      </w:r>
      <w:r>
        <w:t xml:space="preserve">Problemas primal y dual</w:t>
      </w:r>
    </w:p>
    <w:bookmarkStart w:id="42" w:name="X7c6d98eafb5dd2ce68979be25b5ecb40da7c1bf"/>
    <w:p>
      <w:pPr>
        <w:pStyle w:val="Heading3"/>
      </w:pPr>
      <w:r>
        <w:t xml:space="preserve">I.2.1.</w:t>
      </w:r>
      <w:r>
        <w:t xml:space="preserve"> </w:t>
      </w:r>
      <w:r>
        <w:t xml:space="preserve">Problema primal: maximización de la utilidad</w:t>
      </w:r>
    </w:p>
    <w:bookmarkStart w:id="28" w:name="a-idea"/>
    <w:p>
      <w:pPr>
        <w:pStyle w:val="Heading4"/>
      </w:pPr>
      <w:r>
        <w:t xml:space="preserve">a) Idea</w:t>
      </w:r>
    </w:p>
    <w:p>
      <w:pPr>
        <w:numPr>
          <w:ilvl w:val="0"/>
          <w:numId w:val="1016"/>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r>
        <w:rPr>
          <w:rStyle w:val="Referenciaatema"/>
        </w:rPr>
        <w:t xml:space="preserve">[ver tema 3.A.8]</w:t>
      </w:r>
      <w:r>
        <w:t xml:space="preserve">.</w:t>
      </w:r>
    </w:p>
    <w:bookmarkEnd w:id="28"/>
    <w:bookmarkStart w:id="40" w:name="b-modelo"/>
    <w:p>
      <w:pPr>
        <w:pStyle w:val="Heading4"/>
      </w:pPr>
      <w:r>
        <w:t xml:space="preserve">b) Modelo</w:t>
      </w:r>
    </w:p>
    <w:bookmarkStart w:id="29" w:name="i-supuestos"/>
    <w:p>
      <w:pPr>
        <w:pStyle w:val="Heading5"/>
      </w:pPr>
      <w:r>
        <w:t xml:space="preserve">i) Supuestos</w:t>
      </w:r>
    </w:p>
    <w:p>
      <w:pPr>
        <w:numPr>
          <w:ilvl w:val="0"/>
          <w:numId w:val="1017"/>
        </w:numPr>
      </w:pPr>
      <w:r>
        <w:t xml:space="preserve">Los de I.1: contexto estático, información perfecta, preferencias de buen comportamiento representables con una función de utilidad de buen comportamiento, bienes homogéneos y consumidor precio-aceptante.</w:t>
      </w:r>
    </w:p>
    <w:bookmarkEnd w:id="29"/>
    <w:bookmarkStart w:id="34" w:name="ii-desarrollo"/>
    <w:p>
      <w:pPr>
        <w:pStyle w:val="Heading5"/>
      </w:pPr>
      <w:r>
        <w:t xml:space="preserve">ii) Desarrollo</w:t>
      </w:r>
    </w:p>
    <w:p>
      <w:pPr>
        <w:numPr>
          <w:ilvl w:val="0"/>
          <w:numId w:val="1018"/>
        </w:numPr>
      </w:pPr>
      <w:r>
        <w:rPr>
          <w:i/>
          <w:iCs/>
        </w:rPr>
        <w:t xml:space="preserve">Analítico</w:t>
      </w:r>
      <w:r>
        <w:t xml:space="preserve">. El</w:t>
      </w:r>
      <w:r>
        <w:t xml:space="preserve"> </w:t>
      </w:r>
      <w:r>
        <w:rPr>
          <w:b/>
          <w:bCs/>
        </w:rPr>
        <w:t xml:space="preserve">problema de maximización de la utilidad</w:t>
      </w:r>
      <w:r>
        <w:t xml:space="preserve"> </w:t>
      </w:r>
      <w:r>
        <w:t xml:space="preserve">(PMU) es</w:t>
      </w:r>
    </w:p>
    <w:p>
      <w:pPr>
        <w:pStyle w:val="BodyText"/>
      </w:pPr>
      <m:oMathPara>
        <m:oMathParaPr>
          <m:jc m:val="center"/>
        </m:oMathParaPr>
        <m:oMath>
          <m:limLow>
            <m:e>
              <m:r>
                <m:rPr>
                  <m:sty m:val="p"/>
                </m:rPr>
                <m:t>max</m:t>
              </m:r>
            </m:e>
            <m:lim>
              <m:acc>
                <m:accPr>
                  <m:chr m:val="⃗"/>
                </m:accPr>
                <m:e>
                  <m:r>
                    <m:t>x</m:t>
                  </m:r>
                </m:e>
              </m:acc>
            </m:lim>
          </m:limLow>
          <m:r>
            <m:t> </m:t>
          </m:r>
          <m:r>
            <m:t>U</m:t>
          </m:r>
          <m:d>
            <m:dPr>
              <m:begChr m:val="("/>
              <m:sepChr m:val=""/>
              <m:endChr m:val=")"/>
              <m:grow/>
            </m:dPr>
            <m:e>
              <m:acc>
                <m:accPr>
                  <m:chr m:val="⃗"/>
                </m:accPr>
                <m:e>
                  <m:r>
                    <m:t>x</m:t>
                  </m:r>
                </m:e>
              </m:acc>
            </m:e>
          </m:d>
          <m:r>
            <m:t> </m:t>
          </m:r>
          <m:r>
            <m:rPr>
              <m:nor/>
              <m:sty m:val="p"/>
            </m:rPr>
            <m:t>s.a.</m:t>
          </m:r>
          <m:r>
            <m:t> </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m:oMathPara>
    </w:p>
    <w:p>
      <w:pPr>
        <w:numPr>
          <w:ilvl w:val="1"/>
          <w:numId w:val="1019"/>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19"/>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p>
    <w:p>
      <w:pPr>
        <w:numPr>
          <w:ilvl w:val="1"/>
          <w:numId w:val="1019"/>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p>
    <w:p>
      <w:pPr>
        <w:pStyle w:val="BodyT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r>
            <m:t>R</m:t>
          </m:r>
          <m:r>
            <m:t>M</m:t>
          </m:r>
          <m:sSub>
            <m:e>
              <m: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A.</w:t>
      </w:r>
    </w:p>
    <w:p>
      <w:pPr>
        <w:numPr>
          <w:ilvl w:val="0"/>
          <w:numId w:val="1018"/>
        </w:numPr>
      </w:pPr>
      <w:r>
        <w:rPr>
          <w:i/>
          <w:iCs/>
        </w:rPr>
        <w:t xml:space="preserve">Gráfico</w:t>
      </w:r>
      <w:r>
        <w:t xml:space="preserve"> </w:t>
      </w:r>
      <w:r>
        <w:t xml:space="preserve">(gráfico 2),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33" w:name="fig: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 title="" id="31" name="Picture"/>
            <a:graphic>
              <a:graphicData uri="http://schemas.openxmlformats.org/drawingml/2006/picture">
                <pic:pic>
                  <pic:nvPicPr>
                    <pic:cNvPr descr="C:\Users\vgutierrez\Documents\src\victorgutierrezmarcos.github.io-revision\oposicion\temario\fuentes\3A09\graficos/primal.png" id="32" name="Picture"/>
                    <pic:cNvPicPr>
                      <a:picLocks noChangeArrowheads="1" noChangeAspect="1"/>
                    </pic:cNvPicPr>
                  </pic:nvPicPr>
                  <pic:blipFill>
                    <a:blip r:embed="rId30"/>
                    <a:stretch>
                      <a:fillRect/>
                    </a:stretch>
                  </pic:blipFill>
                  <pic:spPr bwMode="auto">
                    <a:xfrm>
                      <a:off x="0" y="0"/>
                      <a:ext cx="2688152" cy="2272238"/>
                    </a:xfrm>
                    <a:prstGeom prst="rect">
                      <a:avLst/>
                    </a:prstGeom>
                    <a:noFill/>
                    <a:ln w="9525">
                      <a:noFill/>
                      <a:headEnd/>
                      <a:tailEnd/>
                    </a:ln>
                  </pic:spPr>
                </pic:pic>
              </a:graphicData>
            </a:graphic>
          </wp:inline>
        </w:drawing>
      </w:r>
    </w:p>
    <w:bookmarkEnd w:id="33"/>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3.D.1</w:t>
        </w:r>
      </w:hyperlink>
      <w:r>
        <w:t xml:space="preserve">)</w:t>
      </w:r>
      <w:r>
        <w:t xml:space="preserve">.</w:t>
      </w:r>
    </w:p>
    <w:bookmarkEnd w:id="34"/>
    <w:bookmarkStart w:id="39" w:name="Xee0fe5705837d24383fbf47e6e89e518ec7c9c1"/>
    <w:p>
      <w:pPr>
        <w:pStyle w:val="Heading5"/>
      </w:pPr>
      <w:r>
        <w:t xml:space="preserve">iii) Implicaciones: la demanda marshalliana y la función indirecta de utilidad</w:t>
      </w:r>
    </w:p>
    <w:p>
      <w:pPr>
        <w:numPr>
          <w:ilvl w:val="0"/>
          <w:numId w:val="1020"/>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p>
    <w:p>
      <w:pPr>
        <w:pStyle w:val="BodyT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numPr>
          <w:ilvl w:val="0"/>
          <w:numId w:val="102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3.D.2;</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1"/>
          <w:numId w:val="1021"/>
        </w:numPr>
      </w:pPr>
      <w:r>
        <w:rPr>
          <w:i/>
          <w:iCs/>
        </w:rPr>
        <w:t xml:space="preserve">existe, es global y es única</w:t>
      </w:r>
      <w:r>
        <w:t xml:space="preserve">, por los teoremas de la optimización condicionada que acabamos de ver;</w:t>
      </w:r>
    </w:p>
    <w:p>
      <w:pPr>
        <w:numPr>
          <w:ilvl w:val="1"/>
          <w:numId w:val="102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1"/>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k</m:t>
            </m:r>
            <m:acc>
              <m:accPr>
                <m:chr m:val="⃗"/>
              </m:accPr>
              <m:e>
                <m:r>
                  <m:t>p</m:t>
                </m:r>
              </m:e>
            </m:acc>
            <m:r>
              <m:rPr>
                <m:sty m:val="p"/>
              </m:rPr>
              <m:t>,</m:t>
            </m:r>
            <m:r>
              <m:t>k</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1"/>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numPr>
          <w:ilvl w:val="1"/>
          <w:numId w:val="1021"/>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 que</w:t>
      </w:r>
      <w:r>
        <w:t xml:space="preserve"> </w:t>
      </w:r>
      <m:oMath>
        <m:r>
          <m:t>U</m:t>
        </m:r>
      </m:oMath>
      <w:r>
        <w:t xml:space="preserve"> </w:t>
      </w:r>
      <w:r>
        <w:t xml:space="preserve">sea dos veces diferenciable, que alguna utilidad marginal sea positiva y que el determinante del hessiano orlado sea distinto de cero en el óptimo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0"/>
          <w:numId w:val="1020"/>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p>
    <w:p>
      <w:pPr>
        <w:pStyle w:val="BodyT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limLow>
            <m:e>
              <m:r>
                <m:rPr>
                  <m:sty m:val="p"/>
                </m:rPr>
                <m:t>max</m:t>
              </m:r>
            </m:e>
            <m:lim>
              <m:acc>
                <m:accPr>
                  <m:chr m:val="⃗"/>
                </m:accPr>
                <m:e>
                  <m:r>
                    <m:t>x</m:t>
                  </m:r>
                </m:e>
              </m:acc>
            </m:lim>
          </m:limLow>
          <m:d>
            <m:dPr>
              <m:begChr m:val="{"/>
              <m:sepChr m:val=""/>
              <m:endChr m:val="}"/>
              <m:grow/>
            </m:dPr>
            <m:e>
              <m:r>
                <m:t>U</m:t>
              </m:r>
              <m:d>
                <m:dPr>
                  <m:begChr m:val="("/>
                  <m:sepChr m:val=""/>
                  <m:endChr m:val=")"/>
                  <m:grow/>
                </m:dPr>
                <m:e>
                  <m:acc>
                    <m:accPr>
                      <m:chr m:val="⃗"/>
                    </m:accPr>
                    <m:e>
                      <m:r>
                        <m:t>x</m:t>
                      </m:r>
                    </m:e>
                  </m:acc>
                </m:e>
              </m:d>
              <m:r>
                <m:t> </m:t>
              </m:r>
              <m:r>
                <m:rPr>
                  <m:sty m:val="p"/>
                </m:rPr>
                <m:t>:</m:t>
              </m:r>
              <m:r>
                <m:t> </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e>
          </m:d>
          <m:r>
            <m:rPr>
              <m:sty m:val="p"/>
            </m:rPr>
            <m:t>.</m:t>
          </m:r>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numPr>
          <w:ilvl w:val="0"/>
          <w:numId w:val="102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 que serán de gran utilidad más adelante:</w:t>
      </w:r>
    </w:p>
    <w:p>
      <w:pPr>
        <w:numPr>
          <w:ilvl w:val="1"/>
          <w:numId w:val="1022"/>
        </w:numPr>
      </w:pPr>
      <w:r>
        <w:rPr>
          <w:i/>
          <w:iCs/>
        </w:rPr>
        <w:t xml:space="preserve">existe</w:t>
      </w:r>
      <w:r>
        <w:t xml:space="preserve">, porque existe la demanda;</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2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22"/>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22"/>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numPr>
          <w:ilvl w:val="1"/>
          <w:numId w:val="1022"/>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 La razón es que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Gráficamente (gráfico 3), la recta de balance promedio pasa por el corte de las dos extremas y queda dentro de la unión de sus conjuntos presupuestarios, así que la utilidad máxima con el promedio no supera la mayor de las alcanzables con los extremos. No depende de la convexidad de las preferencias;</w:t>
      </w:r>
    </w:p>
    <w:p>
      <w:pPr>
        <w:numPr>
          <w:ilvl w:val="1"/>
          <w:numId w:val="1022"/>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Roy1947Distribution">
        <w:r>
          <w:rPr>
            <w:rStyle w:val="Hyperlink"/>
            <w:smallCaps/>
          </w:rPr>
          <w:t xml:space="preserve">Roy</w:t>
        </w:r>
        <w:r>
          <w:rPr>
            <w:rStyle w:val="Hyperlink"/>
          </w:rPr>
          <w:t xml:space="preserve"> </w:t>
        </w:r>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B).</w:t>
      </w:r>
    </w:p>
    <w:bookmarkStart w:id="38" w:name="fig:cuasiconvexidad-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 title="" id="36" name="Picture"/>
            <a:graphic>
              <a:graphicData uri="http://schemas.openxmlformats.org/drawingml/2006/picture">
                <pic:pic>
                  <pic:nvPicPr>
                    <pic:cNvPr descr="C:\Users\vgutierrez\Documents\src\victorgutierrezmarcos.github.io-revision\oposicion\temario\fuentes\3A09\graficos/cuasiconvexidad-fiu.png" id="37" name="Picture"/>
                    <pic:cNvPicPr>
                      <a:picLocks noChangeArrowheads="1" noChangeAspect="1"/>
                    </pic:cNvPicPr>
                  </pic:nvPicPr>
                  <pic:blipFill>
                    <a:blip r:embed="rId35"/>
                    <a:stretch>
                      <a:fillRect/>
                    </a:stretch>
                  </pic:blipFill>
                  <pic:spPr bwMode="auto">
                    <a:xfrm>
                      <a:off x="0" y="0"/>
                      <a:ext cx="3581400" cy="2567681"/>
                    </a:xfrm>
                    <a:prstGeom prst="rect">
                      <a:avLst/>
                    </a:prstGeom>
                    <a:noFill/>
                    <a:ln w="9525">
                      <a:noFill/>
                      <a:headEnd/>
                      <a:tailEnd/>
                    </a:ln>
                  </pic:spPr>
                </pic:pic>
              </a:graphicData>
            </a:graphic>
          </wp:inline>
        </w:drawing>
      </w:r>
    </w:p>
    <w:bookmarkEnd w:id="38"/>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3.D.5</w:t>
        </w:r>
      </w:hyperlink>
      <w:r>
        <w:t xml:space="preserve">)</w:t>
      </w:r>
      <w:r>
        <w:t xml:space="preserve">.</w:t>
      </w:r>
    </w:p>
    <w:bookmarkEnd w:id="39"/>
    <w:bookmarkEnd w:id="40"/>
    <w:bookmarkStart w:id="41" w:name="e-valoración"/>
    <w:p>
      <w:pPr>
        <w:pStyle w:val="Heading4"/>
      </w:pPr>
      <w:r>
        <w:t xml:space="preserve">e) Valoración</w:t>
      </w:r>
    </w:p>
    <w:p>
      <w:pPr>
        <w:numPr>
          <w:ilvl w:val="0"/>
          <w:numId w:val="1023"/>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41"/>
    <w:bookmarkEnd w:id="42"/>
    <w:bookmarkStart w:id="60" w:name="problema-dual-minimización-del-gasto"/>
    <w:p>
      <w:pPr>
        <w:pStyle w:val="Heading3"/>
      </w:pPr>
      <w:r>
        <w:t xml:space="preserve">I.2.2.</w:t>
      </w:r>
      <w:r>
        <w:t xml:space="preserve"> </w:t>
      </w:r>
      <w:r>
        <w:t xml:space="preserve">Problema dual: minimización del gasto</w:t>
      </w:r>
    </w:p>
    <w:bookmarkStart w:id="43" w:name="a-idea-1"/>
    <w:p>
      <w:pPr>
        <w:pStyle w:val="Heading4"/>
      </w:pPr>
      <w:r>
        <w:t xml:space="preserve">a) Idea</w:t>
      </w:r>
    </w:p>
    <w:p>
      <w:pPr>
        <w:numPr>
          <w:ilvl w:val="0"/>
          <w:numId w:val="1024"/>
        </w:numPr>
      </w:pPr>
      <w:r>
        <w:t xml:space="preserve">En lugar de preguntar cuánta utilidad compra una renta, preguntamos cuál es la forma más barata de alcanzar un nivel de utilidad. Es el problema de optimización alternativo que propone la teoría de la dualidad.</w:t>
      </w:r>
    </w:p>
    <w:bookmarkEnd w:id="43"/>
    <w:bookmarkStart w:id="58" w:name="b-modelo-1"/>
    <w:p>
      <w:pPr>
        <w:pStyle w:val="Heading4"/>
      </w:pPr>
      <w:r>
        <w:t xml:space="preserve">b) Modelo</w:t>
      </w:r>
    </w:p>
    <w:bookmarkStart w:id="44" w:name="i-supuestos-1"/>
    <w:p>
      <w:pPr>
        <w:pStyle w:val="Heading5"/>
      </w:pPr>
      <w:r>
        <w:t xml:space="preserve">i) Supuestos</w:t>
      </w:r>
    </w:p>
    <w:p>
      <w:pPr>
        <w:numPr>
          <w:ilvl w:val="0"/>
          <w:numId w:val="1025"/>
        </w:numPr>
      </w:pPr>
      <w:r>
        <w:t xml:space="preserve">Son idénticos a los del primal: solo cambia la formulación del problema.</w:t>
      </w:r>
    </w:p>
    <w:bookmarkEnd w:id="44"/>
    <w:bookmarkStart w:id="50" w:name="ii-desarrollo-1"/>
    <w:p>
      <w:pPr>
        <w:pStyle w:val="Heading5"/>
      </w:pPr>
      <w:r>
        <w:t xml:space="preserve">ii) Desarrollo</w:t>
      </w:r>
    </w:p>
    <w:p>
      <w:pPr>
        <w:numPr>
          <w:ilvl w:val="0"/>
          <w:numId w:val="1026"/>
        </w:numPr>
      </w:pPr>
      <w:r>
        <w:rPr>
          <w:i/>
          <w:iCs/>
        </w:rPr>
        <w:t xml:space="preserve">Analítico</w:t>
      </w:r>
      <w:r>
        <w:t xml:space="preserve">. El</w:t>
      </w:r>
      <w:r>
        <w:t xml:space="preserve"> </w:t>
      </w:r>
      <w:r>
        <w:rPr>
          <w:b/>
          <w:bCs/>
        </w:rPr>
        <w:t xml:space="preserve">problema de minimización del gasto</w:t>
      </w:r>
      <w:r>
        <w:t xml:space="preserve"> </w:t>
      </w:r>
      <w:r>
        <w:t xml:space="preserve">(PMG) es</w:t>
      </w:r>
    </w:p>
    <w:p>
      <w:pPr>
        <w:pStyle w:val="BodyText"/>
      </w:pPr>
      <m:oMathPara>
        <m:oMathParaPr>
          <m:jc m:val="center"/>
        </m:oMathParaPr>
        <m:oMath>
          <m:limLow>
            <m:e>
              <m:r>
                <m:rPr>
                  <m:sty m:val="p"/>
                </m:rPr>
                <m:t>min</m:t>
              </m:r>
            </m:e>
            <m:lim>
              <m:acc>
                <m:accPr>
                  <m:chr m:val="⃗"/>
                </m:accPr>
                <m:e>
                  <m:r>
                    <m:t>h</m:t>
                  </m:r>
                </m:e>
              </m:acc>
            </m:lim>
          </m:limLow>
          <m:r>
            <m:t> </m:t>
          </m:r>
          <m:acc>
            <m:accPr>
              <m:chr m:val="⃗"/>
            </m:accPr>
            <m:e>
              <m:r>
                <m:t>p</m:t>
              </m:r>
            </m:e>
          </m:acc>
          <m:r>
            <m:rPr>
              <m:sty m:val="p"/>
            </m:rPr>
            <m:t>⋅</m:t>
          </m:r>
          <m:acc>
            <m:accPr>
              <m:chr m:val="⃗"/>
            </m:accPr>
            <m:e>
              <m:r>
                <m:t>h</m:t>
              </m:r>
            </m:e>
          </m:acc>
          <m:r>
            <m:t> </m:t>
          </m:r>
          <m:r>
            <m:rPr>
              <m:nor/>
              <m:sty m:val="p"/>
            </m:rPr>
            <m:t>s.a.</m:t>
          </m:r>
          <m:r>
            <m:t> </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m:oMathPara>
    </w:p>
    <w:p>
      <w:pPr>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 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w:t>
      </w:r>
    </w:p>
    <w:p>
      <w:pPr>
        <w:numPr>
          <w:ilvl w:val="1"/>
          <w:numId w:val="1027"/>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p>
    <w:p>
      <w:pPr>
        <w:pStyle w:val="BodyT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27"/>
        </w:numPr>
      </w:pPr>
      <w:r>
        <w:t xml:space="preserve">En una solución interior, las condiciones de primer orden dan</w:t>
      </w:r>
    </w:p>
    <w:p>
      <w:pPr>
        <w:pStyle w:val="BodyT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r>
            <m:t>R</m:t>
          </m:r>
          <m:r>
            <m:t>M</m:t>
          </m:r>
          <m:sSub>
            <m:e>
              <m: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w:t>
      </w:r>
      <w:r>
        <w:t xml:space="preserve"> </w:t>
      </w:r>
      <w:r>
        <w:rPr>
          <w:i/>
          <w:iCs/>
        </w:rPr>
        <w:t xml:space="preserve">misma</w:t>
      </w:r>
      <w:r>
        <w:t xml:space="preserve"> </w:t>
      </w:r>
      <w:r>
        <w:t xml:space="preserve">condición de tangencia que en el primal (las condiciones completas de los dos problemas, lado a lado, están en el anexo A).</w:t>
      </w:r>
    </w:p>
    <w:p>
      <w:pPr>
        <w:numPr>
          <w:ilvl w:val="1"/>
          <w:numId w:val="1027"/>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45"/>
      </w:r>
    </w:p>
    <w:p>
      <w:pPr>
        <w:numPr>
          <w:ilvl w:val="1"/>
          <w:numId w:val="1027"/>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w:t>
      </w:r>
      <w:r>
        <w:t xml:space="preserve">. Con preferencias estrictamente convexas se cumplen las condiciones de segundo orden, que son las mismas que en el primal (anexo A).</w:t>
      </w:r>
    </w:p>
    <w:p>
      <w:pPr>
        <w:numPr>
          <w:ilvl w:val="0"/>
          <w:numId w:val="1026"/>
        </w:numPr>
      </w:pPr>
      <w:r>
        <w:rPr>
          <w:i/>
          <w:iCs/>
        </w:rPr>
        <w:t xml:space="preserve">Gráfico</w:t>
      </w:r>
      <w:r>
        <w:t xml:space="preserve"> </w:t>
      </w:r>
      <w:r>
        <w:t xml:space="preserve">(gráfico 4): se procede al revés que en el primal. Se dibuja la curva de indiferencia del nivel exigido,</w:t>
      </w:r>
      <w:r>
        <w:t xml:space="preserve"> </w:t>
      </w:r>
      <m:oMath>
        <m:bar>
          <m:barPr>
            <m:pos m:val="top"/>
          </m:barPr>
          <m:e>
            <m:r>
              <m:t>U</m:t>
            </m:r>
          </m:e>
        </m:bar>
      </m:oMath>
      <w:r>
        <w:t xml:space="preserve">, que queda fija; 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 y se desplazan hacia el origen hasta la más baja que toca la curva. El equilibrio está en la tangencia: la isogasto más baja que alcanza</w:t>
      </w:r>
      <w:r>
        <w:t xml:space="preserve"> </w:t>
      </w:r>
      <m:oMath>
        <m:bar>
          <m:barPr>
            <m:pos m:val="top"/>
          </m:barPr>
          <m:e>
            <m:r>
              <m:t>U</m:t>
            </m:r>
          </m:e>
        </m:bar>
      </m:oMath>
      <w:r>
        <w:t xml:space="preserve">.</w:t>
      </w:r>
    </w:p>
    <w:bookmarkStart w:id="49" w:name="fig: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 title="" id="47" name="Picture"/>
            <a:graphic>
              <a:graphicData uri="http://schemas.openxmlformats.org/drawingml/2006/picture">
                <pic:pic>
                  <pic:nvPicPr>
                    <pic:cNvPr descr="C:\Users\vgutierrez\Documents\src\victorgutierrezmarcos.github.io-revision\oposicion\temario\fuentes\3A09\graficos/dual.png" id="48" name="Picture"/>
                    <pic:cNvPicPr>
                      <a:picLocks noChangeArrowheads="1" noChangeAspect="1"/>
                    </pic:cNvPicPr>
                  </pic:nvPicPr>
                  <pic:blipFill>
                    <a:blip r:embed="rId46"/>
                    <a:stretch>
                      <a:fillRect/>
                    </a:stretch>
                  </pic:blipFill>
                  <pic:spPr bwMode="auto">
                    <a:xfrm>
                      <a:off x="0" y="0"/>
                      <a:ext cx="2654512" cy="2275296"/>
                    </a:xfrm>
                    <a:prstGeom prst="rect">
                      <a:avLst/>
                    </a:prstGeom>
                    <a:noFill/>
                    <a:ln w="9525">
                      <a:noFill/>
                      <a:headEnd/>
                      <a:tailEnd/>
                    </a:ln>
                  </pic:spPr>
                </pic:pic>
              </a:graphicData>
            </a:graphic>
          </wp:inline>
        </w:drawing>
      </w:r>
    </w:p>
    <w:bookmarkEnd w:id="4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3.E.1</w:t>
        </w:r>
      </w:hyperlink>
      <w:r>
        <w:t xml:space="preserve">)</w:t>
      </w:r>
      <w:r>
        <w:t xml:space="preserve">.</w:t>
      </w:r>
    </w:p>
    <w:bookmarkEnd w:id="50"/>
    <w:bookmarkStart w:id="57" w:name="X7d303b0783c5a0d4bd1c448bf099f6e0e0c4b49"/>
    <w:p>
      <w:pPr>
        <w:pStyle w:val="Heading5"/>
      </w:pPr>
      <w:r>
        <w:t xml:space="preserve">iii) Implicaciones: la demanda hicksiana y la función de gasto</w:t>
      </w:r>
    </w:p>
    <w:p>
      <w:pPr>
        <w:numPr>
          <w:ilvl w:val="0"/>
          <w:numId w:val="1028"/>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p>
    <w:p>
      <w:pPr>
        <w:pStyle w:val="BodyT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numPr>
          <w:ilvl w:val="0"/>
          <w:numId w:val="1028"/>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 y 3.E.4)</w:t>
      </w:r>
      <w:r>
        <w:t xml:space="preserve">:</w:t>
      </w:r>
    </w:p>
    <w:p>
      <w:pPr>
        <w:numPr>
          <w:ilvl w:val="1"/>
          <w:numId w:val="1029"/>
        </w:numPr>
      </w:pPr>
      <w:r>
        <w:rPr>
          <w:i/>
          <w:iCs/>
        </w:rPr>
        <w:t xml:space="preserve">existe, es global y es única</w:t>
      </w:r>
      <w:r>
        <w:t xml:space="preserve">, con preferencias estrictamente convexas;</w:t>
      </w:r>
    </w:p>
    <w:p>
      <w:pPr>
        <w:numPr>
          <w:ilvl w:val="1"/>
          <w:numId w:val="1029"/>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29"/>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k</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k</m:t>
        </m:r>
        <m:r>
          <m:rPr>
            <m:sty m:val="p"/>
          </m:rPr>
          <m:t>&gt;</m:t>
        </m:r>
        <m:r>
          <m:t>0</m:t>
        </m:r>
      </m:oMath>
      <w:r>
        <w:t xml:space="preserve">; si todos los precios se multiplican por</w:t>
      </w:r>
      <w:r>
        <w:t xml:space="preserve"> </w:t>
      </w:r>
      <m:oMath>
        <m:r>
          <m:t>k</m:t>
        </m:r>
      </m:oMath>
      <w:r>
        <w:t xml:space="preserve">, la cesta más barata que da</w:t>
      </w:r>
      <w:r>
        <w:t xml:space="preserve"> </w:t>
      </w:r>
      <m:oMath>
        <m:bar>
          <m:barPr>
            <m:pos m:val="top"/>
          </m:barPr>
          <m:e>
            <m:r>
              <m:t>U</m:t>
            </m:r>
          </m:e>
        </m:bar>
      </m:oMath>
      <w:r>
        <w:t xml:space="preserve"> </w:t>
      </w:r>
      <w:r>
        <w:t xml:space="preserve">no cambia;</w:t>
      </w:r>
    </w:p>
    <w:p>
      <w:pPr>
        <w:numPr>
          <w:ilvl w:val="1"/>
          <w:numId w:val="1029"/>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29"/>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51"/>
      </w:r>
      <w:r>
        <w:t xml:space="preserve"> </w:t>
      </w:r>
      <w:r>
        <w:t xml:space="preserve">Es la diferencia fundamental con la demanda marshalliana, y se debe a la concavidad de la función de gasto, como veremos enseguida.</w:t>
      </w:r>
    </w:p>
    <w:p>
      <w:pPr>
        <w:numPr>
          <w:ilvl w:val="0"/>
          <w:numId w:val="1028"/>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(I.3) y la ecuación de</w:t>
      </w:r>
      <w:r>
        <w:t xml:space="preserve"> </w:t>
      </w:r>
      <w:r>
        <w:rPr>
          <w:smallCaps/>
        </w:rPr>
        <w:t xml:space="preserve">Slutsky</w:t>
      </w:r>
      <w:r>
        <w:t xml:space="preserve"> </w:t>
      </w:r>
      <w:r>
        <w:t xml:space="preserve">(III.2) permiten recuperar sus derivadas a partir de la demanda marshalliana, que sí se observa.</w:t>
      </w:r>
    </w:p>
    <w:p>
      <w:pPr>
        <w:numPr>
          <w:ilvl w:val="0"/>
          <w:numId w:val="1028"/>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p>
      <w:pPr>
        <w:pStyle w:val="BodyText"/>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limLow>
            <m:e>
              <m:r>
                <m:rPr>
                  <m:sty m:val="p"/>
                </m:rPr>
                <m:t>min</m:t>
              </m:r>
            </m:e>
            <m:lim>
              <m:acc>
                <m:accPr>
                  <m:chr m:val="⃗"/>
                </m:accPr>
                <m:e>
                  <m:r>
                    <m:t>h</m:t>
                  </m:r>
                </m:e>
              </m:acc>
            </m:lim>
          </m:limLow>
          <m:d>
            <m:dPr>
              <m:begChr m:val="{"/>
              <m:sepChr m:val=""/>
              <m:endChr m:val="}"/>
              <m:grow/>
            </m:dPr>
            <m:e>
              <m:acc>
                <m:accPr>
                  <m:chr m:val="⃗"/>
                </m:accPr>
                <m:e>
                  <m:r>
                    <m:t>p</m:t>
                  </m:r>
                </m:e>
              </m:acc>
              <m:r>
                <m:rPr>
                  <m:sty m:val="p"/>
                </m:rPr>
                <m:t>⋅</m:t>
              </m:r>
              <m:acc>
                <m:accPr>
                  <m:chr m:val="⃗"/>
                </m:accPr>
                <m:e>
                  <m:r>
                    <m:t>h</m:t>
                  </m:r>
                </m:e>
              </m:acc>
              <m:r>
                <m:t> </m:t>
              </m:r>
              <m:r>
                <m:rPr>
                  <m:sty m:val="p"/>
                </m:rPr>
                <m:t>:</m:t>
              </m:r>
              <m:r>
                <m:t> </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e>
          </m:d>
          <m:r>
            <m:rPr>
              <m:sty m:val="p"/>
            </m:rPr>
            <m:t>.</m:t>
          </m:r>
        </m:oMath>
      </m:oMathPara>
    </w:p>
    <w:p>
      <w:pPr>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3.E.2)</w:t>
      </w:r>
      <w:r>
        <w:t xml:space="preserve">:</w:t>
      </w:r>
    </w:p>
    <w:p>
      <w:pPr>
        <w:numPr>
          <w:ilvl w:val="1"/>
          <w:numId w:val="1030"/>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0"/>
        </w:numPr>
      </w:pPr>
      <w:r>
        <w:t xml:space="preserve">es</w:t>
      </w:r>
      <w:r>
        <w:t xml:space="preserve"> </w:t>
      </w:r>
      <w:r>
        <w:rPr>
          <w:i/>
          <w:iCs/>
        </w:rPr>
        <w:t xml:space="preserve">homogénea de grado uno en</w:t>
      </w:r>
      <w:r>
        <w:rPr>
          <w:i/>
          <w:iCs/>
        </w:rPr>
        <w:t xml:space="preserve"> </w:t>
      </w:r>
      <m:oMath>
        <m:acc>
          <m:accPr>
            <m:chr m:val="⃗"/>
          </m:accPr>
          <m:e>
            <m:r>
              <m:t>p</m:t>
            </m:r>
          </m:e>
        </m:acc>
      </m:oMath>
      <w:r>
        <w:t xml:space="preserve">: si todos los precios se multiplican por</w:t>
      </w:r>
      <w:r>
        <w:t xml:space="preserve"> </w:t>
      </w:r>
      <m:oMath>
        <m:r>
          <m:t>k</m:t>
        </m:r>
        <m:r>
          <m:rPr>
            <m:sty m:val="p"/>
          </m:rPr>
          <m:t>&gt;</m:t>
        </m:r>
        <m:r>
          <m:t>0</m:t>
        </m:r>
      </m:oMath>
      <w:r>
        <w:t xml:space="preserve">, la cesta óptima no cambia y su coste se multiplica por</w:t>
      </w:r>
      <w:r>
        <w:t xml:space="preserve"> </w:t>
      </w:r>
      <m:oMath>
        <m:r>
          <m:t>k</m:t>
        </m:r>
      </m:oMath>
      <w:r>
        <w:t xml:space="preserve">;</w:t>
      </w:r>
    </w:p>
    <w:p>
      <w:pPr>
        <w:numPr>
          <w:ilvl w:val="1"/>
          <w:numId w:val="1030"/>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30"/>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numPr>
          <w:ilvl w:val="1"/>
          <w:numId w:val="1030"/>
        </w:numPr>
      </w:pPr>
      <w:r>
        <w:t xml:space="preserve">es</w:t>
      </w:r>
      <w:r>
        <w:t xml:space="preserve"> </w:t>
      </w:r>
      <w:r>
        <w:rPr>
          <w:i/>
          <w:iCs/>
        </w:rPr>
        <w:t xml:space="preserve">cóncava en</w:t>
      </w:r>
      <w:r>
        <w:rPr>
          <w:i/>
          <w:iCs/>
        </w:rPr>
        <w:t xml:space="preserve"> </w:t>
      </w:r>
      <m:oMath>
        <m:acc>
          <m:accPr>
            <m:chr m:val="⃗"/>
          </m:accPr>
          <m:e>
            <m:r>
              <m:t>p</m:t>
            </m:r>
          </m:e>
        </m:acc>
      </m:oMath>
      <w:r>
        <w:t xml:space="preserve">. 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Como puede reoptimizar y sustituir los bienes que se encarecen por los que se abaratan, gasta como mucho eso:</w:t>
      </w:r>
    </w:p>
    <w:p>
      <w:pPr>
        <w:pStyle w:val="BodyT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5).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30"/>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p>
    <w:p>
      <w:pPr>
        <w:pStyle w:val="BodyT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B;</w:t>
      </w:r>
    </w:p>
    <w:p>
      <w:pPr>
        <w:numPr>
          <w:ilvl w:val="1"/>
          <w:numId w:val="1030"/>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p>
    <w:p>
      <w:pPr>
        <w:pStyle w:val="BodyT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31"/>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31"/>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31"/>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III.2.</w:t>
      </w:r>
    </w:p>
    <w:bookmarkStart w:id="55" w:name="fig:concavidad-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 title="" id="53" name="Picture"/>
            <a:graphic>
              <a:graphicData uri="http://schemas.openxmlformats.org/drawingml/2006/picture">
                <pic:pic>
                  <pic:nvPicPr>
                    <pic:cNvPr descr="C:\Users\vgutierrez\Documents\src\victorgutierrezmarcos.github.io-revision\oposicion\temario\fuentes\3A09\graficos/concavidad-fg.png" id="54" name="Picture"/>
                    <pic:cNvPicPr>
                      <a:picLocks noChangeArrowheads="1" noChangeAspect="1"/>
                    </pic:cNvPicPr>
                  </pic:nvPicPr>
                  <pic:blipFill>
                    <a:blip r:embed="rId52"/>
                    <a:stretch>
                      <a:fillRect/>
                    </a:stretch>
                  </pic:blipFill>
                  <pic:spPr bwMode="auto">
                    <a:xfrm>
                      <a:off x="0" y="0"/>
                      <a:ext cx="3282950" cy="3020801"/>
                    </a:xfrm>
                    <a:prstGeom prst="rect">
                      <a:avLst/>
                    </a:prstGeom>
                    <a:noFill/>
                    <a:ln w="9525">
                      <a:noFill/>
                      <a:headEnd/>
                      <a:tailEnd/>
                    </a:ln>
                  </pic:spPr>
                </pic:pic>
              </a:graphicData>
            </a:graphic>
          </wp:inline>
        </w:drawing>
      </w:r>
    </w:p>
    <w:bookmarkEnd w:id="5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3.E.3</w:t>
        </w:r>
      </w:hyperlink>
      <w:r>
        <w:t xml:space="preserve">)</w:t>
      </w:r>
      <w:r>
        <w:t xml:space="preserve">.</w:t>
      </w:r>
    </w:p>
    <w:p>
      <w:pPr>
        <w:numPr>
          <w:ilvl w:val="0"/>
          <w:numId w:val="1032"/>
        </w:numPr>
      </w:pPr>
      <w:r>
        <w:t xml:space="preserve">Las propiedades de los dos problemas forman pares duales (tabla 2): cada propiedad de la demanda marshalliana y de la FIU tiene su correspondiente en la demanda hicksiana y la función de gasto.</w:t>
      </w:r>
    </w:p>
    <w:bookmarkStart w:id="56" w:name="tab:pares-duales"/>
    <w:p>
      <w:pPr>
        <w:pStyle w:val="TableCaption"/>
      </w:pPr>
      <w:r>
        <w:t xml:space="preserve">Propiedades de las soluciones y de las funciones valor de los problemas primal y dual</w:t>
      </w:r>
    </w:p>
    <w:tbl>
      <w:tblPr>
        <w:tblStyle w:val="Table"/>
        <w:tblW w:type="auto" w:w="0"/>
        <w:tblLook w:firstRow="1" w:lastRow="0" w:firstColumn="0" w:lastColumn="0" w:noHBand="0" w:noVBand="0" w:val="0020"/>
        <w:tblCaption w:val="Propiedades de las soluciones y de las funciones valor de los problemas primal y dual"/>
      </w:tblPr>
      <w:tblGrid>
        <w:gridCol w:w="3960"/>
        <w:gridCol w:w="3960"/>
      </w:tblGrid>
      <w:tr>
        <w:trPr>
          <w:tblHeader w:val="on"/>
        </w:trPr>
        <w:tc>
          <w:tcPr/>
          <w:p>
            <w:pPr>
              <w:pStyle w:val="Celdatceeazulpalido"/>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eldatceeazulpalido"/>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56"/>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w:t>
        </w:r>
      </w:hyperlink>
      <w:r>
        <w:rPr>
          <w:i/>
          <w:iCs/>
        </w:rPr>
        <w:t xml:space="preserve">, prop. 3.D.2, 3.D.3, 3.E.2, 3.E.3 y 3.G.1)</w:t>
      </w:r>
      <w:r>
        <w:rPr>
          <w:i/>
          <w:iCs/>
        </w:rPr>
        <w:t xml:space="preserve">.</w:t>
      </w:r>
    </w:p>
    <w:bookmarkEnd w:id="57"/>
    <w:bookmarkEnd w:id="58"/>
    <w:bookmarkStart w:id="59" w:name="e-valoración-1"/>
    <w:p>
      <w:pPr>
        <w:pStyle w:val="Heading4"/>
      </w:pPr>
      <w:r>
        <w:t xml:space="preserve">e) Valoración</w:t>
      </w:r>
    </w:p>
    <w:p>
      <w:pPr>
        <w:numPr>
          <w:ilvl w:val="0"/>
          <w:numId w:val="1033"/>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59"/>
    <w:bookmarkEnd w:id="60"/>
    <w:bookmarkEnd w:id="61"/>
    <w:bookmarkStart w:id="74" w:name="relaciones-de-dualidad"/>
    <w:p>
      <w:pPr>
        <w:pStyle w:val="Heading2"/>
      </w:pPr>
      <w:r>
        <w:t xml:space="preserve">I.3.</w:t>
      </w:r>
      <w:r>
        <w:t xml:space="preserve"> </w:t>
      </w:r>
      <w:r>
        <w:t xml:space="preserve">Relaciones de dualidad</w:t>
      </w:r>
    </w:p>
    <w:p>
      <w:pPr>
        <w:numPr>
          <w:ilvl w:val="0"/>
          <w:numId w:val="1034"/>
        </w:numPr>
      </w:pPr>
      <w:r>
        <w:t xml:space="preserve">Como los dos problemas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66" w:name="X2dd2e041c89abe07466ad6ebf75cf135e134b9f"/>
    <w:p>
      <w:pPr>
        <w:pStyle w:val="Heading4"/>
      </w:pPr>
      <w:r>
        <w:t xml:space="preserve">Dualidad entre soluciones: el teorema básico de la dualidad</w:t>
      </w:r>
    </w:p>
    <w:p>
      <w:pPr>
        <w:numPr>
          <w:ilvl w:val="0"/>
          <w:numId w:val="1035"/>
        </w:numPr>
      </w:pPr>
      <w:r>
        <w:rPr>
          <w:b/>
          <w:bCs/>
        </w:rPr>
        <w:t xml:space="preserve">Teorema básico de la dualidad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36"/>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36"/>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35"/>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6), se superponen los dos gráficos anteriores: la recta de balance del primal es la isogasto tangente del dual y la curva de indiferencia alcanzada en el primal es la curva exigida en el dual.</w:t>
      </w:r>
    </w:p>
    <w:bookmarkStart w:id="65" w:name="fig:primal-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 title="" id="63" name="Picture"/>
            <a:graphic>
              <a:graphicData uri="http://schemas.openxmlformats.org/drawingml/2006/picture">
                <pic:pic>
                  <pic:nvPicPr>
                    <pic:cNvPr descr="C:\Users\vgutierrez\Documents\src\victorgutierrezmarcos.github.io-revision\oposicion\temario\fuentes\3A09\graficos/primal-dual.png" id="64" name="Picture"/>
                    <pic:cNvPicPr>
                      <a:picLocks noChangeArrowheads="1" noChangeAspect="1"/>
                    </pic:cNvPicPr>
                  </pic:nvPicPr>
                  <pic:blipFill>
                    <a:blip r:embed="rId62"/>
                    <a:stretch>
                      <a:fillRect/>
                    </a:stretch>
                  </pic:blipFill>
                  <pic:spPr bwMode="auto">
                    <a:xfrm>
                      <a:off x="0" y="0"/>
                      <a:ext cx="3000088" cy="2342576"/>
                    </a:xfrm>
                    <a:prstGeom prst="rect">
                      <a:avLst/>
                    </a:prstGeom>
                    <a:noFill/>
                    <a:ln w="9525">
                      <a:noFill/>
                      <a:headEnd/>
                      <a:tailEnd/>
                    </a:ln>
                  </pic:spPr>
                </pic:pic>
              </a:graphicData>
            </a:graphic>
          </wp:inline>
        </w:drawing>
      </w:r>
    </w:p>
    <w:bookmarkEnd w:id="65"/>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3.E.1</w:t>
        </w:r>
      </w:hyperlink>
      <w:r>
        <w:t xml:space="preserve">)</w:t>
      </w:r>
      <w:r>
        <w:t xml:space="preserve">.</w:t>
      </w:r>
    </w:p>
    <w:p>
      <w:pPr>
        <w:numPr>
          <w:ilvl w:val="0"/>
          <w:numId w:val="1037"/>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66"/>
    <w:bookmarkStart w:id="68" w:name="X821095d29f6674a5dab40acded09f0071ebcd1f"/>
    <w:p>
      <w:pPr>
        <w:pStyle w:val="Heading4"/>
      </w:pPr>
      <w:r>
        <w:t xml:space="preserve">Dualidad entre funciones de demanda y entre funciones valor</w:t>
      </w:r>
    </w:p>
    <w:p>
      <w:pPr>
        <w:numPr>
          <w:ilvl w:val="0"/>
          <w:numId w:val="1038"/>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p>
    <w:p>
      <w:pPr>
        <w:pStyle w:val="BodyT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pStyle w:val="FirstParagraph"/>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39"/>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39"/>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67"/>
      </w:r>
    </w:p>
    <w:p>
      <w:pPr>
        <w:numPr>
          <w:ilvl w:val="0"/>
          <w:numId w:val="1038"/>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r>
        <w:rPr>
          <w:rStyle w:val="Referenciaatema"/>
        </w:rPr>
        <w:t xml:space="preserve">[ver tema 3.A.8]</w:t>
      </w:r>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68"/>
    <w:bookmarkStart w:id="73" w:name="esquema-de-dualidad"/>
    <w:p>
      <w:pPr>
        <w:pStyle w:val="Heading4"/>
      </w:pPr>
      <w:r>
        <w:t xml:space="preserve">Esquema de dualidad</w:t>
      </w:r>
    </w:p>
    <w:p>
      <w:pPr>
        <w:numPr>
          <w:ilvl w:val="0"/>
          <w:numId w:val="1040"/>
        </w:numPr>
      </w:pPr>
      <w:r>
        <w:t xml:space="preserve">Todas estas relaciones se resumen en el gráfico 7: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72" w:name="fig:esquema-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31653"/>
            <wp:effectExtent b="0" l="0" r="0" t="0"/>
            <wp:docPr descr="" title="" id="70" name="Picture"/>
            <a:graphic>
              <a:graphicData uri="http://schemas.openxmlformats.org/drawingml/2006/picture">
                <pic:pic>
                  <pic:nvPicPr>
                    <pic:cNvPr descr="C:\Users\vgutierrez\Documents\src\victorgutierrezmarcos.github.io-revision\oposicion\temario\fuentes\3A09\graficos/esquema-dualidad.png" id="71" name="Picture"/>
                    <pic:cNvPicPr>
                      <a:picLocks noChangeArrowheads="1" noChangeAspect="1"/>
                    </pic:cNvPicPr>
                  </pic:nvPicPr>
                  <pic:blipFill>
                    <a:blip r:embed="rId69"/>
                    <a:stretch>
                      <a:fillRect/>
                    </a:stretch>
                  </pic:blipFill>
                  <pic:spPr bwMode="auto">
                    <a:xfrm>
                      <a:off x="0" y="0"/>
                      <a:ext cx="5969000" cy="3031653"/>
                    </a:xfrm>
                    <a:prstGeom prst="rect">
                      <a:avLst/>
                    </a:prstGeom>
                    <a:noFill/>
                    <a:ln w="9525">
                      <a:noFill/>
                      <a:headEnd/>
                      <a:tailEnd/>
                    </a:ln>
                  </pic:spPr>
                </pic:pic>
              </a:graphicData>
            </a:graphic>
          </wp:inline>
        </w:drawing>
      </w:r>
    </w:p>
    <w:bookmarkEnd w:id="7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w:t>
      </w:r>
    </w:p>
    <w:p>
      <w:pPr>
        <w:pStyle w:val="Ideaclave"/>
      </w:pPr>
      <w:r>
        <w:t xml:space="preserve">Maximizar la utilidad con una renta y minimizar el gasto con una utilidad son el mismo problema visto desde dos lados. Su valor está en las funciones que produce: la función de gasto mide la utilidad en dinero, sus derivadas son las demandas compensadas (</w:t>
      </w:r>
      <w:r>
        <w:rPr>
          <w:smallCaps/>
        </w:rPr>
        <w:t xml:space="preserve">Shephard</w:t>
      </w:r>
      <w:r>
        <w:t xml:space="preserve">) y su concavidad da la ley de la demanda compensada.</w:t>
      </w:r>
    </w:p>
    <w:p>
      <w:pPr>
        <w:numPr>
          <w:ilvl w:val="0"/>
          <w:numId w:val="1041"/>
        </w:numPr>
      </w:pPr>
      <w:r>
        <w:rPr>
          <w:b/>
          <w:bCs/>
        </w:rPr>
        <w:t xml:space="preserve">Recapitulación</w:t>
      </w:r>
      <w:r>
        <w:t xml:space="preserve">: basta resolver uno de los dos problemas para obtener las cuatro funciones. Las flechas del esquema son, además, las herramientas del resto de la exposición: 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(III.2); 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(III.1), y la medida del bienestar usa</w:t>
      </w:r>
      <w:r>
        <w:t xml:space="preserve"> </w:t>
      </w:r>
      <m:oMath>
        <m:r>
          <m:t>E</m:t>
        </m:r>
      </m:oMath>
      <w:r>
        <w:t xml:space="preserve"> </w:t>
      </w:r>
      <w:r>
        <w:t xml:space="preserve">para traducir la utilidad a unidades monetarias (III.3). Antes, en el apartado II,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73"/>
    <w:bookmarkEnd w:id="74"/>
    <w:bookmarkEnd w:id="75"/>
    <w:bookmarkStart w:id="111" w:name="X83f00a045cb92ead9a9f0b1e548c0c732359965"/>
    <w:p>
      <w:pPr>
        <w:pStyle w:val="Heading1"/>
      </w:pPr>
      <w:r>
        <w:t xml:space="preserve">II.</w:t>
      </w:r>
      <w:r>
        <w:t xml:space="preserve"> </w:t>
      </w:r>
      <w:r>
        <w:t xml:space="preserve">Desarrollos empíricos:</w:t>
      </w:r>
      <w:r>
        <w:br/>
      </w:r>
      <w:r>
        <w:t xml:space="preserve">estimación de sistemas completos de ecuaciones de demanda</w:t>
      </w:r>
    </w:p>
    <w:p>
      <w:pPr>
        <w:pStyle w:val="Notaalopositor"/>
      </w:pPr>
      <w:r>
        <w:rPr>
          <w:b/>
          <w:bCs/>
        </w:rPr>
        <w:t xml:space="preserve">Nota al opositor. </w:t>
      </w:r>
      <w:r>
        <w:t xml:space="preserve">En el cante: la idea (0,5 minutos); las formas funcionales, cada una con su idea, su ecuación, su evidencia y su límite, que lleva a la siguiente (del sistema lineal de gasto al AIDS, con sus restricciones de homogeneidad, simetría y agregación), y el resto de los pasos (3,5), y la valoración (1). La translog, el modelo de Rotterdam, el QUAIDS (basta nombrarlo) y los detalles econométricos son de profundización.</w:t>
      </w:r>
    </w:p>
    <w:p>
      <w:pPr>
        <w:numPr>
          <w:ilvl w:val="0"/>
          <w:numId w:val="1042"/>
        </w:numPr>
      </w:pPr>
      <w:r>
        <w:t xml:space="preserve">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76" w:name="idea"/>
    <w:p>
      <w:pPr>
        <w:pStyle w:val="Heading2"/>
      </w:pPr>
      <w:r>
        <w:t xml:space="preserve">II.1.</w:t>
      </w:r>
      <w:r>
        <w:t xml:space="preserve"> </w:t>
      </w:r>
      <w:r>
        <w:t xml:space="preserve">Idea</w:t>
      </w:r>
    </w:p>
    <w:p>
      <w:pPr>
        <w:numPr>
          <w:ilvl w:val="0"/>
          <w:numId w:val="1043"/>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1</w:t>
        </w:r>
      </w:hyperlink>
      <w:r>
        <w:t xml:space="preserve">)</w:t>
      </w:r>
      <w:r>
        <w:t xml:space="preserve">:</w:t>
      </w:r>
    </w:p>
    <w:p>
      <w:pPr>
        <w:numPr>
          <w:ilvl w:val="1"/>
          <w:numId w:val="1044"/>
        </w:numPr>
      </w:pPr>
      <w:r>
        <w:rPr>
          <w:i/>
          <w:iCs/>
        </w:rPr>
        <w:t xml:space="preserve">medir</w:t>
      </w:r>
      <w:r>
        <w:t xml:space="preserve">: las elasticidades-renta y precio, propias y cruzadas, que necesitan la política fiscal (imposición indirecta, reformas del IVA</w:t>
      </w:r>
      <w:r>
        <w:t xml:space="preserve"> </w:t>
      </w:r>
      <w:r>
        <w:rPr>
          <w:rStyle w:val="Referenciaatema"/>
        </w:rPr>
        <w:t xml:space="preserve">[ver tema 4.B.11]</w:t>
      </w:r>
      <w:r>
        <w:t xml:space="preserve">), los índices de precios o el análisis de la pobreza</w:t>
      </w:r>
      <w:r>
        <w:t xml:space="preserve"> </w:t>
      </w:r>
      <w:r>
        <w:t xml:space="preserve">(</w:t>
      </w:r>
      <w:hyperlink w:anchor="ref-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numPr>
          <w:ilvl w:val="1"/>
          <w:numId w:val="1044"/>
        </w:numPr>
      </w:pPr>
      <w:r>
        <w:rPr>
          <w:i/>
          <w:iCs/>
        </w:rPr>
        <w:t xml:space="preserve">contrastar la teoría</w:t>
      </w:r>
      <w:r>
        <w:t xml:space="preserve">: la homogeneidad, la simetría y la negatividad pasan a ser restricciones sobre los parámetros, es decir, se contrasta si la demanda observada es integrable (III.1);</w:t>
      </w:r>
    </w:p>
    <w:p>
      <w:pPr>
        <w:numPr>
          <w:ilvl w:val="1"/>
          <w:numId w:val="1044"/>
        </w:numPr>
      </w:pPr>
      <w:r>
        <w:rPr>
          <w:i/>
          <w:iCs/>
        </w:rPr>
        <w:t xml:space="preserve">valorar el bienestar</w:t>
      </w:r>
      <w:r>
        <w:t xml:space="preserve">: si el sistema procede de una función de gasto conocida, las variaciones compensatoria y equivalente se calculan directamente (III.3).</w:t>
      </w:r>
    </w:p>
    <w:p>
      <w:pPr>
        <w:numPr>
          <w:ilvl w:val="0"/>
          <w:numId w:val="1043"/>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numPr>
          <w:ilvl w:val="0"/>
          <w:numId w:val="1043"/>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1"/>
          <w:numId w:val="1045"/>
        </w:numPr>
      </w:pPr>
      <w:r>
        <w:rPr>
          <w:i/>
          <w:iCs/>
        </w:rPr>
        <w:t xml:space="preserve">coherencia con la teoría</w:t>
      </w:r>
      <w:r>
        <w:t xml:space="preserve">: poder imponer o contrastar sus restricciones;</w:t>
      </w:r>
    </w:p>
    <w:p>
      <w:pPr>
        <w:numPr>
          <w:ilvl w:val="1"/>
          <w:numId w:val="1045"/>
        </w:numPr>
      </w:pPr>
      <w:r>
        <w:rPr>
          <w:i/>
          <w:iCs/>
        </w:rPr>
        <w:t xml:space="preserve">flexibilidad</w:t>
      </w:r>
      <w:r>
        <w:t xml:space="preserve">: no fijar de antemano las elasticidades (formalmente, aproximar en primer orden cualquier sistema de demanda);</w:t>
      </w:r>
    </w:p>
    <w:p>
      <w:pPr>
        <w:numPr>
          <w:ilvl w:val="1"/>
          <w:numId w:val="1045"/>
        </w:numPr>
      </w:pPr>
      <w:r>
        <w:rPr>
          <w:i/>
          <w:iCs/>
        </w:rPr>
        <w:t xml:space="preserve">agregación</w:t>
      </w:r>
      <w:r>
        <w:t xml:space="preserve">: que la demanda media de muchos hogares distintos tenga la misma forma que la individual</w:t>
      </w:r>
      <w:r>
        <w:t xml:space="preserve"> </w:t>
      </w:r>
      <w:r>
        <w:rPr>
          <w:rStyle w:val="Referenciaatema"/>
        </w:rPr>
        <w:t xml:space="preserve">[ver tema 3.A.8]</w:t>
      </w:r>
      <w:r>
        <w:t xml:space="preserve">;</w:t>
      </w:r>
    </w:p>
    <w:p>
      <w:pPr>
        <w:numPr>
          <w:ilvl w:val="1"/>
          <w:numId w:val="1045"/>
        </w:numPr>
      </w:pPr>
      <w:r>
        <w:rPr>
          <w:i/>
          <w:iCs/>
        </w:rPr>
        <w:t xml:space="preserve">sencillez de estimación</w:t>
      </w:r>
      <w:r>
        <w:t xml:space="preserve">: a ser posible, linealidad en los parámetros.</w:t>
      </w:r>
    </w:p>
    <w:bookmarkEnd w:id="76"/>
    <w:bookmarkStart w:id="109" w:name="pasos-que-sigue-la-literatura"/>
    <w:p>
      <w:pPr>
        <w:pStyle w:val="Heading2"/>
      </w:pPr>
      <w:r>
        <w:t xml:space="preserve">II.2.</w:t>
      </w:r>
      <w:r>
        <w:t xml:space="preserve"> </w:t>
      </w:r>
      <w:r>
        <w:t xml:space="preserve">Pasos que sigue la literatura</w:t>
      </w:r>
    </w:p>
    <w:p>
      <w:pPr>
        <w:numPr>
          <w:ilvl w:val="0"/>
          <w:numId w:val="1046"/>
        </w:numPr>
      </w:pPr>
      <w:r>
        <w:t xml:space="preserve">La estimación sigue cinco pasos, que reproducen el camino de la teoría, de las preferencias a la demanda ordinaria: (1) elegir una forma funcional, (2) especificar un sistema completo, (3) reunir los datos, (4) especificar el modelo econométrico y (5) estimar y contrastar.</w:t>
      </w:r>
    </w:p>
    <w:bookmarkStart w:id="104" w:name="Xe667511b6d0ed2d2bd4c17ec39391f3b2daeab7"/>
    <w:p>
      <w:pPr>
        <w:pStyle w:val="Heading3"/>
      </w:pPr>
      <w:r>
        <w:t xml:space="preserve">II.2.1.</w:t>
      </w:r>
      <w:r>
        <w:t xml:space="preserve"> </w:t>
      </w:r>
      <w:r>
        <w:t xml:space="preserve">Elección de una función de referencia apropiada</w:t>
      </w:r>
    </w:p>
    <w:p>
      <w:pPr>
        <w:numPr>
          <w:ilvl w:val="0"/>
          <w:numId w:val="1047"/>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3).</w:t>
      </w:r>
    </w:p>
    <w:p>
      <w:pPr>
        <w:numPr>
          <w:ilvl w:val="0"/>
          <w:numId w:val="1047"/>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77"/>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p>
    <w:p>
      <w:pPr>
        <w:pStyle w:val="BodyT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82" w:name="sistema-lineal-de-gasto-les"/>
    <w:p>
      <w:pPr>
        <w:pStyle w:val="Heading4"/>
      </w:pPr>
      <w:r>
        <w:t xml:space="preserve">Sistema lineal de gasto (LES)</w:t>
      </w:r>
    </w:p>
    <w:bookmarkStart w:id="78" w:name="a-idea-2"/>
    <w:p>
      <w:pPr>
        <w:pStyle w:val="Heading5"/>
      </w:pPr>
      <w:r>
        <w:t xml:space="preserve">a) Idea</w:t>
      </w:r>
    </w:p>
    <w:p>
      <w:pPr>
        <w:numPr>
          <w:ilvl w:val="0"/>
          <w:numId w:val="1048"/>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78"/>
    <w:bookmarkStart w:id="79" w:name="b-modelo-2"/>
    <w:p>
      <w:pPr>
        <w:pStyle w:val="Heading5"/>
      </w:pPr>
      <w:r>
        <w:t xml:space="preserve">b) Modelo</w:t>
      </w:r>
    </w:p>
    <w:p>
      <w:pPr>
        <w:numPr>
          <w:ilvl w:val="0"/>
          <w:numId w:val="1049"/>
        </w:numPr>
      </w:pPr>
      <w:r>
        <w:rPr>
          <w:b/>
          <w:bCs/>
          <w:i/>
          <w:iCs/>
        </w:rPr>
        <w:t xml:space="preserve">i) Supuestos</w:t>
      </w:r>
      <w:r>
        <w:t xml:space="preserve">: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w:t>
        </w:r>
        <w:r>
          <w:rPr>
            <w:rStyle w:val="Hyperlink"/>
          </w:rPr>
          <w:t xml:space="preserve">1947</w:t>
        </w:r>
      </w:hyperlink>
      <w:r>
        <w:t xml:space="preserve">;</w:t>
      </w:r>
      <w:r>
        <w:t xml:space="preserve"> </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numPr>
          <w:ilvl w:val="0"/>
          <w:numId w:val="1049"/>
        </w:numPr>
      </w:pPr>
      <w:r>
        <w:rPr>
          <w:b/>
          <w:bCs/>
          <w:i/>
          <w:iCs/>
        </w:rPr>
        <w:t xml:space="preserve">ii) Desarrollo</w:t>
      </w:r>
      <w:r>
        <w:t xml:space="preserve">: maximizando, el gasto en cada bien es</w:t>
      </w:r>
    </w:p>
    <w:p>
      <w:pPr>
        <w:pStyle w:val="BodyT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numPr>
          <w:ilvl w:val="0"/>
          <w:numId w:val="1049"/>
        </w:numPr>
      </w:pPr>
      <w:r>
        <w:rPr>
          <w:b/>
          <w:bCs/>
          <w:i/>
          <w:iCs/>
        </w:rPr>
        <w:t xml:space="preserve">iii) Implicaciones</w:t>
      </w:r>
      <w:r>
        <w:t xml:space="preserve">: 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79"/>
    <w:bookmarkStart w:id="80" w:name="d-evidencia-empírica"/>
    <w:p>
      <w:pPr>
        <w:pStyle w:val="Heading5"/>
      </w:pPr>
      <w:r>
        <w:t xml:space="preserve">d) Evidencia empírica</w:t>
      </w:r>
    </w:p>
    <w:p>
      <w:pPr>
        <w:numPr>
          <w:ilvl w:val="0"/>
          <w:numId w:val="1050"/>
        </w:numPr>
      </w:pPr>
      <w:r>
        <w:t xml:space="preserve">Fue el primer sistema completo estimado con datos reales:</w:t>
      </w:r>
      <w:r>
        <w:t xml:space="preserve"> </w:t>
      </w:r>
      <w:r>
        <w:rPr>
          <w:smallCaps/>
        </w:rPr>
        <w:t xml:space="preserve">Stone</w:t>
      </w:r>
      <w:r>
        <w:t xml:space="preserve"> </w:t>
      </w:r>
      <w:r>
        <w:t xml:space="preserve">(</w:t>
      </w:r>
      <w:hyperlink w:anchor="ref-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Deaton1974Analysis">
        <w:r>
          <w:rPr>
            <w:rStyle w:val="Hyperlink"/>
          </w:rPr>
          <w:t xml:space="preserve">1974</w:t>
        </w:r>
      </w:hyperlink>
      <w:r>
        <w:t xml:space="preserve">)</w:t>
      </w:r>
      <w:r>
        <w:t xml:space="preserve">, con datos agregados del Reino Unido, rechaza la aditividad que impone.</w:t>
      </w:r>
    </w:p>
    <w:bookmarkEnd w:id="80"/>
    <w:bookmarkStart w:id="81" w:name="e-valoración-2"/>
    <w:p>
      <w:pPr>
        <w:pStyle w:val="Heading5"/>
      </w:pPr>
      <w:r>
        <w:t xml:space="preserve">e) Valoración</w:t>
      </w:r>
    </w:p>
    <w:p>
      <w:pPr>
        <w:numPr>
          <w:ilvl w:val="0"/>
          <w:numId w:val="1051"/>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81"/>
    <w:bookmarkEnd w:id="82"/>
    <w:bookmarkStart w:id="87" w:name="modelo-de-rotterdam"/>
    <w:p>
      <w:pPr>
        <w:pStyle w:val="Heading4"/>
      </w:pPr>
      <w:r>
        <w:t xml:space="preserve">Modelo de Rotterdam</w:t>
      </w:r>
    </w:p>
    <w:bookmarkStart w:id="83" w:name="a-idea-3"/>
    <w:p>
      <w:pPr>
        <w:pStyle w:val="Heading5"/>
      </w:pPr>
      <w:r>
        <w:t xml:space="preserve">a) Idea</w:t>
      </w:r>
    </w:p>
    <w:p>
      <w:pPr>
        <w:numPr>
          <w:ilvl w:val="0"/>
          <w:numId w:val="1052"/>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Barten1964Consumer">
        <w:r>
          <w:rPr>
            <w:rStyle w:val="Hyperlink"/>
            <w:smallCaps/>
          </w:rPr>
          <w:t xml:space="preserve">Barten</w:t>
        </w:r>
        <w:r>
          <w:rPr>
            <w:rStyle w:val="Hyperlink"/>
          </w:rPr>
          <w:t xml:space="preserve"> </w:t>
        </w:r>
        <w:r>
          <w:rPr>
            <w:rStyle w:val="Hyperlink"/>
          </w:rPr>
          <w:t xml:space="preserve">1964</w:t>
        </w:r>
      </w:hyperlink>
      <w:r>
        <w:t xml:space="preserve">;</w:t>
      </w:r>
      <w:r>
        <w:t xml:space="preserve"> </w:t>
      </w:r>
      <w:hyperlink w:anchor="ref-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w:t>
      </w:r>
    </w:p>
    <w:bookmarkEnd w:id="83"/>
    <w:bookmarkStart w:id="84" w:name="b-modelo-3"/>
    <w:p>
      <w:pPr>
        <w:pStyle w:val="Heading5"/>
      </w:pPr>
      <w:r>
        <w:t xml:space="preserve">b) Modelo</w:t>
      </w:r>
    </w:p>
    <w:p>
      <w:pPr>
        <w:numPr>
          <w:ilvl w:val="0"/>
          <w:numId w:val="1053"/>
        </w:numPr>
      </w:pPr>
      <w:r>
        <w:rPr>
          <w:b/>
          <w:bCs/>
          <w:i/>
          <w:iCs/>
        </w:rPr>
        <w:t xml:space="preserve">i) Supuestos</w:t>
      </w:r>
      <w:r>
        <w:t xml:space="preserve">: la ecuación de</w:t>
      </w:r>
      <w:r>
        <w:t xml:space="preserve"> </w:t>
      </w:r>
      <w:r>
        <w:rPr>
          <w:smallCaps/>
        </w:rPr>
        <w:t xml:space="preserve">Slutsky</w:t>
      </w:r>
      <w:r>
        <w:t xml:space="preserve"> </w:t>
      </w:r>
      <w:r>
        <w:t xml:space="preserve">en diferencias logarítmicas, con coeficientes constantes.</w:t>
      </w:r>
    </w:p>
    <w:p>
      <w:pPr>
        <w:numPr>
          <w:ilvl w:val="0"/>
          <w:numId w:val="1053"/>
        </w:numPr>
      </w:pPr>
      <w:r>
        <w:rPr>
          <w:b/>
          <w:bCs/>
          <w:i/>
          <w:iCs/>
        </w:rPr>
        <w:t xml:space="preserve">ii) Desarrollo</w:t>
      </w:r>
      <w:r>
        <w:t xml:space="preserve">:</w:t>
      </w:r>
    </w:p>
    <w:p>
      <w:pPr>
        <w:pStyle w:val="BodyT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numPr>
          <w:ilvl w:val="0"/>
          <w:numId w:val="1053"/>
        </w:numPr>
      </w:pPr>
      <w:r>
        <w:rPr>
          <w:b/>
          <w:bCs/>
          <w:i/>
          <w:iCs/>
        </w:rPr>
        <w:t xml:space="preserve">iii) Implicaciones</w:t>
      </w:r>
      <w:r>
        <w:t xml:space="preserve">: la teoría se traduce en restricciones lineales sobre los parámetros, que se imponen o contrastan directamente:</w:t>
      </w:r>
      <w:r>
        <w:t xml:space="preserve"> </w:t>
      </w: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r>
        <w:t xml:space="preserve"> </w:t>
      </w: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r>
        <w:t xml:space="preserve"> </w:t>
      </w:r>
      <m:oMath>
        <m:sSub>
          <m:e>
            <m:r>
              <m:t>c</m:t>
            </m:r>
          </m:e>
          <m:sub>
            <m:r>
              <m:t>i</m:t>
            </m:r>
            <m:r>
              <m:t>j</m:t>
            </m:r>
          </m:sub>
        </m:sSub>
        <m:r>
          <m:rPr>
            <m:sty m:val="p"/>
          </m:rPr>
          <m:t>=</m:t>
        </m:r>
        <m:sSub>
          <m:e>
            <m:r>
              <m:t>c</m:t>
            </m:r>
          </m:e>
          <m:sub>
            <m:r>
              <m:t>j</m:t>
            </m:r>
            <m:r>
              <m:t>i</m:t>
            </m:r>
          </m:sub>
        </m:sSub>
      </m:oMath>
      <w:r>
        <w:t xml:space="preserve"> </w:t>
      </w:r>
      <w:r>
        <w:t xml:space="preserve">(simetría) y</w:t>
      </w:r>
      <w:r>
        <w:t xml:space="preserve"> </w:t>
      </w:r>
      <m:oMath>
        <m:d>
          <m:dPr>
            <m:begChr m:val="["/>
            <m:sepChr m:val=""/>
            <m:endChr m:val="]"/>
            <m:grow/>
          </m:dPr>
          <m:e>
            <m:sSub>
              <m:e>
                <m:r>
                  <m:t>c</m:t>
                </m:r>
              </m:e>
              <m:sub>
                <m:r>
                  <m:t>i</m:t>
                </m:r>
                <m:r>
                  <m:t>j</m:t>
                </m:r>
              </m:sub>
            </m:sSub>
          </m:e>
        </m:d>
      </m:oMath>
      <w:r>
        <w:t xml:space="preserve"> </w:t>
      </w:r>
      <w:r>
        <w:t xml:space="preserve">semidefinida negativa.</w:t>
      </w:r>
    </w:p>
    <w:bookmarkEnd w:id="84"/>
    <w:bookmarkStart w:id="85" w:name="d-evidencia-empírica-1"/>
    <w:p>
      <w:pPr>
        <w:pStyle w:val="Heading5"/>
      </w:pPr>
      <w:r>
        <w:t xml:space="preserve">d) Evidencia empírica</w:t>
      </w:r>
    </w:p>
    <w:p>
      <w:pPr>
        <w:numPr>
          <w:ilvl w:val="0"/>
          <w:numId w:val="1054"/>
        </w:numPr>
      </w:pP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con datos de los Países Bajos, rechaza con frecuencia la homogeneidad.</w:t>
      </w:r>
    </w:p>
    <w:bookmarkEnd w:id="85"/>
    <w:bookmarkStart w:id="86" w:name="e-valoración-3"/>
    <w:p>
      <w:pPr>
        <w:pStyle w:val="Heading5"/>
      </w:pPr>
      <w:r>
        <w:t xml:space="preserve">e) Valoración</w:t>
      </w:r>
    </w:p>
    <w:p>
      <w:pPr>
        <w:numPr>
          <w:ilvl w:val="0"/>
          <w:numId w:val="1055"/>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86"/>
    <w:bookmarkEnd w:id="87"/>
    <w:bookmarkStart w:id="92" w:name="translog"/>
    <w:p>
      <w:pPr>
        <w:pStyle w:val="Heading4"/>
      </w:pPr>
      <w:r>
        <w:t xml:space="preserve">Translog</w:t>
      </w:r>
    </w:p>
    <w:bookmarkStart w:id="88" w:name="a-idea-4"/>
    <w:p>
      <w:pPr>
        <w:pStyle w:val="Heading5"/>
      </w:pPr>
      <w:r>
        <w:t xml:space="preserve">a) Idea</w:t>
      </w:r>
    </w:p>
    <w:p>
      <w:pPr>
        <w:numPr>
          <w:ilvl w:val="0"/>
          <w:numId w:val="1056"/>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w:t>
      </w:r>
    </w:p>
    <w:bookmarkEnd w:id="88"/>
    <w:bookmarkStart w:id="89" w:name="b-modelo-4"/>
    <w:p>
      <w:pPr>
        <w:pStyle w:val="Heading5"/>
      </w:pPr>
      <w:r>
        <w:t xml:space="preserve">b) Modelo</w:t>
      </w:r>
    </w:p>
    <w:p>
      <w:pPr>
        <w:numPr>
          <w:ilvl w:val="0"/>
          <w:numId w:val="1057"/>
        </w:numPr>
      </w:pPr>
      <w:r>
        <w:rPr>
          <w:b/>
          <w:bCs/>
          <w:i/>
          <w:iCs/>
        </w:rPr>
        <w:t xml:space="preserve">i) Supuestos</w:t>
      </w:r>
      <w:r>
        <w:t xml:space="preserve">: se especifica la FIU (versión</w:t>
      </w:r>
      <w:r>
        <w:t xml:space="preserve"> </w:t>
      </w:r>
      <w:r>
        <w:rPr>
          <w:i/>
          <w:iCs/>
        </w:rPr>
        <w:t xml:space="preserve">indirecta</w:t>
      </w:r>
      <w:r>
        <w:t xml:space="preserve">),</w:t>
      </w:r>
    </w:p>
    <w:p>
      <w:pPr>
        <w:pStyle w:val="BodyT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numPr>
          <w:ilvl w:val="0"/>
          <w:numId w:val="1057"/>
        </w:numPr>
      </w:pPr>
      <w:r>
        <w:rPr>
          <w:b/>
          <w:bCs/>
          <w:i/>
          <w:iCs/>
        </w:rPr>
        <w:t xml:space="preserve">ii) Desarrollo</w:t>
      </w:r>
      <w:r>
        <w:t xml:space="preserve">: 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p>
    <w:p>
      <w:pPr>
        <w:pStyle w:val="BodyT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numPr>
          <w:ilvl w:val="0"/>
          <w:numId w:val="1057"/>
        </w:numPr>
      </w:pPr>
      <w:r>
        <w:rPr>
          <w:b/>
          <w:bCs/>
          <w:i/>
          <w:iCs/>
        </w:rPr>
        <w:t xml:space="preserve">iii) Implicaciones</w:t>
      </w:r>
      <w:r>
        <w:t xml:space="preserve">: 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89"/>
    <w:bookmarkStart w:id="90" w:name="d-evidencia-empírica-2"/>
    <w:p>
      <w:pPr>
        <w:pStyle w:val="Heading5"/>
      </w:pPr>
      <w:r>
        <w:t xml:space="preserve">d) Evidencia empírica</w:t>
      </w:r>
    </w:p>
    <w:p>
      <w:pPr>
        <w:numPr>
          <w:ilvl w:val="0"/>
          <w:numId w:val="1058"/>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ChristensenJorgensonLau1975Utility">
        <w:r>
          <w:rPr>
            <w:rStyle w:val="Hyperlink"/>
          </w:rPr>
          <w:t xml:space="preserve">1975</w:t>
        </w:r>
      </w:hyperlink>
      <w:r>
        <w:t xml:space="preserve">)</w:t>
      </w:r>
      <w:r>
        <w:t xml:space="preserve">, con datos agregados de Estados Unidos, la usan para contrastar la aditividad y la homoteticidad de las preferencias, que los datos rechazan.</w:t>
      </w:r>
    </w:p>
    <w:bookmarkEnd w:id="90"/>
    <w:bookmarkStart w:id="91" w:name="e-valoración-4"/>
    <w:p>
      <w:pPr>
        <w:pStyle w:val="Heading5"/>
      </w:pPr>
      <w:r>
        <w:t xml:space="preserve">e) Valoración</w:t>
      </w:r>
    </w:p>
    <w:p>
      <w:pPr>
        <w:numPr>
          <w:ilvl w:val="0"/>
          <w:numId w:val="1059"/>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 no agrega bien y la concavidad no está garantizada lejos del punto de aproximación. El AIDS conserva la flexibilidad y resuelve la agregación y la linealidad.</w:t>
      </w:r>
    </w:p>
    <w:bookmarkEnd w:id="91"/>
    <w:bookmarkEnd w:id="92"/>
    <w:bookmarkStart w:id="98" w:name="sistema-casi-ideal-de-demanda-aids"/>
    <w:p>
      <w:pPr>
        <w:pStyle w:val="Heading4"/>
      </w:pPr>
      <w:r>
        <w:t xml:space="preserve">Sistema casi ideal de demanda (AIDS)</w:t>
      </w:r>
    </w:p>
    <w:bookmarkStart w:id="93" w:name="a-idea-5"/>
    <w:p>
      <w:pPr>
        <w:pStyle w:val="Heading5"/>
      </w:pPr>
      <w:r>
        <w:t xml:space="preserve">a) Idea</w:t>
      </w:r>
    </w:p>
    <w:p>
      <w:pPr>
        <w:numPr>
          <w:ilvl w:val="0"/>
          <w:numId w:val="1060"/>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w:t>
      </w:r>
    </w:p>
    <w:bookmarkEnd w:id="93"/>
    <w:bookmarkStart w:id="94" w:name="b-modelo-5"/>
    <w:p>
      <w:pPr>
        <w:pStyle w:val="Heading5"/>
      </w:pPr>
      <w:r>
        <w:t xml:space="preserve">b) Modelo</w:t>
      </w:r>
    </w:p>
    <w:p>
      <w:pPr>
        <w:numPr>
          <w:ilvl w:val="0"/>
          <w:numId w:val="1061"/>
        </w:numPr>
      </w:pPr>
      <w:r>
        <w:rPr>
          <w:b/>
          <w:bCs/>
          <w:i/>
          <w:iCs/>
        </w:rPr>
        <w:t xml:space="preserve">i) Supuestos</w:t>
      </w:r>
      <w:r>
        <w:t xml:space="preserve">: 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identificó como compatible con la agregación</w:t>
      </w:r>
      <w:r>
        <w:t xml:space="preserve"> </w:t>
      </w:r>
      <w:r>
        <w:rPr>
          <w:rStyle w:val="Referenciaatema"/>
        </w:rPr>
        <w:t xml:space="preserve">[ver tema 3.A.8]</w:t>
      </w:r>
      <w:r>
        <w:t xml:space="preserve">:</w:t>
      </w:r>
    </w:p>
    <w:p>
      <w:pPr>
        <w:pStyle w:val="BodyT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numPr>
          <w:ilvl w:val="0"/>
          <w:numId w:val="1061"/>
        </w:numPr>
      </w:pPr>
      <w:r>
        <w:rPr>
          <w:b/>
          <w:bCs/>
          <w:i/>
          <w:iCs/>
        </w:rPr>
        <w:t xml:space="preserve">ii) Desarrollo</w:t>
      </w:r>
      <w:r>
        <w:t xml:space="preserve">: 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p>
    <w:p>
      <w:pPr>
        <w:pStyle w:val="BodyT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numPr>
          <w:ilvl w:val="0"/>
          <w:numId w:val="1061"/>
        </w:numPr>
      </w:pPr>
      <w:r>
        <w:rPr>
          <w:b/>
          <w:bCs/>
          <w:i/>
          <w:iCs/>
        </w:rPr>
        <w:t xml:space="preserve">iii) Implicaciones</w:t>
      </w:r>
      <w:r>
        <w:t xml:space="preserve">:</w:t>
      </w:r>
    </w:p>
    <w:p>
      <w:pPr>
        <w:numPr>
          <w:ilvl w:val="1"/>
          <w:numId w:val="1062"/>
        </w:numPr>
      </w:pPr>
      <w:r>
        <w:rPr>
          <w:i/>
          <w:iCs/>
        </w:rPr>
        <w:t xml:space="preserve">restricciones</w:t>
      </w:r>
      <w:r>
        <w:t xml:space="preserve">: 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 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simetría,</w:t>
      </w:r>
      <w:r>
        <w:t xml:space="preserve"> </w:t>
      </w:r>
      <m:oMath>
        <m:sSub>
          <m:e>
            <m:r>
              <m:t>γ</m:t>
            </m:r>
          </m:e>
          <m:sub>
            <m:r>
              <m:t>i</m:t>
            </m:r>
            <m:r>
              <m:t>j</m:t>
            </m:r>
          </m:sub>
        </m:sSub>
        <m:r>
          <m:rPr>
            <m:sty m:val="p"/>
          </m:rPr>
          <m:t>=</m:t>
        </m:r>
        <m:sSub>
          <m:e>
            <m:r>
              <m:t>γ</m:t>
            </m:r>
          </m:e>
          <m:sub>
            <m:r>
              <m:t>j</m:t>
            </m:r>
            <m:r>
              <m:t>i</m:t>
            </m:r>
          </m:sub>
        </m:sSub>
      </m:oMath>
      <w:r>
        <w:t xml:space="preserve">. 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1"/>
          <w:numId w:val="1062"/>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1"/>
          <w:numId w:val="1062"/>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p>
    <w:p>
      <w:pPr>
        <w:pStyle w:val="BodyT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1"/>
          <w:numId w:val="1000"/>
        </w:numPr>
      </w:pPr>
      <w:r>
        <w:t xml:space="preserve">la última por la ecuación de</w:t>
      </w:r>
      <w:r>
        <w:t xml:space="preserve"> </w:t>
      </w:r>
      <w:r>
        <w:rPr>
          <w:smallCaps/>
        </w:rPr>
        <w:t xml:space="preserve">Slutsky</w:t>
      </w:r>
      <w:r>
        <w:t xml:space="preserve"> </w:t>
      </w:r>
      <w:r>
        <w:t xml:space="preserve">en elasticidades (III.2);</w:t>
      </w:r>
    </w:p>
    <w:p>
      <w:pPr>
        <w:numPr>
          <w:ilvl w:val="1"/>
          <w:numId w:val="1062"/>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94"/>
    <w:bookmarkStart w:id="95" w:name="c-extensiones"/>
    <w:p>
      <w:pPr>
        <w:pStyle w:val="Heading5"/>
      </w:pPr>
      <w:r>
        <w:t xml:space="preserve">c) Extensiones</w:t>
      </w:r>
    </w:p>
    <w:p>
      <w:pPr>
        <w:numPr>
          <w:ilvl w:val="0"/>
          <w:numId w:val="1063"/>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95"/>
    <w:bookmarkStart w:id="96" w:name="d-evidencia-empírica-3"/>
    <w:p>
      <w:pPr>
        <w:pStyle w:val="Heading5"/>
      </w:pPr>
      <w:r>
        <w:t xml:space="preserve">d) Evidencia empírica</w:t>
      </w:r>
    </w:p>
    <w:p>
      <w:pPr>
        <w:numPr>
          <w:ilvl w:val="0"/>
          <w:numId w:val="1064"/>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96"/>
    <w:bookmarkStart w:id="97" w:name="e-valoración-5"/>
    <w:p>
      <w:pPr>
        <w:pStyle w:val="Heading5"/>
      </w:pPr>
      <w:r>
        <w:t xml:space="preserve">e) Valoración</w:t>
      </w:r>
    </w:p>
    <w:p>
      <w:pPr>
        <w:numPr>
          <w:ilvl w:val="0"/>
          <w:numId w:val="1065"/>
        </w:numPr>
      </w:pPr>
      <w:r>
        <w:t xml:space="preserve">Su nombre resume sus virtudes: aproxima en primer orden cualquier sistema de demanda, es coherente con la teoría y con la restricción presupuestaria, agrega exactamente y se estima con facilidad. Es «casi» ideal porque la negatividad no está garantizada y la forma de las curvas de</w:t>
      </w:r>
      <w:r>
        <w:t xml:space="preserve"> </w:t>
      </w:r>
      <w:r>
        <w:rPr>
          <w:smallCaps/>
        </w:rPr>
        <w:t xml:space="preserve">Engel</w:t>
      </w:r>
      <w:r>
        <w:t xml:space="preserve"> </w:t>
      </w:r>
      <w:r>
        <w:t xml:space="preserve">es restrictiva.</w:t>
      </w:r>
    </w:p>
    <w:bookmarkEnd w:id="97"/>
    <w:bookmarkEnd w:id="98"/>
    <w:bookmarkStart w:id="103" w:name="aids-cuadrático-quaids"/>
    <w:p>
      <w:pPr>
        <w:pStyle w:val="Heading4"/>
      </w:pPr>
      <w:r>
        <w:t xml:space="preserve">AIDS cuadrático (QUAIDS)</w:t>
      </w:r>
    </w:p>
    <w:bookmarkStart w:id="99" w:name="a-idea-6"/>
    <w:p>
      <w:pPr>
        <w:pStyle w:val="Heading5"/>
      </w:pPr>
      <w:r>
        <w:t xml:space="preserve">a) Idea</w:t>
      </w:r>
    </w:p>
    <w:p>
      <w:pPr>
        <w:numPr>
          <w:ilvl w:val="0"/>
          <w:numId w:val="1066"/>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r>
        <w:t xml:space="preserve">.</w:t>
      </w:r>
    </w:p>
    <w:bookmarkEnd w:id="99"/>
    <w:bookmarkStart w:id="100" w:name="b-modelo-6"/>
    <w:p>
      <w:pPr>
        <w:pStyle w:val="Heading5"/>
      </w:pPr>
      <w:r>
        <w:t xml:space="preserve">b) Modelo</w:t>
      </w:r>
    </w:p>
    <w:p>
      <w:pPr>
        <w:numPr>
          <w:ilvl w:val="0"/>
          <w:numId w:val="1067"/>
        </w:numPr>
      </w:pPr>
      <w:r>
        <w:t xml:space="preserve">Se añade al AIDS un término cuadrático en el logaritmo del gasto:</w:t>
      </w:r>
    </w:p>
    <w:p>
      <w:pPr>
        <w:pStyle w:val="BodyT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Gorman1981Engel">
        <w:r>
          <w:rPr>
            <w:rStyle w:val="Hyperlink"/>
            <w:smallCaps/>
          </w:rPr>
          <w:t xml:space="preserve">Gorman</w:t>
        </w:r>
        <w:r>
          <w:rPr>
            <w:rStyle w:val="Hyperlink"/>
          </w:rPr>
          <w:t xml:space="preserve"> </w:t>
        </w:r>
        <w:r>
          <w:rPr>
            <w:rStyle w:val="Hyperlink"/>
          </w:rPr>
          <w:t xml:space="preserve">1981</w:t>
        </w:r>
      </w:hyperlink>
      <w:r>
        <w:t xml:space="preserve">)</w:t>
      </w:r>
      <w:r>
        <w:t xml:space="preserve">.</w:t>
      </w:r>
    </w:p>
    <w:bookmarkEnd w:id="100"/>
    <w:bookmarkStart w:id="102" w:name="e-valoración-6"/>
    <w:p>
      <w:pPr>
        <w:pStyle w:val="Heading5"/>
      </w:pPr>
      <w:r>
        <w:t xml:space="preserve">e) Valoración</w:t>
      </w:r>
    </w:p>
    <w:p>
      <w:pPr>
        <w:numPr>
          <w:ilvl w:val="0"/>
          <w:numId w:val="1068"/>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01" w:name="tab:sistemas"/>
    <w:p>
      <w:pPr>
        <w:pStyle w:val="TableCaption"/>
      </w:pPr>
      <w:r>
        <w:t xml:space="preserve">Sistemas de demanda más utilizados</w:t>
      </w:r>
    </w:p>
    <w:tbl>
      <w:tblPr>
        <w:tblStyle w:val="Table"/>
        <w:tblW w:type="auto" w:w="0"/>
        <w:tblLook w:firstRow="1" w:lastRow="0" w:firstColumn="0" w:lastColumn="0" w:noHBand="0" w:noVBand="0" w:val="0020"/>
        <w:tblCaption w:val="Sistemas de demanda más utilizados"/>
      </w:tblPr>
      <w:tblGrid>
        <w:gridCol w:w="1320"/>
        <w:gridCol w:w="1320"/>
        <w:gridCol w:w="1320"/>
        <w:gridCol w:w="1320"/>
        <w:gridCol w:w="1320"/>
        <w:gridCol w:w="1320"/>
      </w:tblGrid>
      <w:tr>
        <w:trPr>
          <w:tblHeader w:val="on"/>
        </w:trPr>
        <w:tc>
          <w:tcPr>
            <w:vAlign w:val="center"/>
          </w:tcPr>
          <w:p>
            <w:pPr>
              <w:pStyle w:val="Celdatceeazulpalido"/>
              <w:jc w:val="left"/>
            </w:pPr>
            <w:r>
              <w:rPr>
                <w:i/>
                <w:iCs/>
              </w:rPr>
              <w:t xml:space="preserve">Sistema</w:t>
            </w:r>
          </w:p>
        </w:tc>
        <w:tc>
          <w:tcPr>
            <w:vAlign w:val="center"/>
          </w:tcPr>
          <w:p>
            <w:pPr>
              <w:pStyle w:val="Celdatceeazulpalido"/>
              <w:jc w:val="left"/>
            </w:pPr>
            <w:r>
              <w:rPr>
                <w:i/>
                <w:iCs/>
              </w:rPr>
              <w:t xml:space="preserve">Punto de partida</w:t>
            </w:r>
          </w:p>
        </w:tc>
        <w:tc>
          <w:tcPr>
            <w:vAlign w:val="center"/>
          </w:tcPr>
          <w:p>
            <w:pPr>
              <w:pStyle w:val="Celdatceeazulpalido"/>
              <w:jc w:val="center"/>
            </w:pPr>
            <w:r>
              <w:rPr>
                <w:i/>
                <w:iCs/>
              </w:rPr>
              <w:t xml:space="preserve">Flexible</w:t>
            </w:r>
          </w:p>
        </w:tc>
        <w:tc>
          <w:tcPr>
            <w:vAlign w:val="center"/>
          </w:tcPr>
          <w:p>
            <w:pPr>
              <w:pStyle w:val="Celdatceeazulpalido"/>
              <w:jc w:val="center"/>
            </w:pPr>
            <w:r>
              <w:rPr>
                <w:i/>
                <w:iCs/>
              </w:rPr>
              <w:t xml:space="preserve">Agregación</w:t>
            </w:r>
          </w:p>
        </w:tc>
        <w:tc>
          <w:tcPr>
            <w:vAlign w:val="center"/>
          </w:tcPr>
          <w:p>
            <w:pPr>
              <w:pStyle w:val="Celdatceeazulpalido"/>
              <w:jc w:val="center"/>
            </w:pPr>
            <w:r>
              <w:rPr>
                <w:i/>
                <w:iCs/>
              </w:rPr>
              <w:t xml:space="preserve">Lineal en los parámetros</w:t>
            </w:r>
          </w:p>
        </w:tc>
        <w:tc>
          <w:tcPr>
            <w:vAlign w:val="center"/>
          </w:tcPr>
          <w:p>
            <w:pPr>
              <w:pStyle w:val="Celdatceeazulpalido"/>
              <w:jc w:val="left"/>
            </w:pPr>
            <w:r>
              <w:rPr>
                <w:i/>
                <w:iCs/>
              </w:rPr>
              <w:t xml:space="preserve">Límite principal</w:t>
            </w:r>
          </w:p>
        </w:tc>
      </w:tr>
      <w:t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c>
          <w:tcPr>
            <w:vAlign w:val="center"/>
          </w:tcPr>
          <w:p>
            <w:pPr>
              <w:pStyle w:val="Compact"/>
              <w:jc w:val="left"/>
            </w:pPr>
            <w:r>
              <w:t xml:space="preserve">LES</w:t>
            </w:r>
            <w:r>
              <w:t xml:space="preserve"> </w:t>
            </w:r>
            <w:r>
              <w:t xml:space="preserve">(</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c>
          <w:tcPr>
            <w:vAlign w:val="center"/>
          </w:tcPr>
          <w:p>
            <w:pPr>
              <w:pStyle w:val="Compact"/>
              <w:jc w:val="left"/>
            </w:pPr>
            <w:r>
              <w:t xml:space="preserve">Translog</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c>
          <w:tcPr>
            <w:vAlign w:val="center"/>
          </w:tcPr>
          <w:p>
            <w:pPr>
              <w:pStyle w:val="Celdatceesalvia"/>
              <w:jc w:val="left"/>
            </w:pPr>
            <w:r>
              <w:t xml:space="preserve">AIDS</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p>
        </w:tc>
        <w:tc>
          <w:tcPr>
            <w:vAlign w:val="center"/>
          </w:tcPr>
          <w:p>
            <w:pPr>
              <w:pStyle w:val="Celdatceesalvia"/>
              <w:jc w:val="left"/>
            </w:pPr>
            <w:r>
              <w:t xml:space="preserve">función de gasto PIGLOG</w:t>
            </w:r>
          </w:p>
        </w:tc>
        <w:tc>
          <w:tcPr>
            <w:vAlign w:val="center"/>
          </w:tcPr>
          <w:p>
            <w:pPr>
              <w:pStyle w:val="Celdatceesalvia"/>
              <w:jc w:val="center"/>
            </w:pPr>
            <w:r>
              <w:t xml:space="preserve">sí</w:t>
            </w:r>
          </w:p>
        </w:tc>
        <w:tc>
          <w:tcPr>
            <w:vAlign w:val="center"/>
          </w:tcPr>
          <w:p>
            <w:pPr>
              <w:pStyle w:val="Celdatceesalvia"/>
              <w:jc w:val="center"/>
            </w:pPr>
            <w:r>
              <w:t xml:space="preserve">sí (exacta)</w:t>
            </w:r>
          </w:p>
        </w:tc>
        <w:tc>
          <w:tcPr>
            <w:vAlign w:val="center"/>
          </w:tcPr>
          <w:p>
            <w:pPr>
              <w:pStyle w:val="Celdatceesalvia"/>
              <w:jc w:val="center"/>
            </w:pPr>
            <w:r>
              <w:t xml:space="preserve">sí (LA-AIDS)</w:t>
            </w:r>
          </w:p>
        </w:tc>
        <w:tc>
          <w:tcPr>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c>
          <w:tcPr>
            <w:vAlign w:val="center"/>
          </w:tcPr>
          <w:p>
            <w:pPr>
              <w:pStyle w:val="Compact"/>
              <w:jc w:val="left"/>
            </w:pPr>
            <w:r>
              <w:t xml:space="preserve">QUAIDS</w:t>
            </w:r>
            <w:r>
              <w:t xml:space="preserve"> </w:t>
            </w:r>
            <w:r>
              <w:t xml:space="preserve">(</w:t>
            </w:r>
            <w:hyperlink w:anchor="ref-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01"/>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BanksBlundellLewbel1997Quadratic">
        <w:r>
          <w:rPr>
            <w:rStyle w:val="Hyperlink"/>
            <w:i/>
            <w:iCs/>
          </w:rPr>
          <w:t xml:space="preserve">1997</w:t>
        </w:r>
      </w:hyperlink>
      <w:r>
        <w:rPr>
          <w:i/>
          <w:iCs/>
        </w:rPr>
        <w:t xml:space="preserve">)</w:t>
      </w:r>
      <w:r>
        <w:rPr>
          <w:i/>
          <w:iCs/>
        </w:rPr>
        <w:t xml:space="preserve">.</w:t>
      </w:r>
    </w:p>
    <w:bookmarkEnd w:id="102"/>
    <w:bookmarkEnd w:id="103"/>
    <w:bookmarkEnd w:id="104"/>
    <w:bookmarkStart w:id="105" w:name="Xc15a10e5baf44120a54f7c8ffd6de9c6f6aca53"/>
    <w:p>
      <w:pPr>
        <w:pStyle w:val="Heading3"/>
      </w:pPr>
      <w:r>
        <w:t xml:space="preserve">II.2.2.</w:t>
      </w:r>
      <w:r>
        <w:t xml:space="preserve"> </w:t>
      </w:r>
      <w:r>
        <w:t xml:space="preserve">Elaboración de un sistema de ecuaciones completo o exhaustivo</w:t>
      </w:r>
    </w:p>
    <w:p>
      <w:pPr>
        <w:numPr>
          <w:ilvl w:val="0"/>
          <w:numId w:val="1069"/>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p>
    <w:p>
      <w:pPr>
        <w:pStyle w:val="BodyT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numPr>
          <w:ilvl w:val="0"/>
          <w:numId w:val="1069"/>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Strotz1957Empirical">
        <w:r>
          <w:rPr>
            <w:rStyle w:val="Hyperlink"/>
            <w:smallCaps/>
          </w:rPr>
          <w:t xml:space="preserve">Strotz</w:t>
        </w:r>
        <w:r>
          <w:rPr>
            <w:rStyle w:val="Hyperlink"/>
          </w:rPr>
          <w:t xml:space="preserve"> </w:t>
        </w:r>
        <w:r>
          <w:rPr>
            <w:rStyle w:val="Hyperlink"/>
          </w:rPr>
          <w:t xml:space="preserve">1957</w:t>
        </w:r>
      </w:hyperlink>
      <w:r>
        <w:t xml:space="preserve">;</w:t>
      </w:r>
      <w:r>
        <w:t xml:space="preserve"> </w:t>
      </w:r>
      <w:hyperlink w:anchor="ref-Gorman1959Separable">
        <w:r>
          <w:rPr>
            <w:rStyle w:val="Hyperlink"/>
            <w:smallCaps/>
          </w:rPr>
          <w:t xml:space="preserve">Gorman</w:t>
        </w:r>
        <w:r>
          <w:rPr>
            <w:rStyle w:val="Hyperlink"/>
          </w:rPr>
          <w:t xml:space="preserve"> </w:t>
        </w:r>
        <w:r>
          <w:rPr>
            <w:rStyle w:val="Hyperlink"/>
          </w:rPr>
          <w:t xml:space="preserve">1959</w:t>
        </w:r>
      </w:hyperlink>
      <w:r>
        <w:t xml:space="preserve">)</w:t>
      </w:r>
      <w:r>
        <w:t xml:space="preserve">: si la RMS entre dos bienes de un grupo no depende de las cantidades de los bienes de otros grupos, el consumidor puede repartir primero su gasto entre grupos (alimentación, vivienda, transporte…) y después, dentro de cada grupo, en función solo del gasto del grupo y de sus precios. 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69"/>
        </w:numPr>
      </w:pPr>
      <w:r>
        <w:t xml:space="preserve">El nivel de agregación es otro compromiso: con muchas partidas se captan mejor las relaciones de sustitución, pero la estimación se complica; con pocas, al revés.</w:t>
      </w:r>
    </w:p>
    <w:bookmarkEnd w:id="105"/>
    <w:bookmarkStart w:id="106" w:name="muestra-de-datos"/>
    <w:p>
      <w:pPr>
        <w:pStyle w:val="Heading3"/>
      </w:pPr>
      <w:r>
        <w:t xml:space="preserve">II.2.3.</w:t>
      </w:r>
      <w:r>
        <w:t xml:space="preserve"> </w:t>
      </w:r>
      <w:r>
        <w:t xml:space="preserve">Muestra de datos</w:t>
      </w:r>
    </w:p>
    <w:p>
      <w:pPr>
        <w:numPr>
          <w:ilvl w:val="0"/>
          <w:numId w:val="1070"/>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INE2026EPF">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70"/>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INEEPFMetodologia">
        <w:r>
          <w:rPr>
            <w:rStyle w:val="Hyperlink"/>
            <w:smallCaps/>
          </w:rPr>
          <w:t xml:space="preserve">Instituto Nacional de Estadística</w:t>
        </w:r>
        <w:r>
          <w:rPr>
            <w:rStyle w:val="Hyperlink"/>
          </w:rPr>
          <w:t xml:space="preserve"> </w:t>
        </w:r>
        <w:r>
          <w:rPr>
            <w:rStyle w:val="Hyperlink"/>
          </w:rPr>
          <w:t xml:space="preserve">s. f.</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70"/>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Deaton1997Analysis">
        <w:r>
          <w:rPr>
            <w:rStyle w:val="Hyperlink"/>
          </w:rPr>
          <w:t xml:space="preserve">1997</w:t>
        </w:r>
      </w:hyperlink>
      <w:r>
        <w:t xml:space="preserve">)</w:t>
      </w:r>
      <w:r>
        <w:t xml:space="preserve"> </w:t>
      </w:r>
      <w:r>
        <w:t xml:space="preserve">para las encuestas de los países en desarrollo.</w:t>
      </w:r>
    </w:p>
    <w:bookmarkEnd w:id="106"/>
    <w:bookmarkStart w:id="107" w:name="X11e43f01e28c2a8cc16a0dac0d333b258c2b647"/>
    <w:p>
      <w:pPr>
        <w:pStyle w:val="Heading3"/>
      </w:pPr>
      <w:r>
        <w:t xml:space="preserve">II.2.4.</w:t>
      </w:r>
      <w:r>
        <w:t xml:space="preserve"> </w:t>
      </w:r>
      <w:r>
        <w:t xml:space="preserve">Especificación econométrica del sistema de demanda</w:t>
      </w:r>
    </w:p>
    <w:p>
      <w:pPr>
        <w:numPr>
          <w:ilvl w:val="0"/>
          <w:numId w:val="1071"/>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071"/>
        </w:numPr>
      </w:pPr>
      <w:r>
        <w:t xml:space="preserve">Otros problemas habituales: el gasto total es endógeno (se instrumenta con la renta); hay gastos nulos (censura) en los bienes que el hogar no compra durante el periodo de la encuesta, y hay que introducir variables demográficas, como el tamaño y la composición del hogar, por ejemplo trasladando o escalando los parámetros</w:t>
      </w:r>
      <w:r>
        <w:t xml:space="preserve"> </w:t>
      </w:r>
      <w:r>
        <w:t xml:space="preserve">(</w:t>
      </w:r>
      <w:hyperlink w:anchor="ref-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w:t>
        </w:r>
        <w:r>
          <w:rPr>
            <w:rStyle w:val="Hyperlink"/>
          </w:rPr>
          <w:t xml:space="preserve">1981</w:t>
        </w:r>
      </w:hyperlink>
      <w:r>
        <w:t xml:space="preserve">)</w:t>
      </w:r>
      <w:r>
        <w:t xml:space="preserve">.</w:t>
      </w:r>
    </w:p>
    <w:bookmarkEnd w:id="107"/>
    <w:bookmarkStart w:id="108" w:name="resultados-de-las-estimaciones"/>
    <w:p>
      <w:pPr>
        <w:pStyle w:val="Heading3"/>
      </w:pPr>
      <w:r>
        <w:t xml:space="preserve">II.2.5.</w:t>
      </w:r>
      <w:r>
        <w:t xml:space="preserve"> </w:t>
      </w:r>
      <w:r>
        <w:t xml:space="preserve">Resultados de las estimaciones</w:t>
      </w:r>
    </w:p>
    <w:p>
      <w:pPr>
        <w:numPr>
          <w:ilvl w:val="0"/>
          <w:numId w:val="1072"/>
        </w:numPr>
      </w:pPr>
      <w:r>
        <w:t xml:space="preserve">Se obtienen los parámetros y, con ellos, las</w:t>
      </w:r>
      <w:r>
        <w:t xml:space="preserve"> </w:t>
      </w:r>
      <w:r>
        <w:rPr>
          <w:b/>
          <w:bCs/>
        </w:rPr>
        <w:t xml:space="preserve">elasticidades</w:t>
      </w:r>
      <w:r>
        <w:t xml:space="preserve"> </w:t>
      </w:r>
      <w:r>
        <w:t xml:space="preserve">(ecuación (23)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III.1.</w:t>
      </w:r>
    </w:p>
    <w:p>
      <w:pPr>
        <w:numPr>
          <w:ilvl w:val="0"/>
          <w:numId w:val="1072"/>
        </w:numPr>
      </w:pPr>
      <w:r>
        <w:t xml:space="preserve">La historia de estos contrastes resume la evolución del campo</w:t>
      </w:r>
      <w:r>
        <w:t xml:space="preserve"> </w:t>
      </w:r>
      <w:r>
        <w:t xml:space="preserve">(</w:t>
      </w:r>
      <w:hyperlink w:anchor="ref-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 21-22</w:t>
        </w:r>
      </w:hyperlink>
      <w:r>
        <w:t xml:space="preserve">)</w:t>
      </w:r>
      <w:r>
        <w:t xml:space="preserve">:</w:t>
      </w:r>
    </w:p>
    <w:p>
      <w:pPr>
        <w:numPr>
          <w:ilvl w:val="1"/>
          <w:numId w:val="1073"/>
        </w:numPr>
      </w:pPr>
      <w:r>
        <w:t xml:space="preserve">con datos agregados de series temporales, las restricciones se rechazaron con frecuencia, sobre todo la homogeneidad:</w:t>
      </w:r>
      <w:r>
        <w:t xml:space="preserve"> </w:t>
      </w: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con el modelo de Rotterdam y datos de los Países Bajos;</w:t>
      </w:r>
      <w:r>
        <w:t xml:space="preserve"> </w:t>
      </w:r>
      <w:r>
        <w:rPr>
          <w:smallCaps/>
        </w:rPr>
        <w:t xml:space="preserve">Deaton</w:t>
      </w:r>
      <w:r>
        <w:t xml:space="preserve"> </w:t>
      </w:r>
      <w:r>
        <w:t xml:space="preserve">(</w:t>
      </w:r>
      <w:hyperlink w:anchor="ref-Deaton1974Analysis">
        <w:r>
          <w:rPr>
            <w:rStyle w:val="Hyperlink"/>
          </w:rPr>
          <w:t xml:space="preserve">1974</w:t>
        </w:r>
      </w:hyperlink>
      <w:r>
        <w:t xml:space="preserve">)</w:t>
      </w:r>
      <w:r>
        <w:t xml:space="preserve">, con datos agregados del Reino Unido, 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con su propio AIDS;</w:t>
      </w:r>
    </w:p>
    <w:p>
      <w:pPr>
        <w:numPr>
          <w:ilvl w:val="1"/>
          <w:numId w:val="1073"/>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w:t>
      </w:r>
      <w:r>
        <w:t xml:space="preserve">;</w:t>
      </w:r>
    </w:p>
    <w:p>
      <w:pPr>
        <w:numPr>
          <w:ilvl w:val="1"/>
          <w:numId w:val="1073"/>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X654402c942ad9bea1ef2f416051d143dc9e9a07">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w:t>
        </w:r>
        <w:r>
          <w:rPr>
            <w:rStyle w:val="Hyperlink"/>
          </w:rPr>
          <w:t xml:space="preserve">2003</w:t>
        </w:r>
      </w:hyperlink>
      <w:r>
        <w:t xml:space="preserve">)</w:t>
      </w:r>
      <w:r>
        <w:t xml:space="preserve"> </w:t>
      </w:r>
      <w:r>
        <w:rPr>
          <w:rStyle w:val="Referenciaatema"/>
        </w:rPr>
        <w:t xml:space="preserve">[ver tema 3.A.8]</w:t>
      </w:r>
      <w:r>
        <w:t xml:space="preserve">.</w:t>
      </w:r>
    </w:p>
    <w:p>
      <w:pPr>
        <w:numPr>
          <w:ilvl w:val="0"/>
          <w:numId w:val="1072"/>
        </w:numPr>
      </w:pPr>
      <w:r>
        <w:rPr>
          <w:b/>
          <w:bCs/>
        </w:rPr>
        <w:t xml:space="preserve">Usos</w:t>
      </w:r>
      <w:r>
        <w:t xml:space="preserve">: la imposición indirecta óptima y la reforma del IVA, que requieren elasticidades compensadas cruzadas</w:t>
      </w:r>
      <w:r>
        <w:t xml:space="preserve"> </w:t>
      </w:r>
      <w:r>
        <w:rPr>
          <w:rStyle w:val="Referenciaatema"/>
        </w:rPr>
        <w:t xml:space="preserve">[ver tema 4.B.11]</w:t>
      </w:r>
      <w:r>
        <w:t xml:space="preserve">; la incidencia distributiva de los cambios de precios por tramos de renta; los índices de coste de la vida para cada tipo de hogar (III.3), y las escalas de equivalencia y la medición de la pobreza. En España, por ejemplo, se ha estimado un AIDS con los microdatos de la EPF para obtener las elasticidades con las que simular reformas del IVA</w:t>
      </w:r>
      <w:r>
        <w:t xml:space="preserve"> </w:t>
      </w:r>
      <w:r>
        <w:t xml:space="preserve">(</w:t>
      </w:r>
      <w:hyperlink w:anchor="ref-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w:t>
        </w:r>
        <w:r>
          <w:rPr>
            <w:rStyle w:val="Hyperlink"/>
          </w:rPr>
          <w:t xml:space="preserve">2012</w:t>
        </w:r>
      </w:hyperlink>
      <w:r>
        <w:t xml:space="preserve">)</w:t>
      </w:r>
      <w:r>
        <w:t xml:space="preserve">.</w:t>
      </w:r>
    </w:p>
    <w:p>
      <w:pPr>
        <w:numPr>
          <w:ilvl w:val="0"/>
          <w:numId w:val="1072"/>
        </w:numPr>
      </w:pPr>
      <w:r>
        <w:t xml:space="preserve">Las empresas, en cambio, cuando necesitan conocer la demanda de sus productos, recurren a encuestas o a experimentos de precios (por ejemplo, rebajar el precio y observar cómo responde la demanda).</w:t>
      </w:r>
    </w:p>
    <w:bookmarkEnd w:id="108"/>
    <w:bookmarkEnd w:id="109"/>
    <w:bookmarkStart w:id="110" w:name="valoración"/>
    <w:p>
      <w:pPr>
        <w:pStyle w:val="Heading2"/>
      </w:pPr>
      <w:r>
        <w:t xml:space="preserve">II.3.</w:t>
      </w:r>
      <w:r>
        <w:t xml:space="preserve"> </w:t>
      </w:r>
      <w:r>
        <w:t xml:space="preserve">Valoración</w:t>
      </w:r>
    </w:p>
    <w:p>
      <w:pPr>
        <w:numPr>
          <w:ilvl w:val="0"/>
          <w:numId w:val="1074"/>
        </w:numPr>
      </w:pPr>
      <w:r>
        <w:rPr>
          <w:b/>
          <w:bCs/>
        </w:rPr>
        <w:t xml:space="preserve">Aportaciones</w:t>
      </w:r>
      <w:r>
        <w:t xml:space="preserve">:</w:t>
      </w:r>
    </w:p>
    <w:p>
      <w:pPr>
        <w:numPr>
          <w:ilvl w:val="1"/>
          <w:numId w:val="1075"/>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075"/>
        </w:numPr>
      </w:pPr>
      <w:r>
        <w:t xml:space="preserve">las restricciones de la teoría pasan a ser hipótesis contrastables;</w:t>
      </w:r>
    </w:p>
    <w:p>
      <w:pPr>
        <w:numPr>
          <w:ilvl w:val="1"/>
          <w:numId w:val="1075"/>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numPr>
          <w:ilvl w:val="0"/>
          <w:numId w:val="1074"/>
        </w:numPr>
      </w:pPr>
      <w:r>
        <w:rPr>
          <w:b/>
          <w:bCs/>
        </w:rPr>
        <w:t xml:space="preserve">Limitaciones</w:t>
      </w:r>
      <w:r>
        <w:t xml:space="preserve">:</w:t>
      </w:r>
    </w:p>
    <w:p>
      <w:pPr>
        <w:numPr>
          <w:ilvl w:val="1"/>
          <w:numId w:val="1076"/>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076"/>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r>
        <w:rPr>
          <w:rStyle w:val="Referenciaatema"/>
        </w:rPr>
        <w:t xml:space="preserve">[ver tema 3.A.8]</w:t>
      </w:r>
      <w:r>
        <w:t xml:space="preserve">; de ahí el uso creciente de microdatos;</w:t>
      </w:r>
    </w:p>
    <w:p>
      <w:pPr>
        <w:numPr>
          <w:ilvl w:val="1"/>
          <w:numId w:val="1076"/>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r>
        <w:rPr>
          <w:rStyle w:val="Referenciaatema"/>
        </w:rPr>
        <w:t xml:space="preserve">[ver tema 3.A.33]</w:t>
      </w:r>
      <w:r>
        <w:t xml:space="preserve">, y el rechazo de la homogeneidad y la simetría puede deberse a ello más que a la irracionalidad de los consumidores.</w:t>
      </w:r>
    </w:p>
    <w:p>
      <w:pPr>
        <w:numPr>
          <w:ilvl w:val="0"/>
          <w:numId w:val="1074"/>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074"/>
        </w:numPr>
      </w:pPr>
      <w:r>
        <w:rPr>
          <w:b/>
          <w:bCs/>
        </w:rPr>
        <w:t xml:space="preserve">Recapitulación y enlace</w:t>
      </w:r>
      <w:r>
        <w:t xml:space="preserve">: estimar un sistema de demandas no garantiza que proceda de unas preferencias. Saber cuándo lo hace es la primera aplicación de la dualidad: la integrabilidad.</w:t>
      </w:r>
    </w:p>
    <w:bookmarkEnd w:id="110"/>
    <w:bookmarkEnd w:id="111"/>
    <w:bookmarkStart w:id="159" w:name="aplicaciones-de-la-dualidad"/>
    <w:p>
      <w:pPr>
        <w:pStyle w:val="Heading1"/>
      </w:pPr>
      <w:r>
        <w:t xml:space="preserve">III.</w:t>
      </w:r>
      <w:r>
        <w:t xml:space="preserve"> </w:t>
      </w:r>
      <w:r>
        <w:t xml:space="preserve">Aplicaciones de la dualidad</w:t>
      </w:r>
    </w:p>
    <w:p>
      <w:pPr>
        <w:pStyle w:val="Notaalopositor"/>
      </w:pPr>
      <w:r>
        <w:rPr>
          <w:b/>
          <w:bCs/>
        </w:rPr>
        <w:t xml:space="preserve">Nota al opositor. </w:t>
      </w:r>
      <w:r>
        <w:t xml:space="preserve">En el cante: integrabilidad (2,5 minutos);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(3,5), y medidas de bienestar (6). En el bienestar, los gráficos se dibujan por partes: el problema (gráfico 9), la variación del excedente (gráfico 10), la VC (gráfico 11) y la VE (gráfico 12), y al final el que los reúne (gráfico 13);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14). Las tablas de clasificación se cantan por categorías, sin leerlas. La recuperación de la utilidad a partir de la FIU (gráfico 8),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D), la aproximación de</w:t>
      </w:r>
      <w:r>
        <w:t xml:space="preserve"> </w:t>
      </w:r>
      <w:r>
        <w:rPr>
          <w:smallCaps/>
        </w:rPr>
        <w:t xml:space="preserve">Willig</w:t>
      </w:r>
      <w:r>
        <w:t xml:space="preserve"> </w:t>
      </w:r>
      <w:r>
        <w:t xml:space="preserve">(anexo E) y las cajas del IPC y del deflactor son de profundización.</w:t>
      </w:r>
    </w:p>
    <w:p>
      <w:pPr>
        <w:numPr>
          <w:ilvl w:val="0"/>
          <w:numId w:val="1077"/>
        </w:numPr>
      </w:pPr>
      <w:r>
        <w:t xml:space="preserve">Este bloque responde a la tercera y la cuarta preguntas. Su conclusión anticipada: conocidas las herramientas, la dualidad tiene una aplicación teórica, la</w:t>
      </w:r>
      <w:r>
        <w:t xml:space="preserve"> </w:t>
      </w:r>
      <w:r>
        <w:rPr>
          <w:i/>
          <w:iCs/>
        </w:rPr>
        <w:t xml:space="preserve">integrabilidad</w:t>
      </w:r>
      <w:r>
        <w:t xml:space="preserve">, que recorre el esquema de dualidad al revés, de la demanda a las preferencias (III.1), y dos prácticas: la ecuación de</w:t>
      </w:r>
      <w:r>
        <w:t xml:space="preserve"> </w:t>
      </w:r>
      <w:r>
        <w:rPr>
          <w:smallCaps/>
        </w:rPr>
        <w:t xml:space="preserve">Slutsky</w:t>
      </w:r>
      <w:r>
        <w:t xml:space="preserve">, que se demuestra en dos líneas y separa lo observable de lo que no lo es (III.2), y la medida de los cambios en el bienestar, que usa la función de gasto para expresar la utilidad en unidades monetarias (III.3).</w:t>
      </w:r>
    </w:p>
    <w:bookmarkStart w:id="118" w:name="X588f5c22433f4d1e4de6b22a1afee4f3ce1cc2d"/>
    <w:p>
      <w:pPr>
        <w:pStyle w:val="Heading2"/>
      </w:pPr>
      <w:r>
        <w:t xml:space="preserve">III.1.</w:t>
      </w:r>
      <w:r>
        <w:t xml:space="preserve"> </w:t>
      </w:r>
      <w:r>
        <w:t xml:space="preserve">El problema de la integrabilidad de las preferencias</w:t>
      </w:r>
    </w:p>
    <w:p>
      <w:pPr>
        <w:numPr>
          <w:ilvl w:val="0"/>
          <w:numId w:val="1078"/>
        </w:numPr>
      </w:pPr>
      <w:r>
        <w:rPr>
          <w:i/>
          <w:iCs/>
        </w:rPr>
        <w:t xml:space="preserve">Pregunta</w:t>
      </w:r>
      <w:r>
        <w:t xml:space="preserve">: la parte inobservable de la teoría son las preferencias. Dado un sistema de demandas marshallianas observado (por ejemplo, estimado como en el apartado II),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w:t>
      </w:r>
    </w:p>
    <w:p>
      <w:pPr>
        <w:numPr>
          <w:ilvl w:val="0"/>
          <w:numId w:val="1078"/>
        </w:numPr>
      </w:pPr>
      <w:r>
        <w:rPr>
          <w:b/>
          <w:bCs/>
        </w:rPr>
        <w:t xml:space="preserve">Teorema de integrabilidad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079"/>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079"/>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p>
    <w:p>
      <w:pPr>
        <w:pStyle w:val="BodyT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079"/>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I.2 y III.2).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3.H.1)</w:t>
      </w:r>
      <w:r>
        <w:t xml:space="preserve">.</w:t>
      </w:r>
      <w:r>
        <w:rPr>
          <w:rStyle w:val="FootnoteReference"/>
        </w:rPr>
        <w:footnoteReference w:id="112"/>
      </w:r>
    </w:p>
    <w:p>
      <w:pPr>
        <w:numPr>
          <w:ilvl w:val="0"/>
          <w:numId w:val="1078"/>
        </w:numPr>
      </w:pPr>
      <w:r>
        <w:rPr>
          <w:b/>
          <w:b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 Es una buena muestra de la potencia de la dualidad:</w:t>
      </w:r>
    </w:p>
    <w:p>
      <w:pPr>
        <w:numPr>
          <w:ilvl w:val="1"/>
          <w:numId w:val="1080"/>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(14)), la función de gasto desconocida debe cumplir el sistema de ecuaciones en derivadas parciales</w:t>
      </w:r>
      <w:r>
        <w:rPr>
          <w:rStyle w:val="FootnoteReference"/>
        </w:rPr>
        <w:footnoteReference w:id="113"/>
      </w:r>
    </w:p>
    <w:p>
      <w:pPr>
        <w:pStyle w:val="BodyT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(26)</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p>
      <w:pPr>
        <w:numPr>
          <w:ilvl w:val="1"/>
          <w:numId w:val="1080"/>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080"/>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(15)),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p>
    <w:p>
      <w:pPr>
        <w:pStyle w:val="BodyText"/>
      </w:pPr>
      <m:oMathPara>
        <m:oMathParaPr>
          <m:jc m:val="center"/>
        </m:oMathParaPr>
        <m:oMath>
          <m:r>
            <m:t>U</m:t>
          </m:r>
          <m:d>
            <m:dPr>
              <m:begChr m:val="("/>
              <m:sepChr m:val=""/>
              <m:endChr m:val=")"/>
              <m:grow/>
            </m:dPr>
            <m:e>
              <m:sSup>
                <m:e>
                  <m:acc>
                    <m:accPr>
                      <m:chr m:val="⃗"/>
                    </m:accPr>
                    <m:e>
                      <m:r>
                        <m:t>x</m:t>
                      </m:r>
                    </m:e>
                  </m:acc>
                </m:e>
                <m:sup>
                  <m:r>
                    <m:t>0</m:t>
                  </m:r>
                </m:sup>
              </m:sSup>
            </m:e>
          </m:d>
          <m:r>
            <m:rPr>
              <m:sty m:val="p"/>
            </m:rPr>
            <m:t>=</m:t>
          </m:r>
          <m:limLow>
            <m:e>
              <m:r>
                <m:rPr>
                  <m:sty m:val="p"/>
                </m:rPr>
                <m:t>min</m:t>
              </m:r>
            </m:e>
            <m:lim>
              <m:d>
                <m:dPr>
                  <m:begChr m:val="("/>
                  <m:sepChr m:val=""/>
                  <m:endChr m:val=")"/>
                  <m:grow/>
                </m:dPr>
                <m:e>
                  <m:acc>
                    <m:accPr>
                      <m:chr m:val="⃗"/>
                    </m:accPr>
                    <m:e>
                      <m:r>
                        <m:t>p</m:t>
                      </m:r>
                    </m:e>
                  </m:acc>
                  <m:r>
                    <m:rPr>
                      <m:sty m:val="p"/>
                    </m:rPr>
                    <m:t>,</m:t>
                  </m:r>
                  <m:bar>
                    <m:barPr>
                      <m:pos m:val="top"/>
                    </m:barPr>
                    <m:e>
                      <m:r>
                        <m:t>W</m:t>
                      </m:r>
                    </m:e>
                  </m:bar>
                </m:e>
              </m:d>
            </m:lim>
          </m:limLow>
          <m:r>
            <m:t> </m:t>
          </m:r>
          <m:r>
            <m:t>V</m:t>
          </m:r>
          <m:d>
            <m:dPr>
              <m:begChr m:val="("/>
              <m:sepChr m:val=""/>
              <m:endChr m:val=")"/>
              <m:grow/>
            </m:dPr>
            <m:e>
              <m:acc>
                <m:accPr>
                  <m:chr m:val="⃗"/>
                </m:accPr>
                <m:e>
                  <m:r>
                    <m:t>p</m:t>
                  </m:r>
                </m:e>
              </m:acc>
              <m:r>
                <m:rPr>
                  <m:sty m:val="p"/>
                </m:rPr>
                <m:t>,</m:t>
              </m:r>
              <m:bar>
                <m:barPr>
                  <m:pos m:val="top"/>
                </m:barPr>
                <m:e>
                  <m:r>
                    <m:t>W</m:t>
                  </m:r>
                </m:e>
              </m:bar>
            </m:e>
          </m:d>
          <m:r>
            <m:t> </m:t>
          </m:r>
          <m:r>
            <m:rPr>
              <m:nor/>
              <m:sty m:val="p"/>
            </m:rPr>
            <m:t>s.a.</m:t>
          </m:r>
          <m:r>
            <m:t> </m:t>
          </m:r>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8).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bookmarkStart w:id="117" w:name="fig: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 title="" id="115" name="Picture"/>
            <a:graphic>
              <a:graphicData uri="http://schemas.openxmlformats.org/drawingml/2006/picture">
                <pic:pic>
                  <pic:nvPicPr>
                    <pic:cNvPr descr="C:\Users\vgutierrez\Documents\src\victorgutierrezmarcos.github.io-revision\oposicion\temario\fuentes\3A09\graficos/recuperar-utilidad.png" id="116" name="Picture"/>
                    <pic:cNvPicPr>
                      <a:picLocks noChangeArrowheads="1" noChangeAspect="1"/>
                    </pic:cNvPicPr>
                  </pic:nvPicPr>
                  <pic:blipFill>
                    <a:blip r:embed="rId114"/>
                    <a:stretch>
                      <a:fillRect/>
                    </a:stretch>
                  </pic:blipFill>
                  <pic:spPr bwMode="auto">
                    <a:xfrm>
                      <a:off x="0" y="0"/>
                      <a:ext cx="3211103" cy="2538301"/>
                    </a:xfrm>
                    <a:prstGeom prst="rect">
                      <a:avLst/>
                    </a:prstGeom>
                    <a:noFill/>
                    <a:ln w="9525">
                      <a:noFill/>
                      <a:headEnd/>
                      <a:tailEnd/>
                    </a:ln>
                  </pic:spPr>
                </pic:pic>
              </a:graphicData>
            </a:graphic>
          </wp:inline>
        </w:drawing>
      </w:r>
    </w:p>
    <w:bookmarkEnd w:id="117"/>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3.H</w:t>
        </w:r>
      </w:hyperlink>
      <w:r>
        <w:t xml:space="preserve">)</w:t>
      </w:r>
      <w:r>
        <w:t xml:space="preserve">.</w:t>
      </w:r>
    </w:p>
    <w:p>
      <w:pPr>
        <w:numPr>
          <w:ilvl w:val="0"/>
          <w:numId w:val="1081"/>
        </w:numPr>
      </w:pPr>
      <w:r>
        <w:t xml:space="preserve">La integrabilidad tiene una versión sin derivadas: la de la</w:t>
      </w:r>
      <w:r>
        <w:t xml:space="preserve"> </w:t>
      </w:r>
      <w:r>
        <w:rPr>
          <w:b/>
          <w:bCs/>
        </w:rPr>
        <w:t xml:space="preserve">preferencia revelada</w:t>
      </w:r>
      <w:r>
        <w:t xml:space="preserve"> </w:t>
      </w:r>
      <w:r>
        <w:rPr>
          <w:rStyle w:val="Referenciaatema"/>
        </w:rPr>
        <w:t xml:space="preserve">[ver tema 3.A.8]</w:t>
      </w:r>
      <w:r>
        <w:t xml:space="preserve">. El axioma débil implica que</w:t>
      </w:r>
      <w:r>
        <w:t xml:space="preserve"> </w:t>
      </w:r>
      <m:oMath>
        <m:r>
          <m:t>S</m:t>
        </m:r>
      </m:oMath>
      <w:r>
        <w:t xml:space="preserve"> </w:t>
      </w:r>
      <w:r>
        <w:t xml:space="preserve">es semidefinida negativa, pero no que sea simétrica, y por eso con más de dos bienes no basta; el axioma fuerte de</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w:t>
      </w:r>
      <w:r>
        <w:t xml:space="preserve">sí garantiza que existan unas preferencias que racionalizan la demanda, y</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w:t>
      </w:r>
      <w:r>
        <w:t xml:space="preserve">relacionan los dos enfoques. Con un número finito de observaciones, el teorema de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da el contraste.</w:t>
      </w:r>
    </w:p>
    <w:p>
      <w:pPr>
        <w:numPr>
          <w:ilvl w:val="0"/>
          <w:numId w:val="1081"/>
        </w:numPr>
      </w:pPr>
      <w:r>
        <w:rPr>
          <w:b/>
          <w:bCs/>
        </w:rPr>
        <w:t xml:space="preserve">Relevancia</w:t>
      </w:r>
      <w:r>
        <w:t xml:space="preserve">:</w:t>
      </w:r>
    </w:p>
    <w:p>
      <w:pPr>
        <w:numPr>
          <w:ilvl w:val="1"/>
          <w:numId w:val="1082"/>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082"/>
        </w:numPr>
      </w:pPr>
      <w:r>
        <w:rPr>
          <w:i/>
          <w:iCs/>
        </w:rPr>
        <w:t xml:space="preserve">empírica</w:t>
      </w:r>
      <w:r>
        <w:t xml:space="preserve">: para saber si unas demandas estimadas son racionales basta contrastar esas propiedades (apartado II.2), sin necesidad de encontrar la función de utilidad, que puede ser muy difícil;</w:t>
      </w:r>
    </w:p>
    <w:p>
      <w:pPr>
        <w:numPr>
          <w:ilvl w:val="1"/>
          <w:numId w:val="1082"/>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Hausman1981Exact">
        <w:r>
          <w:rPr>
            <w:rStyle w:val="Hyperlink"/>
            <w:smallCaps/>
          </w:rPr>
          <w:t xml:space="preserve">Hausman</w:t>
        </w:r>
        <w:r>
          <w:rPr>
            <w:rStyle w:val="Hyperlink"/>
          </w:rPr>
          <w:t xml:space="preserve"> </w:t>
        </w:r>
        <w:r>
          <w:rPr>
            <w:rStyle w:val="Hyperlink"/>
          </w:rPr>
          <w:t xml:space="preserve">1981</w:t>
        </w:r>
      </w:hyperlink>
      <w:r>
        <w:t xml:space="preserve">)</w:t>
      </w:r>
      <w:r>
        <w:t xml:space="preserve"> </w:t>
      </w:r>
      <w:r>
        <w:t xml:space="preserve">(III.3).</w:t>
      </w:r>
    </w:p>
    <w:p>
      <w:pPr>
        <w:numPr>
          <w:ilvl w:val="0"/>
          <w:numId w:val="1081"/>
        </w:numPr>
      </w:pPr>
      <w:r>
        <w:rPr>
          <w:b/>
          <w:b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18"/>
    <w:bookmarkStart w:id="126" w:name="X51732a2724dbde895c7958178f8f73475ab9c69"/>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19" w:name="X9bcd8aeb02ee1e69ed0ec624e926d3665107bc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083"/>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(14))</w:t>
      </w:r>
    </w:p>
    <w:p>
      <w:pPr>
        <w:pStyle w:val="BodyT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83"/>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083"/>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w:t>
      </w:r>
    </w:p>
    <w:p>
      <w:pPr>
        <w:numPr>
          <w:ilvl w:val="1"/>
          <w:numId w:val="1084"/>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084"/>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084"/>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083"/>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(26), y contrastar sus propiedades.</w:t>
      </w:r>
    </w:p>
    <w:p>
      <w:pPr>
        <w:numPr>
          <w:ilvl w:val="0"/>
          <w:numId w:val="1083"/>
        </w:numPr>
      </w:pPr>
      <w:r>
        <w:rPr>
          <w:b/>
          <w:bCs/>
        </w:rPr>
        <w:t xml:space="preserve">Propiedades de la matriz de</w:t>
      </w:r>
      <w:r>
        <w:rPr>
          <w:b/>
          <w:bCs/>
        </w:rPr>
        <w:t xml:space="preserve"> </w:t>
      </w:r>
      <w:r>
        <w:rPr>
          <w:b/>
          <w:bCs/>
          <w:smallCaps/>
        </w:rPr>
        <w:t xml:space="preserve">Slutsky</w:t>
      </w:r>
      <w:r>
        <w:t xml:space="preserve"> </w:t>
      </w:r>
      <w:r>
        <w:t xml:space="preserve">(ecuación (13)):</w:t>
      </w:r>
    </w:p>
    <w:p>
      <w:pPr>
        <w:numPr>
          <w:ilvl w:val="1"/>
          <w:numId w:val="1085"/>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085"/>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085"/>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19"/>
    <w:bookmarkStart w:id="121" w:name="Xef20607d60c8523bacd85388fa3bf7a6d6587c7"/>
    <w:p>
      <w:pPr>
        <w:pStyle w:val="Heading4"/>
      </w:pPr>
      <w:r>
        <w:t xml:space="preserve">Clasificación de los bienes según el precio propio</w:t>
      </w:r>
    </w:p>
    <w:p>
      <w:pPr>
        <w:numPr>
          <w:ilvl w:val="0"/>
          <w:numId w:val="1086"/>
        </w:numPr>
      </w:pPr>
      <w:r>
        <w:t xml:space="preserve">Como</w:t>
      </w:r>
      <w:r>
        <w:t xml:space="preserve"> </w:t>
      </w:r>
      <m:oMath>
        <m:sSub>
          <m:e>
            <m:r>
              <m:t>S</m:t>
            </m:r>
          </m:e>
          <m:sub>
            <m:r>
              <m:t>i</m:t>
            </m:r>
            <m:r>
              <m:t>i</m:t>
            </m:r>
          </m:sub>
        </m:sSub>
        <m:r>
          <m:rPr>
            <m:sty m:val="p"/>
          </m:rPr>
          <m:t>≤</m:t>
        </m:r>
        <m:r>
          <m:t>0</m:t>
        </m:r>
      </m:oMath>
      <w:r>
        <w:t xml:space="preserve">, el signo del efecto total depende del efecto renta (tabla 4):</w:t>
      </w:r>
    </w:p>
    <w:p>
      <w:pPr>
        <w:numPr>
          <w:ilvl w:val="1"/>
          <w:numId w:val="1087"/>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087"/>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086"/>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 </w:t>
      </w:r>
      <w:r>
        <w:rPr>
          <w:rStyle w:val="Referenciaatema"/>
        </w:rPr>
        <w:t xml:space="preserve">[ver tema 3.A.8]</w:t>
      </w:r>
      <w:r>
        <w:t xml:space="preserve">.</w:t>
      </w:r>
    </w:p>
    <w:bookmarkStart w:id="120" w:name="tab:slutsky-propio"/>
    <w:p>
      <w:pPr>
        <w:pStyle w:val="TableCaption"/>
      </w:pP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Ecuación de Slutsky obtenida por dualidad: clasificación de los bienes ante una variación de su propio prec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20"/>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r>
        <w:rPr>
          <w:rStyle w:val="Referenciaatema"/>
        </w:rPr>
        <w:t xml:space="preserve">[ver tema 3.A.8]</w:t>
      </w:r>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End w:id="121"/>
    <w:bookmarkStart w:id="123" w:name="X169064eaf6163e9bb6e49759595c02c4aeec0a8"/>
    <w:p>
      <w:pPr>
        <w:pStyle w:val="Heading4"/>
      </w:pPr>
      <w:r>
        <w:t xml:space="preserve">Clasificación de los bienes según los precios cruzados</w:t>
      </w:r>
    </w:p>
    <w:p>
      <w:pPr>
        <w:numPr>
          <w:ilvl w:val="0"/>
          <w:numId w:val="1088"/>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088"/>
        </w:numPr>
      </w:pPr>
      <w:r>
        <w:t xml:space="preserve">No todas las combinaciones son posibles (tabla 5):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22" w:name="tab:slutsky-cruzado"/>
    <w:p>
      <w:pPr>
        <w:pStyle w:val="TableCaption"/>
      </w:pP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Ecuación de Slutsky obtenida por dualidad: relaciones netas y brutas ante una variación de un precio cruzado (i\neq j)"/>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c>
          <w:tcPr>
            <w:vAlign w:val="center"/>
          </w:tcPr>
          <w:p>
            <w:pPr>
              <w:pStyle w:val="Celdatceesalmon"/>
              <w:jc w:val="center"/>
            </w:pPr>
            <w:r>
              <w:rPr>
                <w:i/>
                <w:iCs/>
              </w:rPr>
              <w:t xml:space="preserve">Efecto sustitución cruzado</w:t>
            </w:r>
          </w:p>
        </w:tc>
        <w:tc>
          <w:tcPr>
            <w:vAlign w:val="center"/>
          </w:tcPr>
          <w:p>
            <w:pPr>
              <w:pStyle w:val="Celdatceesalmon"/>
              <w:jc w:val="center"/>
            </w:pPr>
            <w:r>
              <w:rPr>
                <w:i/>
                <w:iCs/>
              </w:rPr>
              <w:t xml:space="preserve">Efecto renta cruzado</w:t>
            </w:r>
          </w:p>
        </w:tc>
        <w:tc>
          <w:tcPr>
            <w:vAlign w:val="center"/>
          </w:tcPr>
          <w:p>
            <w:pPr>
              <w:pStyle w:val="Celdatceesalmon"/>
              <w:jc w:val="center"/>
            </w:pPr>
            <w:r>
              <w:rPr>
                <w:i/>
                <w:iCs/>
              </w:rPr>
              <w:t xml:space="preserve">Efecto total cruzado</w:t>
            </w:r>
          </w:p>
        </w:tc>
      </w:tr>
      <w:t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22"/>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3.G</w:t>
        </w:r>
      </w:hyperlink>
      <w:r>
        <w:rPr>
          <w:i/>
          <w:iCs/>
        </w:rPr>
        <w:t xml:space="preserve">)</w:t>
      </w:r>
      <w:r>
        <w:rPr>
          <w:i/>
          <w:iCs/>
        </w:rPr>
        <w:t xml:space="preserve">.</w:t>
      </w:r>
    </w:p>
    <w:bookmarkEnd w:id="123"/>
    <w:bookmarkStart w:id="125" w:name="X963b721e859de5ae05bc921dcdf3554cfc912bb"/>
    <w:p>
      <w:pPr>
        <w:pStyle w:val="Heading4"/>
      </w:pPr>
      <w:r>
        <w:t xml:space="preserve">Pendientes de las demandas marshalliana y hicksiana</w:t>
      </w:r>
    </w:p>
    <w:p>
      <w:pPr>
        <w:numPr>
          <w:ilvl w:val="0"/>
          <w:numId w:val="1089"/>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24"/>
      </w:r>
      <w:r>
        <w:t xml:space="preserve"> </w:t>
      </w:r>
      <w:r>
        <w:t xml:space="preserve">para un bien</w:t>
      </w:r>
      <w:r>
        <w:t xml:space="preserve"> </w:t>
      </w:r>
      <w:r>
        <w:rPr>
          <w:i/>
          <w:iCs/>
        </w:rPr>
        <w:t xml:space="preserve">normal</w:t>
      </w:r>
      <w:r>
        <w:t xml:space="preserve">, la marshalliana es más plana (más elástica) que la hicksiana; para uno</w:t>
      </w:r>
      <w:r>
        <w:t xml:space="preserve"> </w:t>
      </w:r>
      <w:r>
        <w:rPr>
          <w:i/>
          <w:iCs/>
        </w:rPr>
        <w:t xml:space="preserve">inferior</w:t>
      </w:r>
      <w:r>
        <w:t xml:space="preserve">, más inclinada, y sin efecto renta coinciden</w:t>
      </w:r>
      <w:r>
        <w:t xml:space="preserve"> </w:t>
      </w:r>
      <w:r>
        <w:rPr>
          <w:rStyle w:val="Referenciaatema"/>
        </w:rPr>
        <w:t xml:space="preserve">[ver tema 3.A.8]</w:t>
      </w:r>
      <w:r>
        <w:t xml:space="preserve">. 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numPr>
          <w:ilvl w:val="0"/>
          <w:numId w:val="1089"/>
        </w:numPr>
      </w:pPr>
      <w:r>
        <w:rPr>
          <w:b/>
          <w:bCs/>
        </w:rPr>
        <w:t xml:space="preserve">Recapitulación</w:t>
      </w:r>
      <w:r>
        <w:t xml:space="preserve">: la dualidad demuestra la ecuación de</w:t>
      </w:r>
      <w:r>
        <w:t xml:space="preserve"> </w:t>
      </w:r>
      <w:r>
        <w:rPr>
          <w:smallCaps/>
        </w:rPr>
        <w:t xml:space="preserve">Slutsky</w:t>
      </w:r>
      <w:r>
        <w:t xml:space="preserve">, convierte la matriz de sustitución en algo calculable con datos y explica por qué las relaciones netas son simétricas y las brutas no. Las mismas funciones, la hicksiana y la de gasto, sirven para medir en dinero el bienestar.</w:t>
      </w:r>
    </w:p>
    <w:bookmarkEnd w:id="125"/>
    <w:bookmarkEnd w:id="126"/>
    <w:bookmarkStart w:id="158" w:name="X16fbe024173e2295b4adbcb7a3554a81b5ae0e8"/>
    <w:p>
      <w:pPr>
        <w:pStyle w:val="Heading2"/>
      </w:pPr>
      <w:r>
        <w:t xml:space="preserve">III.3.</w:t>
      </w:r>
      <w:r>
        <w:t xml:space="preserve"> </w:t>
      </w:r>
      <w:r>
        <w:t xml:space="preserve">Análisis de bienestar del consumidor individual</w:t>
      </w:r>
    </w:p>
    <w:bookmarkStart w:id="131" w:name="idea-1"/>
    <w:p>
      <w:pPr>
        <w:pStyle w:val="Heading3"/>
      </w:pPr>
      <w:r>
        <w:t xml:space="preserve">III.3.1.</w:t>
      </w:r>
      <w:r>
        <w:t xml:space="preserve"> </w:t>
      </w:r>
      <w:r>
        <w:t xml:space="preserve">Idea</w:t>
      </w:r>
    </w:p>
    <w:p>
      <w:pPr>
        <w:numPr>
          <w:ilvl w:val="0"/>
          <w:numId w:val="1090"/>
        </w:numPr>
      </w:pPr>
      <w:r>
        <w:t xml:space="preserve">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r>
        <w:rPr>
          <w:rStyle w:val="Referenciaatema"/>
        </w:rPr>
        <w:t xml:space="preserve">[ver tema 3.A.16]</w:t>
      </w:r>
      <w:r>
        <w:t xml:space="preserve">, y mucho más limitado que el análisis en equilibrio general, que agrega a todos los agentes</w:t>
      </w:r>
      <w:r>
        <w:t xml:space="preserve"> </w:t>
      </w:r>
      <w:r>
        <w:rPr>
          <w:rStyle w:val="Referenciaatema"/>
        </w:rPr>
        <w:t xml:space="preserve">[ver tema 3.A.22]</w:t>
      </w:r>
      <w:r>
        <w:t xml:space="preserve"> </w:t>
      </w:r>
      <w:r>
        <w:rPr>
          <w:rStyle w:val="Referenciaatema"/>
        </w:rPr>
        <w:t xml:space="preserve">[ver tema 3.A.24]</w:t>
      </w:r>
      <w:r>
        <w:t xml:space="preserve">. La restricción tiene una ventaja: evita las comparaciones de bienestar entre personas, que la naturaleza ordinal de las preferencias complica.</w:t>
      </w:r>
    </w:p>
    <w:p>
      <w:pPr>
        <w:numPr>
          <w:ilvl w:val="0"/>
          <w:numId w:val="1090"/>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CiceronLegibus">
        <w:r>
          <w:rPr>
            <w:rStyle w:val="Hyperlink"/>
            <w:smallCaps/>
          </w:rPr>
          <w:t xml:space="preserve">Marco Tulio Cicerón</w:t>
        </w:r>
        <w:r>
          <w:rPr>
            <w:rStyle w:val="Hyperlink"/>
          </w:rPr>
          <w:t xml:space="preserve"> </w:t>
        </w:r>
        <w:r>
          <w:rPr>
            <w:rStyle w:val="Hyperlink"/>
          </w:rPr>
          <w:t xml:space="preserve">s. f.</w:t>
        </w:r>
      </w:hyperlink>
      <w:r>
        <w:t xml:space="preserve">, III, 8)</w:t>
      </w:r>
      <w:r>
        <w:t xml:space="preserve">.</w:t>
      </w:r>
    </w:p>
    <w:p>
      <w:pPr>
        <w:numPr>
          <w:ilvl w:val="0"/>
          <w:numId w:val="1090"/>
        </w:numPr>
      </w:pPr>
      <w:r>
        <w:t xml:space="preserve">El</w:t>
      </w:r>
      <w:r>
        <w:t xml:space="preserve"> </w:t>
      </w:r>
      <w:r>
        <w:rPr>
          <w:i/>
          <w:iCs/>
        </w:rPr>
        <w:t xml:space="preserve">problema</w:t>
      </w:r>
      <w:r>
        <w:t xml:space="preserve"> </w:t>
      </w:r>
      <w:r>
        <w:t xml:space="preserve">(gráfico 9):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090"/>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30" w:name="fig:bienestar-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 title="" id="128" name="Picture"/>
            <a:graphic>
              <a:graphicData uri="http://schemas.openxmlformats.org/drawingml/2006/picture">
                <pic:pic>
                  <pic:nvPicPr>
                    <pic:cNvPr descr="C:\Users\vgutierrez\Documents\src\victorgutierrezmarcos.github.io-revision\oposicion\temario\fuentes\3A09\graficos/bienestar-problema.png" id="129" name="Picture"/>
                    <pic:cNvPicPr>
                      <a:picLocks noChangeArrowheads="1" noChangeAspect="1"/>
                    </pic:cNvPicPr>
                  </pic:nvPicPr>
                  <pic:blipFill>
                    <a:blip r:embed="rId127"/>
                    <a:stretch>
                      <a:fillRect/>
                    </a:stretch>
                  </pic:blipFill>
                  <pic:spPr bwMode="auto">
                    <a:xfrm>
                      <a:off x="0" y="0"/>
                      <a:ext cx="2993971" cy="2256947"/>
                    </a:xfrm>
                    <a:prstGeom prst="rect">
                      <a:avLst/>
                    </a:prstGeom>
                    <a:noFill/>
                    <a:ln w="9525">
                      <a:noFill/>
                      <a:headEnd/>
                      <a:tailEnd/>
                    </a:ln>
                  </pic:spPr>
                </pic:pic>
              </a:graphicData>
            </a:graphic>
          </wp:inline>
        </w:drawing>
      </w:r>
    </w:p>
    <w:bookmarkEnd w:id="130"/>
    <w:p>
      <w:pPr>
        <w:pStyle w:val="Piedeimagen"/>
      </w:pPr>
      <w:r>
        <w:t xml:space="preserve">Fuente: elaboración propia.</w:t>
      </w:r>
    </w:p>
    <w:bookmarkEnd w:id="131"/>
    <w:bookmarkStart w:id="157" w:name="Xcfd008ef96d67a8320853afc75a4ad7c3b225d9"/>
    <w:p>
      <w:pPr>
        <w:pStyle w:val="Heading3"/>
      </w:pPr>
      <w:r>
        <w:t xml:space="preserve">III.3.2.</w:t>
      </w:r>
      <w:r>
        <w:t xml:space="preserve"> </w:t>
      </w:r>
      <w:r>
        <w:t xml:space="preserve">Medición de la variación del bienestar del consumidor individual</w:t>
      </w:r>
    </w:p>
    <w:bookmarkStart w:id="136" w:name="X1fc56320b6168869029d8c3fa807cc2401d7198"/>
    <w:p>
      <w:pPr>
        <w:pStyle w:val="Heading4"/>
      </w:pPr>
      <w:r>
        <w:t xml:space="preserve">La variación del excedente del consumidor</w:t>
      </w:r>
    </w:p>
    <w:p>
      <w:pPr>
        <w:numPr>
          <w:ilvl w:val="0"/>
          <w:numId w:val="1091"/>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w:t>
      </w:r>
    </w:p>
    <w:p>
      <w:pPr>
        <w:numPr>
          <w:ilvl w:val="1"/>
          <w:numId w:val="1092"/>
        </w:numPr>
      </w:pPr>
      <w:r>
        <w:t xml:space="preserve">El</w:t>
      </w:r>
      <w:r>
        <w:t xml:space="preserve"> </w:t>
      </w:r>
      <w:r>
        <w:rPr>
          <w:i/>
          <w:i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092"/>
        </w:numPr>
      </w:pPr>
      <w:r>
        <w:t xml:space="preserve">Su</w:t>
      </w:r>
      <w:r>
        <w:t xml:space="preserve"> </w:t>
      </w:r>
      <w:r>
        <w:rPr>
          <w:i/>
          <w:iCs/>
        </w:rPr>
        <w:t xml:space="preserve">variación</w:t>
      </w:r>
      <w:r>
        <w:t xml:space="preserve"> </w:t>
      </w:r>
      <w:r>
        <w:t xml:space="preserve">es el área a la izquierda de la demanda marshalliana entre el precio inicial y el final (gráfico 10):</w:t>
      </w:r>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35" w:name="fig:bienestar-delta-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 title="" id="133" name="Picture"/>
            <a:graphic>
              <a:graphicData uri="http://schemas.openxmlformats.org/drawingml/2006/picture">
                <pic:pic>
                  <pic:nvPicPr>
                    <pic:cNvPr descr="C:\Users\vgutierrez\Documents\src\victorgutierrezmarcos.github.io-revision\oposicion\temario\fuentes\3A09\graficos/bienestar-delta-ec.png" id="134" name="Picture"/>
                    <pic:cNvPicPr>
                      <a:picLocks noChangeArrowheads="1" noChangeAspect="1"/>
                    </pic:cNvPicPr>
                  </pic:nvPicPr>
                  <pic:blipFill>
                    <a:blip r:embed="rId132"/>
                    <a:stretch>
                      <a:fillRect/>
                    </a:stretch>
                  </pic:blipFill>
                  <pic:spPr bwMode="auto">
                    <a:xfrm>
                      <a:off x="0" y="0"/>
                      <a:ext cx="2984500" cy="1670809"/>
                    </a:xfrm>
                    <a:prstGeom prst="rect">
                      <a:avLst/>
                    </a:prstGeom>
                    <a:noFill/>
                    <a:ln w="9525">
                      <a:noFill/>
                      <a:headEnd/>
                      <a:tailEnd/>
                    </a:ln>
                  </pic:spPr>
                </pic:pic>
              </a:graphicData>
            </a:graphic>
          </wp:inline>
        </w:drawing>
      </w:r>
    </w:p>
    <w:bookmarkEnd w:id="13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093"/>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094"/>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r>
        <w:rPr>
          <w:rStyle w:val="Referenciaatema"/>
        </w:rPr>
        <w:t xml:space="preserve">[ver tema 3.A.16]</w:t>
      </w:r>
      <w:r>
        <w:t xml:space="preserve">.</w:t>
      </w:r>
    </w:p>
    <w:p>
      <w:pPr>
        <w:numPr>
          <w:ilvl w:val="1"/>
          <w:numId w:val="1094"/>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093"/>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36"/>
    <w:bookmarkStart w:id="150" w:name="Xaf96a4649bd8cbbc83c9509d373be26c7129868"/>
    <w:p>
      <w:pPr>
        <w:pStyle w:val="Heading4"/>
      </w:pPr>
      <w:r>
        <w:t xml:space="preserve">Análisis mediante variaciones: información completa</w:t>
      </w:r>
    </w:p>
    <w:p>
      <w:pPr>
        <w:numPr>
          <w:ilvl w:val="0"/>
          <w:numId w:val="1095"/>
        </w:numPr>
      </w:pPr>
      <w:r>
        <w:t xml:space="preserve">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w:t>
      </w:r>
      <w:hyperlink w:anchor="ref-Samuelson1974Complementarity">
        <w:r>
          <w:rPr>
            <w:rStyle w:val="Hyperlink"/>
            <w:smallCaps/>
          </w:rPr>
          <w:t xml:space="preserve">Samuelson</w:t>
        </w:r>
        <w:r>
          <w:rPr>
            <w:rStyle w:val="Hyperlink"/>
          </w:rPr>
          <w:t xml:space="preserve"> </w:t>
        </w:r>
        <w:r>
          <w:rPr>
            <w:rStyle w:val="Hyperlink"/>
          </w:rPr>
          <w:t xml:space="preserve">1974</w:t>
        </w:r>
      </w:hyperlink>
      <w:r>
        <w:t xml:space="preserve">;</w:t>
      </w:r>
      <w:r>
        <w:t xml:space="preserve"> </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p>
    <w:p>
      <w:pPr>
        <w:pStyle w:val="BodyT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095"/>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37"/>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096"/>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p>
    <w:p>
      <w:pPr>
        <w:pStyle w:val="BodyT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11),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41" w:name="fig:bienestar-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 title="" id="139" name="Picture"/>
            <a:graphic>
              <a:graphicData uri="http://schemas.openxmlformats.org/drawingml/2006/picture">
                <pic:pic>
                  <pic:nvPicPr>
                    <pic:cNvPr descr="C:\Users\vgutierrez\Documents\src\victorgutierrezmarcos.github.io-revision\oposicion\temario\fuentes\3A09\graficos/bienestar-vc.png" id="140" name="Picture"/>
                    <pic:cNvPicPr>
                      <a:picLocks noChangeArrowheads="1" noChangeAspect="1"/>
                    </pic:cNvPicPr>
                  </pic:nvPicPr>
                  <pic:blipFill>
                    <a:blip r:embed="rId138"/>
                    <a:stretch>
                      <a:fillRect/>
                    </a:stretch>
                  </pic:blipFill>
                  <pic:spPr bwMode="auto">
                    <a:xfrm>
                      <a:off x="0" y="0"/>
                      <a:ext cx="3282950" cy="3862134"/>
                    </a:xfrm>
                    <a:prstGeom prst="rect">
                      <a:avLst/>
                    </a:prstGeom>
                    <a:noFill/>
                    <a:ln w="9525">
                      <a:noFill/>
                      <a:headEnd/>
                      <a:tailEnd/>
                    </a:ln>
                  </pic:spPr>
                </pic:pic>
              </a:graphicData>
            </a:graphic>
          </wp:inline>
        </w:drawing>
      </w:r>
    </w:p>
    <w:bookmarkEnd w:id="14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097"/>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r>
        <w:rPr>
          <w:rStyle w:val="Referenciaatema"/>
        </w:rPr>
        <w:t xml:space="preserve">[ver tema 4.B.6]</w:t>
      </w:r>
      <w:r>
        <w:t xml:space="preserve">.</w:t>
      </w:r>
    </w:p>
    <w:p>
      <w:pPr>
        <w:pStyle w:val="BodyT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12),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45" w:name="fig:bienestar-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 title="" id="143" name="Picture"/>
            <a:graphic>
              <a:graphicData uri="http://schemas.openxmlformats.org/drawingml/2006/picture">
                <pic:pic>
                  <pic:nvPicPr>
                    <pic:cNvPr descr="C:\Users\vgutierrez\Documents\src\victorgutierrezmarcos.github.io-revision\oposicion\temario\fuentes\3A09\graficos/bienestar-ve.png" id="144" name="Picture"/>
                    <pic:cNvPicPr>
                      <a:picLocks noChangeArrowheads="1" noChangeAspect="1"/>
                    </pic:cNvPicPr>
                  </pic:nvPicPr>
                  <pic:blipFill>
                    <a:blip r:embed="rId142"/>
                    <a:stretch>
                      <a:fillRect/>
                    </a:stretch>
                  </pic:blipFill>
                  <pic:spPr bwMode="auto">
                    <a:xfrm>
                      <a:off x="0" y="0"/>
                      <a:ext cx="3282950" cy="3865321"/>
                    </a:xfrm>
                    <a:prstGeom prst="rect">
                      <a:avLst/>
                    </a:prstGeom>
                    <a:noFill/>
                    <a:ln w="9525">
                      <a:noFill/>
                      <a:headEnd/>
                      <a:tailEnd/>
                    </a:ln>
                  </pic:spPr>
                </pic:pic>
              </a:graphicData>
            </a:graphic>
          </wp:inline>
        </w:drawing>
      </w:r>
    </w:p>
    <w:bookmarkEnd w:id="14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098"/>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098"/>
        </w:numPr>
      </w:pPr>
      <w:r>
        <w:rPr>
          <w:b/>
          <w:bCs/>
        </w:rPr>
        <w:t xml:space="preserve">Las tres medidas juntas</w:t>
      </w:r>
      <w:r>
        <w:t xml:space="preserve"> </w:t>
      </w:r>
      <w:r>
        <w:t xml:space="preserve">(gráfico 13): para un bien normal, la hicksiana inicial es más inclinada que la marshalliana y la final queda a su derecha, de modo que, ante una bajada del precio,</w:t>
      </w:r>
    </w:p>
    <w:p>
      <w:pPr>
        <w:pStyle w:val="BodyT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D.</w:t>
      </w:r>
    </w:p>
    <w:bookmarkStart w:id="149" w:name="fig:bienestar-vc-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 title="" id="147" name="Picture"/>
            <a:graphic>
              <a:graphicData uri="http://schemas.openxmlformats.org/drawingml/2006/picture">
                <pic:pic>
                  <pic:nvPicPr>
                    <pic:cNvPr descr="C:\Users\vgutierrez\Documents\src\victorgutierrezmarcos.github.io-revision\oposicion\temario\fuentes\3A09\graficos/bienestar-vc-ve.png" id="148" name="Picture"/>
                    <pic:cNvPicPr>
                      <a:picLocks noChangeArrowheads="1" noChangeAspect="1"/>
                    </pic:cNvPicPr>
                  </pic:nvPicPr>
                  <pic:blipFill>
                    <a:blip r:embed="rId146"/>
                    <a:stretch>
                      <a:fillRect/>
                    </a:stretch>
                  </pic:blipFill>
                  <pic:spPr bwMode="auto">
                    <a:xfrm>
                      <a:off x="0" y="0"/>
                      <a:ext cx="3700780" cy="4191280"/>
                    </a:xfrm>
                    <a:prstGeom prst="rect">
                      <a:avLst/>
                    </a:prstGeom>
                    <a:noFill/>
                    <a:ln w="9525">
                      <a:noFill/>
                      <a:headEnd/>
                      <a:tailEnd/>
                    </a:ln>
                  </pic:spPr>
                </pic:pic>
              </a:graphicData>
            </a:graphic>
          </wp:inline>
        </w:drawing>
      </w:r>
    </w:p>
    <w:bookmarkEnd w:id="14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099"/>
        </w:numPr>
      </w:pPr>
      <w:r>
        <w:rPr>
          <w:b/>
          <w:bCs/>
        </w:rPr>
        <w:t xml:space="preserve">Aproximación de</w:t>
      </w:r>
      <w:r>
        <w:rPr>
          <w:b/>
          <w:bCs/>
        </w:rPr>
        <w:t xml:space="preserve"> </w:t>
      </w:r>
      <w:r>
        <w:rPr>
          <w:b/>
          <w:bCs/>
          <w:smallCaps/>
        </w:rPr>
        <w:t xml:space="preserve">Willig</w:t>
      </w:r>
      <w:r>
        <w:t xml:space="preserve"> </w:t>
      </w:r>
      <w:r>
        <w:t xml:space="preserve">(</w:t>
      </w:r>
      <w:hyperlink w:anchor="ref-Willig1976Surplus">
        <w:r>
          <w:rPr>
            <w:rStyle w:val="Hyperlink"/>
            <w:smallCaps/>
          </w:rPr>
          <w:t xml:space="preserve">Willig</w:t>
        </w:r>
        <w:r>
          <w:rPr>
            <w:rStyle w:val="Hyperlink"/>
          </w:rPr>
          <w:t xml:space="preserve"> </w:t>
        </w:r>
        <w:r>
          <w:rPr>
            <w:rStyle w:val="Hyperlink"/>
          </w:rPr>
          <w:t xml:space="preserve">1976</w:t>
        </w:r>
      </w:hyperlink>
      <w:r>
        <w:t xml:space="preserve">)</w:t>
      </w:r>
      <w:r>
        <w:t xml:space="preserve">. Aproximando el efecto renta a lo largo del cambio,</w:t>
      </w:r>
    </w:p>
    <w:p>
      <w:pPr>
        <w:pStyle w:val="BodyT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r>
        <w:rPr>
          <w:rStyle w:val="Referenciaatema"/>
        </w:rPr>
        <w:t xml:space="preserve">[ver tema 3.A.16]</w:t>
      </w:r>
      <w:r>
        <w:t xml:space="preserve"> </w:t>
      </w:r>
      <w:r>
        <w:t xml:space="preserve">y en el análisis coste-beneficio.</w:t>
      </w:r>
    </w:p>
    <w:p>
      <w:pPr>
        <w:numPr>
          <w:ilvl w:val="0"/>
          <w:numId w:val="1099"/>
        </w:numPr>
      </w:pPr>
      <w:r>
        <w:rPr>
          <w:smallCaps/>
        </w:rPr>
        <w:t xml:space="preserve">Hausman</w:t>
      </w:r>
      <w:r>
        <w:t xml:space="preserve"> </w:t>
      </w:r>
      <w:r>
        <w:t xml:space="preserve">(</w:t>
      </w:r>
      <w:hyperlink w:anchor="ref-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(27), y calcular la VC y la VE sin aproximaciones: una aplicación directa de la integrabilidad.</w:t>
      </w:r>
    </w:p>
    <w:p>
      <w:pPr>
        <w:numPr>
          <w:ilvl w:val="0"/>
          <w:numId w:val="1099"/>
        </w:numPr>
      </w:pPr>
      <w:r>
        <w:t xml:space="preserve">¿</w:t>
      </w:r>
      <w:r>
        <w:rPr>
          <w:b/>
          <w:bCs/>
        </w:rPr>
        <w:t xml:space="preserve">Cuál usar</w:t>
      </w:r>
      <w:r>
        <w:t xml:space="preserve">? Depende de la pregunta:</w:t>
      </w:r>
    </w:p>
    <w:p>
      <w:pPr>
        <w:numPr>
          <w:ilvl w:val="1"/>
          <w:numId w:val="1100"/>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w:t>
      </w:r>
    </w:p>
    <w:p>
      <w:pPr>
        <w:numPr>
          <w:ilvl w:val="1"/>
          <w:numId w:val="1100"/>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r>
        <w:rPr>
          <w:rStyle w:val="Referenciaatema"/>
        </w:rPr>
        <w:t xml:space="preserve">[ver tema 3.A.22]</w:t>
      </w:r>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Con la VC se llega a la misma conclusión cualitativa con otra cifra. Es una aplicación directa de la función de gasto</w:t>
      </w:r>
      <w:r>
        <w:t xml:space="preserve"> </w:t>
      </w:r>
      <w:r>
        <w:rPr>
          <w:rStyle w:val="Referenciaatema"/>
        </w:rPr>
        <w:t xml:space="preserve">[ver tema 4.B.9]</w:t>
      </w:r>
      <w:r>
        <w:t xml:space="preserve">.</w:t>
      </w:r>
    </w:p>
    <w:bookmarkEnd w:id="150"/>
    <w:bookmarkStart w:id="151" w:name="Xc06de061893a483a0907c38a7edce71dc3931c0"/>
    <w:p>
      <w:pPr>
        <w:pStyle w:val="Heading4"/>
      </w:pPr>
      <w:r>
        <w:t xml:space="preserve">Análisis mediante variaciones: información incompleta</w:t>
      </w:r>
    </w:p>
    <w:p>
      <w:pPr>
        <w:numPr>
          <w:ilvl w:val="0"/>
          <w:numId w:val="1101"/>
        </w:numPr>
      </w:pPr>
      <w:r>
        <w:t xml:space="preserve">Si no se conoce la función de gasto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p>
    <w:p>
      <w:pPr>
        <w:pStyle w:val="BodyT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i/>
          <w:iCs/>
        </w:rPr>
        <w:t xml:space="preserve">variación de</w:t>
      </w:r>
      <w:r>
        <w:rPr>
          <w:i/>
          <w:iCs/>
        </w:rPr>
        <w:t xml:space="preserve"> </w:t>
      </w:r>
      <w:r>
        <w:rPr>
          <w:i/>
          <w:iCs/>
          <w:smallCaps/>
        </w:rPr>
        <w:t xml:space="preserve">Laspeyres</w:t>
      </w:r>
      <w:r>
        <w:t xml:space="preserve"> </w:t>
      </w:r>
      <w:r>
        <w:t xml:space="preserve">(</w:t>
      </w:r>
      <m:oMath>
        <m:r>
          <m:t>L</m:t>
        </m:r>
      </m:oMath>
      <w:r>
        <w:t xml:space="preserve">) valora el cambio de precios con la cesta inicial; la</w:t>
      </w:r>
      <w:r>
        <w:t xml:space="preserve"> </w:t>
      </w:r>
      <w:r>
        <w:rPr>
          <w:i/>
          <w:iCs/>
        </w:rPr>
        <w:t xml:space="preserve">de</w:t>
      </w:r>
      <w:r>
        <w:rPr>
          <w:i/>
          <w:iCs/>
        </w:rPr>
        <w:t xml:space="preserve"> </w:t>
      </w:r>
      <w:r>
        <w:rPr>
          <w:i/>
          <w:i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13, últimas capas).</w:t>
      </w:r>
    </w:p>
    <w:p>
      <w:pPr>
        <w:numPr>
          <w:ilvl w:val="0"/>
          <w:numId w:val="1101"/>
        </w:numPr>
      </w:pPr>
      <w:r>
        <w:t xml:space="preserve">Acotan las medidas exactas, para cualquier número de precios y tipo de bien:</w:t>
      </w:r>
    </w:p>
    <w:p>
      <w:pPr>
        <w:pStyle w:val="BodyT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7 del anexo D, con los demás casos).</w:t>
      </w:r>
    </w:p>
    <w:bookmarkEnd w:id="151"/>
    <w:bookmarkStart w:id="156" w:name="X10fc17a453d4026ed618adb8fb9b668b866e628"/>
    <w:p>
      <w:pPr>
        <w:pStyle w:val="Heading4"/>
      </w:pPr>
      <w:r>
        <w:t xml:space="preserve">El uso de índices de coste de la vida y su comparación con los índices de precios</w:t>
      </w:r>
    </w:p>
    <w:p>
      <w:pPr>
        <w:numPr>
          <w:ilvl w:val="0"/>
          <w:numId w:val="1102"/>
        </w:numPr>
      </w:pPr>
      <w:r>
        <w:t xml:space="preserve">Otra forma de medir los cambios de bienestar son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Si el índice sobrestima el coste de la vida, la indexación sobrecompensa.</w:t>
      </w:r>
    </w:p>
    <w:p>
      <w:pPr>
        <w:numPr>
          <w:ilvl w:val="0"/>
          <w:numId w:val="1102"/>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pStyle w:val="BodyT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02"/>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Laspeyres1871Berechnung">
        <w:r>
          <w:rPr>
            <w:rStyle w:val="Hyperlink"/>
            <w:smallCaps/>
          </w:rPr>
          <w:t xml:space="preserve">Laspeyres</w:t>
        </w:r>
        <w:r>
          <w:rPr>
            <w:rStyle w:val="Hyperlink"/>
          </w:rPr>
          <w:t xml:space="preserve"> </w:t>
        </w:r>
        <w:r>
          <w:rPr>
            <w:rStyle w:val="Hyperlink"/>
          </w:rPr>
          <w:t xml:space="preserve">1871</w:t>
        </w:r>
      </w:hyperlink>
      <w:r>
        <w:t xml:space="preserve">;</w:t>
      </w:r>
      <w:r>
        <w:t xml:space="preserve"> </w:t>
      </w:r>
      <w:hyperlink w:anchor="ref-Paasche1874Preisentwicklung">
        <w:r>
          <w:rPr>
            <w:rStyle w:val="Hyperlink"/>
            <w:smallCaps/>
          </w:rPr>
          <w:t xml:space="preserve">Paasche</w:t>
        </w:r>
        <w:r>
          <w:rPr>
            <w:rStyle w:val="Hyperlink"/>
          </w:rPr>
          <w:t xml:space="preserve"> </w:t>
        </w:r>
        <w:r>
          <w:rPr>
            <w:rStyle w:val="Hyperlink"/>
          </w:rPr>
          <w:t xml:space="preserve">1874</w:t>
        </w:r>
      </w:hyperlink>
      <w:r>
        <w:t xml:space="preserve">)</w:t>
      </w:r>
      <w:r>
        <w:t xml:space="preserve">:</w:t>
      </w:r>
    </w:p>
    <w:p>
      <w:pPr>
        <w:pStyle w:val="BodyT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03"/>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 En el gráfico 14,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03"/>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03"/>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p>
    <w:bookmarkStart w:id="155" w:name="fig:indice-konus-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 title="" id="153" name="Picture"/>
            <a:graphic>
              <a:graphicData uri="http://schemas.openxmlformats.org/drawingml/2006/picture">
                <pic:pic>
                  <pic:nvPicPr>
                    <pic:cNvPr descr="C:\Users\vgutierrez\Documents\src\victorgutierrezmarcos.github.io-revision\oposicion\temario\fuentes\3A09\graficos/indice-konus-laspeyres.png" id="154" name="Picture"/>
                    <pic:cNvPicPr>
                      <a:picLocks noChangeArrowheads="1" noChangeAspect="1"/>
                    </pic:cNvPicPr>
                  </pic:nvPicPr>
                  <pic:blipFill>
                    <a:blip r:embed="rId152"/>
                    <a:stretch>
                      <a:fillRect/>
                    </a:stretch>
                  </pic:blipFill>
                  <pic:spPr bwMode="auto">
                    <a:xfrm>
                      <a:off x="0" y="0"/>
                      <a:ext cx="3581400" cy="1982175"/>
                    </a:xfrm>
                    <a:prstGeom prst="rect">
                      <a:avLst/>
                    </a:prstGeom>
                    <a:noFill/>
                    <a:ln w="9525">
                      <a:noFill/>
                      <a:headEnd/>
                      <a:tailEnd/>
                    </a:ln>
                  </pic:spPr>
                </pic:pic>
              </a:graphicData>
            </a:graphic>
          </wp:inline>
        </w:drawing>
      </w:r>
    </w:p>
    <w:bookmarkEnd w:id="15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4"/>
        </w:numPr>
      </w:pPr>
      <w:r>
        <w:rPr>
          <w:b/>
          <w:bCs/>
        </w:rPr>
        <w:t xml:space="preserve">Índices superlativos</w:t>
      </w:r>
      <w:r>
        <w:t xml:space="preserve">.</w:t>
      </w:r>
      <w:r>
        <w:t xml:space="preserve"> </w:t>
      </w:r>
      <w:r>
        <w:rPr>
          <w:smallCaps/>
        </w:rPr>
        <w:t xml:space="preserve">Diewert</w:t>
      </w:r>
      <w:r>
        <w:t xml:space="preserve"> </w:t>
      </w:r>
      <w:r>
        <w:t xml:space="preserve">(</w:t>
      </w:r>
      <w:hyperlink w:anchor="ref-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II y la medición de los precios.</w:t>
      </w:r>
    </w:p>
    <w:p>
      <w:pPr>
        <w:numPr>
          <w:ilvl w:val="0"/>
          <w:numId w:val="1104"/>
        </w:numPr>
      </w:pPr>
      <w:r>
        <w:rPr>
          <w:b/>
          <w:bCs/>
        </w:rPr>
        <w:t xml:space="preserve">Magnitud del sesgo de sustitución</w:t>
      </w:r>
      <w:r>
        <w:t xml:space="preserve">:</w:t>
      </w:r>
    </w:p>
    <w:p>
      <w:pPr>
        <w:numPr>
          <w:ilvl w:val="1"/>
          <w:numId w:val="1105"/>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Gordon2006Boskin">
        <w:r>
          <w:rPr>
            <w:rStyle w:val="Hyperlink"/>
            <w:smallCaps/>
          </w:rPr>
          <w:t xml:space="preserve">Gordon</w:t>
        </w:r>
        <w:r>
          <w:rPr>
            <w:rStyle w:val="Hyperlink"/>
          </w:rPr>
          <w:t xml:space="preserve"> </w:t>
        </w:r>
        <w:r>
          <w:rPr>
            <w:rStyle w:val="Hyperlink"/>
          </w:rPr>
          <w:t xml:space="preserve">2006</w:t>
        </w:r>
      </w:hyperlink>
      <w:r>
        <w:t xml:space="preserve">)</w:t>
      </w:r>
      <w:r>
        <w:t xml:space="preserve">;</w:t>
      </w:r>
    </w:p>
    <w:p>
      <w:pPr>
        <w:numPr>
          <w:ilvl w:val="1"/>
          <w:numId w:val="1105"/>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05"/>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BLS2026ChainedCPI">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w:t>
      </w:r>
      <w:hyperlink w:anchor="ref-Klick2021Weight">
        <w:r>
          <w:rPr>
            <w:rStyle w:val="Hyperlink"/>
            <w:smallCaps/>
          </w:rPr>
          <w:t xml:space="preserve">Klick</w:t>
        </w:r>
        <w:r>
          <w:rPr>
            <w:rStyle w:val="Hyperlink"/>
          </w:rPr>
          <w:t xml:space="preserve"> </w:t>
        </w:r>
        <w:r>
          <w:rPr>
            <w:rStyle w:val="Hyperlink"/>
          </w:rPr>
          <w:t xml:space="preserve">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INE2026IPCMetodologia">
        <w:r>
          <w:rPr>
            <w:rStyle w:val="Hyperlink"/>
            <w:smallCaps/>
          </w:rPr>
          <w:t xml:space="preserve">Instituto Nacional de Estadística</w:t>
        </w:r>
        <w:r>
          <w:rPr>
            <w:rStyle w:val="Hyperlink"/>
          </w:rPr>
          <w:t xml:space="preserve"> </w:t>
        </w:r>
        <w:r>
          <w:rPr>
            <w:rStyle w:val="Hyperlink"/>
          </w:rPr>
          <w:t xml:space="preserve">2026b, 5, 8</w:t>
        </w:r>
      </w:hyperlink>
      <w:r>
        <w:t xml:space="preserve"> </w:t>
      </w:r>
      <w:r>
        <w:t xml:space="preserve">y 16)</w:t>
      </w:r>
      <w:r>
        <w:t xml:space="preserve">; su cesta tiene 487 artículos repartidos en 196 subclases y 13 grupos</w:t>
      </w:r>
      <w:r>
        <w:t xml:space="preserve"> </w:t>
      </w:r>
      <w:r>
        <w:t xml:space="preserve">(</w:t>
      </w:r>
      <w:hyperlink w:anchor="ref-INE2026IPCPonderaciones">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 </w:t>
      </w:r>
      <w:hyperlink w:anchor="ref-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r>
        <w:rPr>
          <w:rStyle w:val="Referenciaatema"/>
        </w:rPr>
        <w:t xml:space="preserve">[ver tema 4.A.1]</w:t>
      </w:r>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UE2013SEC2010">
        <w:r>
          <w:rPr>
            <w:rStyle w:val="Hyperlink"/>
            <w:smallCaps/>
          </w:rPr>
          <w:t xml:space="preserve">Unión Europea</w:t>
        </w:r>
        <w:r>
          <w:rPr>
            <w:rStyle w:val="Hyperlink"/>
          </w:rPr>
          <w:t xml:space="preserve"> </w:t>
        </w:r>
        <w:r>
          <w:rPr>
            <w:rStyle w:val="Hyperlink"/>
          </w:rPr>
          <w:t xml:space="preserve">2013</w:t>
        </w:r>
      </w:hyperlink>
      <w:r>
        <w:t xml:space="preserve">)</w:t>
      </w:r>
      <w:r>
        <w:t xml:space="preserve">. En 2025 creció un 3,0 %</w:t>
      </w:r>
      <w:r>
        <w:t xml:space="preserve"> </w:t>
      </w:r>
      <w:r>
        <w:t xml:space="preserve">(</w:t>
      </w:r>
      <w:hyperlink w:anchor="ref-INE2026CNA2025">
        <w:r>
          <w:rPr>
            <w:rStyle w:val="Hyperlink"/>
            <w:smallCaps/>
          </w:rPr>
          <w:t xml:space="preserve">Instituto Nacional de Estadística</w:t>
        </w:r>
        <w:r>
          <w:rPr>
            <w:rStyle w:val="Hyperlink"/>
          </w:rPr>
          <w:t xml:space="preserve"> </w:t>
        </w:r>
        <w:r>
          <w:rPr>
            <w:rStyle w:val="Hyperlink"/>
          </w:rPr>
          <w:t xml:space="preserve">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r>
        <w:rPr>
          <w:rStyle w:val="Referenciaatema"/>
        </w:rPr>
        <w:t xml:space="preserve">[ver tema 3.A.30]</w:t>
      </w:r>
      <w:r>
        <w:t xml:space="preserve"> </w:t>
      </w:r>
      <w:r>
        <w:rPr>
          <w:rStyle w:val="Referenciaatema"/>
        </w:rPr>
        <w:t xml:space="preserve">[ver tema 4.A.1]</w:t>
      </w:r>
      <w:r>
        <w:t xml:space="preserve">.</w:t>
      </w:r>
    </w:p>
    <w:p>
      <w:pPr>
        <w:pStyle w:val="Ideaclave"/>
      </w:pPr>
      <w:r>
        <w:t xml:space="preserve">La función de gasto traduce la utilidad a euros. La VC y la VE miden exactamente el cambio de bienestar; el excedente marshalliano las aproxima tanto mejor cuanto menor es el efecto renta (</w:t>
      </w:r>
      <w:r>
        <w:rPr>
          <w:smallCaps/>
        </w:rPr>
        <w:t xml:space="preserve">Willig</w:t>
      </w:r>
      <w:r>
        <w:t xml:space="preserve">), 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06"/>
        </w:numPr>
      </w:pPr>
      <w:r>
        <w:rPr>
          <w:b/>
          <w:b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156"/>
    <w:bookmarkEnd w:id="157"/>
    <w:bookmarkEnd w:id="158"/>
    <w:bookmarkEnd w:id="159"/>
    <w:bookmarkStart w:id="160" w:name="conclusión"/>
    <w:p>
      <w:pPr>
        <w:pStyle w:val="Heading1"/>
      </w:pPr>
      <w:r>
        <w:t xml:space="preserve">Conclusión</w:t>
      </w:r>
    </w:p>
    <w:p>
      <w:pPr>
        <w:numPr>
          <w:ilvl w:val="0"/>
          <w:numId w:val="1107"/>
        </w:numPr>
      </w:pPr>
      <w:r>
        <w:rPr>
          <w:b/>
          <w:bCs/>
          <w:i/>
          <w:iCs/>
        </w:rPr>
        <w:t xml:space="preserve">Recapitulación</w:t>
      </w:r>
      <w:r>
        <w:t xml:space="preserve">:</w:t>
      </w:r>
    </w:p>
    <w:p>
      <w:pPr>
        <w:numPr>
          <w:ilvl w:val="1"/>
          <w:numId w:val="1108"/>
        </w:numPr>
      </w:pPr>
      <w:r>
        <w:t xml:space="preserve">Al dar la vuelta al problema del consumidor hemos obtenido la demanda hicksiana y la función de gasto, y unas relaciones de dualidad que permiten pasar de cualquiera de las cuatro funciones a las demás (I).</w:t>
      </w:r>
    </w:p>
    <w:p>
      <w:pPr>
        <w:numPr>
          <w:ilvl w:val="1"/>
          <w:numId w:val="1108"/>
        </w:numPr>
      </w:pPr>
      <w:r>
        <w:t xml:space="preserve">Esas relaciones hacen practicable la estimación de sistemas completos de demanda: basta especificar una función de gasto, como la PIGLOG del AIDS, y derivar. Los contrastes de homogeneidad y simetría llevaron la disciplina hacia los microdatos (II).</w:t>
      </w:r>
    </w:p>
    <w:p>
      <w:pPr>
        <w:numPr>
          <w:ilvl w:val="1"/>
          <w:numId w:val="1108"/>
        </w:numPr>
      </w:pPr>
      <w:r>
        <w:t xml:space="preserve">Y tienen tres aplicaciones: 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la demostración de la ecuación de</w:t>
      </w:r>
      <w:r>
        <w:t xml:space="preserve"> </w:t>
      </w:r>
      <w:r>
        <w:rPr>
          <w:smallCaps/>
        </w:rPr>
        <w:t xml:space="preserve">Slutsky</w:t>
      </w:r>
      <w:r>
        <w:t xml:space="preserve">, con la distinción entre relaciones netas y brutas, 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(III).</w:t>
      </w:r>
    </w:p>
    <w:p>
      <w:pPr>
        <w:numPr>
          <w:ilvl w:val="0"/>
          <w:numId w:val="1107"/>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numPr>
          <w:ilvl w:val="0"/>
          <w:numId w:val="1107"/>
        </w:numPr>
      </w:pPr>
      <w:r>
        <w:rPr>
          <w:b/>
          <w:bCs/>
          <w:i/>
          <w:iCs/>
        </w:rPr>
        <w:t xml:space="preserve">Extensiones y relación con otras partes del temario</w:t>
      </w:r>
      <w:r>
        <w:t xml:space="preserve">:</w:t>
      </w:r>
    </w:p>
    <w:p>
      <w:pPr>
        <w:numPr>
          <w:ilvl w:val="1"/>
          <w:numId w:val="1109"/>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r>
        <w:rPr>
          <w:rStyle w:val="Referenciaatema"/>
        </w:rPr>
        <w:t xml:space="preserve">[ver tema 3.A.12]</w:t>
      </w:r>
      <w:r>
        <w:t xml:space="preserve">;</w:t>
      </w:r>
    </w:p>
    <w:p>
      <w:pPr>
        <w:numPr>
          <w:ilvl w:val="1"/>
          <w:numId w:val="1109"/>
        </w:numPr>
      </w:pPr>
      <w:r>
        <w:t xml:space="preserve">el excedente del consumidor y del productor en el equilibrio parcial</w:t>
      </w:r>
      <w:r>
        <w:t xml:space="preserve"> </w:t>
      </w:r>
      <w:r>
        <w:rPr>
          <w:rStyle w:val="Referenciaatema"/>
        </w:rPr>
        <w:t xml:space="preserve">[ver tema 3.A.16]</w:t>
      </w:r>
      <w:r>
        <w:t xml:space="preserve"> </w:t>
      </w:r>
      <w:r>
        <w:t xml:space="preserve">y el bienestar agregado, con los criterios de compensación</w:t>
      </w:r>
      <w:r>
        <w:t xml:space="preserve"> </w:t>
      </w:r>
      <w:r>
        <w:rPr>
          <w:rStyle w:val="Referenciaatema"/>
        </w:rPr>
        <w:t xml:space="preserve">[ver tema 3.A.22]</w:t>
      </w:r>
      <w:r>
        <w:t xml:space="preserve"> </w:t>
      </w:r>
      <w:r>
        <w:rPr>
          <w:rStyle w:val="Referenciaatema"/>
        </w:rPr>
        <w:t xml:space="preserve">[ver tema 3.A.24]</w:t>
      </w:r>
      <w:r>
        <w:t xml:space="preserve">;</w:t>
      </w:r>
    </w:p>
    <w:p>
      <w:pPr>
        <w:numPr>
          <w:ilvl w:val="1"/>
          <w:numId w:val="1109"/>
        </w:numPr>
      </w:pPr>
      <w:r>
        <w:t xml:space="preserve">en economía pública, la VE mide el exceso de gravamen</w:t>
      </w:r>
      <w:r>
        <w:t xml:space="preserve"> </w:t>
      </w:r>
      <w:r>
        <w:rPr>
          <w:rStyle w:val="Referenciaatema"/>
        </w:rPr>
        <w:t xml:space="preserve">[ver tema 4.B.9]</w:t>
      </w:r>
      <w:r>
        <w:t xml:space="preserve"> </w:t>
      </w:r>
      <w:r>
        <w:t xml:space="preserve">y la VC y la VE valoran los proyectos en el análisis coste-beneficio</w:t>
      </w:r>
      <w:r>
        <w:t xml:space="preserve"> </w:t>
      </w:r>
      <w:r>
        <w:rPr>
          <w:rStyle w:val="Referenciaatema"/>
        </w:rPr>
        <w:t xml:space="preserve">[ver tema 4.B.6]</w:t>
      </w:r>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r>
        <w:rPr>
          <w:rStyle w:val="Referenciaatema"/>
        </w:rPr>
        <w:t xml:space="preserve">[ver tema 3.A.30]</w:t>
      </w:r>
      <w:r>
        <w:t xml:space="preserve"> </w:t>
      </w:r>
      <w:r>
        <w:rPr>
          <w:rStyle w:val="Referenciaatema"/>
        </w:rPr>
        <w:t xml:space="preserve">[ver tema 4.A.1]</w:t>
      </w:r>
      <w:r>
        <w:t xml:space="preserve">;</w:t>
      </w:r>
    </w:p>
    <w:p>
      <w:pPr>
        <w:numPr>
          <w:ilvl w:val="1"/>
          <w:numId w:val="1109"/>
        </w:numPr>
      </w:pPr>
      <w:r>
        <w:t xml:space="preserve">la elección con riesgo</w:t>
      </w:r>
      <w:r>
        <w:t xml:space="preserve"> </w:t>
      </w:r>
      <w:r>
        <w:rPr>
          <w:rStyle w:val="Referenciaatema"/>
        </w:rPr>
        <w:t xml:space="preserve">[ver tema 3.A.10]</w:t>
      </w:r>
      <w:r>
        <w:t xml:space="preserve"> </w:t>
      </w:r>
      <w:r>
        <w:t xml:space="preserve">y las decisiones intertemporales</w:t>
      </w:r>
      <w:r>
        <w:t xml:space="preserve"> </w:t>
      </w:r>
      <w:r>
        <w:rPr>
          <w:rStyle w:val="Referenciaatema"/>
        </w:rPr>
        <w:t xml:space="preserve">[ver tema 3.A.29]</w:t>
      </w:r>
      <w:r>
        <w:t xml:space="preserve"> </w:t>
      </w:r>
      <w:r>
        <w:t xml:space="preserve">extienden el análisis.</w:t>
      </w:r>
    </w:p>
    <w:p>
      <w:pPr>
        <w:numPr>
          <w:ilvl w:val="0"/>
          <w:numId w:val="1107"/>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07"/>
        </w:numPr>
      </w:pPr>
      <w:r>
        <w:rPr>
          <w:b/>
          <w:bCs/>
          <w:i/>
          <w:iCs/>
        </w:rPr>
        <w:t xml:space="preserve">Idea final</w:t>
      </w:r>
      <w:r>
        <w:t xml:space="preserve">: volviendo a la pregunta del principio, ¿basta que la pensión suba con el IPC para que el pensionista quede igual? No hace falta medir su utilidad para responder: basta su función de gasto, que la dualidad permite recuperar de su demanda. Y la respuesta es que,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si su cesta es distinta, puede quedarse corta. La compensación exacta es la variación compensatoria, y calcularla es precisamente lo que enseña la dualidad.</w:t>
      </w:r>
    </w:p>
    <w:p>
      <w:pPr>
        <w:pStyle w:val="Cajadeanotaciones"/>
      </w:pPr>
      <w:r>
        <w:rPr>
          <w:b/>
          <w:bCs/>
        </w:rPr>
        <w:t xml:space="preserve">Lecturas complementarias</w:t>
      </w:r>
    </w:p>
    <w:p>
      <w:pPr>
        <w:pStyle w:val="Cajadeanotaciones"/>
        <w:numPr>
          <w:ilvl w:val="0"/>
          <w:numId w:val="1110"/>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numPr>
          <w:ilvl w:val="0"/>
          <w:numId w:val="1110"/>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Economics">
        <w:r>
          <w:rPr>
            <w:rStyle w:val="Hyperlink"/>
          </w:rPr>
          <w:t xml:space="preserve">1980b</w:t>
        </w:r>
      </w:hyperlink>
      <w:r>
        <w:t xml:space="preserve">)</w:t>
      </w:r>
      <w:r>
        <w:t xml:space="preserve">: el manual de referencia sobre sistemas de demanda.</w:t>
      </w:r>
    </w:p>
    <w:p>
      <w:pPr>
        <w:pStyle w:val="Cajadeanotaciones"/>
        <w:numPr>
          <w:ilvl w:val="0"/>
          <w:numId w:val="1110"/>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numPr>
          <w:ilvl w:val="0"/>
          <w:numId w:val="1110"/>
        </w:numPr>
      </w:pPr>
      <w:r>
        <w:rPr>
          <w:smallCaps/>
        </w:rPr>
        <w:t xml:space="preserve">Rodríguez López</w:t>
      </w:r>
      <w:r>
        <w:t xml:space="preserve"> </w:t>
      </w:r>
      <w:r>
        <w:t xml:space="preserve">(</w:t>
      </w:r>
      <w:hyperlink w:anchor="ref-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r>
        <w:br w:type="page"/>
      </w:r>
    </w:p>
    <w:bookmarkEnd w:id="160"/>
    <w:bookmarkStart w:id="163" w:name="anexo: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11"/>
        </w:numPr>
      </w:pPr>
      <w:r>
        <w:t xml:space="preserve">Las condiciones de primer orden de los dos problemas, con las lagrangianas</w:t>
      </w:r>
      <w:r>
        <w:t xml:space="preserve"> </w:t>
      </w:r>
      <m:oMath>
        <m:sSup>
          <m:e>
            <m:r>
              <m:rPr>
                <m:sty m:val="p"/>
                <m:scr m:val="script"/>
              </m:rPr>
              <m:t>L</m:t>
            </m:r>
          </m:e>
          <m:sup>
            <m: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161" w:name="tab:kt"/>
    <w:p>
      <w:pPr>
        <w:pStyle w:val="TableCaption"/>
      </w:pPr>
      <w:r>
        <w:t xml:space="preserve">Condiciones de primer orden de los problemas primal y dual</w:t>
      </w:r>
    </w:p>
    <w:tbl>
      <w:tblPr>
        <w:tblStyle w:val="Table"/>
        <w:tblW w:type="auto" w:w="0"/>
        <w:tblLook w:firstRow="1" w:lastRow="0" w:firstColumn="0" w:lastColumn="0" w:noHBand="0" w:noVBand="0" w:val="0020"/>
        <w:tblCaption w:val="Condiciones de primer orden de los problemas primal y dual"/>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vAlign w:val="center"/>
          </w:tcPr>
          <w:p>
            <w:pPr>
              <w:pStyle w:val="Celdatceeazulpalido"/>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161"/>
    <w:p>
      <w:pPr>
        <w:pStyle w:val="BodyText"/>
      </w:pPr>
      <w:r>
        <w:t xml:space="preserve">En ambos:</w:t>
      </w:r>
      <w:r>
        <w:t xml:space="preserve"> </w:t>
      </w:r>
      <m:oMath>
        <m:r>
          <m:t>R</m:t>
        </m:r>
        <m:r>
          <m:t>M</m:t>
        </m:r>
        <m:sSub>
          <m:e>
            <m: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112"/>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12"/>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12"/>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162" w:name="Xa5019a610cd07b2f58bbc26dd64df8866018f02"/>
    <w:p>
      <w:pPr>
        <w:pStyle w:val="Heading2"/>
      </w:pPr>
      <w:r>
        <w:t xml:space="preserve">A.1. Condiciones de segundo orden: hessiano orlado y regla de</w:t>
      </w:r>
      <w:r>
        <w:t xml:space="preserve"> </w:t>
      </w:r>
      <w:r>
        <w:rPr>
          <w:smallCaps/>
        </w:rPr>
        <w:t xml:space="preserve">Sarrus</w:t>
      </w:r>
    </w:p>
    <w:p>
      <w:pPr>
        <w:numPr>
          <w:ilvl w:val="0"/>
          <w:numId w:val="1113"/>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C):</w:t>
      </w:r>
    </w:p>
    <w:p>
      <w:pPr>
        <w:pStyle w:val="BodyT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13"/>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13"/>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13"/>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13"/>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162"/>
    <w:bookmarkEnd w:id="163"/>
    <w:bookmarkStart w:id="166" w:name="anexo: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14"/>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164" w:name="der:roy"/>
    <w:p>
      <w:pPr>
        <w:pStyle w:val="Heading2"/>
      </w:pPr>
      <w:r>
        <w:t xml:space="preserve">B.1. Identidad de</w:t>
      </w:r>
      <w:r>
        <w:t xml:space="preserve"> </w:t>
      </w:r>
      <w:r>
        <w:rPr>
          <w:smallCaps/>
        </w:rPr>
        <w:t xml:space="preserve">Roy</w:t>
      </w:r>
    </w:p>
    <w:p>
      <w:pPr>
        <w:numPr>
          <w:ilvl w:val="0"/>
          <w:numId w:val="1115"/>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(5).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w:t>
      </w:r>
    </w:p>
    <w:p>
      <w:pPr>
        <w:numPr>
          <w:ilvl w:val="0"/>
          <w:numId w:val="1115"/>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3.G.4)</w:t>
      </w:r>
      <w:r>
        <w:t xml:space="preserve">.</w:t>
      </w:r>
    </w:p>
    <w:bookmarkEnd w:id="164"/>
    <w:bookmarkStart w:id="165" w:name="der:shephard"/>
    <w:p>
      <w:pPr>
        <w:pStyle w:val="Heading2"/>
      </w:pPr>
      <w:r>
        <w:t xml:space="preserve">B.2. Lema de</w:t>
      </w:r>
      <w:r>
        <w:t xml:space="preserve"> </w:t>
      </w:r>
      <w:r>
        <w:rPr>
          <w:smallCaps/>
        </w:rPr>
        <w:t xml:space="preserve">Shephard</w:t>
      </w:r>
    </w:p>
    <w:p>
      <w:pPr>
        <w:numPr>
          <w:ilvl w:val="0"/>
          <w:numId w:val="1116"/>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116"/>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3.G.1)</w:t>
      </w:r>
      <w:r>
        <w:t xml:space="preserve">.</w:t>
      </w:r>
    </w:p>
    <w:p>
      <w:pPr>
        <w:numPr>
          <w:ilvl w:val="0"/>
          <w:numId w:val="1116"/>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165"/>
    <w:bookmarkEnd w:id="166"/>
    <w:bookmarkStart w:id="167" w:name="anexo:hessiana"/>
    <w:p>
      <w:pPr>
        <w:pStyle w:val="Heading1"/>
      </w:pPr>
      <w:r>
        <w:t xml:space="preserve">C. Anexo: matriz hessiana, concavidad y cuasiconcavidad</w:t>
      </w:r>
    </w:p>
    <w:p>
      <w:pPr>
        <w:numPr>
          <w:ilvl w:val="0"/>
          <w:numId w:val="1117"/>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numPr>
          <w:ilvl w:val="0"/>
          <w:numId w:val="1117"/>
        </w:numPr>
      </w:pPr>
      <w:r>
        <w:rPr>
          <w:b/>
          <w:bCs/>
        </w:rPr>
        <w:t xml:space="preserve">Concavidad y convexidad</w:t>
      </w:r>
      <w:r>
        <w:t xml:space="preserve">:</w:t>
      </w:r>
    </w:p>
    <w:p>
      <w:pPr>
        <w:numPr>
          <w:ilvl w:val="1"/>
          <w:numId w:val="1118"/>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18"/>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17"/>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17"/>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r>
        <w:rPr>
          <w:rStyle w:val="Referenciaatema"/>
        </w:rPr>
        <w:t xml:space="preserve">[ver tema 3.A.8]</w:t>
      </w:r>
      <w:r>
        <w:t xml:space="preserve">. Se comprueba con la</w:t>
      </w:r>
      <w:r>
        <w:t xml:space="preserve"> </w:t>
      </w:r>
      <w:r>
        <w:rPr>
          <w:i/>
          <w:iCs/>
        </w:rPr>
        <w:t xml:space="preserve">hessiana orlada</w:t>
      </w:r>
      <w:r>
        <w:t xml:space="preserve"> </w:t>
      </w:r>
      <w:r>
        <w:t xml:space="preserve">con el gradiente (anexo A):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w:t>
      </w:r>
    </w:p>
    <w:p>
      <w:pPr>
        <w:numPr>
          <w:ilvl w:val="0"/>
          <w:numId w:val="1117"/>
        </w:numPr>
      </w:pPr>
      <w:r>
        <w:rPr>
          <w:b/>
          <w:bCs/>
        </w:rPr>
        <w:t xml:space="preserve">Uso en la teoría de la demanda</w:t>
      </w:r>
      <w:r>
        <w:t xml:space="preserve">: la concavidad de la función de gasto equivale a que la matriz de</w:t>
      </w:r>
      <w:r>
        <w:t xml:space="preserve"> </w:t>
      </w:r>
      <w:r>
        <w:rPr>
          <w:smallCaps/>
        </w:rPr>
        <w:t xml:space="preserve">Slutsky</w:t>
      </w:r>
      <w:r>
        <w:t xml:space="preserve"> </w:t>
      </w:r>
      <w:r>
        <w:t xml:space="preserve">sea semidefinida negativa; la cuasiconcavidad de la utilidad, a la convexidad de las preferencias, 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 La función de costes de la empresa tiene las mismas propiedades que la de gasto</w:t>
      </w:r>
      <w:r>
        <w:t xml:space="preserve"> </w:t>
      </w:r>
      <w:r>
        <w:rPr>
          <w:rStyle w:val="Referenciaatema"/>
        </w:rPr>
        <w:t xml:space="preserve">[ver tema 3.A.12]</w:t>
      </w:r>
      <w:r>
        <w:t xml:space="preserve">.</w:t>
      </w:r>
    </w:p>
    <w:bookmarkEnd w:id="167"/>
    <w:bookmarkStart w:id="169" w:name="anexo:ordenacion"/>
    <w:p>
      <w:pPr>
        <w:pStyle w:val="Heading1"/>
      </w:pPr>
      <w:r>
        <w:t xml:space="preserve">D. Anexo: ordenación de las medidas de bienestar</w:t>
      </w:r>
    </w:p>
    <w:p>
      <w:pPr>
        <w:numPr>
          <w:ilvl w:val="0"/>
          <w:numId w:val="1119"/>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19"/>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w:t>
      </w:r>
    </w:p>
    <w:p>
      <w:pPr>
        <w:numPr>
          <w:ilvl w:val="0"/>
          <w:numId w:val="1119"/>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w:t>
      </w:r>
    </w:p>
    <w:p>
      <w:pPr>
        <w:numPr>
          <w:ilvl w:val="0"/>
          <w:numId w:val="1119"/>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w:t>
      </w:r>
    </w:p>
    <w:p>
      <w:pPr>
        <w:numPr>
          <w:ilvl w:val="0"/>
          <w:numId w:val="1119"/>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w:t>
      </w:r>
    </w:p>
    <w:p>
      <w:pPr>
        <w:numPr>
          <w:ilvl w:val="0"/>
          <w:numId w:val="1119"/>
        </w:numPr>
      </w:pPr>
      <w:r>
        <w:t xml:space="preserve">Combinando estas desigualdades se obtiene la tabla 7.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168" w:name="tab:ordenacion"/>
    <w:p>
      <w:pPr>
        <w:pStyle w:val="TableCaption"/>
      </w:pP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Ordenación de las medidas de cambio en el bienestar ante una variación del precio de un bien"/>
      </w:tblPr>
      <w:tblGrid>
        <w:gridCol w:w="2640"/>
        <w:gridCol w:w="2640"/>
        <w:gridCol w:w="2640"/>
      </w:tblGrid>
      <w:tr>
        <w:trPr>
          <w:tblHeader w:val="on"/>
        </w:trPr>
        <w:tc>
          <w:tcPr>
            <w:vAlign w:val="center"/>
          </w:tcPr>
          <w:p>
            <w:pPr>
              <w:pStyle w:val="Celdatceeazulpalido"/>
              <w:jc w:val="center"/>
            </w:pPr>
            <w:r>
              <w:rPr>
                <w:i/>
                <w:iCs/>
              </w:rPr>
              <w:t xml:space="preserve">Tipo de bien</w:t>
            </w:r>
          </w:p>
        </w:tc>
        <w:tc>
          <w:tcPr>
            <w:vAlign w:val="center"/>
          </w:tcPr>
          <w:p>
            <w:pPr>
              <w:pStyle w:val="Celdatceeazulpalido"/>
              <w:jc w:val="center"/>
            </w:pPr>
            <w:r>
              <w:rPr>
                <w:i/>
                <w:iCs/>
              </w:rPr>
              <w:t xml:space="preserve">Ordenación (con signo)</w:t>
            </w:r>
          </w:p>
        </w:tc>
        <w:tc>
          <w:tcPr>
            <w:vAlign w:val="center"/>
          </w:tcPr>
          <w:p>
            <w:pPr>
              <w:pStyle w:val="Celdatceeazulpalido"/>
              <w:jc w:val="center"/>
            </w:pPr>
            <w:r>
              <w:rPr>
                <w:i/>
                <w:iCs/>
              </w:rPr>
              <w:t xml:space="preserve">Por qué</w:t>
            </w:r>
          </w:p>
        </w:tc>
      </w:tr>
      <w:tr>
        <w:tc>
          <w:tcPr>
            <w:vAlign w:val="center"/>
          </w:tcPr>
          <w:p>
            <w:pPr>
              <w:pStyle w:val="Compact"/>
              <w:jc w:val="center"/>
            </w:pPr>
            <w:r>
              <w:rPr>
                <w:rStyle w:val="Textoverde"/>
              </w:rPr>
              <w:t xml:space="preserve">Normal</w:t>
            </w:r>
          </w:p>
        </w:tc>
        <w:tc>
          <w:tcPr>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168"/>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3.I</w:t>
        </w:r>
      </w:hyperlink>
      <w:r>
        <w:rPr>
          <w:i/>
          <w:iCs/>
        </w:rPr>
        <w:t xml:space="preserve">)</w:t>
      </w:r>
      <w:r>
        <w:rPr>
          <w:i/>
          <w:iCs/>
        </w:rPr>
        <w:t xml:space="preserve">.</w:t>
      </w:r>
    </w:p>
    <w:bookmarkEnd w:id="169"/>
    <w:bookmarkStart w:id="170" w:name="anexo:willig"/>
    <w:p>
      <w:pPr>
        <w:pStyle w:val="Heading1"/>
      </w:pPr>
      <w:r>
        <w:t xml:space="preserve">E. Anexo: la aproximación de</w:t>
      </w:r>
      <w:r>
        <w:t xml:space="preserve"> </w:t>
      </w:r>
      <w:r>
        <w:rPr>
          <w:smallCaps/>
        </w:rPr>
        <w:t xml:space="preserve">Willig</w:t>
      </w:r>
    </w:p>
    <w:p>
      <w:pPr>
        <w:numPr>
          <w:ilvl w:val="0"/>
          <w:numId w:val="1120"/>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20"/>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20"/>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(36); del mismo modo para la VE.</w:t>
      </w:r>
    </w:p>
    <w:p>
      <w:pPr>
        <w:numPr>
          <w:ilvl w:val="0"/>
          <w:numId w:val="1120"/>
        </w:numPr>
      </w:pPr>
      <w:r>
        <w:t xml:space="preserve">El resultado formal, con las cotas del error, está en</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Hausman1981Exact">
        <w:r>
          <w:rPr>
            <w:rStyle w:val="Hyperlink"/>
          </w:rPr>
          <w:t xml:space="preserve">1981</w:t>
        </w:r>
      </w:hyperlink>
      <w:r>
        <w:t xml:space="preserve">)</w:t>
      </w:r>
      <w:r>
        <w:t xml:space="preserve">.</w:t>
      </w:r>
    </w:p>
    <w:bookmarkEnd w:id="170"/>
    <w:bookmarkStart w:id="172" w:name="anexo:test"/>
    <w:p>
      <w:pPr>
        <w:pStyle w:val="Heading1"/>
      </w:pPr>
      <w:r>
        <w:t xml:space="preserve">F. Anexo: aspectos relevantes para el test</w:t>
      </w:r>
    </w:p>
    <w:p>
      <w:pPr>
        <w:pStyle w:val="Cajadeanotaciones"/>
      </w:pPr>
      <w:r>
        <w:t xml:space="preserve">Preguntas tipo test:</w:t>
      </w:r>
      <w:r>
        <w:t xml:space="preserve"> </w:t>
      </w:r>
      <w:hyperlink r:id="rId171">
        <w:r>
          <w:rPr>
            <w:rStyle w:val="Hyperlink"/>
          </w:rPr>
          <w:t xml:space="preserve">simulador de test</w:t>
        </w:r>
      </w:hyperlink>
      <w:r>
        <w:t xml:space="preserve">.</w:t>
      </w:r>
    </w:p>
    <w:p>
      <w:pPr>
        <w:numPr>
          <w:ilvl w:val="0"/>
          <w:numId w:val="1121"/>
        </w:numPr>
      </w:pPr>
      <w:r>
        <w:t xml:space="preserve">Homogeneidad:</w:t>
      </w:r>
      <w:r>
        <w:t xml:space="preserve"> </w:t>
      </w: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r>
        <w:t xml:space="preserve"> </w:t>
      </w: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r>
        <w:t xml:space="preserve"> </w:t>
      </w: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21"/>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21"/>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21"/>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21"/>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21"/>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21"/>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21"/>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r>
        <w:br w:type="page"/>
      </w:r>
    </w:p>
    <w:bookmarkEnd w:id="172"/>
    <w:bookmarkStart w:id="305" w:name="bibliography"/>
    <w:p>
      <w:pPr>
        <w:pStyle w:val="Heading1"/>
      </w:pPr>
      <w:r>
        <w:t xml:space="preserve">Bibliografía</w:t>
      </w:r>
    </w:p>
    <w:bookmarkStart w:id="304" w:name="refs"/>
    <w:bookmarkStart w:id="174"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173">
        <w:r>
          <w:rPr>
            <w:rStyle w:val="Hyperlink"/>
          </w:rPr>
          <w:t xml:space="preserve">https://doi.org/10.2307/2525382</w:t>
        </w:r>
      </w:hyperlink>
      <w:r>
        <w:t xml:space="preserve">.</w:t>
      </w:r>
    </w:p>
    <w:bookmarkEnd w:id="174"/>
    <w:bookmarkStart w:id="176"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175">
        <w:r>
          <w:rPr>
            <w:rStyle w:val="Hyperlink"/>
          </w:rPr>
          <w:t xml:space="preserve">https://argos.gva.es/documents/166658342/166714754/Ejemplar+3070/2957e02b-f135-4235-98a6-bfc909292066</w:t>
        </w:r>
      </w:hyperlink>
      <w:r>
        <w:t xml:space="preserve">.</w:t>
      </w:r>
    </w:p>
    <w:bookmarkEnd w:id="176"/>
    <w:bookmarkStart w:id="177"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177"/>
    <w:bookmarkStart w:id="178"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178"/>
    <w:bookmarkStart w:id="180" w:name="ref-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179">
        <w:r>
          <w:rPr>
            <w:rStyle w:val="Hyperlink"/>
          </w:rPr>
          <w:t xml:space="preserve">https://doi.org/10.1162/003465397557015</w:t>
        </w:r>
      </w:hyperlink>
      <w:r>
        <w:t xml:space="preserve">.</w:t>
      </w:r>
    </w:p>
    <w:bookmarkEnd w:id="180"/>
    <w:bookmarkStart w:id="182" w:name="ref-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181">
        <w:r>
          <w:rPr>
            <w:rStyle w:val="Hyperlink"/>
          </w:rPr>
          <w:t xml:space="preserve">https://doi.org/10.2307/1913731</w:t>
        </w:r>
      </w:hyperlink>
      <w:r>
        <w:t xml:space="preserve">.</w:t>
      </w:r>
    </w:p>
    <w:bookmarkEnd w:id="182"/>
    <w:bookmarkStart w:id="184" w:name="ref-Barten1967Slutsky"/>
    <w:p>
      <w:pPr>
        <w:pStyle w:val="Bibliography"/>
      </w:pPr>
      <w:r>
        <w:t xml:space="preserve">———.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183">
        <w:r>
          <w:rPr>
            <w:rStyle w:val="Hyperlink"/>
          </w:rPr>
          <w:t xml:space="preserve">https://doi.org/10.2307/1937885</w:t>
        </w:r>
      </w:hyperlink>
      <w:r>
        <w:t xml:space="preserve">.</w:t>
      </w:r>
    </w:p>
    <w:bookmarkEnd w:id="184"/>
    <w:bookmarkStart w:id="186"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185">
        <w:r>
          <w:rPr>
            <w:rStyle w:val="Hyperlink"/>
          </w:rPr>
          <w:t xml:space="preserve">https://doi.org/10.1016/0014-2921(69)90017-8</w:t>
        </w:r>
      </w:hyperlink>
      <w:r>
        <w:t xml:space="preserve">.</w:t>
      </w:r>
    </w:p>
    <w:bookmarkEnd w:id="186"/>
    <w:bookmarkStart w:id="188" w:name="ref-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187">
        <w:r>
          <w:rPr>
            <w:rStyle w:val="Hyperlink"/>
          </w:rPr>
          <w:t xml:space="preserve">https://doi.org/10.1057/9780230226203.0411</w:t>
        </w:r>
      </w:hyperlink>
      <w:r>
        <w:t xml:space="preserve">.</w:t>
      </w:r>
    </w:p>
    <w:bookmarkEnd w:id="188"/>
    <w:bookmarkStart w:id="190" w:name="X654402c942ad9bea1ef2f416051d143dc9e9a07"/>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189">
        <w:r>
          <w:rPr>
            <w:rStyle w:val="Hyperlink"/>
          </w:rPr>
          <w:t xml:space="preserve">https://doi.org/10.1111/1468-0262.00394</w:t>
        </w:r>
      </w:hyperlink>
      <w:r>
        <w:t xml:space="preserve">.</w:t>
      </w:r>
    </w:p>
    <w:bookmarkEnd w:id="190"/>
    <w:bookmarkStart w:id="191"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191"/>
    <w:bookmarkStart w:id="192"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192"/>
    <w:bookmarkStart w:id="193"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193"/>
    <w:bookmarkStart w:id="195"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194">
        <w:r>
          <w:rPr>
            <w:rStyle w:val="Hyperlink"/>
          </w:rPr>
          <w:t xml:space="preserve">https://doi.org/10.2307/1911983</w:t>
        </w:r>
      </w:hyperlink>
      <w:r>
        <w:t xml:space="preserve">.</w:t>
      </w:r>
    </w:p>
    <w:bookmarkEnd w:id="195"/>
    <w:bookmarkStart w:id="197" w:name="ref-Deaton1997Analysis"/>
    <w:p>
      <w:pPr>
        <w:pStyle w:val="Bibliography"/>
      </w:pPr>
      <w:r>
        <w:t xml:space="preserve">———.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196">
        <w:r>
          <w:rPr>
            <w:rStyle w:val="Hyperlink"/>
          </w:rPr>
          <w:t xml:space="preserve">https://doi.org/10.1596/0-8018-5254-4</w:t>
        </w:r>
      </w:hyperlink>
      <w:r>
        <w:t xml:space="preserve">.</w:t>
      </w:r>
    </w:p>
    <w:bookmarkEnd w:id="197"/>
    <w:bookmarkStart w:id="198"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198"/>
    <w:bookmarkStart w:id="199"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199"/>
    <w:bookmarkStart w:id="200" w:name="ref-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00"/>
    <w:bookmarkStart w:id="202" w:name="ref-Diewert1976Exact"/>
    <w:p>
      <w:pPr>
        <w:pStyle w:val="Bibliography"/>
      </w:pPr>
      <w:r>
        <w:t xml:space="preserve">———.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01">
        <w:r>
          <w:rPr>
            <w:rStyle w:val="Hyperlink"/>
          </w:rPr>
          <w:t xml:space="preserve">https://doi.org/10.1016/0304-4076(76)90009-9</w:t>
        </w:r>
      </w:hyperlink>
      <w:r>
        <w:t xml:space="preserve">.</w:t>
      </w:r>
    </w:p>
    <w:bookmarkEnd w:id="202"/>
    <w:bookmarkStart w:id="203"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03"/>
    <w:bookmarkStart w:id="205"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04">
        <w:r>
          <w:rPr>
            <w:rStyle w:val="Hyperlink"/>
          </w:rPr>
          <w:t xml:space="preserve">https://doi.org/10.2307/2296107</w:t>
        </w:r>
      </w:hyperlink>
      <w:r>
        <w:t xml:space="preserve">.</w:t>
      </w:r>
    </w:p>
    <w:bookmarkEnd w:id="205"/>
    <w:bookmarkStart w:id="207" w:name="ref-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06">
        <w:r>
          <w:rPr>
            <w:rStyle w:val="Hyperlink"/>
          </w:rPr>
          <w:t xml:space="preserve">https://doi.org/10.3386/w12311</w:t>
        </w:r>
      </w:hyperlink>
      <w:r>
        <w:t xml:space="preserve">.</w:t>
      </w:r>
    </w:p>
    <w:bookmarkEnd w:id="207"/>
    <w:bookmarkStart w:id="209" w:name="ref-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08">
        <w:r>
          <w:rPr>
            <w:rStyle w:val="Hyperlink"/>
          </w:rPr>
          <w:t xml:space="preserve">https://doi.org/10.2307/1909472</w:t>
        </w:r>
      </w:hyperlink>
      <w:r>
        <w:t xml:space="preserve">.</w:t>
      </w:r>
    </w:p>
    <w:bookmarkEnd w:id="209"/>
    <w:bookmarkStart w:id="211" w:name="ref-Gorman1981Engel"/>
    <w:p>
      <w:pPr>
        <w:pStyle w:val="Bibliography"/>
      </w:pPr>
      <w:r>
        <w:t xml:space="preserve">———.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10">
        <w:r>
          <w:rPr>
            <w:rStyle w:val="Hyperlink"/>
          </w:rPr>
          <w:t xml:space="preserve">https://doi.org/10.1017/CBO9780511984082.003</w:t>
        </w:r>
      </w:hyperlink>
      <w:r>
        <w:t xml:space="preserve">.</w:t>
      </w:r>
    </w:p>
    <w:bookmarkEnd w:id="211"/>
    <w:bookmarkStart w:id="212" w:name="ref-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12"/>
    <w:bookmarkStart w:id="213"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13"/>
    <w:bookmarkStart w:id="215" w:name="ref-Hicks1941Rehabilitation"/>
    <w:p>
      <w:pPr>
        <w:pStyle w:val="Bibliography"/>
      </w:pPr>
      <w:r>
        <w:t xml:space="preserve">———.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14">
        <w:r>
          <w:rPr>
            <w:rStyle w:val="Hyperlink"/>
          </w:rPr>
          <w:t xml:space="preserve">https://doi.org/10.2307/2967467</w:t>
        </w:r>
      </w:hyperlink>
      <w:r>
        <w:t xml:space="preserve">.</w:t>
      </w:r>
    </w:p>
    <w:bookmarkEnd w:id="215"/>
    <w:bookmarkStart w:id="217" w:name="ref-Hicks1943Four"/>
    <w:p>
      <w:pPr>
        <w:pStyle w:val="Bibliography"/>
      </w:pPr>
      <w:r>
        <w:t xml:space="preserve">———.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16">
        <w:r>
          <w:rPr>
            <w:rStyle w:val="Hyperlink"/>
          </w:rPr>
          <w:t xml:space="preserve">https://doi.org/10.2307/2967517</w:t>
        </w:r>
      </w:hyperlink>
      <w:r>
        <w:t xml:space="preserve">.</w:t>
      </w:r>
    </w:p>
    <w:bookmarkEnd w:id="217"/>
    <w:bookmarkStart w:id="218" w:name="ref-Hicks1956Revision"/>
    <w:p>
      <w:pPr>
        <w:pStyle w:val="Bibliography"/>
      </w:pPr>
      <w:r>
        <w:t xml:space="preserve">———. 1956.</w:t>
      </w:r>
      <w:r>
        <w:t xml:space="preserve"> </w:t>
      </w:r>
      <w:r>
        <w:rPr>
          <w:i/>
          <w:iCs/>
        </w:rPr>
        <w:t xml:space="preserve">A Revision of Demand Theory</w:t>
      </w:r>
      <w:r>
        <w:t xml:space="preserve">. Oxford: Clarendon Press.</w:t>
      </w:r>
    </w:p>
    <w:bookmarkEnd w:id="218"/>
    <w:bookmarkStart w:id="220"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19">
        <w:r>
          <w:rPr>
            <w:rStyle w:val="Hyperlink"/>
          </w:rPr>
          <w:t xml:space="preserve">https://doi.org/10.2307/2548574</w:t>
        </w:r>
      </w:hyperlink>
      <w:r>
        <w:t xml:space="preserve">.</w:t>
      </w:r>
    </w:p>
    <w:bookmarkEnd w:id="220"/>
    <w:bookmarkStart w:id="222"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21">
        <w:r>
          <w:rPr>
            <w:rStyle w:val="Hyperlink"/>
          </w:rPr>
          <w:t xml:space="preserve">https://doi.org/10.1086/254387</w:t>
        </w:r>
      </w:hyperlink>
      <w:r>
        <w:t xml:space="preserve">.</w:t>
      </w:r>
    </w:p>
    <w:bookmarkEnd w:id="222"/>
    <w:bookmarkStart w:id="224"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23">
        <w:r>
          <w:rPr>
            <w:rStyle w:val="Hyperlink"/>
          </w:rPr>
          <w:t xml:space="preserve">https://doi.org/10.2307/2549382</w:t>
        </w:r>
      </w:hyperlink>
      <w:r>
        <w:t xml:space="preserve">.</w:t>
      </w:r>
    </w:p>
    <w:bookmarkEnd w:id="224"/>
    <w:bookmarkStart w:id="225"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25"/>
    <w:bookmarkStart w:id="227"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26">
        <w:r>
          <w:rPr>
            <w:rStyle w:val="Hyperlink"/>
          </w:rPr>
          <w:t xml:space="preserve">https://www.ine.es/daco/daco42/daco4213/resmeto06.pdf</w:t>
        </w:r>
      </w:hyperlink>
      <w:r>
        <w:t xml:space="preserve">.</w:t>
      </w:r>
    </w:p>
    <w:bookmarkEnd w:id="227"/>
    <w:bookmarkStart w:id="229" w:name="ref-INE2026IPCPonderaciones"/>
    <w:p>
      <w:pPr>
        <w:pStyle w:val="Bibliography"/>
      </w:pPr>
      <w:r>
        <w:t xml:space="preserve">———. 2026a.</w:t>
      </w:r>
      <w:r>
        <w:t xml:space="preserve"> </w:t>
      </w:r>
      <w:r>
        <w:t xml:space="preserve">«Índice de Precios de Consumo. Base 2025. Ponderaciones: general y de grupos ECOICOP ver.2 (tabla 76156)»</w:t>
      </w:r>
      <w:r>
        <w:t xml:space="preserve">. 2026.</w:t>
      </w:r>
      <w:r>
        <w:t xml:space="preserve"> </w:t>
      </w:r>
      <w:hyperlink r:id="rId228">
        <w:r>
          <w:rPr>
            <w:rStyle w:val="Hyperlink"/>
          </w:rPr>
          <w:t xml:space="preserve">https://www.ine.es/jaxiT3/Tabla.htm?t=76156</w:t>
        </w:r>
      </w:hyperlink>
      <w:r>
        <w:t xml:space="preserve">.</w:t>
      </w:r>
    </w:p>
    <w:bookmarkEnd w:id="229"/>
    <w:bookmarkStart w:id="231" w:name="ref-INE2026IPCMetodologia"/>
    <w:p>
      <w:pPr>
        <w:pStyle w:val="Bibliography"/>
      </w:pPr>
      <w:r>
        <w:t xml:space="preserve">———. 2026b.</w:t>
      </w:r>
      <w:r>
        <w:t xml:space="preserve"> </w:t>
      </w:r>
      <w:r>
        <w:t xml:space="preserve">«Índice de Precios de Consumo. Base 2025. Metodología»</w:t>
      </w:r>
      <w:r>
        <w:t xml:space="preserve">. enero de 2026.</w:t>
      </w:r>
      <w:r>
        <w:t xml:space="preserve"> </w:t>
      </w:r>
      <w:hyperlink r:id="rId230">
        <w:r>
          <w:rPr>
            <w:rStyle w:val="Hyperlink"/>
          </w:rPr>
          <w:t xml:space="preserve">https://www.ine.es/metodologia/t25/metodologia_IPC_base_2025.pdf</w:t>
        </w:r>
      </w:hyperlink>
      <w:r>
        <w:t xml:space="preserve">.</w:t>
      </w:r>
    </w:p>
    <w:bookmarkEnd w:id="231"/>
    <w:bookmarkStart w:id="233" w:name="ref-INE2026IPCNovedades"/>
    <w:p>
      <w:pPr>
        <w:pStyle w:val="Bibliography"/>
      </w:pPr>
      <w:r>
        <w:t xml:space="preserve">———. 2026c.</w:t>
      </w:r>
      <w:r>
        <w:t xml:space="preserve"> </w:t>
      </w:r>
      <w:r>
        <w:t xml:space="preserve">«Principales novedades metodológicas del Índice de Precios de Consumo. Base 2025»</w:t>
      </w:r>
      <w:r>
        <w:t xml:space="preserve">. enero de 2026.</w:t>
      </w:r>
      <w:r>
        <w:t xml:space="preserve"> </w:t>
      </w:r>
      <w:hyperlink r:id="rId232">
        <w:r>
          <w:rPr>
            <w:rStyle w:val="Hyperlink"/>
          </w:rPr>
          <w:t xml:space="preserve">https://www.ine.es/metodologia/t25/principales_caracteristicas_base_2025.pdf</w:t>
        </w:r>
      </w:hyperlink>
      <w:r>
        <w:t xml:space="preserve">.</w:t>
      </w:r>
    </w:p>
    <w:bookmarkEnd w:id="233"/>
    <w:bookmarkStart w:id="235" w:name="ref-INE2026EPF"/>
    <w:p>
      <w:pPr>
        <w:pStyle w:val="Bibliography"/>
      </w:pPr>
      <w:r>
        <w:t xml:space="preserve">———. 2026d.</w:t>
      </w:r>
      <w:r>
        <w:t xml:space="preserve"> </w:t>
      </w:r>
      <w:r>
        <w:t xml:space="preserve">«Encuesta de Presupuestos Familiares (EPF). Año 2025. Resultados definitivos. Nota de prensa»</w:t>
      </w:r>
      <w:r>
        <w:t xml:space="preserve">. 25 de junio de 2026.</w:t>
      </w:r>
      <w:r>
        <w:t xml:space="preserve"> </w:t>
      </w:r>
      <w:hyperlink r:id="rId234">
        <w:r>
          <w:rPr>
            <w:rStyle w:val="Hyperlink"/>
          </w:rPr>
          <w:t xml:space="preserve">https://www.ine.es/dyngs/Prensa/EPF2025.htm</w:t>
        </w:r>
      </w:hyperlink>
      <w:r>
        <w:t xml:space="preserve">.</w:t>
      </w:r>
    </w:p>
    <w:bookmarkEnd w:id="235"/>
    <w:bookmarkStart w:id="237" w:name="ref-INE2026CNA2025"/>
    <w:p>
      <w:pPr>
        <w:pStyle w:val="Bibliography"/>
      </w:pPr>
      <w:r>
        <w:t xml:space="preserve">———.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236">
        <w:r>
          <w:rPr>
            <w:rStyle w:val="Hyperlink"/>
          </w:rPr>
          <w:t xml:space="preserve">https://www.ine.es/dyngs/Prensa/CNA2025.htm</w:t>
        </w:r>
      </w:hyperlink>
      <w:r>
        <w:t xml:space="preserve">.</w:t>
      </w:r>
    </w:p>
    <w:bookmarkEnd w:id="237"/>
    <w:bookmarkStart w:id="239"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238">
        <w:r>
          <w:rPr>
            <w:rStyle w:val="Hyperlink"/>
          </w:rPr>
          <w:t xml:space="preserve">https://www.ine.es/metodologia/t25/t2530p458.pdf</w:t>
        </w:r>
      </w:hyperlink>
      <w:r>
        <w:t xml:space="preserve">.</w:t>
      </w:r>
    </w:p>
    <w:bookmarkEnd w:id="239"/>
    <w:bookmarkStart w:id="240"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40"/>
    <w:bookmarkStart w:id="242"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241">
        <w:r>
          <w:rPr>
            <w:rStyle w:val="Hyperlink"/>
          </w:rPr>
          <w:t xml:space="preserve">https://doi.org/10.2307/1911539</w:t>
        </w:r>
      </w:hyperlink>
      <w:r>
        <w:t xml:space="preserve">.</w:t>
      </w:r>
    </w:p>
    <w:bookmarkEnd w:id="242"/>
    <w:bookmarkStart w:id="244" w:name="ref-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243">
        <w:r>
          <w:rPr>
            <w:rStyle w:val="Hyperlink"/>
          </w:rPr>
          <w:t xml:space="preserve">https://doi.org/10.2307/2295996</w:t>
        </w:r>
      </w:hyperlink>
      <w:r>
        <w:t xml:space="preserve">.</w:t>
      </w:r>
    </w:p>
    <w:bookmarkEnd w:id="244"/>
    <w:bookmarkStart w:id="246" w:name="ref-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245">
        <w:r>
          <w:rPr>
            <w:rStyle w:val="Hyperlink"/>
          </w:rPr>
          <w:t xml:space="preserve">https://ww2.amstat.org/meetings/proceedings/2021/data/assets/pdf/1913738.pdf</w:t>
        </w:r>
      </w:hyperlink>
      <w:r>
        <w:t xml:space="preserve">.</w:t>
      </w:r>
    </w:p>
    <w:bookmarkEnd w:id="246"/>
    <w:bookmarkStart w:id="248" w:name="ref-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247">
        <w:r>
          <w:rPr>
            <w:rStyle w:val="Hyperlink"/>
          </w:rPr>
          <w:t xml:space="preserve">https://doi.org/10.2307/1906997</w:t>
        </w:r>
      </w:hyperlink>
      <w:r>
        <w:t xml:space="preserve">.</w:t>
      </w:r>
    </w:p>
    <w:bookmarkEnd w:id="248"/>
    <w:bookmarkStart w:id="249" w:name="ref-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249"/>
    <w:bookmarkStart w:id="251" w:name="ref-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250">
        <w:r>
          <w:rPr>
            <w:rStyle w:val="Hyperlink"/>
          </w:rPr>
          <w:t xml:space="preserve">https://doi.org/10.2307/1909167</w:t>
        </w:r>
      </w:hyperlink>
      <w:r>
        <w:t xml:space="preserve">.</w:t>
      </w:r>
    </w:p>
    <w:bookmarkEnd w:id="251"/>
    <w:bookmarkStart w:id="253" w:name="ref-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252">
        <w:r>
          <w:rPr>
            <w:rStyle w:val="Hyperlink"/>
          </w:rPr>
          <w:t xml:space="preserve">https://doi.org/10.2307/1912704</w:t>
        </w:r>
      </w:hyperlink>
      <w:r>
        <w:t xml:space="preserve">.</w:t>
      </w:r>
    </w:p>
    <w:bookmarkEnd w:id="253"/>
    <w:bookmarkStart w:id="255" w:name="ref-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254">
        <w:r>
          <w:rPr>
            <w:rStyle w:val="Hyperlink"/>
          </w:rPr>
          <w:t xml:space="preserve">https://www.thelatinlibrary.com/cicero/leg3.shtml</w:t>
        </w:r>
      </w:hyperlink>
      <w:r>
        <w:t xml:space="preserve">.</w:t>
      </w:r>
    </w:p>
    <w:bookmarkEnd w:id="255"/>
    <w:bookmarkStart w:id="257"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56">
        <w:r>
          <w:rPr>
            <w:rStyle w:val="Hyperlink"/>
          </w:rPr>
          <w:t xml:space="preserve">https://www.marxists.org/reference/subject/economics/marshall/bk1ch01.htm</w:t>
        </w:r>
      </w:hyperlink>
      <w:r>
        <w:t xml:space="preserve">.</w:t>
      </w:r>
    </w:p>
    <w:bookmarkEnd w:id="257"/>
    <w:bookmarkStart w:id="258"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58"/>
    <w:bookmarkStart w:id="259"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59"/>
    <w:bookmarkStart w:id="261" w:name="ref-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260">
        <w:r>
          <w:rPr>
            <w:rStyle w:val="Hyperlink"/>
          </w:rPr>
          <w:t xml:space="preserve">https://doi.org/10.2307/2296067</w:t>
        </w:r>
      </w:hyperlink>
      <w:r>
        <w:t xml:space="preserve">.</w:t>
      </w:r>
    </w:p>
    <w:bookmarkEnd w:id="261"/>
    <w:bookmarkStart w:id="263" w:name="ref-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262">
        <w:r>
          <w:rPr>
            <w:rStyle w:val="Hyperlink"/>
          </w:rPr>
          <w:t xml:space="preserve">https://www.boe.es/buscar/act.php?id=BOE-A-2015-11724</w:t>
        </w:r>
      </w:hyperlink>
      <w:r>
        <w:t xml:space="preserve">.</w:t>
      </w:r>
    </w:p>
    <w:bookmarkEnd w:id="263"/>
    <w:bookmarkStart w:id="265" w:name="ref-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264">
        <w:r>
          <w:rPr>
            <w:rStyle w:val="Hyperlink"/>
          </w:rPr>
          <w:t xml:space="preserve">https://www.lamoncloa.gob.es/serviciosdeprensa/notasprensa/inclusion/Paginas/2025/121225-revalorizacion-pensiones.aspx</w:t>
        </w:r>
      </w:hyperlink>
      <w:r>
        <w:t xml:space="preserve">.</w:t>
      </w:r>
    </w:p>
    <w:bookmarkEnd w:id="265"/>
    <w:bookmarkStart w:id="267"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266">
        <w:r>
          <w:rPr>
            <w:rStyle w:val="Hyperlink"/>
          </w:rPr>
          <w:t xml:space="preserve">https://doi.org/10.2307/2296792</w:t>
        </w:r>
      </w:hyperlink>
      <w:r>
        <w:t xml:space="preserve">.</w:t>
      </w:r>
    </w:p>
    <w:bookmarkEnd w:id="267"/>
    <w:bookmarkStart w:id="269"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268">
        <w:r>
          <w:rPr>
            <w:rStyle w:val="Hyperlink"/>
          </w:rPr>
          <w:t xml:space="preserve">https://doi.org/10.2307/1911540</w:t>
        </w:r>
      </w:hyperlink>
      <w:r>
        <w:t xml:space="preserve">.</w:t>
      </w:r>
    </w:p>
    <w:bookmarkEnd w:id="269"/>
    <w:bookmarkStart w:id="270" w:name="ref-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270"/>
    <w:bookmarkStart w:id="272" w:name="ref-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271">
        <w:r>
          <w:rPr>
            <w:rStyle w:val="Hyperlink"/>
          </w:rPr>
          <w:t xml:space="preserve">https://doi.org/10.2307/1911416</w:t>
        </w:r>
      </w:hyperlink>
      <w:r>
        <w:t xml:space="preserve">.</w:t>
      </w:r>
    </w:p>
    <w:bookmarkEnd w:id="272"/>
    <w:bookmarkStart w:id="273" w:name="ref-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273"/>
    <w:bookmarkStart w:id="275"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274">
        <w:r>
          <w:rPr>
            <w:rStyle w:val="Hyperlink"/>
          </w:rPr>
          <w:t xml:space="preserve">https://doi.org/10.2307/1905479</w:t>
        </w:r>
      </w:hyperlink>
      <w:r>
        <w:t xml:space="preserve">.</w:t>
      </w:r>
    </w:p>
    <w:bookmarkEnd w:id="275"/>
    <w:bookmarkStart w:id="277"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276">
        <w:r>
          <w:rPr>
            <w:rStyle w:val="Hyperlink"/>
          </w:rPr>
          <w:t xml:space="preserve">https://doi.org/10.2307/2548836</w:t>
        </w:r>
      </w:hyperlink>
      <w:r>
        <w:t xml:space="preserve">.</w:t>
      </w:r>
    </w:p>
    <w:bookmarkEnd w:id="277"/>
    <w:bookmarkStart w:id="279"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278">
        <w:r>
          <w:rPr>
            <w:rStyle w:val="Hyperlink"/>
          </w:rPr>
          <w:t xml:space="preserve">https://doi.org/10.2307/2549561</w:t>
        </w:r>
      </w:hyperlink>
      <w:r>
        <w:t xml:space="preserve">.</w:t>
      </w:r>
    </w:p>
    <w:bookmarkEnd w:id="279"/>
    <w:bookmarkStart w:id="280" w:name="ref-Samuelson1974Complementarity"/>
    <w:p>
      <w:pPr>
        <w:pStyle w:val="Bibliography"/>
      </w:pPr>
      <w:r>
        <w:t xml:space="preserve">———.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280"/>
    <w:bookmarkStart w:id="282" w:name="ref-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281">
        <w:r>
          <w:rPr>
            <w:rStyle w:val="Hyperlink"/>
          </w:rPr>
          <w:t xml:space="preserve">https://www.funcas.es/wp-content/uploads/Migracion/Articulos/FUNCAS_CIE/228art02.pdf</w:t>
        </w:r>
      </w:hyperlink>
      <w:r>
        <w:t xml:space="preserve">.</w:t>
      </w:r>
    </w:p>
    <w:bookmarkEnd w:id="282"/>
    <w:bookmarkStart w:id="283"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283"/>
    <w:bookmarkStart w:id="284"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284"/>
    <w:bookmarkStart w:id="286"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285">
        <w:r>
          <w:rPr>
            <w:rStyle w:val="Hyperlink"/>
          </w:rPr>
          <w:t xml:space="preserve">https://doi.org/10.2307/2227743</w:t>
        </w:r>
      </w:hyperlink>
      <w:r>
        <w:t xml:space="preserve">.</w:t>
      </w:r>
    </w:p>
    <w:bookmarkEnd w:id="286"/>
    <w:bookmarkStart w:id="288" w:name="ref-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287">
        <w:r>
          <w:rPr>
            <w:rStyle w:val="Hyperlink"/>
          </w:rPr>
          <w:t xml:space="preserve">https://doi.org/10.2307/1910254</w:t>
        </w:r>
      </w:hyperlink>
      <w:r>
        <w:t xml:space="preserve">.</w:t>
      </w:r>
    </w:p>
    <w:bookmarkEnd w:id="288"/>
    <w:bookmarkStart w:id="289"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289"/>
    <w:bookmarkStart w:id="291" w:name="ref-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290">
        <w:r>
          <w:rPr>
            <w:rStyle w:val="Hyperlink"/>
          </w:rPr>
          <w:t xml:space="preserve">https://www.nobelprize.org/prizes/economic-sciences/2015/summary/</w:t>
        </w:r>
      </w:hyperlink>
      <w:r>
        <w:t xml:space="preserve">.</w:t>
      </w:r>
    </w:p>
    <w:bookmarkEnd w:id="291"/>
    <w:bookmarkStart w:id="293"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292">
        <w:r>
          <w:rPr>
            <w:rStyle w:val="Hyperlink"/>
          </w:rPr>
          <w:t xml:space="preserve">https://doi.org/10.2307/1911889</w:t>
        </w:r>
      </w:hyperlink>
      <w:r>
        <w:t xml:space="preserve">.</w:t>
      </w:r>
    </w:p>
    <w:bookmarkEnd w:id="293"/>
    <w:bookmarkStart w:id="295" w:name="ref-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294">
        <w:r>
          <w:rPr>
            <w:rStyle w:val="Hyperlink"/>
          </w:rPr>
          <w:t xml:space="preserve">https://eur-lex.europa.eu/legal-content/ES/TXT/?uri=CELEX:32013R0549</w:t>
        </w:r>
      </w:hyperlink>
      <w:r>
        <w:t xml:space="preserve">.</w:t>
      </w:r>
    </w:p>
    <w:bookmarkEnd w:id="295"/>
    <w:bookmarkStart w:id="297" w:name="ref-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296">
        <w:r>
          <w:rPr>
            <w:rStyle w:val="Hyperlink"/>
          </w:rPr>
          <w:t xml:space="preserve">https://api.bls.gov/publicAPI/v1/timeseries/data/SUUR0000SA0</w:t>
        </w:r>
      </w:hyperlink>
      <w:r>
        <w:t xml:space="preserve">.</w:t>
      </w:r>
    </w:p>
    <w:bookmarkEnd w:id="297"/>
    <w:bookmarkStart w:id="299" w:name="ref-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298">
        <w:r>
          <w:rPr>
            <w:rStyle w:val="Hyperlink"/>
          </w:rPr>
          <w:t xml:space="preserve">https://doi.org/10.2307/2525564</w:t>
        </w:r>
      </w:hyperlink>
      <w:r>
        <w:t xml:space="preserve">.</w:t>
      </w:r>
    </w:p>
    <w:bookmarkEnd w:id="299"/>
    <w:bookmarkStart w:id="300"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00"/>
    <w:bookmarkStart w:id="301" w:name="ref-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01"/>
    <w:bookmarkStart w:id="303" w:name="ref-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02">
        <w:r>
          <w:rPr>
            <w:rStyle w:val="Hyperlink"/>
          </w:rPr>
          <w:t xml:space="preserve">https://doi.org/10.1080/01621459.1943.10501775</w:t>
        </w:r>
      </w:hyperlink>
      <w:r>
        <w:t xml:space="preserve">.</w:t>
      </w:r>
    </w:p>
    <w:bookmarkEnd w:id="303"/>
    <w:bookmarkEnd w:id="304"/>
    <w:bookmarkEnd w:id="305"/>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Por ejemplo, la relación entre la función indirecta de utilidad y la función de utilidad directa (apartado III.1).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r>
        <w:rPr>
          <w:rStyle w:val="Referenciaatema"/>
        </w:rPr>
        <w:t xml:space="preserve">[ver tema 3.A.12]</w:t>
      </w:r>
      <w:r>
        <w:t xml:space="preserve">.</w:t>
      </w:r>
    </w:p>
  </w:footnote>
  <w:footnote w:id="45">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I.3:</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w:t>
      </w:r>
    </w:p>
  </w:footnote>
  <w:footnote w:id="51">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67">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77">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que la estimaron como función de producción y obtuvieron un exponente de 3/4 para el trabajo y de 1/4 para el capital; Paul</w:t>
      </w:r>
      <w:r>
        <w:t xml:space="preserve"> </w:t>
      </w:r>
      <w:r>
        <w:rPr>
          <w:smallCaps/>
        </w:rPr>
        <w:t xml:space="preserve">Douglas</w:t>
      </w:r>
      <w:r>
        <w:t xml:space="preserve"> </w:t>
      </w:r>
      <w:r>
        <w:t xml:space="preserve">fue después senador por Illinois de 1949 a 1967</w:t>
      </w:r>
      <w:r>
        <w:t xml:space="preserve"> </w:t>
      </w:r>
      <w:r>
        <w:rPr>
          <w:rStyle w:val="Referenciaatema"/>
        </w:rPr>
        <w:t xml:space="preserve">[ver tema 3.A.11]</w:t>
      </w:r>
      <w:r>
        <w:t xml:space="preserve">.</w:t>
      </w:r>
    </w:p>
  </w:footnote>
  <w:footnote w:id="112">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 La integrabilidad solo restringe de verdad con tres bienes o más.</w:t>
      </w:r>
    </w:p>
  </w:footnote>
  <w:footnote w:id="113">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24">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r>
        <w:rPr>
          <w:rStyle w:val="Referenciaatema"/>
        </w:rPr>
        <w:t xml:space="preserve">[ver tema 3.A.3]</w:t>
      </w:r>
      <w:r>
        <w:t xml:space="preserve">.</w:t>
      </w:r>
    </w:p>
  </w:footnote>
  <w:footnote w:id="137">
    <w:p>
      <w:pPr>
        <w:pStyle w:val="FootnoteText"/>
      </w:pPr>
      <w:r>
        <w:rPr>
          <w:rStyle w:val="FootnoteReference"/>
        </w:rPr>
        <w:footnoteRef/>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w:t>
      </w:r>
      <w:r>
        <w:t xml:space="preserve">no las introduce: muestra cuándo el excedente marshalliano las aproxima.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32" Target="media/rId132.png" /><Relationship Type="http://schemas.openxmlformats.org/officeDocument/2006/relationships/image" Id="rId127" Target="media/rId127.png" /><Relationship Type="http://schemas.openxmlformats.org/officeDocument/2006/relationships/image" Id="rId146" Target="media/rId146.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52" Target="media/rId52.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69" Target="media/rId69.png" /><Relationship Type="http://schemas.openxmlformats.org/officeDocument/2006/relationships/image" Id="rId22" Target="media/rId22.png" /><Relationship Type="http://schemas.openxmlformats.org/officeDocument/2006/relationships/image" Id="rId152" Target="media/rId152.png" /><Relationship Type="http://schemas.openxmlformats.org/officeDocument/2006/relationships/image" Id="rId62" Target="media/rId62.png" /><Relationship Type="http://schemas.openxmlformats.org/officeDocument/2006/relationships/image" Id="rId30" Target="media/rId30.png" /><Relationship Type="http://schemas.openxmlformats.org/officeDocument/2006/relationships/image" Id="rId114" Target="media/rId114.png" /><Relationship Type="http://schemas.openxmlformats.org/officeDocument/2006/relationships/hyperlink" Id="rId296" Target="https://api.bls.gov/publicAPI/v1/timeseries/data/SUUR0000SA0" TargetMode="External" /><Relationship Type="http://schemas.openxmlformats.org/officeDocument/2006/relationships/hyperlink" Id="rId175" Target="https://argos.gva.es/documents/166658342/166714754/Ejemplar+3070/2957e02b-f135-4235-98a6-bfc909292066" TargetMode="External" /><Relationship Type="http://schemas.openxmlformats.org/officeDocument/2006/relationships/hyperlink" Id="rId185" Target="https://doi.org/10.1016/0014-2921(69)90017-8" TargetMode="External" /><Relationship Type="http://schemas.openxmlformats.org/officeDocument/2006/relationships/hyperlink" Id="rId201" Target="https://doi.org/10.1016/0304-4076(76)90009-9" TargetMode="External" /><Relationship Type="http://schemas.openxmlformats.org/officeDocument/2006/relationships/hyperlink" Id="rId210" Target="https://doi.org/10.1017/CBO9780511984082.003" TargetMode="External" /><Relationship Type="http://schemas.openxmlformats.org/officeDocument/2006/relationships/hyperlink" Id="rId187" Target="https://doi.org/10.1057/9780230226203.0411" TargetMode="External" /><Relationship Type="http://schemas.openxmlformats.org/officeDocument/2006/relationships/hyperlink" Id="rId302" Target="https://doi.org/10.1080/01621459.1943.10501775" TargetMode="External" /><Relationship Type="http://schemas.openxmlformats.org/officeDocument/2006/relationships/hyperlink" Id="rId221" Target="https://doi.org/10.1086/254387" TargetMode="External" /><Relationship Type="http://schemas.openxmlformats.org/officeDocument/2006/relationships/hyperlink" Id="rId189" Target="https://doi.org/10.1111/1468-0262.00394" TargetMode="External" /><Relationship Type="http://schemas.openxmlformats.org/officeDocument/2006/relationships/hyperlink" Id="rId179" Target="https://doi.org/10.1162/003465397557015" TargetMode="External" /><Relationship Type="http://schemas.openxmlformats.org/officeDocument/2006/relationships/hyperlink" Id="rId196" Target="https://doi.org/10.1596/0-8018-5254-4" TargetMode="External" /><Relationship Type="http://schemas.openxmlformats.org/officeDocument/2006/relationships/hyperlink" Id="rId274" Target="https://doi.org/10.2307/1905479" TargetMode="External" /><Relationship Type="http://schemas.openxmlformats.org/officeDocument/2006/relationships/hyperlink" Id="rId247" Target="https://doi.org/10.2307/1906997" TargetMode="External" /><Relationship Type="http://schemas.openxmlformats.org/officeDocument/2006/relationships/hyperlink" Id="rId250" Target="https://doi.org/10.2307/1909167" TargetMode="External" /><Relationship Type="http://schemas.openxmlformats.org/officeDocument/2006/relationships/hyperlink" Id="rId208" Target="https://doi.org/10.2307/1909472" TargetMode="External" /><Relationship Type="http://schemas.openxmlformats.org/officeDocument/2006/relationships/hyperlink" Id="rId287" Target="https://doi.org/10.2307/1910254" TargetMode="External" /><Relationship Type="http://schemas.openxmlformats.org/officeDocument/2006/relationships/hyperlink" Id="rId271" Target="https://doi.org/10.2307/1911416" TargetMode="External" /><Relationship Type="http://schemas.openxmlformats.org/officeDocument/2006/relationships/hyperlink" Id="rId241" Target="https://doi.org/10.2307/1911539" TargetMode="External" /><Relationship Type="http://schemas.openxmlformats.org/officeDocument/2006/relationships/hyperlink" Id="rId268" Target="https://doi.org/10.2307/1911540" TargetMode="External" /><Relationship Type="http://schemas.openxmlformats.org/officeDocument/2006/relationships/hyperlink" Id="rId292" Target="https://doi.org/10.2307/1911889" TargetMode="External" /><Relationship Type="http://schemas.openxmlformats.org/officeDocument/2006/relationships/hyperlink" Id="rId194" Target="https://doi.org/10.2307/1911983" TargetMode="External" /><Relationship Type="http://schemas.openxmlformats.org/officeDocument/2006/relationships/hyperlink" Id="rId252" Target="https://doi.org/10.2307/1912704" TargetMode="External" /><Relationship Type="http://schemas.openxmlformats.org/officeDocument/2006/relationships/hyperlink" Id="rId181" Target="https://doi.org/10.2307/1913731" TargetMode="External" /><Relationship Type="http://schemas.openxmlformats.org/officeDocument/2006/relationships/hyperlink" Id="rId183" Target="https://doi.org/10.2307/1937885" TargetMode="External" /><Relationship Type="http://schemas.openxmlformats.org/officeDocument/2006/relationships/hyperlink" Id="rId285" Target="https://doi.org/10.2307/2227743" TargetMode="External" /><Relationship Type="http://schemas.openxmlformats.org/officeDocument/2006/relationships/hyperlink" Id="rId243" Target="https://doi.org/10.2307/2295996" TargetMode="External" /><Relationship Type="http://schemas.openxmlformats.org/officeDocument/2006/relationships/hyperlink" Id="rId260" Target="https://doi.org/10.2307/2296067" TargetMode="External" /><Relationship Type="http://schemas.openxmlformats.org/officeDocument/2006/relationships/hyperlink" Id="rId204" Target="https://doi.org/10.2307/2296107" TargetMode="External" /><Relationship Type="http://schemas.openxmlformats.org/officeDocument/2006/relationships/hyperlink" Id="rId266" Target="https://doi.org/10.2307/2296792" TargetMode="External" /><Relationship Type="http://schemas.openxmlformats.org/officeDocument/2006/relationships/hyperlink" Id="rId173" Target="https://doi.org/10.2307/2525382" TargetMode="External" /><Relationship Type="http://schemas.openxmlformats.org/officeDocument/2006/relationships/hyperlink" Id="rId298" Target="https://doi.org/10.2307/2525564" TargetMode="External" /><Relationship Type="http://schemas.openxmlformats.org/officeDocument/2006/relationships/hyperlink" Id="rId219" Target="https://doi.org/10.2307/2548574" TargetMode="External" /><Relationship Type="http://schemas.openxmlformats.org/officeDocument/2006/relationships/hyperlink" Id="rId276" Target="https://doi.org/10.2307/2548836" TargetMode="External" /><Relationship Type="http://schemas.openxmlformats.org/officeDocument/2006/relationships/hyperlink" Id="rId223" Target="https://doi.org/10.2307/2549382" TargetMode="External" /><Relationship Type="http://schemas.openxmlformats.org/officeDocument/2006/relationships/hyperlink" Id="rId278" Target="https://doi.org/10.2307/2549561" TargetMode="External" /><Relationship Type="http://schemas.openxmlformats.org/officeDocument/2006/relationships/hyperlink" Id="rId214" Target="https://doi.org/10.2307/2967467" TargetMode="External" /><Relationship Type="http://schemas.openxmlformats.org/officeDocument/2006/relationships/hyperlink" Id="rId216" Target="https://doi.org/10.2307/2967517" TargetMode="External" /><Relationship Type="http://schemas.openxmlformats.org/officeDocument/2006/relationships/hyperlink" Id="rId206" Target="https://doi.org/10.3386/w12311" TargetMode="External" /><Relationship Type="http://schemas.openxmlformats.org/officeDocument/2006/relationships/hyperlink" Id="rId294" Target="https://eur-lex.europa.eu/legal-content/ES/TXT/?uri=CELEX:32013R0549" TargetMode="External" /><Relationship Type="http://schemas.openxmlformats.org/officeDocument/2006/relationships/hyperlink" Id="rId245" Target="https://ww2.amstat.org/meetings/proceedings/2021/data/assets/pdf/1913738.pdf" TargetMode="External" /><Relationship Type="http://schemas.openxmlformats.org/officeDocument/2006/relationships/hyperlink" Id="rId262" Target="https://www.boe.es/buscar/act.php?id=BOE-A-2015-11724" TargetMode="External" /><Relationship Type="http://schemas.openxmlformats.org/officeDocument/2006/relationships/hyperlink" Id="rId281" Target="https://www.funcas.es/wp-content/uploads/Migracion/Articulos/FUNCAS_CIE/228art02.pdf" TargetMode="External" /><Relationship Type="http://schemas.openxmlformats.org/officeDocument/2006/relationships/hyperlink" Id="rId226" Target="https://www.ine.es/daco/daco42/daco4213/resmeto06.pdf" TargetMode="External" /><Relationship Type="http://schemas.openxmlformats.org/officeDocument/2006/relationships/hyperlink" Id="rId236" Target="https://www.ine.es/dyngs/Prensa/CNA2025.htm" TargetMode="External" /><Relationship Type="http://schemas.openxmlformats.org/officeDocument/2006/relationships/hyperlink" Id="rId234" Target="https://www.ine.es/dyngs/Prensa/EPF2025.htm" TargetMode="External" /><Relationship Type="http://schemas.openxmlformats.org/officeDocument/2006/relationships/hyperlink" Id="rId228" Target="https://www.ine.es/jaxiT3/Tabla.htm?t=76156" TargetMode="External" /><Relationship Type="http://schemas.openxmlformats.org/officeDocument/2006/relationships/hyperlink" Id="rId230" Target="https://www.ine.es/metodologia/t25/metodologia_IPC_base_2025.pdf" TargetMode="External" /><Relationship Type="http://schemas.openxmlformats.org/officeDocument/2006/relationships/hyperlink" Id="rId232" Target="https://www.ine.es/metodologia/t25/principales_caracteristicas_base_2025.pdf" TargetMode="External" /><Relationship Type="http://schemas.openxmlformats.org/officeDocument/2006/relationships/hyperlink" Id="rId238" Target="https://www.ine.es/metodologia/t25/t2530p458.pdf" TargetMode="External" /><Relationship Type="http://schemas.openxmlformats.org/officeDocument/2006/relationships/hyperlink" Id="rId264" Target="https://www.lamoncloa.gob.es/serviciosdeprensa/notasprensa/inclusion/Paginas/2025/121225-revalorizacion-pensiones.aspx" TargetMode="External" /><Relationship Type="http://schemas.openxmlformats.org/officeDocument/2006/relationships/hyperlink" Id="rId256" Target="https://www.marxists.org/reference/subject/economics/marshall/bk1ch01.htm" TargetMode="External" /><Relationship Type="http://schemas.openxmlformats.org/officeDocument/2006/relationships/hyperlink" Id="rId290" Target="https://www.nobelprize.org/prizes/economic-sciences/2015/summary/" TargetMode="External" /><Relationship Type="http://schemas.openxmlformats.org/officeDocument/2006/relationships/hyperlink" Id="rId254" Target="https://www.thelatinlibrary.com/cicero/leg3.shtml" TargetMode="External" /><Relationship Type="http://schemas.openxmlformats.org/officeDocument/2006/relationships/hyperlink" Id="rId171" Target="https://www.victorgutierrezmarcos.es/oposicion/temario/primer-ejercicio/test/simulador.html" TargetMode="External" /></Relationships>
</file>

<file path=word/_rels/footnotes.xml.rels><?xml version="1.0" encoding="UTF-8"?><Relationships xmlns="http://schemas.openxmlformats.org/package/2006/relationships"><Relationship Type="http://schemas.openxmlformats.org/officeDocument/2006/relationships/hyperlink" Id="rId296" Target="https://api.bls.gov/publicAPI/v1/timeseries/data/SUUR0000SA0" TargetMode="External" /><Relationship Type="http://schemas.openxmlformats.org/officeDocument/2006/relationships/hyperlink" Id="rId175" Target="https://argos.gva.es/documents/166658342/166714754/Ejemplar+3070/2957e02b-f135-4235-98a6-bfc909292066" TargetMode="External" /><Relationship Type="http://schemas.openxmlformats.org/officeDocument/2006/relationships/hyperlink" Id="rId185" Target="https://doi.org/10.1016/0014-2921(69)90017-8" TargetMode="External" /><Relationship Type="http://schemas.openxmlformats.org/officeDocument/2006/relationships/hyperlink" Id="rId201" Target="https://doi.org/10.1016/0304-4076(76)90009-9" TargetMode="External" /><Relationship Type="http://schemas.openxmlformats.org/officeDocument/2006/relationships/hyperlink" Id="rId210" Target="https://doi.org/10.1017/CBO9780511984082.003" TargetMode="External" /><Relationship Type="http://schemas.openxmlformats.org/officeDocument/2006/relationships/hyperlink" Id="rId187" Target="https://doi.org/10.1057/9780230226203.0411" TargetMode="External" /><Relationship Type="http://schemas.openxmlformats.org/officeDocument/2006/relationships/hyperlink" Id="rId302" Target="https://doi.org/10.1080/01621459.1943.10501775" TargetMode="External" /><Relationship Type="http://schemas.openxmlformats.org/officeDocument/2006/relationships/hyperlink" Id="rId221" Target="https://doi.org/10.1086/254387" TargetMode="External" /><Relationship Type="http://schemas.openxmlformats.org/officeDocument/2006/relationships/hyperlink" Id="rId189" Target="https://doi.org/10.1111/1468-0262.00394" TargetMode="External" /><Relationship Type="http://schemas.openxmlformats.org/officeDocument/2006/relationships/hyperlink" Id="rId179" Target="https://doi.org/10.1162/003465397557015" TargetMode="External" /><Relationship Type="http://schemas.openxmlformats.org/officeDocument/2006/relationships/hyperlink" Id="rId196" Target="https://doi.org/10.1596/0-8018-5254-4" TargetMode="External" /><Relationship Type="http://schemas.openxmlformats.org/officeDocument/2006/relationships/hyperlink" Id="rId274" Target="https://doi.org/10.2307/1905479" TargetMode="External" /><Relationship Type="http://schemas.openxmlformats.org/officeDocument/2006/relationships/hyperlink" Id="rId247" Target="https://doi.org/10.2307/1906997" TargetMode="External" /><Relationship Type="http://schemas.openxmlformats.org/officeDocument/2006/relationships/hyperlink" Id="rId250" Target="https://doi.org/10.2307/1909167" TargetMode="External" /><Relationship Type="http://schemas.openxmlformats.org/officeDocument/2006/relationships/hyperlink" Id="rId208" Target="https://doi.org/10.2307/1909472" TargetMode="External" /><Relationship Type="http://schemas.openxmlformats.org/officeDocument/2006/relationships/hyperlink" Id="rId287" Target="https://doi.org/10.2307/1910254" TargetMode="External" /><Relationship Type="http://schemas.openxmlformats.org/officeDocument/2006/relationships/hyperlink" Id="rId271" Target="https://doi.org/10.2307/1911416" TargetMode="External" /><Relationship Type="http://schemas.openxmlformats.org/officeDocument/2006/relationships/hyperlink" Id="rId241" Target="https://doi.org/10.2307/1911539" TargetMode="External" /><Relationship Type="http://schemas.openxmlformats.org/officeDocument/2006/relationships/hyperlink" Id="rId268" Target="https://doi.org/10.2307/1911540" TargetMode="External" /><Relationship Type="http://schemas.openxmlformats.org/officeDocument/2006/relationships/hyperlink" Id="rId292" Target="https://doi.org/10.2307/1911889" TargetMode="External" /><Relationship Type="http://schemas.openxmlformats.org/officeDocument/2006/relationships/hyperlink" Id="rId194" Target="https://doi.org/10.2307/1911983" TargetMode="External" /><Relationship Type="http://schemas.openxmlformats.org/officeDocument/2006/relationships/hyperlink" Id="rId252" Target="https://doi.org/10.2307/1912704" TargetMode="External" /><Relationship Type="http://schemas.openxmlformats.org/officeDocument/2006/relationships/hyperlink" Id="rId181" Target="https://doi.org/10.2307/1913731" TargetMode="External" /><Relationship Type="http://schemas.openxmlformats.org/officeDocument/2006/relationships/hyperlink" Id="rId183" Target="https://doi.org/10.2307/1937885" TargetMode="External" /><Relationship Type="http://schemas.openxmlformats.org/officeDocument/2006/relationships/hyperlink" Id="rId285" Target="https://doi.org/10.2307/2227743" TargetMode="External" /><Relationship Type="http://schemas.openxmlformats.org/officeDocument/2006/relationships/hyperlink" Id="rId243" Target="https://doi.org/10.2307/2295996" TargetMode="External" /><Relationship Type="http://schemas.openxmlformats.org/officeDocument/2006/relationships/hyperlink" Id="rId260" Target="https://doi.org/10.2307/2296067" TargetMode="External" /><Relationship Type="http://schemas.openxmlformats.org/officeDocument/2006/relationships/hyperlink" Id="rId204" Target="https://doi.org/10.2307/2296107" TargetMode="External" /><Relationship Type="http://schemas.openxmlformats.org/officeDocument/2006/relationships/hyperlink" Id="rId266" Target="https://doi.org/10.2307/2296792" TargetMode="External" /><Relationship Type="http://schemas.openxmlformats.org/officeDocument/2006/relationships/hyperlink" Id="rId173" Target="https://doi.org/10.2307/2525382" TargetMode="External" /><Relationship Type="http://schemas.openxmlformats.org/officeDocument/2006/relationships/hyperlink" Id="rId298" Target="https://doi.org/10.2307/2525564" TargetMode="External" /><Relationship Type="http://schemas.openxmlformats.org/officeDocument/2006/relationships/hyperlink" Id="rId219" Target="https://doi.org/10.2307/2548574" TargetMode="External" /><Relationship Type="http://schemas.openxmlformats.org/officeDocument/2006/relationships/hyperlink" Id="rId276" Target="https://doi.org/10.2307/2548836" TargetMode="External" /><Relationship Type="http://schemas.openxmlformats.org/officeDocument/2006/relationships/hyperlink" Id="rId223" Target="https://doi.org/10.2307/2549382" TargetMode="External" /><Relationship Type="http://schemas.openxmlformats.org/officeDocument/2006/relationships/hyperlink" Id="rId278" Target="https://doi.org/10.2307/2549561" TargetMode="External" /><Relationship Type="http://schemas.openxmlformats.org/officeDocument/2006/relationships/hyperlink" Id="rId214" Target="https://doi.org/10.2307/2967467" TargetMode="External" /><Relationship Type="http://schemas.openxmlformats.org/officeDocument/2006/relationships/hyperlink" Id="rId216" Target="https://doi.org/10.2307/2967517" TargetMode="External" /><Relationship Type="http://schemas.openxmlformats.org/officeDocument/2006/relationships/hyperlink" Id="rId206" Target="https://doi.org/10.3386/w12311" TargetMode="External" /><Relationship Type="http://schemas.openxmlformats.org/officeDocument/2006/relationships/hyperlink" Id="rId294" Target="https://eur-lex.europa.eu/legal-content/ES/TXT/?uri=CELEX:32013R0549" TargetMode="External" /><Relationship Type="http://schemas.openxmlformats.org/officeDocument/2006/relationships/hyperlink" Id="rId245" Target="https://ww2.amstat.org/meetings/proceedings/2021/data/assets/pdf/1913738.pdf" TargetMode="External" /><Relationship Type="http://schemas.openxmlformats.org/officeDocument/2006/relationships/hyperlink" Id="rId262" Target="https://www.boe.es/buscar/act.php?id=BOE-A-2015-11724" TargetMode="External" /><Relationship Type="http://schemas.openxmlformats.org/officeDocument/2006/relationships/hyperlink" Id="rId281" Target="https://www.funcas.es/wp-content/uploads/Migracion/Articulos/FUNCAS_CIE/228art02.pdf" TargetMode="External" /><Relationship Type="http://schemas.openxmlformats.org/officeDocument/2006/relationships/hyperlink" Id="rId226" Target="https://www.ine.es/daco/daco42/daco4213/resmeto06.pdf" TargetMode="External" /><Relationship Type="http://schemas.openxmlformats.org/officeDocument/2006/relationships/hyperlink" Id="rId236" Target="https://www.ine.es/dyngs/Prensa/CNA2025.htm" TargetMode="External" /><Relationship Type="http://schemas.openxmlformats.org/officeDocument/2006/relationships/hyperlink" Id="rId234" Target="https://www.ine.es/dyngs/Prensa/EPF2025.htm" TargetMode="External" /><Relationship Type="http://schemas.openxmlformats.org/officeDocument/2006/relationships/hyperlink" Id="rId228" Target="https://www.ine.es/jaxiT3/Tabla.htm?t=76156" TargetMode="External" /><Relationship Type="http://schemas.openxmlformats.org/officeDocument/2006/relationships/hyperlink" Id="rId230" Target="https://www.ine.es/metodologia/t25/metodologia_IPC_base_2025.pdf" TargetMode="External" /><Relationship Type="http://schemas.openxmlformats.org/officeDocument/2006/relationships/hyperlink" Id="rId232" Target="https://www.ine.es/metodologia/t25/principales_caracteristicas_base_2025.pdf" TargetMode="External" /><Relationship Type="http://schemas.openxmlformats.org/officeDocument/2006/relationships/hyperlink" Id="rId238" Target="https://www.ine.es/metodologia/t25/t2530p458.pdf" TargetMode="External" /><Relationship Type="http://schemas.openxmlformats.org/officeDocument/2006/relationships/hyperlink" Id="rId264" Target="https://www.lamoncloa.gob.es/serviciosdeprensa/notasprensa/inclusion/Paginas/2025/121225-revalorizacion-pensiones.aspx" TargetMode="External" /><Relationship Type="http://schemas.openxmlformats.org/officeDocument/2006/relationships/hyperlink" Id="rId256" Target="https://www.marxists.org/reference/subject/economics/marshall/bk1ch01.htm" TargetMode="External" /><Relationship Type="http://schemas.openxmlformats.org/officeDocument/2006/relationships/hyperlink" Id="rId290" Target="https://www.nobelprize.org/prizes/economic-sciences/2015/summary/" TargetMode="External" /><Relationship Type="http://schemas.openxmlformats.org/officeDocument/2006/relationships/hyperlink" Id="rId254" Target="https://www.thelatinlibrary.com/cicero/leg3.shtml" TargetMode="External" /><Relationship Type="http://schemas.openxmlformats.org/officeDocument/2006/relationships/hyperlink" Id="rId171"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language>es-ES</dc:language>
  <cp:keywords/>
  <dcterms:created xsi:type="dcterms:W3CDTF">2026-10-13T21:39:59Z</dcterms:created>
  <dcterms:modified xsi:type="dcterms:W3CDTF">2026-10-13T21:39:59Z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3A09</vt:lpwstr>
  </property>
  <property fmtid="{D5CDD505-2E9C-101B-9397-08002B2CF9AE}" pid="3" name="bibliography">
    <vt:lpwstr>C:\Users\vgutierrez\Documents\src\victorgutierrezmarcos.github.io-revision\oposicion\temario\fuentes\3A09\3A09.bib</vt:lpwstr>
  </property>
  <property fmtid="{D5CDD505-2E9C-101B-9397-08002B2CF9AE}" pid="4" name="carpeta">
    <vt:lpwstr>tercer-ejercicio</vt:lpwstr>
  </property>
  <property fmtid="{D5CDD505-2E9C-101B-9397-08002B2CF9AE}" pid="5" name="codigo">
    <vt:lpwstr>3.A.9</vt:lpwstr>
  </property>
  <property fmtid="{D5CDD505-2E9C-101B-9397-08002B2CF9AE}" pid="6" name="csl">
    <vt:lpwstr>C:\Users\vgutierrez\Documents\src\victorgutierrezmarcos.github.io-revision\oposicion\temario\latex\tcee.csl</vt:lpwstr>
  </property>
  <property fmtid="{D5CDD505-2E9C-101B-9397-08002B2CF9AE}" pid="7" name="date">
    <vt:lpwstr>Última actualización: 13/10/2026</vt:lpwstr>
  </property>
  <property fmtid="{D5CDD505-2E9C-101B-9397-08002B2CF9AE}" pid="8" name="ejercicio">
    <vt:lpwstr>Tercer ejercicio</vt:lpwstr>
  </property>
  <property fmtid="{D5CDD505-2E9C-101B-9397-08002B2CF9AE}" pid="9" name="fecha">
    <vt:lpwstr>13/10/2026</vt:lpwstr>
  </property>
  <property fmtid="{D5CDD505-2E9C-101B-9397-08002B2CF9AE}" pid="10" name="graficos-docx">
    <vt:lpwstr>C:\Users\vgutierrez\Documents\src\victorgutierrezmarcos.github.io-revision\oposicion\temario\fuentes\3A09\graficos</vt:lpwstr>
  </property>
  <property fmtid="{D5CDD505-2E9C-101B-9397-08002B2CF9AE}" pid="11" name="link-citations">
    <vt:lpwstr>True</vt:lpwstr>
  </property>
  <property fmtid="{D5CDD505-2E9C-101B-9397-08002B2CF9AE}" pid="12" name="reference-section-title">
    <vt:lpwstr>Bibliografía</vt:lpwstr>
  </property>
  <property fmtid="{D5CDD505-2E9C-101B-9397-08002B2CF9AE}" pid="13" name="titulo">
    <vt:lpwstr>Teoría de la demanda del consumidor (II). Dualidad e integrabilidad de las preferencias. Sistemas de demanda utilizados en estudios empíricos. Medidas de cambio en el bienestar.</vt:lpwstr>
  </property>
</Properties>
</file>