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png" ContentType="image/png"/>
  <Override PartName="/word/media/rId132.png" ContentType="image/png"/>
  <Override PartName="/word/media/rId151.png" ContentType="image/png"/>
  <Override PartName="/word/media/rId143.png" ContentType="image/png"/>
  <Override PartName="/word/media/rId147.png" ContentType="image/png"/>
  <Override PartName="/word/media/rId56.png" ContentType="image/png"/>
  <Override PartName="/word/media/rId38.png" ContentType="image/png"/>
  <Override PartName="/word/media/rId49.png" ContentType="image/png"/>
  <Override PartName="/word/media/rId73.png" ContentType="image/png"/>
  <Override PartName="/word/media/rId22.png" ContentType="image/png"/>
  <Override PartName="/word/media/rId159.png" ContentType="image/png"/>
  <Override PartName="/word/media/rId66.png" ContentType="image/png"/>
  <Override PartName="/word/media/rId31.png" ContentType="image/png"/>
  <Override PartName="/word/media/rId11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16/10/2026</w:t>
      </w:r>
    </w:p>
    <w:p>
      <w:pPr>
        <w:pStyle w:val="Paginasdeltema"/>
      </w:pPr>
      <w:r>
        <w:t xml:space="preserve">Tema: 40 págs. · Anexos: 5 · Bibliografía: 4 (PDF)</w:t>
      </w:r>
    </w:p>
    <w:bookmarkStart w:id="21" w:name="introducció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r>
        <w:rPr>
          <w:rStyle w:val="Referenciaatema"/>
        </w:rPr>
        <w:t xml:space="preserve">[ver tema 3.A.8]</w:t>
      </w:r>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0"/>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propia y cruzada, neta y bruta (III.2), y la medición de los cambios en el bienestar, con el excedente del consumidor, la métrica monetaria, las variaciones compensatoria y equivalente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del cante: introducción, 2′; I, 10′ (I.1, 2′; I.2, 5′; I.3, 3′); II, 5′ (II.1, 0′30″; II.2, 3′30″; II.3, 1′); III, 12′ (III.1, 2′30″; III.2, 3′30″; III.3, 6′), y conclusión, 1′. El bloque I 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79" w:name="X71f534b4cdd64c3c6c7a75da5470e7aafa576ae"/>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A) son de profundización.</w:t>
      </w:r>
    </w:p>
    <w:p>
      <w:pPr>
        <w:numPr>
          <w:ilvl w:val="0"/>
          <w:numId w:val="1008"/>
        </w:numPr>
      </w:pPr>
      <w:r>
        <w:t xml:space="preserve">Este bloque responde a la primera pregunta.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7" w:name="Xadf3614fecccd08a3ec2ecd90481c1f5511b388"/>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1).</w:t>
      </w:r>
    </w:p>
    <w:bookmarkStart w:id="25" w:name="fig:esquema-ingredientes-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3" name="Picture"/>
            <a:graphic>
              <a:graphicData uri="http://schemas.openxmlformats.org/drawingml/2006/picture">
                <pic:pic>
                  <pic:nvPicPr>
                    <pic:cNvPr descr="C:\Users\vgutierrez\Documents\src\victorgutierrezmarcos.github.io-revision\oposicion\temario\fuentes\3A09\graficos/esquema-ingredientes-dualidad.png" id="24" name="Picture"/>
                    <pic:cNvPicPr>
                      <a:picLocks noChangeArrowheads="1" noChangeAspect="1"/>
                    </pic:cNvPicPr>
                  </pic:nvPicPr>
                  <pic:blipFill>
                    <a:blip r:embed="rId22"/>
                    <a:stretch>
                      <a:fillRect/>
                    </a:stretch>
                  </pic:blipFill>
                  <pic:spPr bwMode="auto">
                    <a:xfrm>
                      <a:off x="0" y="0"/>
                      <a:ext cx="5670550" cy="1833824"/>
                    </a:xfrm>
                    <a:prstGeom prst="rect">
                      <a:avLst/>
                    </a:prstGeom>
                    <a:noFill/>
                    <a:ln w="9525">
                      <a:noFill/>
                      <a:headEnd/>
                      <a:tailEnd/>
                    </a:ln>
                  </pic:spPr>
                </pic:pic>
              </a:graphicData>
            </a:graphic>
          </wp:inline>
        </w:drawing>
      </w:r>
    </w:p>
    <w:bookmarkEnd w:id="25"/>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r>
        <w:rPr>
          <w:rStyle w:val="Referenciaatema"/>
        </w:rPr>
        <w:t xml:space="preserve">[ver tema 3.A.8]</w:t>
      </w:r>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1).</w:t>
      </w:r>
    </w:p>
    <w:bookmarkStart w:id="26"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26"/>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w:t>
        </w:r>
      </w:hyperlink>
      <w:r>
        <w:rPr>
          <w:i/>
          <w:iCs/>
        </w:rPr>
        <w:t xml:space="preserve">)</w:t>
      </w:r>
      <w:r>
        <w:rPr>
          <w:i/>
          <w:iCs/>
        </w:rPr>
        <w:t xml:space="preserve">.</w:t>
      </w:r>
    </w:p>
    <w:bookmarkEnd w:id="27"/>
    <w:bookmarkStart w:id="65" w:name="problemas-primal-y-dual"/>
    <w:p>
      <w:pPr>
        <w:pStyle w:val="Heading2"/>
      </w:pPr>
      <w:r>
        <w:t xml:space="preserve">I.2.</w:t>
      </w:r>
      <w:r>
        <w:t xml:space="preserve"> </w:t>
      </w:r>
      <w:r>
        <w:t xml:space="preserve">Problemas primal y dual</w:t>
      </w:r>
    </w:p>
    <w:bookmarkStart w:id="45" w:name="X7c6d98eafb5dd2ce68979be25b5ecb40da7c1bf"/>
    <w:p>
      <w:pPr>
        <w:pStyle w:val="Heading3"/>
      </w:pPr>
      <w:r>
        <w:t xml:space="preserve">I.2.1.</w:t>
      </w:r>
      <w:r>
        <w:t xml:space="preserve"> </w:t>
      </w:r>
      <w:r>
        <w:t xml:space="preserve">Problema primal: maximización de la utilidad</w:t>
      </w:r>
    </w:p>
    <w:bookmarkStart w:id="28" w:name="a-idea"/>
    <w:p>
      <w:pPr>
        <w:pStyle w:val="Heading4"/>
      </w:pPr>
      <w:r>
        <w:t xml:space="preserve">a) Idea</w:t>
      </w:r>
    </w:p>
    <w:p>
      <w:pPr>
        <w:numPr>
          <w:ilvl w:val="0"/>
          <w:numId w:val="1016"/>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r>
        <w:rPr>
          <w:rStyle w:val="Referenciaatema"/>
        </w:rPr>
        <w:t xml:space="preserve">[ver tema 3.A.8]</w:t>
      </w:r>
      <w:r>
        <w:t xml:space="preserve">.</w:t>
      </w:r>
    </w:p>
    <w:bookmarkEnd w:id="28"/>
    <w:bookmarkStart w:id="43" w:name="b-modelo"/>
    <w:p>
      <w:pPr>
        <w:pStyle w:val="Heading4"/>
      </w:pPr>
      <w:r>
        <w:t xml:space="preserve">b) Modelo</w:t>
      </w:r>
    </w:p>
    <w:bookmarkStart w:id="29" w:name="i-supuestos"/>
    <w:p>
      <w:pPr>
        <w:pStyle w:val="Heading5"/>
      </w:pPr>
      <w:r>
        <w:t xml:space="preserve">i) Supuestos</w:t>
      </w:r>
    </w:p>
    <w:p>
      <w:pPr>
        <w:numPr>
          <w:ilvl w:val="0"/>
          <w:numId w:val="1017"/>
        </w:numPr>
      </w:pPr>
      <w:r>
        <w:t xml:space="preserve">Los de I.1: contexto estático, información perfecta, preferencias de buen comportamiento representables con una función de utilidad de buen comportamiento, bienes homogéneos y consumidor precio-aceptante.</w:t>
      </w:r>
    </w:p>
    <w:bookmarkEnd w:id="29"/>
    <w:bookmarkStart w:id="35" w:name="ii-desarrollo"/>
    <w:p>
      <w:pPr>
        <w:pStyle w:val="Heading5"/>
      </w:pPr>
      <w:r>
        <w:t xml:space="preserve">ii) Desarrollo</w:t>
      </w:r>
    </w:p>
    <w:p>
      <w:pPr>
        <w:numPr>
          <w:ilvl w:val="0"/>
          <w:numId w:val="1018"/>
        </w:numPr>
      </w:pPr>
      <w:r>
        <w:rPr>
          <w:i/>
          <w:iCs/>
        </w:rPr>
        <w:t xml:space="preserve">Analítico</w:t>
      </w:r>
      <w:r>
        <w:t xml:space="preserve">. El</w:t>
      </w:r>
      <w:r>
        <w:t xml:space="preserve"> </w:t>
      </w:r>
      <w:r>
        <w:rPr>
          <w:b/>
          <w:bCs/>
        </w:rPr>
        <w:t xml:space="preserve">problema de maximización de la utilidad</w:t>
      </w:r>
      <w:r>
        <w:t xml:space="preserve"> </w:t>
      </w:r>
      <w:r>
        <w:t xml:space="preserve">(PMU)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19"/>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19"/>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0"/>
      </w:r>
    </w:p>
    <w:p>
      <w:pPr>
        <w:numPr>
          <w:ilvl w:val="1"/>
          <w:numId w:val="1019"/>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A.</w:t>
      </w:r>
    </w:p>
    <w:p>
      <w:pPr>
        <w:numPr>
          <w:ilvl w:val="0"/>
          <w:numId w:val="1018"/>
        </w:numPr>
      </w:pPr>
      <w:r>
        <w:rPr>
          <w:i/>
          <w:iCs/>
        </w:rPr>
        <w:t xml:space="preserve">Gráfico</w:t>
      </w:r>
      <w:r>
        <w:t xml:space="preserve"> </w:t>
      </w:r>
      <w:r>
        <w:t xml:space="preserve">(gráfico 2),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34" w:name="fig: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32" name="Picture"/>
            <a:graphic>
              <a:graphicData uri="http://schemas.openxmlformats.org/drawingml/2006/picture">
                <pic:pic>
                  <pic:nvPicPr>
                    <pic:cNvPr descr="C:\Users\vgutierrez\Documents\src\victorgutierrezmarcos.github.io-revision\oposicion\temario\fuentes\3A09\graficos/primal.png" id="33" name="Picture"/>
                    <pic:cNvPicPr>
                      <a:picLocks noChangeArrowheads="1" noChangeAspect="1"/>
                    </pic:cNvPicPr>
                  </pic:nvPicPr>
                  <pic:blipFill>
                    <a:blip r:embed="rId31"/>
                    <a:stretch>
                      <a:fillRect/>
                    </a:stretch>
                  </pic:blipFill>
                  <pic:spPr bwMode="auto">
                    <a:xfrm>
                      <a:off x="0" y="0"/>
                      <a:ext cx="2688152" cy="2272238"/>
                    </a:xfrm>
                    <a:prstGeom prst="rect">
                      <a:avLst/>
                    </a:prstGeom>
                    <a:noFill/>
                    <a:ln w="9525">
                      <a:noFill/>
                      <a:headEnd/>
                      <a:tailEnd/>
                    </a:ln>
                  </pic:spPr>
                </pic:pic>
              </a:graphicData>
            </a:graphic>
          </wp:inline>
        </w:drawing>
      </w:r>
    </w:p>
    <w:bookmarkEnd w:id="34"/>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3.D.1</w:t>
        </w:r>
      </w:hyperlink>
      <w:r>
        <w:t xml:space="preserve">)</w:t>
      </w:r>
      <w:r>
        <w:t xml:space="preserve">.</w:t>
      </w:r>
    </w:p>
    <w:bookmarkEnd w:id="35"/>
    <w:bookmarkStart w:id="42" w:name="Xee0fe5705837d24383fbf47e6e89e518ec7c9c1"/>
    <w:p>
      <w:pPr>
        <w:pStyle w:val="Heading5"/>
      </w:pPr>
      <w:r>
        <w:t xml:space="preserve">iii) Implicaciones: la demanda marshalliana y la función indirecta de utilidad</w:t>
      </w:r>
    </w:p>
    <w:p>
      <w:pPr>
        <w:numPr>
          <w:ilvl w:val="0"/>
          <w:numId w:val="1020"/>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36"/>
      </w:r>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1"/>
        </w:numPr>
      </w:pPr>
      <w:r>
        <w:rPr>
          <w:i/>
          <w:iCs/>
        </w:rPr>
        <w:t xml:space="preserve">existe, es global y es única</w:t>
      </w:r>
      <w:r>
        <w:t xml:space="preserve">, por los teoremas de la optimización condicionada que acabamos de ver;</w:t>
      </w:r>
    </w:p>
    <w:p>
      <w:pPr>
        <w:numPr>
          <w:ilvl w:val="1"/>
          <w:numId w:val="102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1"/>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1"/>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37"/>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1"/>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0"/>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2"/>
        </w:numPr>
      </w:pPr>
      <w:r>
        <w:rPr>
          <w:i/>
          <w:iCs/>
        </w:rPr>
        <w:t xml:space="preserve">existe</w:t>
      </w:r>
      <w:r>
        <w:t xml:space="preserve">, porque existe la demanda;</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2"/>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2"/>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3"/>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3"/>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w:t>
      </w:r>
    </w:p>
    <w:p>
      <w:pPr>
        <w:numPr>
          <w:ilvl w:val="2"/>
          <w:numId w:val="1023"/>
        </w:numPr>
      </w:pPr>
      <w:r>
        <w:rPr>
          <w:i/>
          <w:iCs/>
        </w:rPr>
        <w:t xml:space="preserve">Gráficamente</w:t>
      </w:r>
      <w:r>
        <w:t xml:space="preserve"> </w:t>
      </w:r>
      <w:r>
        <w:t xml:space="preserve">(gráfico 3): la recta de balance promedio pasa por el corte de las dos extremas y queda dentro de la unión de sus conjuntos presupuestarios, así que la utilidad máxima con el promedio no supera la mayor de las alcanzables con los extremos.</w:t>
      </w:r>
    </w:p>
    <w:p>
      <w:pPr>
        <w:numPr>
          <w:ilvl w:val="2"/>
          <w:numId w:val="1023"/>
        </w:numPr>
      </w:pPr>
      <w:r>
        <w:t xml:space="preserve">No depende de la convexidad de las preferencias;</w:t>
      </w:r>
    </w:p>
    <w:p>
      <w:pPr>
        <w:numPr>
          <w:ilvl w:val="1"/>
          <w:numId w:val="1022"/>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B).</w:t>
      </w:r>
    </w:p>
    <w:bookmarkStart w:id="41" w:name="fig:cuasiconvexidad-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39" name="Picture"/>
            <a:graphic>
              <a:graphicData uri="http://schemas.openxmlformats.org/drawingml/2006/picture">
                <pic:pic>
                  <pic:nvPicPr>
                    <pic:cNvPr descr="C:\Users\vgutierrez\Documents\src\victorgutierrezmarcos.github.io-revision\oposicion\temario\fuentes\3A09\graficos/cuasiconvexidad-fiu.png" id="40" name="Picture"/>
                    <pic:cNvPicPr>
                      <a:picLocks noChangeArrowheads="1" noChangeAspect="1"/>
                    </pic:cNvPicPr>
                  </pic:nvPicPr>
                  <pic:blipFill>
                    <a:blip r:embed="rId38"/>
                    <a:stretch>
                      <a:fillRect/>
                    </a:stretch>
                  </pic:blipFill>
                  <pic:spPr bwMode="auto">
                    <a:xfrm>
                      <a:off x="0" y="0"/>
                      <a:ext cx="3581400" cy="2567681"/>
                    </a:xfrm>
                    <a:prstGeom prst="rect">
                      <a:avLst/>
                    </a:prstGeom>
                    <a:noFill/>
                    <a:ln w="9525">
                      <a:noFill/>
                      <a:headEnd/>
                      <a:tailEnd/>
                    </a:ln>
                  </pic:spPr>
                </pic:pic>
              </a:graphicData>
            </a:graphic>
          </wp:inline>
        </w:drawing>
      </w:r>
    </w:p>
    <w:bookmarkEnd w:id="4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3.D.5</w:t>
        </w:r>
      </w:hyperlink>
      <w:r>
        <w:t xml:space="preserve">)</w:t>
      </w:r>
      <w:r>
        <w:t xml:space="preserve">.</w:t>
      </w:r>
    </w:p>
    <w:bookmarkEnd w:id="42"/>
    <w:bookmarkEnd w:id="43"/>
    <w:bookmarkStart w:id="44" w:name="e-valoración"/>
    <w:p>
      <w:pPr>
        <w:pStyle w:val="Heading4"/>
      </w:pPr>
      <w:r>
        <w:t xml:space="preserve">e) Valoración</w:t>
      </w:r>
    </w:p>
    <w:p>
      <w:pPr>
        <w:numPr>
          <w:ilvl w:val="0"/>
          <w:numId w:val="1024"/>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44"/>
    <w:bookmarkEnd w:id="45"/>
    <w:bookmarkStart w:id="64" w:name="problema-dual-minimización-del-gasto"/>
    <w:p>
      <w:pPr>
        <w:pStyle w:val="Heading3"/>
      </w:pPr>
      <w:r>
        <w:t xml:space="preserve">I.2.2.</w:t>
      </w:r>
      <w:r>
        <w:t xml:space="preserve"> </w:t>
      </w:r>
      <w:r>
        <w:t xml:space="preserve">Problema dual: minimización del gasto</w:t>
      </w:r>
    </w:p>
    <w:bookmarkStart w:id="46" w:name="a-idea-1"/>
    <w:p>
      <w:pPr>
        <w:pStyle w:val="Heading4"/>
      </w:pPr>
      <w:r>
        <w:t xml:space="preserve">a) Idea</w:t>
      </w:r>
    </w:p>
    <w:p>
      <w:pPr>
        <w:numPr>
          <w:ilvl w:val="0"/>
          <w:numId w:val="1025"/>
        </w:numPr>
      </w:pPr>
      <w:r>
        <w:t xml:space="preserve">En lugar de preguntar cuánta utilidad compra una renta, preguntamos cuál es la forma más barata de alcanzar un nivel de utilidad. Es el problema de optimización alternativo que propone la teoría de la dualidad.</w:t>
      </w:r>
    </w:p>
    <w:bookmarkEnd w:id="46"/>
    <w:bookmarkStart w:id="62" w:name="b-modelo-1"/>
    <w:p>
      <w:pPr>
        <w:pStyle w:val="Heading4"/>
      </w:pPr>
      <w:r>
        <w:t xml:space="preserve">b) Modelo</w:t>
      </w:r>
    </w:p>
    <w:bookmarkStart w:id="47" w:name="i-supuestos-1"/>
    <w:p>
      <w:pPr>
        <w:pStyle w:val="Heading5"/>
      </w:pPr>
      <w:r>
        <w:t xml:space="preserve">i) Supuestos</w:t>
      </w:r>
    </w:p>
    <w:p>
      <w:pPr>
        <w:numPr>
          <w:ilvl w:val="0"/>
          <w:numId w:val="1026"/>
        </w:numPr>
      </w:pPr>
      <w:r>
        <w:t xml:space="preserve">Son idénticos a los del primal: solo cambia la formulación del problema.</w:t>
      </w:r>
    </w:p>
    <w:bookmarkEnd w:id="47"/>
    <w:bookmarkStart w:id="53" w:name="ii-desarrollo-1"/>
    <w:p>
      <w:pPr>
        <w:pStyle w:val="Heading5"/>
      </w:pPr>
      <w:r>
        <w:t xml:space="preserve">ii) Desarrollo</w:t>
      </w:r>
    </w:p>
    <w:p>
      <w:pPr>
        <w:numPr>
          <w:ilvl w:val="0"/>
          <w:numId w:val="1027"/>
        </w:numPr>
      </w:pPr>
      <w:r>
        <w:rPr>
          <w:i/>
          <w:iCs/>
        </w:rPr>
        <w:t xml:space="preserve">Analítico</w:t>
      </w:r>
      <w:r>
        <w:t xml:space="preserve">. El</w:t>
      </w:r>
      <w:r>
        <w:t xml:space="preserve"> </w:t>
      </w:r>
      <w:r>
        <w:rPr>
          <w:b/>
          <w:bCs/>
        </w:rPr>
        <w:t xml:space="preserve">problema de minimización del gasto</w:t>
      </w:r>
      <w:r>
        <w:t xml:space="preserve"> </w:t>
      </w:r>
      <w:r>
        <w:t xml:space="preserve">(PMG)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8"/>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8"/>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8"/>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8"/>
        </w:numPr>
      </w:pPr>
      <w:r>
        <w:t xml:space="preserve">En una solución interior, las condiciones de primer orden dan</w:t>
      </w:r>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28"/>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48"/>
      </w:r>
    </w:p>
    <w:p>
      <w:pPr>
        <w:numPr>
          <w:ilvl w:val="1"/>
          <w:numId w:val="1028"/>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A).</w:t>
      </w:r>
    </w:p>
    <w:p>
      <w:pPr>
        <w:numPr>
          <w:ilvl w:val="0"/>
          <w:numId w:val="1027"/>
        </w:numPr>
      </w:pPr>
      <w:r>
        <w:rPr>
          <w:i/>
          <w:iCs/>
        </w:rPr>
        <w:t xml:space="preserve">Gráfico</w:t>
      </w:r>
      <w:r>
        <w:t xml:space="preserve"> </w:t>
      </w:r>
      <w:r>
        <w:t xml:space="preserve">(gráfico 4):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52" w:name="fig: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50" name="Picture"/>
            <a:graphic>
              <a:graphicData uri="http://schemas.openxmlformats.org/drawingml/2006/picture">
                <pic:pic>
                  <pic:nvPicPr>
                    <pic:cNvPr descr="C:\Users\vgutierrez\Documents\src\victorgutierrezmarcos.github.io-revision\oposicion\temario\fuentes\3A09\graficos/dual.png" id="51" name="Picture"/>
                    <pic:cNvPicPr>
                      <a:picLocks noChangeArrowheads="1" noChangeAspect="1"/>
                    </pic:cNvPicPr>
                  </pic:nvPicPr>
                  <pic:blipFill>
                    <a:blip r:embed="rId49"/>
                    <a:stretch>
                      <a:fillRect/>
                    </a:stretch>
                  </pic:blipFill>
                  <pic:spPr bwMode="auto">
                    <a:xfrm>
                      <a:off x="0" y="0"/>
                      <a:ext cx="2654512" cy="2275296"/>
                    </a:xfrm>
                    <a:prstGeom prst="rect">
                      <a:avLst/>
                    </a:prstGeom>
                    <a:noFill/>
                    <a:ln w="9525">
                      <a:noFill/>
                      <a:headEnd/>
                      <a:tailEnd/>
                    </a:ln>
                  </pic:spPr>
                </pic:pic>
              </a:graphicData>
            </a:graphic>
          </wp:inline>
        </w:drawing>
      </w:r>
    </w:p>
    <w:bookmarkEnd w:id="5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bookmarkEnd w:id="53"/>
    <w:bookmarkStart w:id="61" w:name="X7d303b0783c5a0d4bd1c448bf099f6e0e0c4b49"/>
    <w:p>
      <w:pPr>
        <w:pStyle w:val="Heading5"/>
      </w:pPr>
      <w:r>
        <w:t xml:space="preserve">iii) Implicaciones: la demanda hicksiana y la función de gasto</w:t>
      </w:r>
    </w:p>
    <w:p>
      <w:pPr>
        <w:numPr>
          <w:ilvl w:val="0"/>
          <w:numId w:val="1029"/>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54"/>
      </w:r>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29"/>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30"/>
        </w:numPr>
      </w:pPr>
      <w:r>
        <w:rPr>
          <w:i/>
          <w:iCs/>
        </w:rPr>
        <w:t xml:space="preserve">existe, es global y es única</w:t>
      </w:r>
      <w:r>
        <w:t xml:space="preserve">, con preferencias estrictamente convexas;</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0"/>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0"/>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0"/>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55"/>
      </w:r>
      <w:r>
        <w:t xml:space="preserve"> </w:t>
      </w:r>
      <w:r>
        <w:t xml:space="preserve">Es la diferencia fundamental con la demanda marshalliana, y se debe a la concavidad de la función de gasto, como veremos enseguida.</w:t>
      </w:r>
    </w:p>
    <w:p>
      <w:pPr>
        <w:numPr>
          <w:ilvl w:val="0"/>
          <w:numId w:val="1029"/>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(I.3) y la ecuación de</w:t>
      </w:r>
      <w:r>
        <w:t xml:space="preserve"> </w:t>
      </w:r>
      <w:r>
        <w:rPr>
          <w:smallCaps/>
        </w:rPr>
        <w:t xml:space="preserve">Slutsky</w:t>
      </w:r>
      <w:r>
        <w:t xml:space="preserve"> </w:t>
      </w:r>
      <w:r>
        <w:t xml:space="preserve">(III.2) permiten recuperar sus derivadas a partir de la demanda marshalliana, que sí se observa.</w:t>
      </w:r>
    </w:p>
    <w:p>
      <w:pPr>
        <w:numPr>
          <w:ilvl w:val="0"/>
          <w:numId w:val="1029"/>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1"/>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1"/>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1"/>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1"/>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2"/>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2"/>
        </w:numPr>
      </w:pPr>
      <w:r>
        <w:t xml:space="preserve">como puede reoptimizar y sustituir los bienes que se encarecen por los que se abaratan, gasta como mucho eso:</w:t>
      </w:r>
    </w:p>
    <w:p>
      <w:pPr>
        <w:pStyle w:val="FirstParagraph"/>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5).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1"/>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1"/>
          <w:numId w:val="1031"/>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3"/>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3"/>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3"/>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III.2.</w:t>
      </w:r>
    </w:p>
    <w:bookmarkStart w:id="59" w:name="fig:concavidad-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57" name="Picture"/>
            <a:graphic>
              <a:graphicData uri="http://schemas.openxmlformats.org/drawingml/2006/picture">
                <pic:pic>
                  <pic:nvPicPr>
                    <pic:cNvPr descr="C:\Users\vgutierrez\Documents\src\victorgutierrezmarcos.github.io-revision\oposicion\temario\fuentes\3A09\graficos/concavidad-fg.png" id="58" name="Picture"/>
                    <pic:cNvPicPr>
                      <a:picLocks noChangeArrowheads="1" noChangeAspect="1"/>
                    </pic:cNvPicPr>
                  </pic:nvPicPr>
                  <pic:blipFill>
                    <a:blip r:embed="rId56"/>
                    <a:stretch>
                      <a:fillRect/>
                    </a:stretch>
                  </pic:blipFill>
                  <pic:spPr bwMode="auto">
                    <a:xfrm>
                      <a:off x="0" y="0"/>
                      <a:ext cx="3282950" cy="3020801"/>
                    </a:xfrm>
                    <a:prstGeom prst="rect">
                      <a:avLst/>
                    </a:prstGeom>
                    <a:noFill/>
                    <a:ln w="9525">
                      <a:noFill/>
                      <a:headEnd/>
                      <a:tailEnd/>
                    </a:ln>
                  </pic:spPr>
                </pic:pic>
              </a:graphicData>
            </a:graphic>
          </wp:inline>
        </w:drawing>
      </w:r>
    </w:p>
    <w:bookmarkEnd w:id="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3.E.3</w:t>
        </w:r>
      </w:hyperlink>
      <w:r>
        <w:t xml:space="preserve">)</w:t>
      </w:r>
      <w:r>
        <w:t xml:space="preserve">.</w:t>
      </w:r>
    </w:p>
    <w:p>
      <w:pPr>
        <w:numPr>
          <w:ilvl w:val="0"/>
          <w:numId w:val="1034"/>
        </w:numPr>
      </w:pPr>
      <w:r>
        <w:t xml:space="preserve">Las propiedades de los dos problemas forman pares duales (tabla 2): cada propiedad de la demanda marshalliana y de la FIU tiene su correspondiente en la demanda hicksiana y la función de gasto.</w:t>
      </w:r>
    </w:p>
    <w:bookmarkStart w:id="60" w:name="tab:pares-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6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3.D.2, 3.D.3, 3.E.2, 3.E.3 y 3.G.1)</w:t>
      </w:r>
      <w:r>
        <w:rPr>
          <w:i/>
          <w:iCs/>
        </w:rPr>
        <w:t xml:space="preserve">.</w:t>
      </w:r>
    </w:p>
    <w:bookmarkEnd w:id="61"/>
    <w:bookmarkEnd w:id="62"/>
    <w:bookmarkStart w:id="63" w:name="e-valoración-1"/>
    <w:p>
      <w:pPr>
        <w:pStyle w:val="Heading4"/>
      </w:pPr>
      <w:r>
        <w:t xml:space="preserve">e) Valoración</w:t>
      </w:r>
    </w:p>
    <w:p>
      <w:pPr>
        <w:numPr>
          <w:ilvl w:val="0"/>
          <w:numId w:val="1035"/>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63"/>
    <w:bookmarkEnd w:id="64"/>
    <w:bookmarkEnd w:id="65"/>
    <w:bookmarkStart w:id="78" w:name="relaciones-de-dualidad"/>
    <w:p>
      <w:pPr>
        <w:pStyle w:val="Heading2"/>
      </w:pPr>
      <w:r>
        <w:t xml:space="preserve">I.3.</w:t>
      </w:r>
      <w:r>
        <w:t xml:space="preserve"> </w:t>
      </w:r>
      <w:r>
        <w:t xml:space="preserve">Relaciones de dualidad</w:t>
      </w:r>
    </w:p>
    <w:p>
      <w:pPr>
        <w:numPr>
          <w:ilvl w:val="0"/>
          <w:numId w:val="1036"/>
        </w:numPr>
      </w:pPr>
      <w:r>
        <w:t xml:space="preserve">Como los dos problemas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70" w:name="X2dd2e041c89abe07466ad6ebf75cf135e134b9f"/>
    <w:p>
      <w:pPr>
        <w:pStyle w:val="Heading4"/>
      </w:pPr>
      <w:r>
        <w:t xml:space="preserve">Dualidad entre soluciones: el teorema básico de la dualidad</w:t>
      </w:r>
    </w:p>
    <w:p>
      <w:pPr>
        <w:keepNext/>
        <w:numPr>
          <w:ilvl w:val="0"/>
          <w:numId w:val="1037"/>
        </w:numPr>
      </w:pPr>
      <w:r>
        <w:rPr>
          <w:b/>
          <w:bCs/>
        </w:rPr>
        <w:t xml:space="preserve">Teorema básico de la dualidad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8"/>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8"/>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7"/>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6), se superponen los dos gráficos anteriores: la recta de balance del primal es la isogasto tangente del dual y la curva de indiferencia alcanzada en el primal es la curva exigida en el dual.</w:t>
      </w:r>
    </w:p>
    <w:bookmarkStart w:id="69" w:name="fig:primal-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67" name="Picture"/>
            <a:graphic>
              <a:graphicData uri="http://schemas.openxmlformats.org/drawingml/2006/picture">
                <pic:pic>
                  <pic:nvPicPr>
                    <pic:cNvPr descr="C:\Users\vgutierrez\Documents\src\victorgutierrezmarcos.github.io-revision\oposicion\temario\fuentes\3A09\graficos/primal-dual.png" id="68" name="Picture"/>
                    <pic:cNvPicPr>
                      <a:picLocks noChangeArrowheads="1" noChangeAspect="1"/>
                    </pic:cNvPicPr>
                  </pic:nvPicPr>
                  <pic:blipFill>
                    <a:blip r:embed="rId66"/>
                    <a:stretch>
                      <a:fillRect/>
                    </a:stretch>
                  </pic:blipFill>
                  <pic:spPr bwMode="auto">
                    <a:xfrm>
                      <a:off x="0" y="0"/>
                      <a:ext cx="3000088" cy="2342576"/>
                    </a:xfrm>
                    <a:prstGeom prst="rect">
                      <a:avLst/>
                    </a:prstGeom>
                    <a:noFill/>
                    <a:ln w="9525">
                      <a:noFill/>
                      <a:headEnd/>
                      <a:tailEnd/>
                    </a:ln>
                  </pic:spPr>
                </pic:pic>
              </a:graphicData>
            </a:graphic>
          </wp:inline>
        </w:drawing>
      </w:r>
    </w:p>
    <w:bookmarkEnd w:id="6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p>
      <w:pPr>
        <w:numPr>
          <w:ilvl w:val="0"/>
          <w:numId w:val="1039"/>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70"/>
    <w:bookmarkStart w:id="72" w:name="X821095d29f6674a5dab40acded09f0071ebcd1f"/>
    <w:p>
      <w:pPr>
        <w:pStyle w:val="Heading4"/>
      </w:pPr>
      <w:r>
        <w:t xml:space="preserve">Dualidad entre funciones de demanda y entre funciones valor</w:t>
      </w:r>
    </w:p>
    <w:p>
      <w:pPr>
        <w:numPr>
          <w:ilvl w:val="0"/>
          <w:numId w:val="1040"/>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pStyle w:val="FirstParagraph"/>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1"/>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1"/>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71"/>
      </w:r>
    </w:p>
    <w:p>
      <w:pPr>
        <w:numPr>
          <w:ilvl w:val="0"/>
          <w:numId w:val="1040"/>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r>
        <w:rPr>
          <w:rStyle w:val="Referenciaatema"/>
        </w:rPr>
        <w:t xml:space="preserve">[ver tema 3.A.8]</w:t>
      </w:r>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72"/>
    <w:bookmarkStart w:id="77" w:name="esquema-de-dualidad"/>
    <w:p>
      <w:pPr>
        <w:pStyle w:val="Heading4"/>
      </w:pPr>
      <w:r>
        <w:t xml:space="preserve">Esquema de dualidad</w:t>
      </w:r>
    </w:p>
    <w:p>
      <w:pPr>
        <w:numPr>
          <w:ilvl w:val="0"/>
          <w:numId w:val="1042"/>
        </w:numPr>
      </w:pPr>
      <w:r>
        <w:t xml:space="preserve">Todas estas relaciones se resumen en el gráfico 7: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76" w:name="fig:esquema-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 title="" id="74" name="Picture"/>
            <a:graphic>
              <a:graphicData uri="http://schemas.openxmlformats.org/drawingml/2006/picture">
                <pic:pic>
                  <pic:nvPicPr>
                    <pic:cNvPr descr="C:\Users\vgutierrez\Documents\src\victorgutierrezmarcos.github.io-revision\oposicion\temario\fuentes\3A09\graficos/esquema-dualidad.png" id="75" name="Picture"/>
                    <pic:cNvPicPr>
                      <a:picLocks noChangeArrowheads="1" noChangeAspect="1"/>
                    </pic:cNvPicPr>
                  </pic:nvPicPr>
                  <pic:blipFill>
                    <a:blip r:embed="rId73"/>
                    <a:stretch>
                      <a:fillRect/>
                    </a:stretch>
                  </pic:blipFill>
                  <pic:spPr bwMode="auto">
                    <a:xfrm>
                      <a:off x="0" y="0"/>
                      <a:ext cx="5969000" cy="3051645"/>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3"/>
        </w:numPr>
      </w:pPr>
      <w:r>
        <w:rPr>
          <w:b/>
          <w:b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(III.2);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77"/>
    <w:bookmarkEnd w:id="78"/>
    <w:bookmarkEnd w:id="79"/>
    <w:bookmarkStart w:id="115" w:name="X83f00a045cb92ead9a9f0b1e548c0c732359965"/>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4"/>
        </w:numPr>
      </w:pPr>
      <w:r>
        <w:t xml:space="preserve">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80" w:name="idea"/>
    <w:p>
      <w:pPr>
        <w:pStyle w:val="Heading2"/>
      </w:pPr>
      <w:r>
        <w:t xml:space="preserve">II.1.</w:t>
      </w:r>
      <w:r>
        <w:t xml:space="preserve"> </w:t>
      </w:r>
      <w:r>
        <w:t xml:space="preserve">Idea</w:t>
      </w:r>
    </w:p>
    <w:p>
      <w:pPr>
        <w:keepNext/>
        <w:numPr>
          <w:ilvl w:val="0"/>
          <w:numId w:val="1045"/>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6"/>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6"/>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46"/>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45"/>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5"/>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7"/>
        </w:numPr>
      </w:pPr>
      <w:r>
        <w:rPr>
          <w:i/>
          <w:iCs/>
        </w:rPr>
        <w:t xml:space="preserve">coherencia con la teoría</w:t>
      </w:r>
      <w:r>
        <w:t xml:space="preserve">: poder imponer o contrastar sus restricciones;</w:t>
      </w:r>
    </w:p>
    <w:p>
      <w:pPr>
        <w:numPr>
          <w:ilvl w:val="1"/>
          <w:numId w:val="1047"/>
        </w:numPr>
      </w:pPr>
      <w:r>
        <w:rPr>
          <w:i/>
          <w:iCs/>
        </w:rPr>
        <w:t xml:space="preserve">flexibilidad</w:t>
      </w:r>
      <w:r>
        <w:t xml:space="preserve">: no fijar de antemano las elasticidades (formalmente, aproximar en primer orden cualquier sistema de demanda);</w:t>
      </w:r>
    </w:p>
    <w:p>
      <w:pPr>
        <w:numPr>
          <w:ilvl w:val="1"/>
          <w:numId w:val="1047"/>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47"/>
        </w:numPr>
      </w:pPr>
      <w:r>
        <w:rPr>
          <w:i/>
          <w:iCs/>
        </w:rPr>
        <w:t xml:space="preserve">sencillez de estimación</w:t>
      </w:r>
      <w:r>
        <w:t xml:space="preserve">: a ser posible, linealidad en los parámetros.</w:t>
      </w:r>
    </w:p>
    <w:bookmarkEnd w:id="80"/>
    <w:bookmarkStart w:id="113" w:name="pasos-que-sigue-la-literatura"/>
    <w:p>
      <w:pPr>
        <w:pStyle w:val="Heading2"/>
      </w:pPr>
      <w:r>
        <w:t xml:space="preserve">II.2.</w:t>
      </w:r>
      <w:r>
        <w:t xml:space="preserve"> </w:t>
      </w:r>
      <w:r>
        <w:t xml:space="preserve">Pasos que sigue la literatura</w:t>
      </w:r>
    </w:p>
    <w:p>
      <w:pPr>
        <w:numPr>
          <w:ilvl w:val="0"/>
          <w:numId w:val="1048"/>
        </w:numPr>
      </w:pPr>
      <w:r>
        <w:t xml:space="preserve">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08" w:name="Xe667511b6d0ed2d2bd4c17ec39391f3b2daeab7"/>
    <w:p>
      <w:pPr>
        <w:pStyle w:val="Heading3"/>
      </w:pPr>
      <w:r>
        <w:t xml:space="preserve">II.2.1.</w:t>
      </w:r>
      <w:r>
        <w:t xml:space="preserve"> </w:t>
      </w:r>
      <w:r>
        <w:t xml:space="preserve">Elección de una función de referencia apropiada</w:t>
      </w:r>
    </w:p>
    <w:p>
      <w:pPr>
        <w:numPr>
          <w:ilvl w:val="0"/>
          <w:numId w:val="1049"/>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3).</w:t>
      </w:r>
    </w:p>
    <w:p>
      <w:pPr>
        <w:numPr>
          <w:ilvl w:val="0"/>
          <w:numId w:val="1049"/>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81"/>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86" w:name="sistema-lineal-de-gasto-les"/>
    <w:p>
      <w:pPr>
        <w:pStyle w:val="Heading4"/>
      </w:pPr>
      <w:r>
        <w:t xml:space="preserve">Sistema lineal de gasto (LES)</w:t>
      </w:r>
    </w:p>
    <w:bookmarkStart w:id="82" w:name="a-idea-2"/>
    <w:p>
      <w:pPr>
        <w:pStyle w:val="Heading5"/>
      </w:pPr>
      <w:r>
        <w:t xml:space="preserve">a) Idea</w:t>
      </w:r>
    </w:p>
    <w:p>
      <w:pPr>
        <w:numPr>
          <w:ilvl w:val="0"/>
          <w:numId w:val="1050"/>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82"/>
    <w:bookmarkStart w:id="83" w:name="b-modelo-2"/>
    <w:p>
      <w:pPr>
        <w:pStyle w:val="Heading5"/>
      </w:pPr>
      <w:r>
        <w:t xml:space="preserve">b) Modelo</w:t>
      </w:r>
    </w:p>
    <w:p>
      <w:pPr>
        <w:numPr>
          <w:ilvl w:val="0"/>
          <w:numId w:val="1051"/>
        </w:numPr>
      </w:pPr>
      <w:r>
        <w:rPr>
          <w:b/>
          <w:bCs/>
          <w:i/>
          <w:iCs/>
        </w:rPr>
        <w:t xml:space="preserve">i) Supuestos</w:t>
      </w:r>
      <w:r>
        <w:t xml:space="preserve">: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numPr>
          <w:ilvl w:val="0"/>
          <w:numId w:val="1051"/>
        </w:numPr>
      </w:pPr>
      <w:r>
        <w:rPr>
          <w:b/>
          <w:bCs/>
          <w:i/>
          <w:iCs/>
        </w:rPr>
        <w:t xml:space="preserve">ii) Desarrollo</w:t>
      </w:r>
      <w:r>
        <w:t xml:space="preserve">: maximizando, el gasto en cada bien es</w:t>
      </w:r>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numPr>
          <w:ilvl w:val="0"/>
          <w:numId w:val="1051"/>
        </w:numPr>
      </w:pPr>
      <w:r>
        <w:rPr>
          <w:b/>
          <w:bCs/>
          <w:i/>
          <w:iCs/>
        </w:rPr>
        <w:t xml:space="preserve">iii) Implicaciones</w:t>
      </w:r>
      <w:r>
        <w:t xml:space="preserve">: 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83"/>
    <w:bookmarkStart w:id="84" w:name="d-evidencia-empírica"/>
    <w:p>
      <w:pPr>
        <w:pStyle w:val="Heading5"/>
      </w:pPr>
      <w:r>
        <w:t xml:space="preserve">d) Evidencia empírica</w:t>
      </w:r>
    </w:p>
    <w:p>
      <w:pPr>
        <w:numPr>
          <w:ilvl w:val="0"/>
          <w:numId w:val="1052"/>
        </w:numPr>
      </w:pPr>
      <w:r>
        <w:t xml:space="preserve">Fue el primer sistema completo estimado con datos reales:</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rechaza la aditividad que impone.</w:t>
      </w:r>
    </w:p>
    <w:bookmarkEnd w:id="84"/>
    <w:bookmarkStart w:id="85" w:name="e-valoración-2"/>
    <w:p>
      <w:pPr>
        <w:pStyle w:val="Heading5"/>
      </w:pPr>
      <w:r>
        <w:t xml:space="preserve">e) Valoración</w:t>
      </w:r>
    </w:p>
    <w:p>
      <w:pPr>
        <w:numPr>
          <w:ilvl w:val="0"/>
          <w:numId w:val="1053"/>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85"/>
    <w:bookmarkEnd w:id="86"/>
    <w:bookmarkStart w:id="91" w:name="modelo-de-rotterdam"/>
    <w:p>
      <w:pPr>
        <w:pStyle w:val="Heading4"/>
      </w:pPr>
      <w:r>
        <w:t xml:space="preserve">Modelo de Rotterdam</w:t>
      </w:r>
    </w:p>
    <w:bookmarkStart w:id="87" w:name="a-idea-3"/>
    <w:p>
      <w:pPr>
        <w:pStyle w:val="Heading5"/>
      </w:pPr>
      <w:r>
        <w:t xml:space="preserve">a) Idea</w:t>
      </w:r>
    </w:p>
    <w:p>
      <w:pPr>
        <w:numPr>
          <w:ilvl w:val="0"/>
          <w:numId w:val="1054"/>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87"/>
    <w:bookmarkStart w:id="88" w:name="b-modelo-3"/>
    <w:p>
      <w:pPr>
        <w:pStyle w:val="Heading5"/>
      </w:pPr>
      <w:r>
        <w:t xml:space="preserve">b) Modelo</w:t>
      </w:r>
    </w:p>
    <w:p>
      <w:pPr>
        <w:numPr>
          <w:ilvl w:val="0"/>
          <w:numId w:val="1055"/>
        </w:numPr>
      </w:pPr>
      <w:r>
        <w:rPr>
          <w:b/>
          <w:bCs/>
          <w:i/>
          <w:iCs/>
        </w:rPr>
        <w:t xml:space="preserve">i) Supuestos</w:t>
      </w:r>
      <w:r>
        <w:t xml:space="preserve">: la ecuación de</w:t>
      </w:r>
      <w:r>
        <w:t xml:space="preserve"> </w:t>
      </w:r>
      <w:r>
        <w:rPr>
          <w:smallCaps/>
        </w:rPr>
        <w:t xml:space="preserve">Slutsky</w:t>
      </w:r>
      <w:r>
        <w:t xml:space="preserve"> </w:t>
      </w:r>
      <w:r>
        <w:t xml:space="preserve">en diferencias logarítmicas, con coeficientes constantes.</w:t>
      </w:r>
    </w:p>
    <w:p>
      <w:pPr>
        <w:numPr>
          <w:ilvl w:val="0"/>
          <w:numId w:val="1055"/>
        </w:numPr>
      </w:pPr>
      <w:r>
        <w:rPr>
          <w:b/>
          <w:bCs/>
          <w:i/>
          <w:iCs/>
        </w:rPr>
        <w:t xml:space="preserve">ii) Desarrollo</w:t>
      </w:r>
      <w:r>
        <w:t xml:space="preserve">:</w:t>
      </w:r>
    </w:p>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numPr>
          <w:ilvl w:val="0"/>
          <w:numId w:val="1055"/>
        </w:numPr>
      </w:pPr>
      <w:r>
        <w:rPr>
          <w:b/>
          <w:bCs/>
          <w:i/>
          <w:iCs/>
        </w:rPr>
        <w:t xml:space="preserve">iii) Implicaciones</w:t>
      </w:r>
      <w:r>
        <w:t xml:space="preserve">: 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88"/>
    <w:bookmarkStart w:id="89" w:name="d-evidencia-empírica-1"/>
    <w:p>
      <w:pPr>
        <w:pStyle w:val="Heading5"/>
      </w:pPr>
      <w:r>
        <w:t xml:space="preserve">d) Evidencia empírica</w:t>
      </w:r>
    </w:p>
    <w:p>
      <w:pPr>
        <w:numPr>
          <w:ilvl w:val="0"/>
          <w:numId w:val="1056"/>
        </w:numPr>
      </w:pP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datos de los Países Bajos, rechaza con frecuencia la homogeneidad.</w:t>
      </w:r>
    </w:p>
    <w:bookmarkEnd w:id="89"/>
    <w:bookmarkStart w:id="90" w:name="e-valoración-3"/>
    <w:p>
      <w:pPr>
        <w:pStyle w:val="Heading5"/>
      </w:pPr>
      <w:r>
        <w:t xml:space="preserve">e) Valoración</w:t>
      </w:r>
    </w:p>
    <w:p>
      <w:pPr>
        <w:numPr>
          <w:ilvl w:val="0"/>
          <w:numId w:val="1057"/>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90"/>
    <w:bookmarkEnd w:id="91"/>
    <w:bookmarkStart w:id="96" w:name="translog"/>
    <w:p>
      <w:pPr>
        <w:pStyle w:val="Heading4"/>
      </w:pPr>
      <w:r>
        <w:t xml:space="preserve">Translog</w:t>
      </w:r>
    </w:p>
    <w:bookmarkStart w:id="92" w:name="a-idea-4"/>
    <w:p>
      <w:pPr>
        <w:pStyle w:val="Heading5"/>
      </w:pPr>
      <w:r>
        <w:t xml:space="preserve">a) Idea</w:t>
      </w:r>
    </w:p>
    <w:p>
      <w:pPr>
        <w:numPr>
          <w:ilvl w:val="0"/>
          <w:numId w:val="1058"/>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92"/>
    <w:bookmarkStart w:id="93" w:name="b-modelo-4"/>
    <w:p>
      <w:pPr>
        <w:pStyle w:val="Heading5"/>
      </w:pPr>
      <w:r>
        <w:t xml:space="preserve">b) Modelo</w:t>
      </w:r>
    </w:p>
    <w:p>
      <w:pPr>
        <w:numPr>
          <w:ilvl w:val="0"/>
          <w:numId w:val="1059"/>
        </w:numPr>
      </w:pPr>
      <w:r>
        <w:rPr>
          <w:b/>
          <w:bCs/>
          <w:i/>
          <w:iCs/>
        </w:rPr>
        <w:t xml:space="preserve">i) Supuestos</w:t>
      </w:r>
      <w:r>
        <w:t xml:space="preserve">: se especifica la FIU (versión</w:t>
      </w:r>
      <w:r>
        <w:t xml:space="preserve"> </w:t>
      </w:r>
      <w:r>
        <w:rPr>
          <w:i/>
          <w:iCs/>
        </w:rPr>
        <w:t xml:space="preserve">indirecta</w:t>
      </w:r>
      <w:r>
        <w:t xml:space="preserve">),</w:t>
      </w:r>
    </w:p>
    <w:p>
      <w:pPr>
        <w:pStyle w:val="BodyText"/>
        <w:keepN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numPr>
          <w:ilvl w:val="0"/>
          <w:numId w:val="1059"/>
        </w:numPr>
      </w:pPr>
      <w:r>
        <w:rPr>
          <w:b/>
          <w:bCs/>
          <w:i/>
          <w:iCs/>
        </w:rPr>
        <w:t xml:space="preserve">ii) Desarrollo</w:t>
      </w:r>
      <w:r>
        <w:t xml:space="preserve">: 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keepN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numPr>
          <w:ilvl w:val="0"/>
          <w:numId w:val="1059"/>
        </w:numPr>
      </w:pPr>
      <w:r>
        <w:rPr>
          <w:b/>
          <w:bCs/>
          <w:i/>
          <w:iCs/>
        </w:rPr>
        <w:t xml:space="preserve">iii) Implicaciones</w:t>
      </w:r>
      <w:r>
        <w:t xml:space="preserve">: 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93"/>
    <w:bookmarkStart w:id="94" w:name="d-evidencia-empírica-2"/>
    <w:p>
      <w:pPr>
        <w:pStyle w:val="Heading5"/>
      </w:pPr>
      <w:r>
        <w:t xml:space="preserve">d) Evidencia empírica</w:t>
      </w:r>
    </w:p>
    <w:p>
      <w:pPr>
        <w:numPr>
          <w:ilvl w:val="0"/>
          <w:numId w:val="1060"/>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94"/>
    <w:bookmarkStart w:id="95" w:name="e-valoración-4"/>
    <w:p>
      <w:pPr>
        <w:pStyle w:val="Heading5"/>
      </w:pPr>
      <w:r>
        <w:t xml:space="preserve">e) Valoración</w:t>
      </w:r>
    </w:p>
    <w:p>
      <w:pPr>
        <w:numPr>
          <w:ilvl w:val="0"/>
          <w:numId w:val="1061"/>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95"/>
    <w:bookmarkEnd w:id="96"/>
    <w:bookmarkStart w:id="102" w:name="sistema-casi-ideal-de-demanda-aids"/>
    <w:p>
      <w:pPr>
        <w:pStyle w:val="Heading4"/>
      </w:pPr>
      <w:r>
        <w:t xml:space="preserve">Sistema casi ideal de demanda (AIDS)</w:t>
      </w:r>
    </w:p>
    <w:bookmarkStart w:id="97" w:name="a-idea-5"/>
    <w:p>
      <w:pPr>
        <w:pStyle w:val="Heading5"/>
      </w:pPr>
      <w:r>
        <w:t xml:space="preserve">a) Idea</w:t>
      </w:r>
    </w:p>
    <w:p>
      <w:pPr>
        <w:numPr>
          <w:ilvl w:val="0"/>
          <w:numId w:val="1062"/>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w:t>
      </w:r>
    </w:p>
    <w:bookmarkEnd w:id="97"/>
    <w:bookmarkStart w:id="98" w:name="b-modelo-5"/>
    <w:p>
      <w:pPr>
        <w:pStyle w:val="Heading5"/>
      </w:pPr>
      <w:r>
        <w:t xml:space="preserve">b) Modelo</w:t>
      </w:r>
    </w:p>
    <w:p>
      <w:pPr>
        <w:numPr>
          <w:ilvl w:val="0"/>
          <w:numId w:val="1063"/>
        </w:numPr>
      </w:pPr>
      <w:r>
        <w:rPr>
          <w:b/>
          <w:bCs/>
          <w:i/>
          <w:iCs/>
        </w:rPr>
        <w:t xml:space="preserve">i) Supuestos</w:t>
      </w:r>
      <w:r>
        <w:t xml:space="preserve">: 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numPr>
          <w:ilvl w:val="0"/>
          <w:numId w:val="1063"/>
        </w:numPr>
      </w:pPr>
      <w:r>
        <w:rPr>
          <w:b/>
          <w:bCs/>
          <w:i/>
          <w:iCs/>
        </w:rPr>
        <w:t xml:space="preserve">ii) Desarrollo</w:t>
      </w:r>
      <w:r>
        <w:t xml:space="preserve">: 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keepNext/>
        <w:numPr>
          <w:ilvl w:val="0"/>
          <w:numId w:val="1063"/>
        </w:numPr>
      </w:pPr>
      <w:r>
        <w:rPr>
          <w:b/>
          <w:bCs/>
          <w:i/>
          <w:iCs/>
        </w:rPr>
        <w:t xml:space="preserve">iii) Implicaciones</w:t>
      </w:r>
      <w:r>
        <w:t xml:space="preserve">:</w:t>
      </w:r>
    </w:p>
    <w:p>
      <w:pPr>
        <w:numPr>
          <w:ilvl w:val="1"/>
          <w:numId w:val="1064"/>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1"/>
          <w:numId w:val="1064"/>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1"/>
          <w:numId w:val="1064"/>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1"/>
          <w:numId w:val="1000"/>
        </w:numPr>
      </w:pPr>
      <w:r>
        <w:t xml:space="preserve">la última por la ecuación de</w:t>
      </w:r>
      <w:r>
        <w:t xml:space="preserve"> </w:t>
      </w:r>
      <w:r>
        <w:rPr>
          <w:smallCaps/>
        </w:rPr>
        <w:t xml:space="preserve">Slutsky</w:t>
      </w:r>
      <w:r>
        <w:t xml:space="preserve"> </w:t>
      </w:r>
      <w:r>
        <w:t xml:space="preserve">en elasticidades (III.2);</w:t>
      </w:r>
    </w:p>
    <w:p>
      <w:pPr>
        <w:numPr>
          <w:ilvl w:val="1"/>
          <w:numId w:val="1064"/>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98"/>
    <w:bookmarkStart w:id="99" w:name="c-extensiones"/>
    <w:p>
      <w:pPr>
        <w:pStyle w:val="Heading5"/>
      </w:pPr>
      <w:r>
        <w:t xml:space="preserve">c) Extensiones</w:t>
      </w:r>
    </w:p>
    <w:p>
      <w:pPr>
        <w:numPr>
          <w:ilvl w:val="0"/>
          <w:numId w:val="1065"/>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99"/>
    <w:bookmarkStart w:id="100" w:name="d-evidencia-empírica-3"/>
    <w:p>
      <w:pPr>
        <w:pStyle w:val="Heading5"/>
      </w:pPr>
      <w:r>
        <w:t xml:space="preserve">d) Evidencia empírica</w:t>
      </w:r>
    </w:p>
    <w:p>
      <w:pPr>
        <w:numPr>
          <w:ilvl w:val="0"/>
          <w:numId w:val="1066"/>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00"/>
    <w:bookmarkStart w:id="101" w:name="e-valoración-5"/>
    <w:p>
      <w:pPr>
        <w:pStyle w:val="Heading5"/>
      </w:pPr>
      <w:r>
        <w:t xml:space="preserve">e) Valoración</w:t>
      </w:r>
    </w:p>
    <w:p>
      <w:pPr>
        <w:numPr>
          <w:ilvl w:val="0"/>
          <w:numId w:val="1067"/>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01"/>
    <w:bookmarkEnd w:id="102"/>
    <w:bookmarkStart w:id="107" w:name="aids-cuadrático-quaids"/>
    <w:p>
      <w:pPr>
        <w:pStyle w:val="Heading4"/>
      </w:pPr>
      <w:r>
        <w:t xml:space="preserve">AIDS cuadrático (QUAIDS)</w:t>
      </w:r>
    </w:p>
    <w:bookmarkStart w:id="103" w:name="a-idea-6"/>
    <w:p>
      <w:pPr>
        <w:pStyle w:val="Heading5"/>
      </w:pPr>
      <w:r>
        <w:t xml:space="preserve">a) Idea</w:t>
      </w:r>
    </w:p>
    <w:p>
      <w:pPr>
        <w:numPr>
          <w:ilvl w:val="0"/>
          <w:numId w:val="1068"/>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103"/>
    <w:bookmarkStart w:id="104" w:name="b-modelo-6"/>
    <w:p>
      <w:pPr>
        <w:pStyle w:val="Heading5"/>
      </w:pPr>
      <w:r>
        <w:t xml:space="preserve">b) Modelo</w:t>
      </w:r>
    </w:p>
    <w:p>
      <w:pPr>
        <w:numPr>
          <w:ilvl w:val="0"/>
          <w:numId w:val="1069"/>
        </w:numPr>
      </w:pPr>
      <w:r>
        <w:t xml:space="preserve">Se añade al AIDS un término cuadrático en el logaritmo del gasto:</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04"/>
    <w:bookmarkStart w:id="106" w:name="e-valoración-6"/>
    <w:p>
      <w:pPr>
        <w:pStyle w:val="Heading5"/>
      </w:pPr>
      <w:r>
        <w:t xml:space="preserve">e) Valoración</w:t>
      </w:r>
    </w:p>
    <w:p>
      <w:pPr>
        <w:numPr>
          <w:ilvl w:val="0"/>
          <w:numId w:val="1070"/>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05" w:name="tab: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05"/>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BanksBlundellLewbel1997Quadratic">
        <w:r>
          <w:rPr>
            <w:rStyle w:val="Hyperlink"/>
            <w:i/>
            <w:iCs/>
          </w:rPr>
          <w:t xml:space="preserve">1997</w:t>
        </w:r>
      </w:hyperlink>
      <w:r>
        <w:rPr>
          <w:i/>
          <w:iCs/>
        </w:rPr>
        <w:t xml:space="preserve">)</w:t>
      </w:r>
      <w:r>
        <w:rPr>
          <w:i/>
          <w:iCs/>
        </w:rPr>
        <w:t xml:space="preserve">.</w:t>
      </w:r>
    </w:p>
    <w:bookmarkEnd w:id="106"/>
    <w:bookmarkEnd w:id="107"/>
    <w:bookmarkEnd w:id="108"/>
    <w:bookmarkStart w:id="109" w:name="Xc15a10e5baf44120a54f7c8ffd6de9c6f6aca53"/>
    <w:p>
      <w:pPr>
        <w:pStyle w:val="Heading3"/>
      </w:pPr>
      <w:r>
        <w:t xml:space="preserve">II.2.2.</w:t>
      </w:r>
      <w:r>
        <w:t xml:space="preserve"> </w:t>
      </w:r>
      <w:r>
        <w:t xml:space="preserve">Elaboración de un sistema de ecuaciones completo o exhaustivo</w:t>
      </w:r>
    </w:p>
    <w:p>
      <w:pPr>
        <w:numPr>
          <w:ilvl w:val="0"/>
          <w:numId w:val="1071"/>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1"/>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w:t>
      </w:r>
    </w:p>
    <w:p>
      <w:pPr>
        <w:numPr>
          <w:ilvl w:val="1"/>
          <w:numId w:val="1072"/>
        </w:numPr>
      </w:pPr>
      <w:r>
        <w:rPr>
          <w:i/>
          <w:iCs/>
        </w:rPr>
        <w:t xml:space="preserve">separabilidad débil</w:t>
      </w:r>
      <w:r>
        <w:t xml:space="preserve">: la RMS entre dos bienes de un grupo no depende de las cantidades de los bienes de otros grupos;</w:t>
      </w:r>
    </w:p>
    <w:p>
      <w:pPr>
        <w:numPr>
          <w:ilvl w:val="1"/>
          <w:numId w:val="1072"/>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72"/>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1"/>
        </w:numPr>
      </w:pPr>
      <w:r>
        <w:t xml:space="preserve">El nivel de agregación es otro compromiso: con muchas partidas se captan mejor las relaciones de sustitución, pero la estimación se complica; con pocas, al revés.</w:t>
      </w:r>
    </w:p>
    <w:bookmarkEnd w:id="109"/>
    <w:bookmarkStart w:id="110" w:name="muestra-de-datos"/>
    <w:p>
      <w:pPr>
        <w:pStyle w:val="Heading3"/>
      </w:pPr>
      <w:r>
        <w:t xml:space="preserve">II.2.3.</w:t>
      </w:r>
      <w:r>
        <w:t xml:space="preserve"> </w:t>
      </w:r>
      <w:r>
        <w:t xml:space="preserve">Muestra de datos</w:t>
      </w:r>
    </w:p>
    <w:p>
      <w:pPr>
        <w:numPr>
          <w:ilvl w:val="0"/>
          <w:numId w:val="1073"/>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3"/>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3"/>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Deaton1997Analysis">
        <w:r>
          <w:rPr>
            <w:rStyle w:val="Hyperlink"/>
          </w:rPr>
          <w:t xml:space="preserve">1997</w:t>
        </w:r>
      </w:hyperlink>
      <w:r>
        <w:t xml:space="preserve">)</w:t>
      </w:r>
      <w:r>
        <w:t xml:space="preserve"> </w:t>
      </w:r>
      <w:r>
        <w:t xml:space="preserve">para las encuestas de los países en desarrollo.</w:t>
      </w:r>
    </w:p>
    <w:bookmarkEnd w:id="110"/>
    <w:bookmarkStart w:id="111" w:name="X11e43f01e28c2a8cc16a0dac0d333b258c2b647"/>
    <w:p>
      <w:pPr>
        <w:pStyle w:val="Heading3"/>
      </w:pPr>
      <w:r>
        <w:t xml:space="preserve">II.2.4.</w:t>
      </w:r>
      <w:r>
        <w:t xml:space="preserve"> </w:t>
      </w:r>
      <w:r>
        <w:t xml:space="preserve">Especificación econométrica del sistema de demanda</w:t>
      </w:r>
    </w:p>
    <w:p>
      <w:pPr>
        <w:numPr>
          <w:ilvl w:val="0"/>
          <w:numId w:val="1074"/>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74"/>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11"/>
    <w:bookmarkStart w:id="112" w:name="resultados-de-las-estimaciones"/>
    <w:p>
      <w:pPr>
        <w:pStyle w:val="Heading3"/>
      </w:pPr>
      <w:r>
        <w:t xml:space="preserve">II.2.5.</w:t>
      </w:r>
      <w:r>
        <w:t xml:space="preserve"> </w:t>
      </w:r>
      <w:r>
        <w:t xml:space="preserve">Resultados de las estimaciones</w:t>
      </w:r>
    </w:p>
    <w:p>
      <w:pPr>
        <w:numPr>
          <w:ilvl w:val="0"/>
          <w:numId w:val="1075"/>
        </w:numPr>
      </w:pPr>
      <w:r>
        <w:t xml:space="preserve">Se obtienen los parámetros y, con ellos, las</w:t>
      </w:r>
      <w:r>
        <w:t xml:space="preserve"> </w:t>
      </w:r>
      <w:r>
        <w:rPr>
          <w:b/>
          <w:bCs/>
        </w:rPr>
        <w:t xml:space="preserve">elasticidades</w:t>
      </w:r>
      <w:r>
        <w:t xml:space="preserve"> </w:t>
      </w:r>
      <w:r>
        <w:t xml:space="preserve">(ecuación (23)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keepNext/>
        <w:numPr>
          <w:ilvl w:val="0"/>
          <w:numId w:val="1075"/>
        </w:numPr>
      </w:pPr>
      <w:r>
        <w:t xml:space="preserve">La historia de estos contrastes resume la evolución del campo</w:t>
      </w:r>
      <w:r>
        <w:t xml:space="preserve"> </w:t>
      </w:r>
      <w:r>
        <w:t xml:space="preserve">(</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76"/>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su propio AIDS;</w:t>
      </w:r>
    </w:p>
    <w:p>
      <w:pPr>
        <w:numPr>
          <w:ilvl w:val="1"/>
          <w:numId w:val="1076"/>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76"/>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r>
        <w:rPr>
          <w:rStyle w:val="Referenciaatema"/>
        </w:rPr>
        <w:t xml:space="preserve">[ver tema 3.A.8]</w:t>
      </w:r>
      <w:r>
        <w:t xml:space="preserve">.</w:t>
      </w:r>
    </w:p>
    <w:p>
      <w:pPr>
        <w:numPr>
          <w:ilvl w:val="0"/>
          <w:numId w:val="1075"/>
        </w:numPr>
      </w:pPr>
      <w:r>
        <w:rPr>
          <w:b/>
          <w:b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75"/>
        </w:numPr>
      </w:pPr>
      <w:r>
        <w:t xml:space="preserve">Las empresas, en cambio, cuando necesitan conocer la demanda de sus productos, recurren a encuestas o a experimentos de precios (por ejemplo, rebajar el precio y observar cómo responde la demanda).</w:t>
      </w:r>
    </w:p>
    <w:bookmarkEnd w:id="112"/>
    <w:bookmarkEnd w:id="113"/>
    <w:bookmarkStart w:id="114" w:name="valoración"/>
    <w:p>
      <w:pPr>
        <w:pStyle w:val="Heading2"/>
      </w:pPr>
      <w:r>
        <w:t xml:space="preserve">II.3.</w:t>
      </w:r>
      <w:r>
        <w:t xml:space="preserve"> </w:t>
      </w:r>
      <w:r>
        <w:t xml:space="preserve">Valoración</w:t>
      </w:r>
    </w:p>
    <w:p>
      <w:pPr>
        <w:keepNext/>
        <w:numPr>
          <w:ilvl w:val="0"/>
          <w:numId w:val="1077"/>
        </w:numPr>
      </w:pPr>
      <w:r>
        <w:rPr>
          <w:b/>
          <w:bCs/>
        </w:rPr>
        <w:t xml:space="preserve">Aportaciones</w:t>
      </w:r>
      <w:r>
        <w:t xml:space="preserve">:</w:t>
      </w:r>
    </w:p>
    <w:p>
      <w:pPr>
        <w:numPr>
          <w:ilvl w:val="1"/>
          <w:numId w:val="1078"/>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78"/>
        </w:numPr>
      </w:pPr>
      <w:r>
        <w:t xml:space="preserve">las restricciones de la teoría pasan a ser hipótesis contrastables;</w:t>
      </w:r>
    </w:p>
    <w:p>
      <w:pPr>
        <w:numPr>
          <w:ilvl w:val="1"/>
          <w:numId w:val="1078"/>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keepNext/>
        <w:numPr>
          <w:ilvl w:val="0"/>
          <w:numId w:val="1077"/>
        </w:numPr>
      </w:pPr>
      <w:r>
        <w:rPr>
          <w:b/>
          <w:bCs/>
        </w:rPr>
        <w:t xml:space="preserve">Limitaciones</w:t>
      </w:r>
      <w:r>
        <w:t xml:space="preserve">:</w:t>
      </w:r>
    </w:p>
    <w:p>
      <w:pPr>
        <w:numPr>
          <w:ilvl w:val="1"/>
          <w:numId w:val="1079"/>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79"/>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79"/>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77"/>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77"/>
        </w:numPr>
      </w:pPr>
      <w:r>
        <w:rPr>
          <w:b/>
          <w:bCs/>
        </w:rPr>
        <w:t xml:space="preserve">Recapitulación y enlace</w:t>
      </w:r>
      <w:r>
        <w:t xml:space="preserve">: estimar un sistema de demandas no garantiza que proceda de unas preferencias. Saber cuándo lo hace es la primera aplicación de la dualidad: la integrabilidad.</w:t>
      </w:r>
    </w:p>
    <w:bookmarkEnd w:id="114"/>
    <w:bookmarkEnd w:id="115"/>
    <w:bookmarkStart w:id="166" w:name="aplicaciones-de-la-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9), la variación del excedente (gráfico 10), la VC (gráfico 11) y la VE (gráfico 12), y al final el que los reúne (gráfico 13);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14). Las tablas de clasificación se cantan por categorías, sin leerlas. La recuperación de la utilidad a partir de la FIU (gráfico 8),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80"/>
        </w:numPr>
      </w:pPr>
      <w:r>
        <w:t xml:space="preserve">Este bloque responde a la tercera y la cuarta preguntas. Su conclusión anticipada: conocidas las herramientas,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122" w:name="X588f5c22433f4d1e4de6b22a1afee4f3ce1cc2d"/>
    <w:p>
      <w:pPr>
        <w:pStyle w:val="Heading2"/>
      </w:pPr>
      <w:r>
        <w:t xml:space="preserve">III.1.</w:t>
      </w:r>
      <w:r>
        <w:t xml:space="preserve"> </w:t>
      </w:r>
      <w:r>
        <w:t xml:space="preserve">El problema de la integrabilidad de las preferencias</w:t>
      </w:r>
    </w:p>
    <w:p>
      <w:pPr>
        <w:numPr>
          <w:ilvl w:val="0"/>
          <w:numId w:val="1081"/>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w:t>
      </w:r>
    </w:p>
    <w:p>
      <w:pPr>
        <w:keepNext/>
        <w:numPr>
          <w:ilvl w:val="0"/>
          <w:numId w:val="1081"/>
        </w:numPr>
      </w:pPr>
      <w:r>
        <w:rPr>
          <w:b/>
          <w:bCs/>
        </w:rPr>
        <w:t xml:space="preserve">Teorema de integrabilidad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82"/>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82"/>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82"/>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16"/>
      </w:r>
    </w:p>
    <w:p>
      <w:pPr>
        <w:keepNext/>
        <w:numPr>
          <w:ilvl w:val="0"/>
          <w:numId w:val="1081"/>
        </w:numPr>
      </w:pPr>
      <w:r>
        <w:rPr>
          <w:b/>
          <w:b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83"/>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117"/>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83"/>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83"/>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(15)),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8).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21" w:name="fig: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19" name="Picture"/>
            <a:graphic>
              <a:graphicData uri="http://schemas.openxmlformats.org/drawingml/2006/picture">
                <pic:pic>
                  <pic:nvPicPr>
                    <pic:cNvPr descr="C:\Users\vgutierrez\Documents\src\victorgutierrezmarcos.github.io-revision\oposicion\temario\fuentes\3A09\graficos/recuperar-utilidad.png" id="120" name="Picture"/>
                    <pic:cNvPicPr>
                      <a:picLocks noChangeArrowheads="1" noChangeAspect="1"/>
                    </pic:cNvPicPr>
                  </pic:nvPicPr>
                  <pic:blipFill>
                    <a:blip r:embed="rId118"/>
                    <a:stretch>
                      <a:fillRect/>
                    </a:stretch>
                  </pic:blipFill>
                  <pic:spPr bwMode="auto">
                    <a:xfrm>
                      <a:off x="0" y="0"/>
                      <a:ext cx="3211103" cy="2538301"/>
                    </a:xfrm>
                    <a:prstGeom prst="rect">
                      <a:avLst/>
                    </a:prstGeom>
                    <a:noFill/>
                    <a:ln w="9525">
                      <a:noFill/>
                      <a:headEnd/>
                      <a:tailEnd/>
                    </a:ln>
                  </pic:spPr>
                </pic:pic>
              </a:graphicData>
            </a:graphic>
          </wp:inline>
        </w:drawing>
      </w:r>
    </w:p>
    <w:bookmarkEnd w:id="121"/>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3.H</w:t>
        </w:r>
      </w:hyperlink>
      <w:r>
        <w:t xml:space="preserve">)</w:t>
      </w:r>
      <w:r>
        <w:t xml:space="preserve">.</w:t>
      </w:r>
    </w:p>
    <w:p>
      <w:pPr>
        <w:numPr>
          <w:ilvl w:val="0"/>
          <w:numId w:val="1084"/>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el contraste.</w:t>
      </w:r>
    </w:p>
    <w:p>
      <w:pPr>
        <w:keepNext/>
        <w:numPr>
          <w:ilvl w:val="0"/>
          <w:numId w:val="1084"/>
        </w:numPr>
      </w:pPr>
      <w:r>
        <w:rPr>
          <w:b/>
          <w:bCs/>
        </w:rPr>
        <w:t xml:space="preserve">Relevancia</w:t>
      </w:r>
      <w:r>
        <w:t xml:space="preserve">:</w:t>
      </w:r>
    </w:p>
    <w:p>
      <w:pPr>
        <w:numPr>
          <w:ilvl w:val="1"/>
          <w:numId w:val="1085"/>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85"/>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85"/>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(III.3).</w:t>
      </w:r>
    </w:p>
    <w:p>
      <w:pPr>
        <w:numPr>
          <w:ilvl w:val="0"/>
          <w:numId w:val="1084"/>
        </w:numPr>
      </w:pPr>
      <w:r>
        <w:rPr>
          <w:b/>
          <w:b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22"/>
    <w:bookmarkStart w:id="131" w:name="X51732a2724dbde895c7958178f8f73475ab9c69"/>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24" w:name="X9bcd8aeb02ee1e69ed0ec624e926d3665107bc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86"/>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(14))</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86"/>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86"/>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w:p>
    <w:p>
      <w:pPr>
        <w:numPr>
          <w:ilvl w:val="1"/>
          <w:numId w:val="1087"/>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87"/>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23"/>
      </w:r>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87"/>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86"/>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(26), y contrastar sus propiedades.</w:t>
      </w:r>
    </w:p>
    <w:p>
      <w:pPr>
        <w:keepNext/>
        <w:numPr>
          <w:ilvl w:val="0"/>
          <w:numId w:val="1086"/>
        </w:numPr>
      </w:pPr>
      <w:r>
        <w:rPr>
          <w:b/>
          <w:bCs/>
        </w:rPr>
        <w:t xml:space="preserve">Propiedades de la matriz de</w:t>
      </w:r>
      <w:r>
        <w:rPr>
          <w:b/>
          <w:bCs/>
        </w:rPr>
        <w:t xml:space="preserve"> </w:t>
      </w:r>
      <w:r>
        <w:rPr>
          <w:b/>
          <w:bCs/>
          <w:smallCaps/>
        </w:rPr>
        <w:t xml:space="preserve">Slutsky</w:t>
      </w:r>
      <w:r>
        <w:t xml:space="preserve"> </w:t>
      </w:r>
      <w:r>
        <w:t xml:space="preserve">(ecuación (13)):</w:t>
      </w:r>
    </w:p>
    <w:p>
      <w:pPr>
        <w:numPr>
          <w:ilvl w:val="1"/>
          <w:numId w:val="1088"/>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88"/>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88"/>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24"/>
    <w:bookmarkStart w:id="126" w:name="Xef20607d60c8523bacd85388fa3bf7a6d6587c7"/>
    <w:p>
      <w:pPr>
        <w:pStyle w:val="Heading4"/>
      </w:pPr>
      <w:r>
        <w:t xml:space="preserve">Clasificación de los bienes según el precio propio</w:t>
      </w:r>
    </w:p>
    <w:p>
      <w:pPr>
        <w:keepNext/>
        <w:numPr>
          <w:ilvl w:val="0"/>
          <w:numId w:val="1089"/>
        </w:numPr>
      </w:pPr>
      <w:r>
        <w:t xml:space="preserve">Como</w:t>
      </w:r>
      <w:r>
        <w:t xml:space="preserve"> </w:t>
      </w:r>
      <m:oMath>
        <m:sSub>
          <m:e>
            <m:r>
              <m:t>S</m:t>
            </m:r>
          </m:e>
          <m:sub>
            <m:r>
              <m:t>i</m:t>
            </m:r>
            <m:r>
              <m:t>i</m:t>
            </m:r>
          </m:sub>
        </m:sSub>
        <m:r>
          <m:rPr>
            <m:sty m:val="p"/>
          </m:rPr>
          <m:t>≤</m:t>
        </m:r>
        <m:r>
          <m:t>0</m:t>
        </m:r>
      </m:oMath>
      <w:r>
        <w:t xml:space="preserve">, el signo del efecto total depende del efecto renta (tabla 4):</w:t>
      </w:r>
    </w:p>
    <w:p>
      <w:pPr>
        <w:numPr>
          <w:ilvl w:val="1"/>
          <w:numId w:val="1090"/>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0"/>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89"/>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r>
        <w:rPr>
          <w:rStyle w:val="Referenciaatema"/>
        </w:rPr>
        <w:t xml:space="preserve">[ver tema 3.A.8]</w:t>
      </w:r>
      <w:r>
        <w:t xml:space="preserve">.</w:t>
      </w:r>
    </w:p>
    <w:bookmarkStart w:id="125" w:name="tab:slutsky-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25"/>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r>
        <w:rPr>
          <w:rStyle w:val="Referenciaatema"/>
        </w:rPr>
        <w:t xml:space="preserve">[ver tema 3.A.8]</w:t>
      </w:r>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26"/>
    <w:bookmarkStart w:id="128" w:name="X169064eaf6163e9bb6e49759595c02c4aeec0a8"/>
    <w:p>
      <w:pPr>
        <w:pStyle w:val="Heading4"/>
      </w:pPr>
      <w:r>
        <w:t xml:space="preserve">Clasificación de los bienes según los precios cruzados</w:t>
      </w:r>
    </w:p>
    <w:p>
      <w:pPr>
        <w:numPr>
          <w:ilvl w:val="0"/>
          <w:numId w:val="1091"/>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1"/>
        </w:numPr>
      </w:pPr>
      <w:r>
        <w:t xml:space="preserve">No todas las combinaciones son posibles (tabla 5):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27" w:name="tab:slutsky-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27"/>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28"/>
    <w:bookmarkStart w:id="130" w:name="X963b721e859de5ae05bc921dcdf3554cfc912bb"/>
    <w:p>
      <w:pPr>
        <w:pStyle w:val="Heading4"/>
      </w:pPr>
      <w:r>
        <w:t xml:space="preserve">Pendientes de las demandas marshalliana y hicksiana</w:t>
      </w:r>
    </w:p>
    <w:p>
      <w:pPr>
        <w:numPr>
          <w:ilvl w:val="0"/>
          <w:numId w:val="1092"/>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29"/>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r>
        <w:rPr>
          <w:rStyle w:val="Referenciaatema"/>
        </w:rPr>
        <w:t xml:space="preserve">[ver tema 3.A.8]</w:t>
      </w:r>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092"/>
        </w:numPr>
      </w:pPr>
      <w:r>
        <w:rPr>
          <w:b/>
          <w:b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30"/>
    <w:bookmarkEnd w:id="131"/>
    <w:bookmarkStart w:id="165" w:name="X16fbe024173e2295b4adbcb7a3554a81b5ae0e8"/>
    <w:p>
      <w:pPr>
        <w:pStyle w:val="Heading2"/>
      </w:pPr>
      <w:r>
        <w:t xml:space="preserve">III.3.</w:t>
      </w:r>
      <w:r>
        <w:t xml:space="preserve"> </w:t>
      </w:r>
      <w:r>
        <w:t xml:space="preserve">Análisis de bienestar del consumidor individual</w:t>
      </w:r>
    </w:p>
    <w:bookmarkStart w:id="136" w:name="idea-1"/>
    <w:p>
      <w:pPr>
        <w:pStyle w:val="Heading3"/>
      </w:pPr>
      <w:r>
        <w:t xml:space="preserve">III.3.1.</w:t>
      </w:r>
      <w:r>
        <w:t xml:space="preserve"> </w:t>
      </w:r>
      <w:r>
        <w:t xml:space="preserve">Idea</w:t>
      </w:r>
    </w:p>
    <w:p>
      <w:pPr>
        <w:numPr>
          <w:ilvl w:val="0"/>
          <w:numId w:val="1093"/>
        </w:numPr>
      </w:pPr>
      <w:r>
        <w:t xml:space="preserve">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093"/>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093"/>
        </w:numPr>
      </w:pPr>
      <w:r>
        <w:t xml:space="preserve">El</w:t>
      </w:r>
      <w:r>
        <w:t xml:space="preserve"> </w:t>
      </w:r>
      <w:r>
        <w:rPr>
          <w:i/>
          <w:iCs/>
        </w:rPr>
        <w:t xml:space="preserve">problema</w:t>
      </w:r>
      <w:r>
        <w:t xml:space="preserve"> </w:t>
      </w:r>
      <w:r>
        <w:t xml:space="preserve">(gráfico 9):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093"/>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35" w:name="fig:bienestar-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33" name="Picture"/>
            <a:graphic>
              <a:graphicData uri="http://schemas.openxmlformats.org/drawingml/2006/picture">
                <pic:pic>
                  <pic:nvPicPr>
                    <pic:cNvPr descr="C:\Users\vgutierrez\Documents\src\victorgutierrezmarcos.github.io-revision\oposicion\temario\fuentes\3A09\graficos/bienestar-problema.png" id="134" name="Picture"/>
                    <pic:cNvPicPr>
                      <a:picLocks noChangeArrowheads="1" noChangeAspect="1"/>
                    </pic:cNvPicPr>
                  </pic:nvPicPr>
                  <pic:blipFill>
                    <a:blip r:embed="rId132"/>
                    <a:stretch>
                      <a:fillRect/>
                    </a:stretch>
                  </pic:blipFill>
                  <pic:spPr bwMode="auto">
                    <a:xfrm>
                      <a:off x="0" y="0"/>
                      <a:ext cx="2993971" cy="2256947"/>
                    </a:xfrm>
                    <a:prstGeom prst="rect">
                      <a:avLst/>
                    </a:prstGeom>
                    <a:noFill/>
                    <a:ln w="9525">
                      <a:noFill/>
                      <a:headEnd/>
                      <a:tailEnd/>
                    </a:ln>
                  </pic:spPr>
                </pic:pic>
              </a:graphicData>
            </a:graphic>
          </wp:inline>
        </w:drawing>
      </w:r>
    </w:p>
    <w:bookmarkEnd w:id="135"/>
    <w:p>
      <w:pPr>
        <w:pStyle w:val="Piedeimagen"/>
      </w:pPr>
      <w:r>
        <w:t xml:space="preserve">Fuente: elaboración propia.</w:t>
      </w:r>
    </w:p>
    <w:bookmarkEnd w:id="136"/>
    <w:bookmarkStart w:id="164" w:name="Xcfd008ef96d67a8320853afc75a4ad7c3b225d9"/>
    <w:p>
      <w:pPr>
        <w:pStyle w:val="Heading3"/>
      </w:pPr>
      <w:r>
        <w:t xml:space="preserve">III.3.2.</w:t>
      </w:r>
      <w:r>
        <w:t xml:space="preserve"> </w:t>
      </w:r>
      <w:r>
        <w:t xml:space="preserve">Medición de la variación del bienestar del consumidor individual</w:t>
      </w:r>
    </w:p>
    <w:bookmarkStart w:id="141" w:name="X1fc56320b6168869029d8c3fa807cc2401d7198"/>
    <w:p>
      <w:pPr>
        <w:pStyle w:val="Heading4"/>
      </w:pPr>
      <w:r>
        <w:t xml:space="preserve">La variación del excedente del consumidor</w:t>
      </w:r>
    </w:p>
    <w:p>
      <w:pPr>
        <w:keepNext/>
        <w:numPr>
          <w:ilvl w:val="0"/>
          <w:numId w:val="1094"/>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p>
      <w:pPr>
        <w:numPr>
          <w:ilvl w:val="1"/>
          <w:numId w:val="1095"/>
        </w:numPr>
      </w:pPr>
      <w:r>
        <w:t xml:space="preserve">El</w:t>
      </w:r>
      <w:r>
        <w:t xml:space="preserve"> </w:t>
      </w:r>
      <w:r>
        <w:rPr>
          <w:i/>
          <w:i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095"/>
        </w:numPr>
      </w:pPr>
      <w:r>
        <w:t xml:space="preserve">Su</w:t>
      </w:r>
      <w:r>
        <w:t xml:space="preserve"> </w:t>
      </w:r>
      <w:r>
        <w:rPr>
          <w:i/>
          <w:iCs/>
        </w:rPr>
        <w:t xml:space="preserve">variación</w:t>
      </w:r>
      <w:r>
        <w:t xml:space="preserve"> </w:t>
      </w:r>
      <w:r>
        <w:t xml:space="preserve">es el área a la izquierda de la demanda marshalliana entre el precio inicial y el final (gráfico 10):</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40" w:name="fig:bienestar-delta-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38" name="Picture"/>
            <a:graphic>
              <a:graphicData uri="http://schemas.openxmlformats.org/drawingml/2006/picture">
                <pic:pic>
                  <pic:nvPicPr>
                    <pic:cNvPr descr="C:\Users\vgutierrez\Documents\src\victorgutierrezmarcos.github.io-revision\oposicion\temario\fuentes\3A09\graficos/bienestar-delta-ec.png" id="139" name="Picture"/>
                    <pic:cNvPicPr>
                      <a:picLocks noChangeArrowheads="1" noChangeAspect="1"/>
                    </pic:cNvPicPr>
                  </pic:nvPicPr>
                  <pic:blipFill>
                    <a:blip r:embed="rId137"/>
                    <a:stretch>
                      <a:fillRect/>
                    </a:stretch>
                  </pic:blipFill>
                  <pic:spPr bwMode="auto">
                    <a:xfrm>
                      <a:off x="0" y="0"/>
                      <a:ext cx="2984500" cy="1670809"/>
                    </a:xfrm>
                    <a:prstGeom prst="rect">
                      <a:avLst/>
                    </a:prstGeom>
                    <a:noFill/>
                    <a:ln w="9525">
                      <a:noFill/>
                      <a:headEnd/>
                      <a:tailEnd/>
                    </a:ln>
                  </pic:spPr>
                </pic:pic>
              </a:graphicData>
            </a:graphic>
          </wp:inline>
        </w:drawing>
      </w:r>
    </w:p>
    <w:bookmarkEnd w:id="14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keepNext/>
        <w:numPr>
          <w:ilvl w:val="0"/>
          <w:numId w:val="1096"/>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097"/>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097"/>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096"/>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41"/>
    <w:bookmarkStart w:id="155" w:name="Xaf96a4649bd8cbbc83c9509d373be26c7129868"/>
    <w:p>
      <w:pPr>
        <w:pStyle w:val="Heading4"/>
      </w:pPr>
      <w:r>
        <w:t xml:space="preserve">Análisis mediante variaciones: información completa</w:t>
      </w:r>
    </w:p>
    <w:p>
      <w:pPr>
        <w:numPr>
          <w:ilvl w:val="0"/>
          <w:numId w:val="1098"/>
        </w:numPr>
      </w:pPr>
      <w:r>
        <w:t xml:space="preserve">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098"/>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42"/>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099"/>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11),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46" w:name="fig:bienestar-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44" name="Picture"/>
            <a:graphic>
              <a:graphicData uri="http://schemas.openxmlformats.org/drawingml/2006/picture">
                <pic:pic>
                  <pic:nvPicPr>
                    <pic:cNvPr descr="C:\Users\vgutierrez\Documents\src\victorgutierrezmarcos.github.io-revision\oposicion\temario\fuentes\3A09\graficos/bienestar-vc.png" id="145" name="Picture"/>
                    <pic:cNvPicPr>
                      <a:picLocks noChangeArrowheads="1" noChangeAspect="1"/>
                    </pic:cNvPicPr>
                  </pic:nvPicPr>
                  <pic:blipFill>
                    <a:blip r:embed="rId143"/>
                    <a:stretch>
                      <a:fillRect/>
                    </a:stretch>
                  </pic:blipFill>
                  <pic:spPr bwMode="auto">
                    <a:xfrm>
                      <a:off x="0" y="0"/>
                      <a:ext cx="3282950" cy="3862134"/>
                    </a:xfrm>
                    <a:prstGeom prst="rect">
                      <a:avLst/>
                    </a:prstGeom>
                    <a:noFill/>
                    <a:ln w="9525">
                      <a:noFill/>
                      <a:headEnd/>
                      <a:tailEnd/>
                    </a:ln>
                  </pic:spPr>
                </pic:pic>
              </a:graphicData>
            </a:graphic>
          </wp:inline>
        </w:drawing>
      </w:r>
    </w:p>
    <w:bookmarkEnd w:id="14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0"/>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r>
        <w:rPr>
          <w:rStyle w:val="Referenciaatema"/>
        </w:rPr>
        <w:t xml:space="preserve">[ver tema 4.B.6]</w:t>
      </w:r>
      <w:r>
        <w:t xml:space="preserve">.</w:t>
      </w:r>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12),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50" w:name="fig:bienestar-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48" name="Picture"/>
            <a:graphic>
              <a:graphicData uri="http://schemas.openxmlformats.org/drawingml/2006/picture">
                <pic:pic>
                  <pic:nvPicPr>
                    <pic:cNvPr descr="C:\Users\vgutierrez\Documents\src\victorgutierrezmarcos.github.io-revision\oposicion\temario\fuentes\3A09\graficos/bienestar-ve.png" id="149" name="Picture"/>
                    <pic:cNvPicPr>
                      <a:picLocks noChangeArrowheads="1" noChangeAspect="1"/>
                    </pic:cNvPicPr>
                  </pic:nvPicPr>
                  <pic:blipFill>
                    <a:blip r:embed="rId147"/>
                    <a:stretch>
                      <a:fillRect/>
                    </a:stretch>
                  </pic:blipFill>
                  <pic:spPr bwMode="auto">
                    <a:xfrm>
                      <a:off x="0" y="0"/>
                      <a:ext cx="3282950" cy="3865321"/>
                    </a:xfrm>
                    <a:prstGeom prst="rect">
                      <a:avLst/>
                    </a:prstGeom>
                    <a:noFill/>
                    <a:ln w="9525">
                      <a:noFill/>
                      <a:headEnd/>
                      <a:tailEnd/>
                    </a:ln>
                  </pic:spPr>
                </pic:pic>
              </a:graphicData>
            </a:graphic>
          </wp:inline>
        </w:drawing>
      </w:r>
    </w:p>
    <w:bookmarkEnd w:id="1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1"/>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1"/>
        </w:numPr>
      </w:pPr>
      <w:r>
        <w:rPr>
          <w:b/>
          <w:bCs/>
        </w:rPr>
        <w:t xml:space="preserve">Las tres medidas juntas</w:t>
      </w:r>
      <w:r>
        <w:t xml:space="preserve"> </w:t>
      </w:r>
      <w:r>
        <w:t xml:space="preserve">(gráfico 13): para un bien normal, la hicksiana inicial es más inclinada que la marshalliana y la final queda a su derecha, de modo que, ante una bajada del precio,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D.</w:t>
      </w:r>
    </w:p>
    <w:bookmarkStart w:id="154" w:name="fig:bienestar-vc-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152" name="Picture"/>
            <a:graphic>
              <a:graphicData uri="http://schemas.openxmlformats.org/drawingml/2006/picture">
                <pic:pic>
                  <pic:nvPicPr>
                    <pic:cNvPr descr="C:\Users\vgutierrez\Documents\src\victorgutierrezmarcos.github.io-revision\oposicion\temario\fuentes\3A09\graficos/bienestar-vc-ve.png" id="153" name="Picture"/>
                    <pic:cNvPicPr>
                      <a:picLocks noChangeArrowheads="1" noChangeAspect="1"/>
                    </pic:cNvPicPr>
                  </pic:nvPicPr>
                  <pic:blipFill>
                    <a:blip r:embed="rId151"/>
                    <a:stretch>
                      <a:fillRect/>
                    </a:stretch>
                  </pic:blipFill>
                  <pic:spPr bwMode="auto">
                    <a:xfrm>
                      <a:off x="0" y="0"/>
                      <a:ext cx="3700780" cy="4191280"/>
                    </a:xfrm>
                    <a:prstGeom prst="rect">
                      <a:avLst/>
                    </a:prstGeom>
                    <a:noFill/>
                    <a:ln w="9525">
                      <a:noFill/>
                      <a:headEnd/>
                      <a:tailEnd/>
                    </a:ln>
                  </pic:spPr>
                </pic:pic>
              </a:graphicData>
            </a:graphic>
          </wp:inline>
        </w:drawing>
      </w:r>
    </w:p>
    <w:bookmarkEnd w:id="15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2"/>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102"/>
        </w:numPr>
      </w:pPr>
      <w:r>
        <w:rPr>
          <w:smallCaps/>
        </w:rPr>
        <w:t xml:space="preserve">Hausman</w:t>
      </w:r>
      <w:r>
        <w:t xml:space="preserve"> </w:t>
      </w:r>
      <w:r>
        <w:t xml:space="preserve">(</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(27), y calcular la VC y la VE sin aproximaciones: una aplicación directa de la integrabilidad.</w:t>
      </w:r>
    </w:p>
    <w:p>
      <w:pPr>
        <w:keepNext/>
        <w:numPr>
          <w:ilvl w:val="0"/>
          <w:numId w:val="1102"/>
        </w:numPr>
      </w:pPr>
      <w:r>
        <w:t xml:space="preserve">¿</w:t>
      </w:r>
      <w:r>
        <w:rPr>
          <w:b/>
          <w:bCs/>
        </w:rPr>
        <w:t xml:space="preserve">Cuál usar</w:t>
      </w:r>
      <w:r>
        <w:t xml:space="preserve">? Depende de la pregunta:</w:t>
      </w:r>
    </w:p>
    <w:p>
      <w:pPr>
        <w:numPr>
          <w:ilvl w:val="1"/>
          <w:numId w:val="1103"/>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03"/>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r>
        <w:rPr>
          <w:rStyle w:val="Referenciaatema"/>
        </w:rPr>
        <w:t xml:space="preserve">[ver tema 4.B.9]</w:t>
      </w:r>
      <w:r>
        <w:t xml:space="preserve">.</w:t>
      </w:r>
    </w:p>
    <w:bookmarkEnd w:id="155"/>
    <w:bookmarkStart w:id="156" w:name="Xc06de061893a483a0907c38a7edce71dc3931c0"/>
    <w:p>
      <w:pPr>
        <w:pStyle w:val="Heading4"/>
      </w:pPr>
      <w:r>
        <w:t xml:space="preserve">Análisis mediante variaciones: información incompleta</w:t>
      </w:r>
    </w:p>
    <w:p>
      <w:pPr>
        <w:numPr>
          <w:ilvl w:val="0"/>
          <w:numId w:val="1104"/>
        </w:numPr>
      </w:pPr>
      <w:r>
        <w:t xml:space="preserve">Si no se conoce la función de gasto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i/>
          <w:iCs/>
        </w:rPr>
        <w:t xml:space="preserve">variación de</w:t>
      </w:r>
      <w:r>
        <w:rPr>
          <w:i/>
          <w:iCs/>
        </w:rPr>
        <w:t xml:space="preserve"> </w:t>
      </w:r>
      <w:r>
        <w:rPr>
          <w:i/>
          <w:iCs/>
          <w:smallCaps/>
        </w:rPr>
        <w:t xml:space="preserve">Laspeyres</w:t>
      </w:r>
      <w:r>
        <w:t xml:space="preserve"> </w:t>
      </w:r>
      <w:r>
        <w:t xml:space="preserve">(</w:t>
      </w:r>
      <m:oMath>
        <m:r>
          <m:t>L</m:t>
        </m:r>
      </m:oMath>
      <w:r>
        <w:t xml:space="preserve">) valora el cambio de precios con la cesta inicial; la</w:t>
      </w:r>
      <w:r>
        <w:t xml:space="preserve"> </w:t>
      </w:r>
      <w:r>
        <w:rPr>
          <w:i/>
          <w:iCs/>
        </w:rPr>
        <w:t xml:space="preserve">de</w:t>
      </w:r>
      <w:r>
        <w:rPr>
          <w:i/>
          <w:iCs/>
        </w:rPr>
        <w:t xml:space="preserve"> </w:t>
      </w:r>
      <w:r>
        <w:rPr>
          <w:i/>
          <w:i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13, últimas capas).</w:t>
      </w:r>
    </w:p>
    <w:p>
      <w:pPr>
        <w:numPr>
          <w:ilvl w:val="0"/>
          <w:numId w:val="1104"/>
        </w:numPr>
      </w:pPr>
      <w:r>
        <w:t xml:space="preserve">Acotan las medidas exactas, para cualquier número de precios y tipo de bien:</w:t>
      </w:r>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7 del anexo D, con los demás casos).</w:t>
      </w:r>
    </w:p>
    <w:bookmarkEnd w:id="156"/>
    <w:bookmarkStart w:id="163" w:name="X10fc17a453d4026ed618adb8fb9b668b866e628"/>
    <w:p>
      <w:pPr>
        <w:pStyle w:val="Heading4"/>
      </w:pPr>
      <w:r>
        <w:t xml:space="preserve">El uso de índices de coste de la vida y su comparación con los índices de precios</w:t>
      </w:r>
    </w:p>
    <w:p>
      <w:pPr>
        <w:numPr>
          <w:ilvl w:val="0"/>
          <w:numId w:val="1105"/>
        </w:numPr>
      </w:pPr>
      <w:r>
        <w:t xml:space="preserve">Otra forma de medir los cambios de bienestar son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05"/>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05"/>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06"/>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157"/>
      </w:r>
      <w:r>
        <w:t xml:space="preserve"> </w:t>
      </w:r>
      <w:r>
        <w:t xml:space="preserve">En el gráfico 14,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06"/>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06"/>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158"/>
      </w:r>
    </w:p>
    <w:bookmarkStart w:id="162" w:name="fig:indice-konus-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160" name="Picture"/>
            <a:graphic>
              <a:graphicData uri="http://schemas.openxmlformats.org/drawingml/2006/picture">
                <pic:pic>
                  <pic:nvPicPr>
                    <pic:cNvPr descr="C:\Users\vgutierrez\Documents\src\victorgutierrezmarcos.github.io-revision\oposicion\temario\fuentes\3A09\graficos/indice-konus-laspeyres.png" id="161" name="Picture"/>
                    <pic:cNvPicPr>
                      <a:picLocks noChangeArrowheads="1" noChangeAspect="1"/>
                    </pic:cNvPicPr>
                  </pic:nvPicPr>
                  <pic:blipFill>
                    <a:blip r:embed="rId159"/>
                    <a:stretch>
                      <a:fillRect/>
                    </a:stretch>
                  </pic:blipFill>
                  <pic:spPr bwMode="auto">
                    <a:xfrm>
                      <a:off x="0" y="0"/>
                      <a:ext cx="3581400" cy="1982175"/>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7"/>
        </w:numPr>
      </w:pPr>
      <w:r>
        <w:rPr>
          <w:b/>
          <w:bCs/>
        </w:rPr>
        <w:t xml:space="preserve">Índices superlativos</w:t>
      </w:r>
      <w:r>
        <w:t xml:space="preserve">.</w:t>
      </w:r>
      <w:r>
        <w:t xml:space="preserve"> </w:t>
      </w:r>
      <w:r>
        <w:rPr>
          <w:smallCaps/>
        </w:rPr>
        <w:t xml:space="preserve">Diewert</w:t>
      </w:r>
      <w:r>
        <w:t xml:space="preserve"> </w:t>
      </w:r>
      <w:r>
        <w:t xml:space="preserve">(</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keepNext/>
        <w:numPr>
          <w:ilvl w:val="0"/>
          <w:numId w:val="1107"/>
        </w:numPr>
      </w:pPr>
      <w:r>
        <w:rPr>
          <w:b/>
          <w:bCs/>
        </w:rPr>
        <w:t xml:space="preserve">Magnitud del sesgo de sustitución</w:t>
      </w:r>
      <w:r>
        <w:t xml:space="preserve">:</w:t>
      </w:r>
    </w:p>
    <w:p>
      <w:pPr>
        <w:numPr>
          <w:ilvl w:val="1"/>
          <w:numId w:val="1108"/>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08"/>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08"/>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09"/>
        </w:numPr>
      </w:pPr>
      <w:r>
        <w:rPr>
          <w:b/>
          <w:b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163"/>
    <w:bookmarkEnd w:id="164"/>
    <w:bookmarkEnd w:id="165"/>
    <w:bookmarkEnd w:id="166"/>
    <w:bookmarkStart w:id="167" w:name="conclusión"/>
    <w:p>
      <w:pPr>
        <w:pStyle w:val="Heading1"/>
      </w:pPr>
      <w:r>
        <w:t xml:space="preserve">Conclusión</w:t>
      </w:r>
      <w:r>
        <w:t xml:space="preserve"> </w:t>
      </w:r>
      <w:r>
        <w:rPr>
          <w:rStyle w:val="Minutos"/>
        </w:rPr>
        <w:t xml:space="preserve">1′</w:t>
      </w:r>
    </w:p>
    <w:p>
      <w:pPr>
        <w:keepNext/>
        <w:numPr>
          <w:ilvl w:val="0"/>
          <w:numId w:val="1110"/>
        </w:numPr>
      </w:pPr>
      <w:r>
        <w:rPr>
          <w:b/>
          <w:bCs/>
          <w:i/>
          <w:iCs/>
        </w:rPr>
        <w:t xml:space="preserve">Recapitulación</w:t>
      </w:r>
      <w:r>
        <w:t xml:space="preserve">:</w:t>
      </w:r>
    </w:p>
    <w:p>
      <w:pPr>
        <w:numPr>
          <w:ilvl w:val="1"/>
          <w:numId w:val="1111"/>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111"/>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111"/>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110"/>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0"/>
        </w:numPr>
      </w:pPr>
      <w:r>
        <w:rPr>
          <w:b/>
          <w:bCs/>
          <w:i/>
          <w:iCs/>
        </w:rPr>
        <w:t xml:space="preserve">Extensiones y relación con otras partes del temario</w:t>
      </w:r>
      <w:r>
        <w:t xml:space="preserve">:</w:t>
      </w:r>
    </w:p>
    <w:p>
      <w:pPr>
        <w:numPr>
          <w:ilvl w:val="1"/>
          <w:numId w:val="1112"/>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112"/>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112"/>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112"/>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110"/>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0"/>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13"/>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13"/>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13"/>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13"/>
        </w:numPr>
      </w:pPr>
      <w:r>
        <w:rPr>
          <w:smallCaps/>
        </w:rPr>
        <w:t xml:space="preserve">Rodríguez López</w:t>
      </w:r>
      <w:r>
        <w:t xml:space="preserve"> </w:t>
      </w:r>
      <w:r>
        <w:t xml:space="preserve">(</w:t>
      </w:r>
      <w:hyperlink w:anchor="ref-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7"/>
    <w:bookmarkStart w:id="170"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14"/>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168" w:name="tab: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168"/>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15"/>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15"/>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15"/>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169" w:name="Xa5019a610cd07b2f58bbc26dd64df8866018f02"/>
    <w:p>
      <w:pPr>
        <w:pStyle w:val="Heading2"/>
      </w:pPr>
      <w:r>
        <w:t xml:space="preserve">A.1. Condiciones de segundo orden: hessiano orlado y regla de</w:t>
      </w:r>
      <w:r>
        <w:t xml:space="preserve"> </w:t>
      </w:r>
      <w:r>
        <w:rPr>
          <w:smallCaps/>
        </w:rPr>
        <w:t xml:space="preserve">Sarrus</w:t>
      </w:r>
    </w:p>
    <w:p>
      <w:pPr>
        <w:numPr>
          <w:ilvl w:val="0"/>
          <w:numId w:val="1116"/>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16"/>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16"/>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16"/>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16"/>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169"/>
    <w:bookmarkEnd w:id="170"/>
    <w:bookmarkStart w:id="173" w:name="anexo: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17"/>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171" w:name="der:roy"/>
    <w:p>
      <w:pPr>
        <w:pStyle w:val="Heading2"/>
      </w:pPr>
      <w:r>
        <w:t xml:space="preserve">B.1. Identidad de</w:t>
      </w:r>
      <w:r>
        <w:t xml:space="preserve"> </w:t>
      </w:r>
      <w:r>
        <w:rPr>
          <w:smallCaps/>
        </w:rPr>
        <w:t xml:space="preserve">Roy</w:t>
      </w:r>
    </w:p>
    <w:p>
      <w:pPr>
        <w:numPr>
          <w:ilvl w:val="0"/>
          <w:numId w:val="1118"/>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(5).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w:p>
    <w:p>
      <w:pPr>
        <w:numPr>
          <w:ilvl w:val="0"/>
          <w:numId w:val="1118"/>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w:p>
    <w:bookmarkEnd w:id="171"/>
    <w:bookmarkStart w:id="172" w:name="der:shephard"/>
    <w:p>
      <w:pPr>
        <w:pStyle w:val="Heading2"/>
      </w:pPr>
      <w:r>
        <w:t xml:space="preserve">B.2. Lema de</w:t>
      </w:r>
      <w:r>
        <w:t xml:space="preserve"> </w:t>
      </w:r>
      <w:r>
        <w:rPr>
          <w:smallCaps/>
        </w:rPr>
        <w:t xml:space="preserve">Shephard</w:t>
      </w:r>
    </w:p>
    <w:p>
      <w:pPr>
        <w:numPr>
          <w:ilvl w:val="0"/>
          <w:numId w:val="1119"/>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119"/>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w:p>
    <w:p>
      <w:pPr>
        <w:numPr>
          <w:ilvl w:val="0"/>
          <w:numId w:val="1119"/>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72"/>
    <w:bookmarkEnd w:id="173"/>
    <w:bookmarkStart w:id="174" w:name="anexo:hessiana"/>
    <w:p>
      <w:pPr>
        <w:pStyle w:val="Heading1"/>
      </w:pPr>
      <w:r>
        <w:t xml:space="preserve">C. Anexo: matriz hessiana, concavidad y cuasiconcavidad</w:t>
      </w:r>
    </w:p>
    <w:p>
      <w:pPr>
        <w:numPr>
          <w:ilvl w:val="0"/>
          <w:numId w:val="1120"/>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0"/>
        </w:numPr>
      </w:pPr>
      <w:r>
        <w:rPr>
          <w:b/>
          <w:bCs/>
        </w:rPr>
        <w:t xml:space="preserve">Concavidad y convexidad</w:t>
      </w:r>
      <w:r>
        <w:t xml:space="preserve">:</w:t>
      </w:r>
    </w:p>
    <w:p>
      <w:pPr>
        <w:numPr>
          <w:ilvl w:val="1"/>
          <w:numId w:val="1121"/>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1"/>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0"/>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0"/>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20"/>
        </w:numPr>
      </w:pPr>
      <w:r>
        <w:rPr>
          <w:b/>
          <w:b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74"/>
    <w:bookmarkStart w:id="176" w:name="anexo:ordenacion"/>
    <w:p>
      <w:pPr>
        <w:pStyle w:val="Heading1"/>
      </w:pPr>
      <w:r>
        <w:t xml:space="preserve">D. Anexo: ordenación de las medidas de bienestar</w:t>
      </w:r>
    </w:p>
    <w:p>
      <w:pPr>
        <w:numPr>
          <w:ilvl w:val="0"/>
          <w:numId w:val="1122"/>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22"/>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w:p>
    <w:p>
      <w:pPr>
        <w:numPr>
          <w:ilvl w:val="0"/>
          <w:numId w:val="1122"/>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w:p>
    <w:p>
      <w:pPr>
        <w:numPr>
          <w:ilvl w:val="0"/>
          <w:numId w:val="1122"/>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w:p>
    <w:p>
      <w:pPr>
        <w:numPr>
          <w:ilvl w:val="0"/>
          <w:numId w:val="1122"/>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w:p>
    <w:p>
      <w:pPr>
        <w:numPr>
          <w:ilvl w:val="0"/>
          <w:numId w:val="1122"/>
        </w:numPr>
      </w:pPr>
      <w:r>
        <w:t xml:space="preserve">Combinando estas desigualdades se obtiene la tabla 7.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75" w:name="tab: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175"/>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3.I</w:t>
        </w:r>
      </w:hyperlink>
      <w:r>
        <w:rPr>
          <w:i/>
          <w:iCs/>
        </w:rPr>
        <w:t xml:space="preserve">)</w:t>
      </w:r>
      <w:r>
        <w:rPr>
          <w:i/>
          <w:iCs/>
        </w:rPr>
        <w:t xml:space="preserve">.</w:t>
      </w:r>
    </w:p>
    <w:bookmarkEnd w:id="176"/>
    <w:bookmarkStart w:id="177" w:name="anexo:willig"/>
    <w:p>
      <w:pPr>
        <w:pStyle w:val="Heading1"/>
      </w:pPr>
      <w:r>
        <w:t xml:space="preserve">E. Anexo: la aproximación de</w:t>
      </w:r>
      <w:r>
        <w:t xml:space="preserve"> </w:t>
      </w:r>
      <w:r>
        <w:rPr>
          <w:smallCaps/>
        </w:rPr>
        <w:t xml:space="preserve">Willig</w:t>
      </w:r>
    </w:p>
    <w:p>
      <w:pPr>
        <w:numPr>
          <w:ilvl w:val="0"/>
          <w:numId w:val="1123"/>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23"/>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23"/>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w:p>
    <w:p>
      <w:pPr>
        <w:numPr>
          <w:ilvl w:val="0"/>
          <w:numId w:val="1123"/>
        </w:numPr>
      </w:pPr>
      <w:r>
        <w:t xml:space="preserve">El resultado formal, con las cotas del error, está en</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Hausman1981Exact">
        <w:r>
          <w:rPr>
            <w:rStyle w:val="Hyperlink"/>
          </w:rPr>
          <w:t xml:space="preserve">1981</w:t>
        </w:r>
      </w:hyperlink>
      <w:r>
        <w:t xml:space="preserve">)</w:t>
      </w:r>
      <w:r>
        <w:t xml:space="preserve">.</w:t>
      </w:r>
    </w:p>
    <w:bookmarkEnd w:id="177"/>
    <w:bookmarkStart w:id="179" w:name="anexo:test"/>
    <w:p>
      <w:pPr>
        <w:pStyle w:val="Heading1"/>
      </w:pPr>
      <w:r>
        <w:t xml:space="preserve">F. Anexo: aspectos relevantes para el test</w:t>
      </w:r>
    </w:p>
    <w:p>
      <w:pPr>
        <w:pStyle w:val="Cajadeanotaciones"/>
      </w:pPr>
      <w:r>
        <w:t xml:space="preserve">Preguntas tipo test:</w:t>
      </w:r>
      <w:r>
        <w:t xml:space="preserve"> </w:t>
      </w:r>
      <w:hyperlink r:id="rId178">
        <w:r>
          <w:rPr>
            <w:rStyle w:val="Hyperlink"/>
          </w:rPr>
          <w:t xml:space="preserve">simulador de test</w:t>
        </w:r>
      </w:hyperlink>
      <w:r>
        <w:t xml:space="preserve">.</w:t>
      </w:r>
    </w:p>
    <w:p>
      <w:pPr>
        <w:numPr>
          <w:ilvl w:val="0"/>
          <w:numId w:val="1124"/>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24"/>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24"/>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24"/>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24"/>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24"/>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24"/>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24"/>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9"/>
    <w:bookmarkStart w:id="314" w:name="bibliography"/>
    <w:p>
      <w:pPr>
        <w:pStyle w:val="Heading1"/>
      </w:pPr>
      <w:r>
        <w:t xml:space="preserve">Bibliografía</w:t>
      </w:r>
    </w:p>
    <w:bookmarkStart w:id="313" w:name="refs"/>
    <w:bookmarkStart w:id="181"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80">
        <w:r>
          <w:rPr>
            <w:rStyle w:val="Hyperlink"/>
          </w:rPr>
          <w:t xml:space="preserve">https://doi.org/10.2307/2525382</w:t>
        </w:r>
      </w:hyperlink>
      <w:r>
        <w:t xml:space="preserve">.</w:t>
      </w:r>
    </w:p>
    <w:bookmarkEnd w:id="181"/>
    <w:bookmarkStart w:id="183"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82">
        <w:r>
          <w:rPr>
            <w:rStyle w:val="Hyperlink"/>
          </w:rPr>
          <w:t xml:space="preserve">https://argos.gva.es/documents/166658342/166714754/Ejemplar+3070/2957e02b-f135-4235-98a6-bfc909292066</w:t>
        </w:r>
      </w:hyperlink>
      <w:r>
        <w:t xml:space="preserve">.</w:t>
      </w:r>
    </w:p>
    <w:bookmarkEnd w:id="183"/>
    <w:bookmarkStart w:id="184"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84"/>
    <w:bookmarkStart w:id="185"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85"/>
    <w:bookmarkStart w:id="187"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86">
        <w:r>
          <w:rPr>
            <w:rStyle w:val="Hyperlink"/>
          </w:rPr>
          <w:t xml:space="preserve">https://doi.org/10.1162/003465397557015</w:t>
        </w:r>
      </w:hyperlink>
      <w:r>
        <w:t xml:space="preserve">.</w:t>
      </w:r>
    </w:p>
    <w:bookmarkEnd w:id="187"/>
    <w:bookmarkStart w:id="189"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88">
        <w:r>
          <w:rPr>
            <w:rStyle w:val="Hyperlink"/>
          </w:rPr>
          <w:t xml:space="preserve">https://doi.org/10.2307/1913731</w:t>
        </w:r>
      </w:hyperlink>
      <w:r>
        <w:t xml:space="preserve">.</w:t>
      </w:r>
    </w:p>
    <w:bookmarkEnd w:id="189"/>
    <w:bookmarkStart w:id="191"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90">
        <w:r>
          <w:rPr>
            <w:rStyle w:val="Hyperlink"/>
          </w:rPr>
          <w:t xml:space="preserve">https://doi.org/10.2307/1937885</w:t>
        </w:r>
      </w:hyperlink>
      <w:r>
        <w:t xml:space="preserve">.</w:t>
      </w:r>
    </w:p>
    <w:bookmarkEnd w:id="191"/>
    <w:bookmarkStart w:id="193"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92">
        <w:r>
          <w:rPr>
            <w:rStyle w:val="Hyperlink"/>
          </w:rPr>
          <w:t xml:space="preserve">https://doi.org/10.1016/0014-2921(69)90017-8</w:t>
        </w:r>
      </w:hyperlink>
      <w:r>
        <w:t xml:space="preserve">.</w:t>
      </w:r>
    </w:p>
    <w:bookmarkEnd w:id="193"/>
    <w:bookmarkStart w:id="195"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94">
        <w:r>
          <w:rPr>
            <w:rStyle w:val="Hyperlink"/>
          </w:rPr>
          <w:t xml:space="preserve">https://doi.org/10.1057/9780230226203.0411</w:t>
        </w:r>
      </w:hyperlink>
      <w:r>
        <w:t xml:space="preserve">.</w:t>
      </w:r>
    </w:p>
    <w:bookmarkEnd w:id="195"/>
    <w:bookmarkStart w:id="197"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96">
        <w:r>
          <w:rPr>
            <w:rStyle w:val="Hyperlink"/>
          </w:rPr>
          <w:t xml:space="preserve">https://doi.org/10.1111/1468-0262.00394</w:t>
        </w:r>
      </w:hyperlink>
      <w:r>
        <w:t xml:space="preserve">.</w:t>
      </w:r>
    </w:p>
    <w:bookmarkEnd w:id="197"/>
    <w:bookmarkStart w:id="198"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98"/>
    <w:bookmarkStart w:id="199"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99"/>
    <w:bookmarkStart w:id="20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00"/>
    <w:bookmarkStart w:id="202"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01">
        <w:r>
          <w:rPr>
            <w:rStyle w:val="Hyperlink"/>
          </w:rPr>
          <w:t xml:space="preserve">https://doi.org/10.2307/1911983</w:t>
        </w:r>
      </w:hyperlink>
      <w:r>
        <w:t xml:space="preserve">.</w:t>
      </w:r>
    </w:p>
    <w:bookmarkEnd w:id="202"/>
    <w:bookmarkStart w:id="204"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03">
        <w:r>
          <w:rPr>
            <w:rStyle w:val="Hyperlink"/>
          </w:rPr>
          <w:t xml:space="preserve">https://doi.org/10.1596/0-8018-5254-4</w:t>
        </w:r>
      </w:hyperlink>
      <w:r>
        <w:t xml:space="preserve">.</w:t>
      </w:r>
    </w:p>
    <w:bookmarkEnd w:id="204"/>
    <w:bookmarkStart w:id="205"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05"/>
    <w:bookmarkStart w:id="206"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06"/>
    <w:bookmarkStart w:id="207"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07"/>
    <w:bookmarkStart w:id="209"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08">
        <w:r>
          <w:rPr>
            <w:rStyle w:val="Hyperlink"/>
          </w:rPr>
          <w:t xml:space="preserve">https://doi.org/10.1016/0304-4076(76)90009-9</w:t>
        </w:r>
      </w:hyperlink>
      <w:r>
        <w:t xml:space="preserve">.</w:t>
      </w:r>
    </w:p>
    <w:bookmarkEnd w:id="209"/>
    <w:bookmarkStart w:id="21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10">
        <w:r>
          <w:rPr>
            <w:rStyle w:val="Hyperlink"/>
          </w:rPr>
          <w:t xml:space="preserve">https://doi.org/10.1086/260489</w:t>
        </w:r>
      </w:hyperlink>
      <w:r>
        <w:t xml:space="preserve">.</w:t>
      </w:r>
    </w:p>
    <w:bookmarkEnd w:id="211"/>
    <w:bookmarkStart w:id="212"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12"/>
    <w:bookmarkStart w:id="214"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13">
        <w:r>
          <w:rPr>
            <w:rStyle w:val="Hyperlink"/>
          </w:rPr>
          <w:t xml:space="preserve">https://doi.org/10.2307/2296107</w:t>
        </w:r>
      </w:hyperlink>
      <w:r>
        <w:t xml:space="preserve">.</w:t>
      </w:r>
    </w:p>
    <w:bookmarkEnd w:id="214"/>
    <w:bookmarkStart w:id="216"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15">
        <w:r>
          <w:rPr>
            <w:rStyle w:val="Hyperlink"/>
          </w:rPr>
          <w:t xml:space="preserve">https://doi.org/10.3386/w12311</w:t>
        </w:r>
      </w:hyperlink>
      <w:r>
        <w:t xml:space="preserve">.</w:t>
      </w:r>
    </w:p>
    <w:bookmarkEnd w:id="216"/>
    <w:bookmarkStart w:id="218"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17">
        <w:r>
          <w:rPr>
            <w:rStyle w:val="Hyperlink"/>
          </w:rPr>
          <w:t xml:space="preserve">https://doi.org/10.2307/1909472</w:t>
        </w:r>
      </w:hyperlink>
      <w:r>
        <w:t xml:space="preserve">.</w:t>
      </w:r>
    </w:p>
    <w:bookmarkEnd w:id="218"/>
    <w:bookmarkStart w:id="220"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19">
        <w:r>
          <w:rPr>
            <w:rStyle w:val="Hyperlink"/>
          </w:rPr>
          <w:t xml:space="preserve">https://doi.org/10.1017/CBO9780511984082.003</w:t>
        </w:r>
      </w:hyperlink>
      <w:r>
        <w:t xml:space="preserve">.</w:t>
      </w:r>
    </w:p>
    <w:bookmarkEnd w:id="220"/>
    <w:bookmarkStart w:id="221"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21"/>
    <w:bookmarkStart w:id="22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22"/>
    <w:bookmarkStart w:id="224"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23">
        <w:r>
          <w:rPr>
            <w:rStyle w:val="Hyperlink"/>
          </w:rPr>
          <w:t xml:space="preserve">https://doi.org/10.2307/2967467</w:t>
        </w:r>
      </w:hyperlink>
      <w:r>
        <w:t xml:space="preserve">.</w:t>
      </w:r>
    </w:p>
    <w:bookmarkEnd w:id="224"/>
    <w:bookmarkStart w:id="226"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25">
        <w:r>
          <w:rPr>
            <w:rStyle w:val="Hyperlink"/>
          </w:rPr>
          <w:t xml:space="preserve">https://doi.org/10.2307/2967517</w:t>
        </w:r>
      </w:hyperlink>
      <w:r>
        <w:t xml:space="preserve">.</w:t>
      </w:r>
    </w:p>
    <w:bookmarkEnd w:id="226"/>
    <w:bookmarkStart w:id="227" w:name="ref-Hicks1956Revision"/>
    <w:p>
      <w:pPr>
        <w:pStyle w:val="Bibliography"/>
      </w:pPr>
      <w:r>
        <w:t xml:space="preserve">———. 1956.</w:t>
      </w:r>
      <w:r>
        <w:t xml:space="preserve"> </w:t>
      </w:r>
      <w:r>
        <w:rPr>
          <w:i/>
          <w:iCs/>
        </w:rPr>
        <w:t xml:space="preserve">A Revision of Demand Theory</w:t>
      </w:r>
      <w:r>
        <w:t xml:space="preserve">. Oxford: Clarendon Press.</w:t>
      </w:r>
    </w:p>
    <w:bookmarkEnd w:id="227"/>
    <w:bookmarkStart w:id="229"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28">
        <w:r>
          <w:rPr>
            <w:rStyle w:val="Hyperlink"/>
          </w:rPr>
          <w:t xml:space="preserve">https://doi.org/10.2307/2548574</w:t>
        </w:r>
      </w:hyperlink>
      <w:r>
        <w:t xml:space="preserve">.</w:t>
      </w:r>
    </w:p>
    <w:bookmarkEnd w:id="229"/>
    <w:bookmarkStart w:id="23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30">
        <w:r>
          <w:rPr>
            <w:rStyle w:val="Hyperlink"/>
          </w:rPr>
          <w:t xml:space="preserve">https://doi.org/10.1086/254387</w:t>
        </w:r>
      </w:hyperlink>
      <w:r>
        <w:t xml:space="preserve">.</w:t>
      </w:r>
    </w:p>
    <w:bookmarkEnd w:id="231"/>
    <w:bookmarkStart w:id="233"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32">
        <w:r>
          <w:rPr>
            <w:rStyle w:val="Hyperlink"/>
          </w:rPr>
          <w:t xml:space="preserve">https://doi.org/10.2307/2549382</w:t>
        </w:r>
      </w:hyperlink>
      <w:r>
        <w:t xml:space="preserve">.</w:t>
      </w:r>
    </w:p>
    <w:bookmarkEnd w:id="233"/>
    <w:bookmarkStart w:id="234"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34"/>
    <w:bookmarkStart w:id="236"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35">
        <w:r>
          <w:rPr>
            <w:rStyle w:val="Hyperlink"/>
          </w:rPr>
          <w:t xml:space="preserve">https://www.ine.es/daco/daco42/daco4213/resmeto06.pdf</w:t>
        </w:r>
      </w:hyperlink>
      <w:r>
        <w:t xml:space="preserve">.</w:t>
      </w:r>
    </w:p>
    <w:bookmarkEnd w:id="236"/>
    <w:bookmarkStart w:id="238"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37">
        <w:r>
          <w:rPr>
            <w:rStyle w:val="Hyperlink"/>
          </w:rPr>
          <w:t xml:space="preserve">https://www.ine.es/jaxiT3/Tabla.htm?t=76156</w:t>
        </w:r>
      </w:hyperlink>
      <w:r>
        <w:t xml:space="preserve">.</w:t>
      </w:r>
    </w:p>
    <w:bookmarkEnd w:id="238"/>
    <w:bookmarkStart w:id="240"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39">
        <w:r>
          <w:rPr>
            <w:rStyle w:val="Hyperlink"/>
          </w:rPr>
          <w:t xml:space="preserve">https://www.ine.es/metodologia/t25/metodologia_IPC_base_2025.pdf</w:t>
        </w:r>
      </w:hyperlink>
      <w:r>
        <w:t xml:space="preserve">.</w:t>
      </w:r>
    </w:p>
    <w:bookmarkEnd w:id="240"/>
    <w:bookmarkStart w:id="242"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41">
        <w:r>
          <w:rPr>
            <w:rStyle w:val="Hyperlink"/>
          </w:rPr>
          <w:t xml:space="preserve">https://www.ine.es/metodologia/t25/principales_caracteristicas_base_2025.pdf</w:t>
        </w:r>
      </w:hyperlink>
      <w:r>
        <w:t xml:space="preserve">.</w:t>
      </w:r>
    </w:p>
    <w:bookmarkEnd w:id="242"/>
    <w:bookmarkStart w:id="244"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43">
        <w:r>
          <w:rPr>
            <w:rStyle w:val="Hyperlink"/>
          </w:rPr>
          <w:t xml:space="preserve">https://www.ine.es/dyngs/Prensa/EPF2025.htm</w:t>
        </w:r>
      </w:hyperlink>
      <w:r>
        <w:t xml:space="preserve">.</w:t>
      </w:r>
    </w:p>
    <w:bookmarkEnd w:id="244"/>
    <w:bookmarkStart w:id="246"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245">
        <w:r>
          <w:rPr>
            <w:rStyle w:val="Hyperlink"/>
          </w:rPr>
          <w:t xml:space="preserve">https://www.ine.es/dyngs/Prensa/CNA2025.htm</w:t>
        </w:r>
      </w:hyperlink>
      <w:r>
        <w:t xml:space="preserve">.</w:t>
      </w:r>
    </w:p>
    <w:bookmarkEnd w:id="246"/>
    <w:bookmarkStart w:id="248"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247">
        <w:r>
          <w:rPr>
            <w:rStyle w:val="Hyperlink"/>
          </w:rPr>
          <w:t xml:space="preserve">https://www.ine.es/metodologia/t25/t2530p458.pdf</w:t>
        </w:r>
      </w:hyperlink>
      <w:r>
        <w:t xml:space="preserve">.</w:t>
      </w:r>
    </w:p>
    <w:bookmarkEnd w:id="248"/>
    <w:bookmarkStart w:id="24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49"/>
    <w:bookmarkStart w:id="251"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250">
        <w:r>
          <w:rPr>
            <w:rStyle w:val="Hyperlink"/>
          </w:rPr>
          <w:t xml:space="preserve">https://doi.org/10.2307/1911539</w:t>
        </w:r>
      </w:hyperlink>
      <w:r>
        <w:t xml:space="preserve">.</w:t>
      </w:r>
    </w:p>
    <w:bookmarkEnd w:id="251"/>
    <w:bookmarkStart w:id="253"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252">
        <w:r>
          <w:rPr>
            <w:rStyle w:val="Hyperlink"/>
          </w:rPr>
          <w:t xml:space="preserve">https://doi.org/10.2307/2295996</w:t>
        </w:r>
      </w:hyperlink>
      <w:r>
        <w:t xml:space="preserve">.</w:t>
      </w:r>
    </w:p>
    <w:bookmarkEnd w:id="253"/>
    <w:bookmarkStart w:id="255"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254">
        <w:r>
          <w:rPr>
            <w:rStyle w:val="Hyperlink"/>
          </w:rPr>
          <w:t xml:space="preserve">https://ww2.amstat.org/meetings/proceedings/2021/data/assets/pdf/1913738.pdf</w:t>
        </w:r>
      </w:hyperlink>
      <w:r>
        <w:t xml:space="preserve">.</w:t>
      </w:r>
    </w:p>
    <w:bookmarkEnd w:id="255"/>
    <w:bookmarkStart w:id="257"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256">
        <w:r>
          <w:rPr>
            <w:rStyle w:val="Hyperlink"/>
          </w:rPr>
          <w:t xml:space="preserve">https://doi.org/10.2307/1906997</w:t>
        </w:r>
      </w:hyperlink>
      <w:r>
        <w:t xml:space="preserve">.</w:t>
      </w:r>
    </w:p>
    <w:bookmarkEnd w:id="257"/>
    <w:bookmarkStart w:id="258"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258"/>
    <w:bookmarkStart w:id="260"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259">
        <w:r>
          <w:rPr>
            <w:rStyle w:val="Hyperlink"/>
          </w:rPr>
          <w:t xml:space="preserve">https://doi.org/10.2307/1909167</w:t>
        </w:r>
      </w:hyperlink>
      <w:r>
        <w:t xml:space="preserve">.</w:t>
      </w:r>
    </w:p>
    <w:bookmarkEnd w:id="260"/>
    <w:bookmarkStart w:id="262"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261">
        <w:r>
          <w:rPr>
            <w:rStyle w:val="Hyperlink"/>
          </w:rPr>
          <w:t xml:space="preserve">https://doi.org/10.2307/1912704</w:t>
        </w:r>
      </w:hyperlink>
      <w:r>
        <w:t xml:space="preserve">.</w:t>
      </w:r>
    </w:p>
    <w:bookmarkEnd w:id="262"/>
    <w:bookmarkStart w:id="264"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263">
        <w:r>
          <w:rPr>
            <w:rStyle w:val="Hyperlink"/>
          </w:rPr>
          <w:t xml:space="preserve">https://www.thelatinlibrary.com/cicero/leg3.shtml</w:t>
        </w:r>
      </w:hyperlink>
      <w:r>
        <w:t xml:space="preserve">.</w:t>
      </w:r>
    </w:p>
    <w:bookmarkEnd w:id="264"/>
    <w:bookmarkStart w:id="26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5">
        <w:r>
          <w:rPr>
            <w:rStyle w:val="Hyperlink"/>
          </w:rPr>
          <w:t xml:space="preserve">https://www.marxists.org/reference/subject/economics/marshall/bk1ch01.htm</w:t>
        </w:r>
      </w:hyperlink>
      <w:r>
        <w:t xml:space="preserve">.</w:t>
      </w:r>
    </w:p>
    <w:bookmarkEnd w:id="266"/>
    <w:bookmarkStart w:id="26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7"/>
    <w:bookmarkStart w:id="26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68"/>
    <w:bookmarkStart w:id="270"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269">
        <w:r>
          <w:rPr>
            <w:rStyle w:val="Hyperlink"/>
          </w:rPr>
          <w:t xml:space="preserve">https://doi.org/10.2307/2296067</w:t>
        </w:r>
      </w:hyperlink>
      <w:r>
        <w:t xml:space="preserve">.</w:t>
      </w:r>
    </w:p>
    <w:bookmarkEnd w:id="270"/>
    <w:bookmarkStart w:id="272"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271">
        <w:r>
          <w:rPr>
            <w:rStyle w:val="Hyperlink"/>
          </w:rPr>
          <w:t xml:space="preserve">https://www.boe.es/buscar/act.php?id=BOE-A-2015-11724</w:t>
        </w:r>
      </w:hyperlink>
      <w:r>
        <w:t xml:space="preserve">.</w:t>
      </w:r>
    </w:p>
    <w:bookmarkEnd w:id="272"/>
    <w:bookmarkStart w:id="274"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273">
        <w:r>
          <w:rPr>
            <w:rStyle w:val="Hyperlink"/>
          </w:rPr>
          <w:t xml:space="preserve">https://www.lamoncloa.gob.es/serviciosdeprensa/notasprensa/inclusion/Paginas/2025/121225-revalorizacion-pensiones.aspx</w:t>
        </w:r>
      </w:hyperlink>
      <w:r>
        <w:t xml:space="preserve">.</w:t>
      </w:r>
    </w:p>
    <w:bookmarkEnd w:id="274"/>
    <w:bookmarkStart w:id="276"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75">
        <w:r>
          <w:rPr>
            <w:rStyle w:val="Hyperlink"/>
          </w:rPr>
          <w:t xml:space="preserve">https://doi.org/10.2307/2296792</w:t>
        </w:r>
      </w:hyperlink>
      <w:r>
        <w:t xml:space="preserve">.</w:t>
      </w:r>
    </w:p>
    <w:bookmarkEnd w:id="276"/>
    <w:bookmarkStart w:id="278"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77">
        <w:r>
          <w:rPr>
            <w:rStyle w:val="Hyperlink"/>
          </w:rPr>
          <w:t xml:space="preserve">https://doi.org/10.2307/1911540</w:t>
        </w:r>
      </w:hyperlink>
      <w:r>
        <w:t xml:space="preserve">.</w:t>
      </w:r>
    </w:p>
    <w:bookmarkEnd w:id="278"/>
    <w:bookmarkStart w:id="279"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79"/>
    <w:bookmarkStart w:id="281"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80">
        <w:r>
          <w:rPr>
            <w:rStyle w:val="Hyperlink"/>
          </w:rPr>
          <w:t xml:space="preserve">https://doi.org/10.2307/1911416</w:t>
        </w:r>
      </w:hyperlink>
      <w:r>
        <w:t xml:space="preserve">.</w:t>
      </w:r>
    </w:p>
    <w:bookmarkEnd w:id="281"/>
    <w:bookmarkStart w:id="282" w:name="ref-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282"/>
    <w:bookmarkStart w:id="284"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83">
        <w:r>
          <w:rPr>
            <w:rStyle w:val="Hyperlink"/>
          </w:rPr>
          <w:t xml:space="preserve">https://doi.org/10.2307/1905479</w:t>
        </w:r>
      </w:hyperlink>
      <w:r>
        <w:t xml:space="preserve">.</w:t>
      </w:r>
    </w:p>
    <w:bookmarkEnd w:id="284"/>
    <w:bookmarkStart w:id="286"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85">
        <w:r>
          <w:rPr>
            <w:rStyle w:val="Hyperlink"/>
          </w:rPr>
          <w:t xml:space="preserve">https://doi.org/10.2307/2548836</w:t>
        </w:r>
      </w:hyperlink>
      <w:r>
        <w:t xml:space="preserve">.</w:t>
      </w:r>
    </w:p>
    <w:bookmarkEnd w:id="286"/>
    <w:bookmarkStart w:id="288"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87">
        <w:r>
          <w:rPr>
            <w:rStyle w:val="Hyperlink"/>
          </w:rPr>
          <w:t xml:space="preserve">https://doi.org/10.2307/2549561</w:t>
        </w:r>
      </w:hyperlink>
      <w:r>
        <w:t xml:space="preserve">.</w:t>
      </w:r>
    </w:p>
    <w:bookmarkEnd w:id="288"/>
    <w:bookmarkStart w:id="289"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89"/>
    <w:bookmarkStart w:id="291"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90">
        <w:r>
          <w:rPr>
            <w:rStyle w:val="Hyperlink"/>
          </w:rPr>
          <w:t xml:space="preserve">https://www.funcas.es/wp-content/uploads/Migracion/Articulos/FUNCAS_CIE/228art02.pdf</w:t>
        </w:r>
      </w:hyperlink>
      <w:r>
        <w:t xml:space="preserve">.</w:t>
      </w:r>
    </w:p>
    <w:bookmarkEnd w:id="291"/>
    <w:bookmarkStart w:id="29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92"/>
    <w:bookmarkStart w:id="293"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93"/>
    <w:bookmarkStart w:id="2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94">
        <w:r>
          <w:rPr>
            <w:rStyle w:val="Hyperlink"/>
          </w:rPr>
          <w:t xml:space="preserve">https://doi.org/10.2307/2227743</w:t>
        </w:r>
      </w:hyperlink>
      <w:r>
        <w:t xml:space="preserve">.</w:t>
      </w:r>
    </w:p>
    <w:bookmarkEnd w:id="295"/>
    <w:bookmarkStart w:id="297"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96">
        <w:r>
          <w:rPr>
            <w:rStyle w:val="Hyperlink"/>
          </w:rPr>
          <w:t xml:space="preserve">https://doi.org/10.2307/1910254</w:t>
        </w:r>
      </w:hyperlink>
      <w:r>
        <w:t xml:space="preserve">.</w:t>
      </w:r>
    </w:p>
    <w:bookmarkEnd w:id="297"/>
    <w:bookmarkStart w:id="298"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98"/>
    <w:bookmarkStart w:id="300"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99">
        <w:r>
          <w:rPr>
            <w:rStyle w:val="Hyperlink"/>
          </w:rPr>
          <w:t xml:space="preserve">https://www.nobelprize.org/prizes/economic-sciences/2015/summary/</w:t>
        </w:r>
      </w:hyperlink>
      <w:r>
        <w:t xml:space="preserve">.</w:t>
      </w:r>
    </w:p>
    <w:bookmarkEnd w:id="300"/>
    <w:bookmarkStart w:id="302"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01">
        <w:r>
          <w:rPr>
            <w:rStyle w:val="Hyperlink"/>
          </w:rPr>
          <w:t xml:space="preserve">https://doi.org/10.2307/1911889</w:t>
        </w:r>
      </w:hyperlink>
      <w:r>
        <w:t xml:space="preserve">.</w:t>
      </w:r>
    </w:p>
    <w:bookmarkEnd w:id="302"/>
    <w:bookmarkStart w:id="304"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03">
        <w:r>
          <w:rPr>
            <w:rStyle w:val="Hyperlink"/>
          </w:rPr>
          <w:t xml:space="preserve">https://eur-lex.europa.eu/legal-content/ES/TXT/?uri=CELEX:32013R0549</w:t>
        </w:r>
      </w:hyperlink>
      <w:r>
        <w:t xml:space="preserve">.</w:t>
      </w:r>
    </w:p>
    <w:bookmarkEnd w:id="304"/>
    <w:bookmarkStart w:id="306"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05">
        <w:r>
          <w:rPr>
            <w:rStyle w:val="Hyperlink"/>
          </w:rPr>
          <w:t xml:space="preserve">https://api.bls.gov/publicAPI/v1/timeseries/data/SUUR0000SA0</w:t>
        </w:r>
      </w:hyperlink>
      <w:r>
        <w:t xml:space="preserve">.</w:t>
      </w:r>
    </w:p>
    <w:bookmarkEnd w:id="306"/>
    <w:bookmarkStart w:id="308"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07">
        <w:r>
          <w:rPr>
            <w:rStyle w:val="Hyperlink"/>
          </w:rPr>
          <w:t xml:space="preserve">https://doi.org/10.2307/2525564</w:t>
        </w:r>
      </w:hyperlink>
      <w:r>
        <w:t xml:space="preserve">.</w:t>
      </w:r>
    </w:p>
    <w:bookmarkEnd w:id="308"/>
    <w:bookmarkStart w:id="30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09"/>
    <w:bookmarkStart w:id="310"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10"/>
    <w:bookmarkStart w:id="312"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11">
        <w:r>
          <w:rPr>
            <w:rStyle w:val="Hyperlink"/>
          </w:rPr>
          <w:t xml:space="preserve">https://doi.org/10.1080/01621459.1943.10501775</w:t>
        </w:r>
      </w:hyperlink>
      <w:r>
        <w:t xml:space="preserve">.</w:t>
      </w:r>
    </w:p>
    <w:bookmarkEnd w:id="312"/>
    <w:bookmarkEnd w:id="313"/>
    <w:bookmarkEnd w:id="31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30">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36">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37">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r>
        <w:rPr>
          <w:rStyle w:val="Referenciaatema"/>
        </w:rPr>
        <w:t xml:space="preserve">[ver tema 3.A.21]</w:t>
      </w:r>
      <w:r>
        <w:t xml:space="preserve">.</w:t>
      </w:r>
    </w:p>
  </w:footnote>
  <w:footnote w:id="48">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w:p>
  </w:footnote>
  <w:footnote w:id="54">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55">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71">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81">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r>
        <w:rPr>
          <w:rStyle w:val="Referenciaatema"/>
        </w:rPr>
        <w:t xml:space="preserve">[ver tema 3.A.11]</w:t>
      </w:r>
      <w:r>
        <w:t xml:space="preserve">.</w:t>
      </w:r>
    </w:p>
  </w:footnote>
  <w:footnote w:id="116">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17">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23">
    <w:p>
      <w:pPr>
        <w:pStyle w:val="FootnoteText"/>
      </w:pPr>
      <w:r>
        <w:rPr>
          <w:rStyle w:val="FootnoteReference"/>
        </w:rPr>
        <w:footnoteRef/>
      </w:r>
    </w:p>
    <w:p>
      <w:pPr>
        <w:pStyle w:val="FootnoteText"/>
      </w:pPr>
      <w:r>
        <w:t xml:space="preserve">Paso a paso, multiplicando los dos lados de (29)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w:t>
      </w:r>
    </w:p>
  </w:footnote>
  <w:footnote w:id="129">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142">
    <w:p>
      <w:pPr>
        <w:pStyle w:val="FootnoteText"/>
      </w:pPr>
      <w:r>
        <w:rPr>
          <w:rStyle w:val="FootnoteReference"/>
        </w:rPr>
        <w:footnoteRef/>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 w:id="157">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w:t>
      </w:r>
    </w:p>
  </w:footnote>
  <w:footnote w:id="158">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56" Target="media/rId56.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image" Id="rId159" Target="media/rId159.png" /><Relationship Type="http://schemas.openxmlformats.org/officeDocument/2006/relationships/image" Id="rId66" Target="media/rId66.png" /><Relationship Type="http://schemas.openxmlformats.org/officeDocument/2006/relationships/image" Id="rId31" Target="media/rId31.png" /><Relationship Type="http://schemas.openxmlformats.org/officeDocument/2006/relationships/image" Id="rId118" Target="media/rId118.png" /><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language>es-ES</dc:language>
  <cp:keywords/>
  <dcterms:created xsi:type="dcterms:W3CDTF">2026-10-16T22:25:02Z</dcterms:created>
  <dcterms:modified xsi:type="dcterms:W3CDTF">2026-10-16T22:25:02Z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3A09</vt:lpwstr>
  </property>
  <property fmtid="{D5CDD505-2E9C-101B-9397-08002B2CF9AE}" pid="4" name="bibliography">
    <vt:lpwstr>C:\Users\vgutierrez\Documents\src\victorgutierrezmarcos.github.io-revision\oposicion\temario\fuentes\3A09\3A09.bib</vt:lpwstr>
  </property>
  <property fmtid="{D5CDD505-2E9C-101B-9397-08002B2CF9AE}" pid="5" name="carpeta">
    <vt:lpwstr>tercer-ejercicio</vt:lpwstr>
  </property>
  <property fmtid="{D5CDD505-2E9C-101B-9397-08002B2CF9AE}" pid="6" name="codigo">
    <vt:lpwstr>3.A.9</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C:\Users\vgutierrez\Documents\src\victorgutierrezmarcos.github.io-revision\oposicion\temario\fuentes\3A09\graficos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5 · Bibliografía: 4</vt:lpwstr>
  </property>
  <property fmtid="{D5CDD505-2E9C-101B-9397-08002B2CF9AE}" pid="17"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18" name="reference-section-title">
    <vt:lpwstr>Bibliografía</vt:lpwstr>
  </property>
  <property fmtid="{D5CDD505-2E9C-101B-9397-08002B2CF9AE}" pid="19" name="resumen">
    <vt:lpwstr>Demanda hicksiana, función de gasto, lema de Shephard e identidad de Roy, integrabilidad, sistemas de demanda (AIDS, Rotterdam) y variación compensatoria.</vt:lpwstr>
  </property>
  <property fmtid="{D5CDD505-2E9C-101B-9397-08002B2CF9AE}" pid="20" name="titulo">
    <vt:lpwstr>Teoría de la demanda del consumidor (II). Dualidad e integrabilidad de las preferencias. Sistemas de demanda utilizados en estudios empíricos. Medidas de cambio en el bienestar.</vt:lpwstr>
  </property>
  <property fmtid="{D5CDD505-2E9C-101B-9397-08002B2CF9AE}" pid="21" name="titulo-seo">
    <vt:lpwstr>Dualidad del consumidor y medidas de bienestar</vt:lpwstr>
  </property>
</Properties>
</file>