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70.png" ContentType="image/png"/>
  <Override PartName="/word/media/rId58.png" ContentType="image/png"/>
  <Override PartName="/word/media/rId114.png" ContentType="image/png"/>
  <Override PartName="/word/media/rId102.png" ContentType="image/png"/>
  <Override PartName="/word/media/rId43.png" ContentType="image/png"/>
  <Override PartName="/word/media/rId167.png" ContentType="image/png"/>
  <Override PartName="/word/media/rId84.png" ContentType="image/png"/>
  <Override PartName="/word/media/rId162.png" ContentType="image/png"/>
  <Override PartName="/word/media/rId148.png" ContentType="image/png"/>
  <Override PartName="/word/media/rId125.png" ContentType="image/png"/>
  <Override PartName="/word/media/rId17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16/10/2026</w:t>
      </w:r>
    </w:p>
    <w:p>
      <w:pPr>
        <w:pStyle w:val="Paginasdeltema"/>
      </w:pPr>
      <w:r>
        <w:t xml:space="preserve">Tema: 29 págs. · Anexos: 9 · Bibliografía: 7 (PDF)</w:t>
      </w:r>
    </w:p>
    <w:bookmarkStart w:id="26"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r>
        <w:rPr>
          <w:rStyle w:val="Referenciaatema"/>
        </w:rPr>
        <w:t xml:space="preserve">[ver tema 3.A.16]</w:t>
      </w:r>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2"/>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3"/>
      </w:r>
      <w:r>
        <w:t xml:space="preserve"> </w:t>
      </w:r>
      <w:r>
        <w:t xml:space="preserve">el bloque III 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r>
        <w:rPr>
          <w:rStyle w:val="Referenciaatema"/>
        </w:rPr>
        <w:t xml:space="preserve">[ver tema 3.A.22]</w:t>
      </w:r>
      <w:r>
        <w:t xml:space="preserve">, la teoría del comercio de</w:t>
      </w:r>
      <w:r>
        <w:t xml:space="preserve"> </w:t>
      </w:r>
      <w:r>
        <w:rPr>
          <w:smallCaps/>
        </w:rPr>
        <w:t xml:space="preserve">Heckscher</w:t>
      </w:r>
      <w:r>
        <w:t xml:space="preserve">-</w:t>
      </w:r>
      <w:r>
        <w:rPr>
          <w:smallCaps/>
        </w:rPr>
        <w:t xml:space="preserve">Ohlin</w:t>
      </w:r>
      <w:r>
        <w:t xml:space="preserve"> </w:t>
      </w:r>
      <w:r>
        <w:rPr>
          <w:rStyle w:val="Referenciaatema"/>
        </w:rPr>
        <w:t xml:space="preserve">[ver tema 3.B.5]</w:t>
      </w:r>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r>
        <w:rPr>
          <w:rStyle w:val="Referenciaatema"/>
        </w:rPr>
        <w:t xml:space="preserve">[ver tema 3.A.23]</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pero ambos hacen economía política, sin un modelo cerrado</w:t>
      </w:r>
      <w:r>
        <w:t xml:space="preserve"> </w:t>
      </w:r>
      <w:r>
        <w:rPr>
          <w:rStyle w:val="Referenciaatema"/>
        </w:rPr>
        <w:t xml:space="preserve">[ver tema 3.A.2]</w:t>
      </w:r>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r>
        <w:rPr>
          <w:rStyle w:val="Referenciaatema"/>
        </w:rPr>
        <w:t xml:space="preserve">[ver tema 3.A.3]</w:t>
      </w:r>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II.1.1).</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24"/>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abre otra vía: el intercambio como negociación, sin precios dados (apartados III.1 y III.2).</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rPr>
          <w:rStyle w:val="FootnoteReference"/>
        </w:rPr>
        <w:footnoteReference w:id="25"/>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(I.1); el comportamiento de empresas y consumidores, el exceso de demanda y la ley de</w:t>
      </w:r>
      <w:r>
        <w:t xml:space="preserve"> </w:t>
      </w:r>
      <w:r>
        <w:rPr>
          <w:smallCaps/>
        </w:rPr>
        <w:t xml:space="preserve">Walras</w:t>
      </w:r>
      <w:r>
        <w:t xml:space="preserve"> </w:t>
      </w:r>
      <w:r>
        <w:t xml:space="preserve">(I.2), y la definición del equilibrio general competitivo (I.3).</w:t>
      </w:r>
    </w:p>
    <w:p>
      <w:pPr>
        <w:numPr>
          <w:ilvl w:val="1"/>
          <w:numId w:val="1009"/>
        </w:numPr>
      </w:pPr>
      <w:r>
        <w:rPr>
          <w:b/>
          <w:bCs/>
        </w:rPr>
        <w:t xml:space="preserve">II. Análisis positivo y normativo</w:t>
      </w:r>
      <w:r>
        <w:t xml:space="preserve">: si el equilibrio existe, es único y es estable (II.1), y si es eficiente (II.2), que es la puerta de la economía del bienestar</w:t>
      </w:r>
      <w:r>
        <w:t xml:space="preserve"> </w:t>
      </w:r>
      <w:r>
        <w:rPr>
          <w:rStyle w:val="Referenciaatema"/>
        </w:rPr>
        <w:t xml:space="preserve">[ver tema 3.A.22]</w:t>
      </w:r>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(III.1) y el núcleo, con el comportamiento estratégico y las no convexidades (III.2); el dinero (III.3); el tiempo y la incertidumbre (III.4), y los modelos de equilibrio general computable (III.5).</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 III relaja un supuesto de I que las propiedades de II 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(I) a sus propiedades (II) y de estas a sus límites (III).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y núcleo). Los gráficos imprescindibles son la caja de la producción con la FPP y los precios, la caja de intercambio (que crece desde I.3 hasta III.2), el punto fijo de</w:t>
      </w:r>
      <w:r>
        <w:t xml:space="preserve"> </w:t>
      </w:r>
      <w:r>
        <w:rPr>
          <w:smallCaps/>
        </w:rPr>
        <w:t xml:space="preserve">Brouwer</w:t>
      </w:r>
      <w:r>
        <w:t xml:space="preserve"> </w:t>
      </w:r>
      <w:r>
        <w:t xml:space="preserve">y el exceso de demanda con varios equilibrios. La demostración de la existencia, los teoremas del bienestar en detalle, la estabilidad en un mercado y la estática comparativa están en los anexos, para las preguntas del tribunal. Conviene escribir este esquema en la pizarra al empezar.</w:t>
      </w:r>
    </w:p>
    <w:bookmarkEnd w:id="26"/>
    <w:bookmarkStart w:id="64" w:name="X163c51afc878a6cc9a7706a5fb04df9ac9f66b1"/>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1),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III (2′30″).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Wikipedia, «Tanteo walrasiano»</w:t>
      </w:r>
      <w:r>
        <w:t xml:space="preserve"> </w:t>
      </w:r>
      <w:r>
        <w:t xml:space="preserve">(</w:t>
      </w:r>
      <w:hyperlink w:anchor="ref-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27">
        <w:r>
          <w:rPr>
            <w:rStyle w:val="Hyperlink"/>
          </w:rPr>
          <w:t xml:space="preserve">https://es.wikipedia.org/wiki/Tanteo_walrasiano</w:t>
        </w:r>
      </w:hyperlink>
    </w:p>
    <w:p>
      <w:pPr>
        <w:pStyle w:val="Cajadeanotaciones"/>
        <w:numPr>
          <w:ilvl w:val="0"/>
          <w:numId w:val="1011"/>
        </w:numPr>
      </w:pPr>
      <w:r>
        <w:t xml:space="preserve">History of Economic Thought, «Existence of equilibrium» (historia de las pruebas de existencia):</w:t>
      </w:r>
      <w:r>
        <w:t xml:space="preserve"> </w:t>
      </w:r>
      <w:hyperlink r:id="rId28">
        <w:r>
          <w:rPr>
            <w:rStyle w:val="Hyperlink"/>
          </w:rPr>
          <w:t xml:space="preserve">https://hetwebsite.net/het/essays/get/existence.htm</w:t>
        </w:r>
      </w:hyperlink>
    </w:p>
    <w:bookmarkStart w:id="37" w:name="supuestos"/>
    <w:p>
      <w:pPr>
        <w:pStyle w:val="Heading2"/>
      </w:pPr>
      <w:r>
        <w:t xml:space="preserve">I.1.</w:t>
      </w:r>
      <w:r>
        <w:t xml:space="preserve"> </w:t>
      </w:r>
      <w:r>
        <w:t xml:space="preserve">Supuestos</w:t>
      </w:r>
    </w:p>
    <w:p>
      <w:pPr>
        <w:numPr>
          <w:ilvl w:val="0"/>
          <w:numId w:val="1012"/>
        </w:numPr>
      </w:pPr>
      <w:r>
        <w:t xml:space="preserve">La economía que estudiamos es un</w:t>
      </w:r>
      <w:r>
        <w:t xml:space="preserve"> </w:t>
      </w:r>
      <w:r>
        <w:rPr>
          <w:b/>
          <w:bCs/>
        </w:rPr>
        <w:t xml:space="preserve">modelo de equilibrio general competitivo 2×2×2×2 estático</w:t>
      </w:r>
      <w:r>
        <w:t xml:space="preserve"> </w:t>
      </w:r>
      <w:r>
        <w:t xml:space="preserve">con estos supuestos:</w:t>
      </w:r>
    </w:p>
    <w:p>
      <w:pPr>
        <w:numPr>
          <w:ilvl w:val="0"/>
          <w:numId w:val="1012"/>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1).</w:t>
      </w:r>
    </w:p>
    <w:bookmarkStart w:id="29" w:name="tab: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29"/>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17</w:t>
        </w:r>
      </w:hyperlink>
      <w:r>
        <w:rPr>
          <w:i/>
          <w:iCs/>
        </w:rPr>
        <w:t xml:space="preserve">)</w:t>
      </w:r>
      <w:r>
        <w:rPr>
          <w:i/>
          <w:iCs/>
        </w:rPr>
        <w:t xml:space="preserve">.</w:t>
      </w:r>
    </w:p>
    <w:p>
      <w:pPr>
        <w:keepNext/>
        <w:numPr>
          <w:ilvl w:val="0"/>
          <w:numId w:val="1013"/>
        </w:numPr>
      </w:pPr>
      <w:r>
        <w:rPr>
          <w:b/>
          <w:bCs/>
        </w:rPr>
        <w:t xml:space="preserve">Competencia perfecta</w:t>
      </w:r>
      <w:r>
        <w:t xml:space="preserve"> </w:t>
      </w:r>
      <w:r>
        <w:t xml:space="preserve">en todos los mercados, de bienes y de factores:</w:t>
      </w:r>
    </w:p>
    <w:p>
      <w:pPr>
        <w:numPr>
          <w:ilvl w:val="1"/>
          <w:numId w:val="1014"/>
        </w:numPr>
      </w:pPr>
      <w:r>
        <w:rPr>
          <w:i/>
          <w:iCs/>
        </w:rPr>
        <w:t xml:space="preserve">agentes racionales</w:t>
      </w:r>
      <w:r>
        <w:t xml:space="preserve">: los consumidores maximizan su utilidad y las empresas, su beneficio;</w:t>
      </w:r>
    </w:p>
    <w:p>
      <w:pPr>
        <w:numPr>
          <w:ilvl w:val="1"/>
          <w:numId w:val="1014"/>
        </w:numPr>
      </w:pPr>
      <w:r>
        <w:rPr>
          <w:i/>
          <w:iCs/>
        </w:rPr>
        <w:t xml:space="preserve">información perfecta</w:t>
      </w:r>
      <w:r>
        <w:t xml:space="preserve">: no es incompleta ni asimétrica;</w:t>
      </w:r>
      <w:r>
        <w:rPr>
          <w:rStyle w:val="FootnoteReference"/>
        </w:rPr>
        <w:footnoteReference w:id="30"/>
      </w:r>
    </w:p>
    <w:p>
      <w:pPr>
        <w:numPr>
          <w:ilvl w:val="1"/>
          <w:numId w:val="1014"/>
        </w:numPr>
      </w:pPr>
      <w:r>
        <w:rPr>
          <w:i/>
          <w:iCs/>
        </w:rPr>
        <w:t xml:space="preserve">bienes homogéneos</w:t>
      </w:r>
      <w:r>
        <w:t xml:space="preserve">: los consumidores perciben como sustitutivos perfectos las unidades de un mismo bien;</w:t>
      </w:r>
    </w:p>
    <w:p>
      <w:pPr>
        <w:numPr>
          <w:ilvl w:val="1"/>
          <w:numId w:val="1014"/>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r>
        <w:rPr>
          <w:rStyle w:val="Referenciaatema"/>
        </w:rPr>
        <w:t xml:space="preserve">[ver tema 3.A.16]</w:t>
      </w:r>
      <w:r>
        <w:t xml:space="preserve">.</w:t>
      </w:r>
    </w:p>
    <w:p>
      <w:pPr>
        <w:numPr>
          <w:ilvl w:val="0"/>
          <w:numId w:val="1013"/>
        </w:numPr>
      </w:pPr>
      <w:r>
        <w:rPr>
          <w:b/>
          <w:bCs/>
        </w:rPr>
        <w:t xml:space="preserve">Mercados completos</w:t>
      </w:r>
      <w:r>
        <w:t xml:space="preserve">: cada bien tiene un mercado y un precio, sin externalidades ni bienes públicos.</w:t>
      </w:r>
      <w:r>
        <w:rPr>
          <w:rStyle w:val="FootnoteReference"/>
        </w:rPr>
        <w:footnoteReference w:id="31"/>
      </w:r>
    </w:p>
    <w:p>
      <w:pPr>
        <w:keepNext/>
        <w:numPr>
          <w:ilvl w:val="0"/>
          <w:numId w:val="1013"/>
        </w:numPr>
      </w:pPr>
      <w:r>
        <w:rPr>
          <w:b/>
          <w:bCs/>
        </w:rPr>
        <w:t xml:space="preserve">Modelo 2×2×2×2 estático</w:t>
      </w:r>
      <w:r>
        <w:t xml:space="preserve"> </w:t>
      </w:r>
      <w:r>
        <w:t xml:space="preserve">(</w:t>
      </w:r>
      <w:hyperlink w:anchor="ref-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5"/>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5"/>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5"/>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r>
        <w:rPr>
          <w:rStyle w:val="Referenciaatema"/>
        </w:rPr>
        <w:t xml:space="preserve">[ver tema 3.A.8]</w:t>
      </w:r>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2"/>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33"/>
      </w:r>
    </w:p>
    <w:p>
      <w:pPr>
        <w:keepNext/>
        <w:numPr>
          <w:ilvl w:val="1"/>
          <w:numId w:val="1015"/>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3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r>
        <w:rPr>
          <w:rStyle w:val="Referenciaatema"/>
        </w:rPr>
        <w:t xml:space="preserve">[ver tema 3.A.11]</w:t>
      </w:r>
      <w:r>
        <w:t xml:space="preserve">.</w:t>
      </w:r>
      <w:r>
        <w:rPr>
          <w:rStyle w:val="FootnoteReference"/>
        </w:rPr>
        <w:footnoteReference w:id="35"/>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6"/>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6"/>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6"/>
        </w:numPr>
      </w:pPr>
      <w:r>
        <w:t xml:space="preserve">los rendimientos</w:t>
      </w:r>
      <w:r>
        <w:t xml:space="preserve"> </w:t>
      </w:r>
      <w:r>
        <w:rPr>
          <w:i/>
          <w:iCs/>
        </w:rPr>
        <w:t xml:space="preserve">crecientes</w:t>
      </w:r>
      <w:r>
        <w:t xml:space="preserve"> </w:t>
      </w:r>
      <w:r>
        <w:t xml:space="preserve">quedan fuera: hacen el conjunto no convexo (apartado III.2).</w:t>
      </w:r>
    </w:p>
    <w:p>
      <w:pPr>
        <w:numPr>
          <w:ilvl w:val="0"/>
          <w:numId w:val="1013"/>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3"/>
        </w:numPr>
      </w:pPr>
      <w:r>
        <w:t xml:space="preserve">Para explicar cómo se forman los precios,</w:t>
      </w:r>
      <w:r>
        <w:t xml:space="preserve"> </w:t>
      </w:r>
      <w:r>
        <w:rPr>
          <w:smallCaps/>
        </w:rPr>
        <w:t xml:space="preserve">Walras</w:t>
      </w:r>
      <w:r>
        <w:t xml:space="preserve"> </w:t>
      </w:r>
      <w:r>
        <w:t xml:space="preserve">recurre a un proceso de</w:t>
      </w:r>
      <w:r>
        <w:t xml:space="preserve"> </w:t>
      </w:r>
      <w:r>
        <w:rPr>
          <w:b/>
          <w:bCs/>
        </w:rPr>
        <w:t xml:space="preserve">tanteo</w:t>
      </w:r>
      <w:r>
        <w:t xml:space="preserve"> </w:t>
      </w:r>
      <w:r>
        <w:t xml:space="preserve">(</w:t>
      </w:r>
      <w:r>
        <w:rPr>
          <w:i/>
          <w:iCs/>
        </w:rPr>
        <w:t xml:space="preserve">tâtonnement</w:t>
      </w:r>
      <w:r>
        <w:t xml:space="preserve">) en el que los precios suben donde hay exceso de demanda y bajan donde hay exceso de oferta hasta vaciar todos los mercados: la variable de ajuste son los precios.</w:t>
      </w:r>
      <w:r>
        <w:rPr>
          <w:rStyle w:val="FootnoteReference"/>
        </w:rPr>
        <w:footnoteReference w:id="36"/>
      </w:r>
    </w:p>
    <w:bookmarkEnd w:id="37"/>
    <w:bookmarkStart w:id="57" w:name="desarrollo"/>
    <w:p>
      <w:pPr>
        <w:pStyle w:val="Heading2"/>
      </w:pPr>
      <w:r>
        <w:t xml:space="preserve">I.2.</w:t>
      </w:r>
      <w:r>
        <w:t xml:space="preserve"> </w:t>
      </w:r>
      <w:r>
        <w:t xml:space="preserve">Desarrollo</w:t>
      </w:r>
    </w:p>
    <w:bookmarkStart w:id="47" w:name="productores-y-oferta"/>
    <w:p>
      <w:pPr>
        <w:pStyle w:val="Heading3"/>
      </w:pPr>
      <w:r>
        <w:t xml:space="preserve">I.2.1.</w:t>
      </w:r>
      <w:r>
        <w:t xml:space="preserve"> </w:t>
      </w:r>
      <w:r>
        <w:t xml:space="preserve">Productores y oferta</w:t>
      </w:r>
    </w:p>
    <w:p>
      <w:pPr>
        <w:numPr>
          <w:ilvl w:val="0"/>
          <w:numId w:val="1017"/>
        </w:numPr>
      </w:pPr>
      <w:r>
        <w:t xml:space="preserve">Con los supuestos de I.1,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38"/>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7"/>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7"/>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39"/>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r>
        <w:rPr>
          <w:rStyle w:val="Referenciaatema"/>
        </w:rPr>
        <w:t xml:space="preserve">[ver tema 3.A.12]</w:t>
      </w:r>
      <w:r>
        <w:t xml:space="preserve">.</w:t>
      </w:r>
    </w:p>
    <w:p>
      <w:pPr>
        <w:keepNext/>
        <w:numPr>
          <w:ilvl w:val="0"/>
          <w:numId w:val="1017"/>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r>
        <w:rPr>
          <w:rStyle w:val="Referenciaatema"/>
        </w:rPr>
        <w:t xml:space="preserve">[ver tema 3.A.11]</w:t>
      </w:r>
      <w:r>
        <w:t xml:space="preserve"> </w:t>
      </w:r>
      <w:r>
        <w:t xml:space="preserve">(gráfico 1). Lo que añade el equilibrio general son los precios:</w:t>
      </w:r>
    </w:p>
    <w:p>
      <w:pPr>
        <w:numPr>
          <w:ilvl w:val="1"/>
          <w:numId w:val="1018"/>
        </w:numPr>
      </w:pPr>
      <w:r>
        <w:t xml:space="preserve">la igualdad (3)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r>
        <w:rPr>
          <w:rStyle w:val="Referenciaatema"/>
        </w:rPr>
        <w:t xml:space="preserve">[ver tema 3.A.22]</w:t>
      </w:r>
      <w:r>
        <w:t xml:space="preserve">;</w:t>
      </w:r>
      <w:r>
        <w:rPr>
          <w:rStyle w:val="FootnoteReference"/>
        </w:rPr>
        <w:footnoteReference w:id="40"/>
      </w:r>
    </w:p>
    <w:p>
      <w:pPr>
        <w:numPr>
          <w:ilvl w:val="1"/>
          <w:numId w:val="1018"/>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41"/>
      </w:r>
      <w:r>
        <w:t xml:space="preserve"> </w:t>
      </w:r>
      <w:r>
        <w:t xml:space="preserve">los puntos interiores son ineficientes y los exteriores, inalcanzables;</w:t>
      </w:r>
    </w:p>
    <w:p>
      <w:pPr>
        <w:numPr>
          <w:ilvl w:val="1"/>
          <w:numId w:val="1018"/>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42"/>
      </w:r>
    </w:p>
    <w:bookmarkStart w:id="46" w:name="fig:caja-produccion-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44" name="Picture"/>
            <a:graphic>
              <a:graphicData uri="http://schemas.openxmlformats.org/drawingml/2006/picture">
                <pic:pic>
                  <pic:nvPicPr>
                    <pic:cNvPr descr="C:\Users\vgutierrez\Documents\src\victorgutierrezmarcos.github.io-revision\oposicion\temario\fuentes\3A21\graficos/caja-produccion-precios.png" id="45" name="Picture"/>
                    <pic:cNvPicPr>
                      <a:picLocks noChangeArrowheads="1" noChangeAspect="1"/>
                    </pic:cNvPicPr>
                  </pic:nvPicPr>
                  <pic:blipFill>
                    <a:blip r:embed="rId43"/>
                    <a:stretch>
                      <a:fillRect/>
                    </a:stretch>
                  </pic:blipFill>
                  <pic:spPr bwMode="auto">
                    <a:xfrm>
                      <a:off x="0" y="0"/>
                      <a:ext cx="5364072" cy="2223307"/>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Bator</w:t>
      </w:r>
      <w:r>
        <w:t xml:space="preserve"> </w:t>
      </w:r>
      <w:r>
        <w:t xml:space="preserve">(</w:t>
      </w:r>
      <w:hyperlink w:anchor="ref-Bator1957Simple">
        <w:r>
          <w:rPr>
            <w:rStyle w:val="Hyperlink"/>
          </w:rPr>
          <w:t xml:space="preserve">1957</w:t>
        </w:r>
      </w:hyperlink>
      <w:r>
        <w:t xml:space="preserve">)</w:t>
      </w:r>
      <w:r>
        <w:t xml:space="preserve">.</w:t>
      </w:r>
    </w:p>
    <w:bookmarkEnd w:id="47"/>
    <w:bookmarkStart w:id="48" w:name="consumidores-y-demanda"/>
    <w:p>
      <w:pPr>
        <w:pStyle w:val="Heading3"/>
      </w:pPr>
      <w:r>
        <w:t xml:space="preserve">I.2.2.</w:t>
      </w:r>
      <w:r>
        <w:t xml:space="preserve"> </w:t>
      </w:r>
      <w:r>
        <w:t xml:space="preserve">Consumidores y demanda</w:t>
      </w:r>
    </w:p>
    <w:p>
      <w:pPr>
        <w:numPr>
          <w:ilvl w:val="0"/>
          <w:numId w:val="1019"/>
        </w:numPr>
      </w:pPr>
      <w:r>
        <w:t xml:space="preserve">Con los supuestos de I.1,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19"/>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19"/>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r>
        <w:rPr>
          <w:rStyle w:val="Referenciaatema"/>
        </w:rPr>
        <w:t xml:space="preserve">[ver tema 3.A.8]</w:t>
      </w:r>
      <w:r>
        <w:t xml:space="preserve">, que dependen solo de los precios, porque la renta (1) depende de ellos. Son:</w:t>
      </w:r>
    </w:p>
    <w:p>
      <w:pPr>
        <w:numPr>
          <w:ilvl w:val="1"/>
          <w:numId w:val="1020"/>
        </w:numPr>
      </w:pPr>
      <w:r>
        <w:t xml:space="preserve">únicas, por la convexidad estricta de las preferencias;</w:t>
      </w:r>
    </w:p>
    <w:p>
      <w:pPr>
        <w:numPr>
          <w:ilvl w:val="1"/>
          <w:numId w:val="1020"/>
        </w:numPr>
      </w:pPr>
      <w:r>
        <w:t xml:space="preserve">continuas en los precios;</w:t>
      </w:r>
    </w:p>
    <w:p>
      <w:pPr>
        <w:numPr>
          <w:ilvl w:val="1"/>
          <w:numId w:val="1020"/>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0"/>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r>
        <w:rPr>
          <w:rStyle w:val="Referenciaatema"/>
        </w:rPr>
        <w:t xml:space="preserve">[ver tema 3.A.8]</w:t>
      </w:r>
      <w:r>
        <w:t xml:space="preserve">; sumada para todos los agentes, da la ley de</w:t>
      </w:r>
      <w:r>
        <w:t xml:space="preserve"> </w:t>
      </w:r>
      <w:r>
        <w:rPr>
          <w:smallCaps/>
        </w:rPr>
        <w:t xml:space="preserve">Walras</w:t>
      </w:r>
      <w:r>
        <w:t xml:space="preserve"> </w:t>
      </w:r>
      <w:r>
        <w:t xml:space="preserve">del apartado I.2.4.</w:t>
      </w:r>
    </w:p>
    <w:p>
      <w:pPr>
        <w:numPr>
          <w:ilvl w:val="0"/>
          <w:numId w:val="1019"/>
        </w:numPr>
      </w:pPr>
      <w:r>
        <w:t xml:space="preserve">La demanda de mercado de cada bien es la suma horizontal de las individuales,</w:t>
      </w:r>
      <w:r>
        <w:t xml:space="preserve"> </w:t>
      </w: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oMath>
      <w:r>
        <w:t xml:space="preserve">, y conserva esas propiedades. En el modelo básico el ocio no da utilidad, así que la oferta de factores es la dotación.</w:t>
      </w:r>
    </w:p>
    <w:bookmarkEnd w:id="48"/>
    <w:bookmarkStart w:id="54" w:name="función-de-exceso-de-demanda"/>
    <w:p>
      <w:pPr>
        <w:pStyle w:val="Heading3"/>
      </w:pPr>
      <w:r>
        <w:t xml:space="preserve">I.2.3.</w:t>
      </w:r>
      <w:r>
        <w:t xml:space="preserve"> </w:t>
      </w:r>
      <w:r>
        <w:t xml:space="preserve">Función de exceso de demanda</w:t>
      </w:r>
    </w:p>
    <w:p>
      <w:pPr>
        <w:numPr>
          <w:ilvl w:val="0"/>
          <w:numId w:val="1021"/>
        </w:numPr>
      </w:pPr>
      <w:r>
        <w:t xml:space="preserve">El</w:t>
      </w:r>
      <w:r>
        <w:t xml:space="preserve"> </w:t>
      </w:r>
      <w:r>
        <w:rPr>
          <w:b/>
          <w:bCs/>
        </w:rPr>
        <w:t xml:space="preserve">exceso de demanda</w:t>
      </w:r>
      <w:r>
        <w:t xml:space="preserve"> </w:t>
      </w:r>
      <w:r>
        <w:t xml:space="preserve">de un bien o factor es la diferencia entre lo que se demanda y lo que se ofrece a unos precios dados. En el 2×2×2×2,</w:t>
      </w:r>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49"/>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1"/>
        </w:numPr>
      </w:pPr>
      <w:r>
        <w:t xml:space="preserve">En general,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A), el vector de excesos de demanda es</w:t>
      </w:r>
    </w:p>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1"/>
        </w:numPr>
      </w:pPr>
      <w:r>
        <w:t xml:space="preserve">Su gran ventaja es que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1"/>
        </w:numPr>
      </w:pPr>
      <w:r>
        <w:rPr>
          <w:i/>
          <w:iCs/>
        </w:rPr>
        <w:t xml:space="preserve">Propiedades</w:t>
      </w:r>
      <w:r>
        <w:t xml:space="preserve">, que hereda de la demanda y de la oferta y que son las que se usan en el análisis positivo (II.1):</w:t>
      </w:r>
    </w:p>
    <w:p>
      <w:pPr>
        <w:numPr>
          <w:ilvl w:val="1"/>
          <w:numId w:val="1022"/>
        </w:numPr>
      </w:pPr>
      <w:r>
        <w:t xml:space="preserve">es</w:t>
      </w:r>
      <w:r>
        <w:t xml:space="preserve"> </w:t>
      </w:r>
      <w:r>
        <w:rPr>
          <w:i/>
          <w:iCs/>
        </w:rPr>
        <w:t xml:space="preserve">continua</w:t>
      </w:r>
      <w:r>
        <w:t xml:space="preserve"> </w:t>
      </w:r>
      <w:r>
        <w:t xml:space="preserve">(para precios positivos);</w:t>
      </w:r>
    </w:p>
    <w:p>
      <w:pPr>
        <w:numPr>
          <w:ilvl w:val="1"/>
          <w:numId w:val="102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(I.2.4);</w:t>
      </w:r>
    </w:p>
    <w:p>
      <w:pPr>
        <w:numPr>
          <w:ilvl w:val="1"/>
          <w:numId w:val="102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1"/>
        </w:numPr>
      </w:pPr>
      <w:r>
        <w:t xml:space="preserve">Según su exceso de demanda en el equilibrio, hay 2 tipos de bienes (gráfico 2):</w:t>
      </w:r>
    </w:p>
    <w:p>
      <w:pPr>
        <w:numPr>
          <w:ilvl w:val="1"/>
          <w:numId w:val="102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1"/>
          <w:numId w:val="102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53" w:name="fig:bienes-libres"/>
    <w:p>
      <w:pPr>
        <w:pStyle w:val="ImageCaption"/>
      </w:pPr>
      <w:r>
        <w:t xml:space="preserve">Gráfico 2.–</w:t>
      </w:r>
      <w:r>
        <w:t xml:space="preserve"> </w:t>
      </w:r>
      <w:r>
        <w:t xml:space="preserve">Bienes económicos y bienes libres</w:t>
      </w:r>
    </w:p>
    <w:p>
      <w:pPr>
        <w:pStyle w:val="CaptionedFigure"/>
      </w:pPr>
      <w:r>
        <w:drawing>
          <wp:inline>
            <wp:extent cx="4507777" cy="2489369"/>
            <wp:effectExtent b="0" l="0" r="0" t="0"/>
            <wp:docPr descr="" title="" id="51" name="Picture"/>
            <a:graphic>
              <a:graphicData uri="http://schemas.openxmlformats.org/drawingml/2006/picture">
                <pic:pic>
                  <pic:nvPicPr>
                    <pic:cNvPr descr="C:\Users\vgutierrez\Documents\src\victorgutierrezmarcos.github.io-revision\oposicion\temario\fuentes\3A21\graficos/bienes-libres.png" id="52" name="Picture"/>
                    <pic:cNvPicPr>
                      <a:picLocks noChangeArrowheads="1" noChangeAspect="1"/>
                    </pic:cNvPicPr>
                  </pic:nvPicPr>
                  <pic:blipFill>
                    <a:blip r:embed="rId50"/>
                    <a:stretch>
                      <a:fillRect/>
                    </a:stretch>
                  </pic:blipFill>
                  <pic:spPr bwMode="auto">
                    <a:xfrm>
                      <a:off x="0" y="0"/>
                      <a:ext cx="4507777" cy="2489369"/>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w:t>
      </w:r>
    </w:p>
    <w:bookmarkEnd w:id="54"/>
    <w:bookmarkStart w:id="56" w:name="ley-de-walras"/>
    <w:p>
      <w:pPr>
        <w:pStyle w:val="Heading3"/>
      </w:pPr>
      <w:r>
        <w:t xml:space="preserve">I.2.4.</w:t>
      </w:r>
      <w:r>
        <w:t xml:space="preserve"> </w:t>
      </w:r>
      <w:r>
        <w:t xml:space="preserve">Ley de</w:t>
      </w:r>
      <w:r>
        <w:t xml:space="preserve"> </w:t>
      </w:r>
      <w:r>
        <w:rPr>
          <w:smallCaps/>
        </w:rPr>
        <w:t xml:space="preserve">Walras</w:t>
      </w:r>
    </w:p>
    <w:p>
      <w:pPr>
        <w:numPr>
          <w:ilvl w:val="0"/>
          <w:numId w:val="1024"/>
        </w:numPr>
      </w:pPr>
      <w:r>
        <w:rPr>
          <w:b/>
          <w:bCs/>
        </w:rPr>
        <w:t xml:space="preserve">Ley de</w:t>
      </w:r>
      <w:r>
        <w:rPr>
          <w:b/>
          <w:bCs/>
        </w:rPr>
        <w:t xml:space="preserve"> </w:t>
      </w:r>
      <w:r>
        <w:rPr>
          <w:b/>
          <w:bCs/>
          <w:smallCaps/>
        </w:rPr>
        <w:t xml:space="preserve">Walras</w:t>
      </w:r>
      <w:r>
        <w:t xml:space="preserve">: para</w:t>
      </w:r>
      <w:r>
        <w:t xml:space="preserve"> </w:t>
      </w:r>
      <w:r>
        <w:rPr>
          <w:i/>
          <w:iCs/>
        </w:rPr>
        <w:t xml:space="preserve">cualquier</w:t>
      </w:r>
      <w:r>
        <w:t xml:space="preserve"> </w:t>
      </w:r>
      <w:r>
        <w:t xml:space="preserve">vector de precios, dentro o fuera del equilibrio, el valor de los excesos de demanda suma 0:</w:t>
      </w:r>
    </w:p>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w:p>
    <w:p>
      <w:pPr>
        <w:keepNext/>
        <w:numPr>
          <w:ilvl w:val="0"/>
          <w:numId w:val="1024"/>
        </w:numPr>
      </w:pPr>
      <w:r>
        <w:rPr>
          <w:i/>
          <w:iCs/>
        </w:rPr>
        <w:t xml:space="preserve">Implicaciones</w:t>
      </w:r>
      <w:r>
        <w:t xml:space="preserve">:</w:t>
      </w:r>
    </w:p>
    <w:p>
      <w:pPr>
        <w:numPr>
          <w:ilvl w:val="1"/>
          <w:numId w:val="102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(II.1.1). Los precios absolutos quedan indeterminados porque en el modelo no hay dinero (III.3).</w:t>
      </w:r>
    </w:p>
    <w:p>
      <w:pPr>
        <w:numPr>
          <w:ilvl w:val="0"/>
          <w:numId w:val="1024"/>
        </w:numPr>
      </w:pPr>
      <w:r>
        <w:t xml:space="preserve">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55"/>
      </w:r>
    </w:p>
    <w:bookmarkEnd w:id="56"/>
    <w:bookmarkEnd w:id="57"/>
    <w:bookmarkStart w:id="63" w:name="Xfceb14383c13f9f95ee2161f7600f7470cb255d"/>
    <w:p>
      <w:pPr>
        <w:pStyle w:val="Heading2"/>
      </w:pPr>
      <w:r>
        <w:t xml:space="preserve">I.3.</w:t>
      </w:r>
      <w:r>
        <w:t xml:space="preserve"> </w:t>
      </w:r>
      <w:r>
        <w:t xml:space="preserve">Implicaciones: equilibrio general competitivo</w:t>
      </w:r>
    </w:p>
    <w:p>
      <w:pPr>
        <w:keepNext/>
        <w:numPr>
          <w:ilvl w:val="0"/>
          <w:numId w:val="1026"/>
        </w:numPr>
      </w:pPr>
      <w:r>
        <w:t xml:space="preserve">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2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2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27"/>
        </w:numPr>
      </w:pPr>
      <w:r>
        <w:t xml:space="preserve">todos los mercados se vacían,</w:t>
      </w:r>
    </w:p>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26"/>
        </w:numPr>
      </w:pPr>
      <w:r>
        <w:t xml:space="preserve">En el 2×2×2×2 el equilibrio reúne las condiciones de los apartados anteriores, con los 4 mercados vaciados:</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26"/>
        </w:numPr>
      </w:pPr>
      <w:r>
        <w:t xml:space="preserve">¿Cómo se forman los precios?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62" w:name="X31b95f6f7bf94949bb61cb7d9838cd09fea50cb"/>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28"/>
        </w:numPr>
      </w:pPr>
      <w:r>
        <w:t xml:space="preserve">El equilibrio se ve en el caso más sencillo, una economía de intercambio puro con 2 consumidores y 2 bienes (gráfico 3).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2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2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2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II.2 identifica con los óptimos de</w:t>
      </w:r>
      <w:r>
        <w:t xml:space="preserve"> </w:t>
      </w:r>
      <w:r>
        <w:rPr>
          <w:smallCaps/>
        </w:rPr>
        <w:t xml:space="preserve">Pareto</w:t>
      </w:r>
      <w:r>
        <w:t xml:space="preserve">.</w:t>
      </w:r>
    </w:p>
    <w:bookmarkStart w:id="61" w:name="fig:caja-intercambio-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59" name="Picture"/>
            <a:graphic>
              <a:graphicData uri="http://schemas.openxmlformats.org/drawingml/2006/picture">
                <pic:pic>
                  <pic:nvPicPr>
                    <pic:cNvPr descr="C:\Users\vgutierrez\Documents\src\victorgutierrezmarcos.github.io-revision\oposicion\temario\fuentes\3A21\graficos/caja-intercambio-equilibrio.png" id="60" name="Picture"/>
                    <pic:cNvPicPr>
                      <a:picLocks noChangeArrowheads="1" noChangeAspect="1"/>
                    </pic:cNvPicPr>
                  </pic:nvPicPr>
                  <pic:blipFill>
                    <a:blip r:embed="rId58"/>
                    <a:stretch>
                      <a:fillRect/>
                    </a:stretch>
                  </pic:blipFill>
                  <pic:spPr bwMode="auto">
                    <a:xfrm>
                      <a:off x="0" y="0"/>
                      <a:ext cx="4476750" cy="3187759"/>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15</w:t>
        </w:r>
      </w:hyperlink>
      <w:r>
        <w:t xml:space="preserve">)</w:t>
      </w:r>
      <w:r>
        <w:t xml:space="preserve">.</w:t>
      </w:r>
    </w:p>
    <w:p>
      <w:pPr>
        <w:numPr>
          <w:ilvl w:val="0"/>
          <w:numId w:val="1029"/>
        </w:numPr>
      </w:pPr>
      <w:r>
        <w:rPr>
          <w:i/>
          <w:iCs/>
        </w:rPr>
        <w:t xml:space="preserve">Valoración</w:t>
      </w:r>
      <w:r>
        <w:t xml:space="preserve">: el subastador es la pieza más irreal del modelo: alguien ajeno a los agentes fija los precios y nadie comercia fuera del equilibrio. Por eso el bloque III busca fundamentos alternativos del equilibrio walrasiano (negociación, núcleo, juegos).</w:t>
      </w:r>
    </w:p>
    <w:p>
      <w:pPr>
        <w:numPr>
          <w:ilvl w:val="0"/>
          <w:numId w:val="102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II.</w:t>
      </w:r>
    </w:p>
    <w:p>
      <w:pPr>
        <w:pStyle w:val="Notaalopositor"/>
      </w:pPr>
      <w:r>
        <w:rPr>
          <w:b/>
          <w:bCs/>
        </w:rPr>
        <w:t xml:space="preserve">Nota al opositor. </w:t>
      </w:r>
      <w:r>
        <w:t xml:space="preserve">Qué es de este tema y qué del vecino: la competencia perfecta en un mercado aislado (equilibrio parcial, corto y largo plazo, ajuste y estabilidad de ese mercado) es materia del equilibrio parcial</w:t>
      </w:r>
      <w:r>
        <w:t xml:space="preserve"> </w:t>
      </w:r>
      <w:r>
        <w:rPr>
          <w:rStyle w:val="Referenciaatema"/>
        </w:rPr>
        <w:t xml:space="preserve">[ver tema 3.A.16]</w:t>
      </w:r>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62"/>
    <w:bookmarkEnd w:id="63"/>
    <w:bookmarkEnd w:id="64"/>
    <w:bookmarkStart w:id="108" w:name="X90e969293803a2829db5e18a058a49cfe82ee19"/>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4) (3′); la unicidad con el gráfico de los equilibrios múltiples (gráfico 5),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en enunciados (2′). La demostración de la existencia, la unicidad con el axioma débil, la estabilidad en un mercado, la estática comparativa y los teoremas del bienestar en detalle están en los anexos.</w:t>
      </w:r>
    </w:p>
    <w:bookmarkStart w:id="97" w:name="X5a4919df8437aeb3f18121298073782f7479990"/>
    <w:p>
      <w:pPr>
        <w:pStyle w:val="Heading2"/>
      </w:pPr>
      <w:r>
        <w:t xml:space="preserve">II.1.</w:t>
      </w:r>
      <w:r>
        <w:t xml:space="preserve"> </w:t>
      </w:r>
      <w:r>
        <w:t xml:space="preserve">Análisis positivo del equilibrio general competitivo</w:t>
      </w:r>
    </w:p>
    <w:p>
      <w:pPr>
        <w:keepNext/>
        <w:numPr>
          <w:ilvl w:val="0"/>
          <w:numId w:val="1031"/>
        </w:numPr>
      </w:pPr>
      <w:r>
        <w:t xml:space="preserve">Un modelo que pretende explicar los precios tiene que responder a 3 preguntas:</w:t>
      </w:r>
    </w:p>
    <w:p>
      <w:pPr>
        <w:numPr>
          <w:ilvl w:val="1"/>
          <w:numId w:val="1032"/>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2"/>
        </w:numPr>
      </w:pPr>
      <w:r>
        <w:rPr>
          <w:b/>
          <w:bCs/>
        </w:rPr>
        <w:t xml:space="preserve">unicidad</w:t>
      </w:r>
      <w:r>
        <w:t xml:space="preserve">: ¿hay solo uno? Si hay varios, el modelo no predice cuál se alcanza y la estática comparativa pierde sentido;</w:t>
      </w:r>
    </w:p>
    <w:p>
      <w:pPr>
        <w:numPr>
          <w:ilvl w:val="1"/>
          <w:numId w:val="1032"/>
        </w:numPr>
      </w:pPr>
      <w:r>
        <w:rPr>
          <w:b/>
          <w:bCs/>
        </w:rPr>
        <w:t xml:space="preserve">estabilidad</w:t>
      </w:r>
      <w:r>
        <w:t xml:space="preserve">: si la economía está fuera del equilibrio, ¿la llevan a él las fuerzas del mercado? Un equilibrio inestable es una curiosidad matemática.</w:t>
      </w:r>
    </w:p>
    <w:bookmarkStart w:id="82" w:name="existencia"/>
    <w:p>
      <w:pPr>
        <w:pStyle w:val="Heading3"/>
      </w:pPr>
      <w:r>
        <w:t xml:space="preserve">II.1.1.</w:t>
      </w:r>
      <w:r>
        <w:t xml:space="preserve"> </w:t>
      </w:r>
      <w:r>
        <w:t xml:space="preserve">Existencia</w:t>
      </w:r>
    </w:p>
    <w:bookmarkStart w:id="67" w:name="a-idea"/>
    <w:p>
      <w:pPr>
        <w:pStyle w:val="Heading4"/>
      </w:pPr>
      <w:r>
        <w:t xml:space="preserve">a) Idea</w:t>
      </w:r>
    </w:p>
    <w:p>
      <w:pPr>
        <w:numPr>
          <w:ilvl w:val="0"/>
          <w:numId w:val="1033"/>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3"/>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65"/>
      </w:r>
    </w:p>
    <w:p>
      <w:pPr>
        <w:numPr>
          <w:ilvl w:val="0"/>
          <w:numId w:val="1033"/>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3"/>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66"/>
      </w:r>
    </w:p>
    <w:bookmarkEnd w:id="67"/>
    <w:bookmarkStart w:id="78" w:name="b-modelo"/>
    <w:p>
      <w:pPr>
        <w:pStyle w:val="Heading4"/>
      </w:pPr>
      <w:r>
        <w:t xml:space="preserve">b) Modelo</w:t>
      </w:r>
    </w:p>
    <w:bookmarkStart w:id="74" w:name="i-supuestos"/>
    <w:p>
      <w:pPr>
        <w:pStyle w:val="Heading5"/>
      </w:pPr>
      <w:r>
        <w:t xml:space="preserve">i) Supuestos</w:t>
      </w:r>
    </w:p>
    <w:p>
      <w:pPr>
        <w:numPr>
          <w:ilvl w:val="0"/>
          <w:numId w:val="1034"/>
        </w:numPr>
      </w:pPr>
      <w:r>
        <w:t xml:space="preserve">Basta con que la función de exceso de demanda sea</w:t>
      </w:r>
      <w:r>
        <w:t xml:space="preserve"> </w:t>
      </w:r>
      <w:r>
        <w:rPr>
          <w:i/>
          <w:iCs/>
        </w:rPr>
        <w:t xml:space="preserve">continua</w:t>
      </w:r>
      <w:r>
        <w:t xml:space="preserve">,</w:t>
      </w:r>
      <w:r>
        <w:t xml:space="preserve"> </w:t>
      </w:r>
      <w:r>
        <w:rPr>
          <w:i/>
          <w:iCs/>
        </w:rPr>
        <w:t xml:space="preserve">homogénea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(I.2.3). Detrás están las preferencias y las tecnologías convexas y la no saciedad local: sin convexidad, la demanda o la oferta pueden «saltar» y el exceso de demanda deja de ser continuo.</w:t>
      </w:r>
      <w:r>
        <w:rPr>
          <w:rStyle w:val="FootnoteReference"/>
        </w:rPr>
        <w:footnoteReference w:id="68"/>
      </w:r>
    </w:p>
    <w:p>
      <w:pPr>
        <w:numPr>
          <w:ilvl w:val="0"/>
          <w:numId w:val="1034"/>
        </w:numPr>
      </w:pPr>
      <w:r>
        <w:t xml:space="preserve">Herramienta: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4).</w:t>
      </w:r>
      <w:r>
        <w:rPr>
          <w:rStyle w:val="FootnoteReference"/>
        </w:rPr>
        <w:footnoteReference w:id="69"/>
      </w:r>
    </w:p>
    <w:bookmarkStart w:id="73" w:name="fig: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71" name="Picture"/>
            <a:graphic>
              <a:graphicData uri="http://schemas.openxmlformats.org/drawingml/2006/picture">
                <pic:pic>
                  <pic:nvPicPr>
                    <pic:cNvPr descr="C:\Users\vgutierrez\Documents\src\victorgutierrezmarcos.github.io-revision\oposicion\temario\fuentes\3A21\graficos/brouwer.png" id="72" name="Picture"/>
                    <pic:cNvPicPr>
                      <a:picLocks noChangeArrowheads="1" noChangeAspect="1"/>
                    </pic:cNvPicPr>
                  </pic:nvPicPr>
                  <pic:blipFill>
                    <a:blip r:embed="rId70"/>
                    <a:stretch>
                      <a:fillRect/>
                    </a:stretch>
                  </pic:blipFill>
                  <pic:spPr bwMode="auto">
                    <a:xfrm>
                      <a:off x="0" y="0"/>
                      <a:ext cx="2385391" cy="2110153"/>
                    </a:xfrm>
                    <a:prstGeom prst="rect">
                      <a:avLst/>
                    </a:prstGeom>
                    <a:noFill/>
                    <a:ln w="9525">
                      <a:noFill/>
                      <a:headEnd/>
                      <a:tailEnd/>
                    </a:ln>
                  </pic:spPr>
                </pic:pic>
              </a:graphicData>
            </a:graphic>
          </wp:inline>
        </w:drawing>
      </w:r>
    </w:p>
    <w:bookmarkEnd w:id="73"/>
    <w:p>
      <w:pPr>
        <w:pStyle w:val="Piedeimagen"/>
      </w:pPr>
      <w:r>
        <w:t xml:space="preserve">Fuente: elaboración propia a partir de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w:t>
      </w:r>
    </w:p>
    <w:bookmarkEnd w:id="74"/>
    <w:bookmarkStart w:id="76" w:name="ii-desarrollo"/>
    <w:p>
      <w:pPr>
        <w:pStyle w:val="Heading5"/>
      </w:pPr>
      <w:r>
        <w:t xml:space="preserve">ii) Desarrollo</w:t>
      </w:r>
    </w:p>
    <w:p>
      <w:pPr>
        <w:numPr>
          <w:ilvl w:val="0"/>
          <w:numId w:val="1035"/>
        </w:numPr>
      </w:pPr>
      <w:r>
        <w:rPr>
          <w:i/>
          <w:iCs/>
        </w:rPr>
        <w:t xml:space="preserve">El conjunto</w:t>
      </w:r>
      <w:r>
        <w:t xml:space="preserve">: por la homogeneidad de grado 0 se pueden normalizar los precios para que sumen 1. El</w:t>
      </w:r>
      <w:r>
        <w:t xml:space="preserve"> </w:t>
      </w:r>
      <w:r>
        <w:rPr>
          <w:b/>
          <w:bCs/>
        </w:rPr>
        <w:t xml:space="preserve">símplice</w:t>
      </w:r>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5"/>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75"/>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5"/>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(10) (demostración en el anexo B).</w:t>
      </w:r>
    </w:p>
    <w:bookmarkEnd w:id="76"/>
    <w:bookmarkStart w:id="77" w:name="iii-implicaciones"/>
    <w:p>
      <w:pPr>
        <w:pStyle w:val="Heading5"/>
      </w:pPr>
      <w:r>
        <w:t xml:space="preserve">iii) Implicaciones</w:t>
      </w:r>
    </w:p>
    <w:p>
      <w:pPr>
        <w:numPr>
          <w:ilvl w:val="0"/>
          <w:numId w:val="1036"/>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36"/>
        </w:numPr>
      </w:pPr>
      <w:r>
        <w:t xml:space="preserve">La prueba es</w:t>
      </w:r>
      <w:r>
        <w:t xml:space="preserve"> </w:t>
      </w:r>
      <w:r>
        <w:rPr>
          <w:i/>
          <w:iCs/>
        </w:rPr>
        <w:t xml:space="preserve">no constructiva</w:t>
      </w:r>
      <w:r>
        <w:t xml:space="preserve">: dice que hay un equilibrio, no cómo encontrarlo ni si el tanteo lleva a él.</w:t>
      </w:r>
    </w:p>
    <w:bookmarkEnd w:id="77"/>
    <w:bookmarkEnd w:id="78"/>
    <w:bookmarkStart w:id="81" w:name="e-valoración"/>
    <w:p>
      <w:pPr>
        <w:pStyle w:val="Heading4"/>
      </w:pPr>
      <w:r>
        <w:t xml:space="preserve">e) Valoración</w:t>
      </w:r>
    </w:p>
    <w:p>
      <w:pPr>
        <w:numPr>
          <w:ilvl w:val="0"/>
          <w:numId w:val="1037"/>
        </w:numPr>
      </w:pPr>
      <w:r>
        <w:t xml:space="preserve">Los supuestos cruciales son la convexidad y la ausencia de poder de mercado, que el apartado III.2 relaja.</w:t>
      </w:r>
    </w:p>
    <w:p>
      <w:pPr>
        <w:numPr>
          <w:ilvl w:val="0"/>
          <w:numId w:val="1037"/>
        </w:numPr>
      </w:pPr>
      <w:r>
        <w:t xml:space="preserve">La existencia no dice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DelgadoToral2014Introduccion">
        <w:r>
          <w:rPr>
            <w:rStyle w:val="Hyperlink"/>
          </w:rPr>
          <w:t xml:space="preserve">2014</w:t>
        </w:r>
      </w:hyperlink>
      <w:r>
        <w:t xml:space="preserve">)</w:t>
      </w:r>
      <w:r>
        <w:t xml:space="preserve">, introducción a los teoremas de punto fijo y a la existencia de equilibrios en economía (</w:t>
      </w:r>
      <w:hyperlink r:id="rId79">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80">
        <w:r>
          <w:rPr>
            <w:rStyle w:val="Hyperlink"/>
          </w:rPr>
          <w:t xml:space="preserve">http://math.uchicago.edu/~may/REU2019/REUPapers/Liu,Zhengyang.pdf</w:t>
        </w:r>
      </w:hyperlink>
      <w:r>
        <w:t xml:space="preserve">).</w:t>
      </w:r>
    </w:p>
    <w:bookmarkEnd w:id="81"/>
    <w:bookmarkEnd w:id="82"/>
    <w:bookmarkStart w:id="89" w:name="unicidad"/>
    <w:p>
      <w:pPr>
        <w:pStyle w:val="Heading3"/>
      </w:pPr>
      <w:r>
        <w:t xml:space="preserve">II.1.2.</w:t>
      </w:r>
      <w:r>
        <w:t xml:space="preserve"> </w:t>
      </w:r>
      <w:r>
        <w:t xml:space="preserve">Unicidad</w:t>
      </w:r>
    </w:p>
    <w:p>
      <w:pPr>
        <w:numPr>
          <w:ilvl w:val="0"/>
          <w:numId w:val="1038"/>
        </w:numPr>
      </w:pPr>
      <w:r>
        <w:rPr>
          <w:b/>
          <w:b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5). Con equilibrios múltiples el modelo no predice cuál se alcanza y la estática comparativa</w:t>
      </w:r>
      <w:r>
        <w:rPr>
          <w:rStyle w:val="FootnoteReference"/>
        </w:rPr>
        <w:footnoteReference w:id="83"/>
      </w:r>
      <w:r>
        <w:t xml:space="preserve"> </w:t>
      </w:r>
      <w:r>
        <w:t xml:space="preserve">pierde sentido: no se sabe a qué equilibrio irá la economía tras una perturbación.</w:t>
      </w:r>
    </w:p>
    <w:p>
      <w:pPr>
        <w:numPr>
          <w:ilvl w:val="0"/>
          <w:numId w:val="1038"/>
        </w:numPr>
      </w:pPr>
      <w:r>
        <w:rPr>
          <w:b/>
          <w:bCs/>
        </w:rPr>
        <w:t xml:space="preserve">Economías regulares</w:t>
      </w:r>
      <w:r>
        <w:t xml:space="preserve">:</w:t>
      </w:r>
      <w:r>
        <w:t xml:space="preserve"> </w:t>
      </w:r>
      <w:r>
        <w:rPr>
          <w:smallCaps/>
        </w:rPr>
        <w:t xml:space="preserve">Debreu</w:t>
      </w:r>
      <w:r>
        <w:t xml:space="preserve"> </w:t>
      </w:r>
      <w:r>
        <w:t xml:space="preserve">(</w:t>
      </w:r>
      <w:hyperlink w:anchor="ref-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w:t>
      </w:r>
    </w:p>
    <w:bookmarkStart w:id="87" w:name="fig:equilibrios-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85" name="Picture"/>
            <a:graphic>
              <a:graphicData uri="http://schemas.openxmlformats.org/drawingml/2006/picture">
                <pic:pic>
                  <pic:nvPicPr>
                    <pic:cNvPr descr="C:\Users\vgutierrez\Documents\src\victorgutierrezmarcos.github.io-revision\oposicion\temario\fuentes\3A21\graficos/equilibrios-multiples.png" id="86" name="Picture"/>
                    <pic:cNvPicPr>
                      <a:picLocks noChangeArrowheads="1" noChangeAspect="1"/>
                    </pic:cNvPicPr>
                  </pic:nvPicPr>
                  <pic:blipFill>
                    <a:blip r:embed="rId84"/>
                    <a:stretch>
                      <a:fillRect/>
                    </a:stretch>
                  </pic:blipFill>
                  <pic:spPr bwMode="auto">
                    <a:xfrm>
                      <a:off x="0" y="0"/>
                      <a:ext cx="3067368" cy="2626988"/>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17.D</w:t>
        </w:r>
      </w:hyperlink>
      <w:r>
        <w:t xml:space="preserve"> </w:t>
      </w:r>
      <w:r>
        <w:t xml:space="preserve">y §17.H)</w:t>
      </w:r>
      <w:r>
        <w:t xml:space="preserve">.</w:t>
      </w:r>
    </w:p>
    <w:p>
      <w:pPr>
        <w:numPr>
          <w:ilvl w:val="0"/>
          <w:numId w:val="1039"/>
        </w:numPr>
      </w:pPr>
      <w:r>
        <w:t xml:space="preserve">Para la</w:t>
      </w:r>
      <w:r>
        <w:t xml:space="preserve"> </w:t>
      </w:r>
      <w:r>
        <w:rPr>
          <w:i/>
          <w:iCs/>
        </w:rPr>
        <w:t xml:space="preserve">unicidad global</w:t>
      </w:r>
      <w:r>
        <w:t xml:space="preserve"> </w:t>
      </w:r>
      <w:r>
        <w:t xml:space="preserve">hacen falta condiciones sobre</w:t>
      </w:r>
      <w:r>
        <w:t xml:space="preserve"> </w:t>
      </w:r>
      <m:oMath>
        <m:acc>
          <m:accPr>
            <m:chr m:val="⃗"/>
          </m:accPr>
          <m:e>
            <m:r>
              <m:t>z</m:t>
            </m:r>
          </m:e>
        </m:acc>
      </m:oMath>
      <w:r>
        <w:t xml:space="preserve"> </w:t>
      </w:r>
      <w:r>
        <w:t xml:space="preserve">que se resumen en una:</w:t>
      </w:r>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keepNext/>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 Hay 2 condiciones suficientes conocidas:</w:t>
      </w:r>
    </w:p>
    <w:p>
      <w:pPr>
        <w:numPr>
          <w:ilvl w:val="1"/>
          <w:numId w:val="1040"/>
        </w:numPr>
      </w:pPr>
      <w:r>
        <w:rPr>
          <w:b/>
          <w:bCs/>
        </w:rPr>
        <w:t xml:space="preserve">Axioma débil de la preferencia revelada agregado</w:t>
      </w:r>
      <w:r>
        <w:t xml:space="preserve">: si</w:t>
      </w:r>
      <w:r>
        <w:t xml:space="preserve"> </w:t>
      </w:r>
      <m:oMath>
        <m:acc>
          <m:accPr>
            <m:chr m:val="⃗"/>
          </m:accPr>
          <m:e>
            <m:r>
              <m:t>z</m:t>
            </m:r>
          </m:e>
        </m:acc>
      </m:oMath>
      <w:r>
        <w:t xml:space="preserve"> </w:t>
      </w:r>
      <w:r>
        <w:t xml:space="preserve">lo cumple, el conjunto de equilibrios es convexo; con equilibrios aislados (economía regular), es un punto. El axioma débil se cumple en cada consumidor</w:t>
      </w:r>
      <w:r>
        <w:t xml:space="preserve"> </w:t>
      </w:r>
      <w:r>
        <w:rPr>
          <w:rStyle w:val="Referenciaatema"/>
        </w:rPr>
        <w:t xml:space="preserve">[ver tema 3.A.8]</w:t>
      </w:r>
      <w:r>
        <w:t xml:space="preserve">, pero la demanda agregada no lo hereda: los cambios de precios redistribuyen la renta entre consumidores. Una condición suficiente es que las preferencias sean homotéticas y las dotaciones, proporcionales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t xml:space="preserve">(anexo B.2).</w:t>
      </w:r>
    </w:p>
    <w:p>
      <w:pPr>
        <w:numPr>
          <w:ilvl w:val="1"/>
          <w:numId w:val="1040"/>
        </w:numPr>
      </w:pPr>
      <w:r>
        <w:rPr>
          <w:b/>
          <w:bCs/>
        </w:rPr>
        <w:t xml:space="preserve">Sustitutivos brutos</w:t>
      </w:r>
      <w:r>
        <w:t xml:space="preserve">: todos los bienes lo son si el exceso de demanda de cada uno aumenta con el precio de cualquier otro,</w:t>
      </w:r>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Entonces el equilibrio es único. Con 2 bienes: si en el equilibrio</w:t>
      </w:r>
      <w:r>
        <w:t xml:space="preserve"> </w:t>
      </w:r>
      <m:oMath>
        <m:sSup>
          <m:e>
            <m:acc>
              <m:accPr>
                <m:chr m:val="⃗"/>
              </m:accPr>
              <m:e>
                <m:r>
                  <m:t>p</m:t>
                </m:r>
              </m:e>
            </m:acc>
          </m:e>
          <m:sup>
            <m:r>
              <m:rPr>
                <m:sty m:val="p"/>
              </m:rPr>
              <m:t>*</m:t>
            </m:r>
          </m:sup>
        </m:sSup>
      </m:oMath>
      <w:r>
        <w:t xml:space="preserve"> </w:t>
      </w:r>
      <w:r>
        <w:t xml:space="preserve">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Y</m:t>
        </m:r>
      </m:oMath>
      <w:r>
        <w:t xml:space="preserve"> </w:t>
      </w:r>
      <w:r>
        <w:t xml:space="preserve">se abarata y cae la demanda de</w:t>
      </w:r>
      <w:r>
        <w:t xml:space="preserve"> </w:t>
      </w:r>
      <m:oMath>
        <m:r>
          <m:t>X</m:t>
        </m:r>
      </m:oMath>
      <w:r>
        <w:t xml:space="preserve">,</w:t>
      </w:r>
      <w:r>
        <w:t xml:space="preserve"> </w:t>
      </w:r>
      <m:oMath>
        <m:sSub>
          <m:e>
            <m:r>
              <m:t>z</m:t>
            </m:r>
          </m:e>
          <m:sub>
            <m:r>
              <m:t>X</m:t>
            </m:r>
          </m:sub>
        </m:sSub>
        <m:r>
          <m:rPr>
            <m:sty m:val="p"/>
          </m:rPr>
          <m:t>&lt;</m:t>
        </m:r>
        <m:r>
          <m:t>0</m:t>
        </m:r>
      </m:oMath>
      <w:r>
        <w:t xml:space="preserve">; por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w:t>
      </w:r>
      <w:r>
        <w:t xml:space="preserve">exige</w:t>
      </w:r>
      <w:r>
        <w:t xml:space="preserve"> </w:t>
      </w:r>
      <m:oMath>
        <m:sSub>
          <m:e>
            <m:r>
              <m:t>z</m:t>
            </m:r>
          </m:e>
          <m:sub>
            <m:r>
              <m:t>Y</m:t>
            </m:r>
          </m:sub>
        </m:sSub>
        <m:r>
          <m:rPr>
            <m:sty m:val="p"/>
          </m:rPr>
          <m:t>&gt;</m:t>
        </m:r>
        <m:r>
          <m:t>0</m:t>
        </m:r>
      </m:oMath>
      <w:r>
        <w:t xml:space="preserve">: el nuevo vector no es de equilibrio. Con</w:t>
      </w:r>
      <w:r>
        <w:t xml:space="preserve"> </w:t>
      </w:r>
      <m:oMath>
        <m:r>
          <m:t>n</m:t>
        </m:r>
      </m:oMath>
      <w:r>
        <w:t xml:space="preserve"> </w:t>
      </w:r>
      <w:r>
        <w:t xml:space="preserve">bienes, la demostración está en el anexo B.2.</w:t>
      </w:r>
    </w:p>
    <w:p>
      <w:pPr>
        <w:numPr>
          <w:ilvl w:val="0"/>
          <w:numId w:val="1039"/>
        </w:numPr>
      </w:pPr>
      <w:r>
        <w:rPr>
          <w:i/>
          <w:iCs/>
        </w:rPr>
        <w:t xml:space="preserve">Valoración</w:t>
      </w:r>
      <w:r>
        <w:t xml:space="preserve">: son condiciones suficientes, no necesarias, y muy restrictivas: la sustitución bruta exige que los efectos sustitución dominen a los efectos renta y excluye los complementarios.</w:t>
      </w:r>
    </w:p>
    <w:p>
      <w:pPr>
        <w:numPr>
          <w:ilvl w:val="0"/>
          <w:numId w:val="1039"/>
        </w:numPr>
      </w:pPr>
      <w:r>
        <w:rPr>
          <w:b/>
          <w:bCs/>
        </w:rPr>
        <w:t xml:space="preserve">Teorema de</w:t>
      </w:r>
      <w:r>
        <w:rPr>
          <w:b/>
          <w:bCs/>
        </w:rP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88"/>
      </w:r>
      <w:r>
        <w:t xml:space="preserve"> </w:t>
      </w:r>
      <w:r>
        <w:t xml:space="preserve">Unicidad y estabilidad dependen de supuestos sobre la distribución de las preferencias y de las dotaciones, no de la teoría del consumidor</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w:t>
      </w:r>
    </w:p>
    <w:bookmarkEnd w:id="89"/>
    <w:bookmarkStart w:id="96" w:name="estabilidad"/>
    <w:p>
      <w:pPr>
        <w:pStyle w:val="Heading3"/>
      </w:pPr>
      <w:r>
        <w:t xml:space="preserve">II.1.3.</w:t>
      </w:r>
      <w:r>
        <w:t xml:space="preserve"> </w:t>
      </w:r>
      <w:r>
        <w:t xml:space="preserve">Estabilidad</w:t>
      </w:r>
    </w:p>
    <w:bookmarkStart w:id="90" w:name="a-idea-1"/>
    <w:p>
      <w:pPr>
        <w:pStyle w:val="Heading4"/>
      </w:pPr>
      <w:r>
        <w:t xml:space="preserve">a) Idea</w:t>
      </w:r>
    </w:p>
    <w:p>
      <w:pPr>
        <w:numPr>
          <w:ilvl w:val="0"/>
          <w:numId w:val="1041"/>
        </w:numPr>
      </w:pPr>
      <w:r>
        <w:t xml:space="preserve">Un equilibrio es</w:t>
      </w:r>
      <w:r>
        <w:t xml:space="preserve"> </w:t>
      </w:r>
      <w:r>
        <w:rPr>
          <w:b/>
          <w:bCs/>
        </w:rPr>
        <w:t xml:space="preserve">estable</w:t>
      </w:r>
      <w:r>
        <w:t xml:space="preserve"> </w:t>
      </w:r>
      <w:r>
        <w:t xml:space="preserve">si, partiendo de precios distintos, el proceso de ajuste lleva a él:</w:t>
      </w:r>
      <w:r>
        <w:t xml:space="preserve"> </w:t>
      </w:r>
      <w:r>
        <w:rPr>
          <w:i/>
          <w:iCs/>
        </w:rPr>
        <w:t xml:space="preserve">localmente</w:t>
      </w:r>
      <w:r>
        <w:t xml:space="preserve">, si basta con que el punto de partida esté cerca;</w:t>
      </w:r>
      <w:r>
        <w:t xml:space="preserve"> </w:t>
      </w:r>
      <w:r>
        <w:rPr>
          <w:i/>
          <w:iCs/>
        </w:rPr>
        <w:t xml:space="preserve">globalmente</w:t>
      </w:r>
      <w:r>
        <w:t xml:space="preserve">, si vale desde cualquier punto. Si el equilibrio es estable, la mano invisible no solo es posible: además, el mercado la encuentra.</w:t>
      </w:r>
    </w:p>
    <w:p>
      <w:pPr>
        <w:numPr>
          <w:ilvl w:val="0"/>
          <w:numId w:val="1041"/>
        </w:numPr>
      </w:pPr>
      <w:r>
        <w:t xml:space="preserve">En equilibrio general la pregunta es más difícil que en un mercado aislado: un cambio en el precio de un bien desplaza los excesos de demanda de todos los demás. En un solo mercado, el ajuste por precios (</w:t>
      </w:r>
      <w:r>
        <w:rPr>
          <w:smallCaps/>
        </w:rPr>
        <w:t xml:space="preserve">Walras</w:t>
      </w:r>
      <w:r>
        <w:t xml:space="preserve">) y el ajuste por cantidades (</w:t>
      </w:r>
      <w:r>
        <w:rPr>
          <w:smallCaps/>
        </w:rPr>
        <w:t xml:space="preserve">Marshall</w:t>
      </w:r>
      <w:r>
        <w:t xml:space="preserve">) pueden dar resultados distintos</w:t>
      </w:r>
      <w:r>
        <w:t xml:space="preserve"> </w:t>
      </w:r>
      <w:r>
        <w:rPr>
          <w:rStyle w:val="Referenciaatema"/>
        </w:rPr>
        <w:t xml:space="preserve">[ver tema 3.A.16]</w:t>
      </w:r>
      <w:r>
        <w:t xml:space="preserve"> </w:t>
      </w:r>
      <w:r>
        <w:t xml:space="preserve">(anexo D).</w:t>
      </w:r>
    </w:p>
    <w:bookmarkEnd w:id="90"/>
    <w:bookmarkStart w:id="94" w:name="b-modelo-1"/>
    <w:p>
      <w:pPr>
        <w:pStyle w:val="Heading4"/>
      </w:pPr>
      <w:r>
        <w:t xml:space="preserve">b) Modelo</w:t>
      </w:r>
    </w:p>
    <w:bookmarkStart w:id="91" w:name="i-supuestos-1"/>
    <w:p>
      <w:pPr>
        <w:pStyle w:val="Heading5"/>
      </w:pPr>
      <w:r>
        <w:t xml:space="preserve">i) Supuestos</w:t>
      </w:r>
    </w:p>
    <w:p>
      <w:pPr>
        <w:numPr>
          <w:ilvl w:val="0"/>
          <w:numId w:val="1042"/>
        </w:numPr>
      </w:pPr>
      <w:r>
        <w:t xml:space="preserve">Tanteo walrasiano en tiempo continuo, sin intercambios fuera del equilibrio; el subastador ajusta cada precio según su exceso de demanda, subiéndolo si es positivo y bajándolo si es negativo:</w:t>
      </w:r>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bookmarkEnd w:id="91"/>
    <w:bookmarkStart w:id="92" w:name="ii-desarrollo-1"/>
    <w:p>
      <w:pPr>
        <w:pStyle w:val="Heading5"/>
      </w:pPr>
      <w:r>
        <w:t xml:space="preserve">ii) Desarrollo</w:t>
      </w:r>
    </w:p>
    <w:p>
      <w:pPr>
        <w:numPr>
          <w:ilvl w:val="0"/>
          <w:numId w:val="1043"/>
        </w:numPr>
      </w:pPr>
      <w:r>
        <w:t xml:space="preserve">Se usa una</w:t>
      </w:r>
      <w:r>
        <w:t xml:space="preserve"> </w:t>
      </w:r>
      <w:r>
        <w:rPr>
          <w:b/>
          <w:bCs/>
        </w:rPr>
        <w:t xml:space="preserve">función de distancia al equilibrio</w:t>
      </w:r>
      <w:r>
        <w:t xml:space="preserve"> </w:t>
      </w:r>
      <w:r>
        <w:t xml:space="preserve">(función de</w:t>
      </w:r>
      <w:r>
        <w:t xml:space="preserve"> </w:t>
      </w:r>
      <w:r>
        <w:rPr>
          <w:smallCaps/>
        </w:rPr>
        <w:t xml:space="preserve">Liapunov</w:t>
      </w:r>
      <w:r>
        <w:t xml:space="preserve">), que con</w:t>
      </w:r>
      <w:r>
        <w:t xml:space="preserve"> </w:t>
      </w:r>
      <m:oMath>
        <m:sSub>
          <m:e>
            <m:r>
              <m:t>κ</m:t>
            </m:r>
          </m:e>
          <m:sub>
            <m:r>
              <m:t>k</m:t>
            </m:r>
          </m:sub>
        </m:sSub>
        <m:r>
          <m:rPr>
            <m:sty m:val="p"/>
          </m:rPr>
          <m:t>=</m:t>
        </m:r>
        <m:r>
          <m:t>κ</m:t>
        </m:r>
      </m:oMath>
      <w:r>
        <w:t xml:space="preserve"> </w:t>
      </w:r>
      <w:r>
        <w:t xml:space="preserve">es</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y, usando (16) y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(la condición (14) de la unicidad), la distancia se reduce siempre y los precios convergen a</w:t>
      </w:r>
      <w:r>
        <w:t xml:space="preserve"> </w:t>
      </w:r>
      <m:oMath>
        <m:sSup>
          <m:e>
            <m:acc>
              <m:accPr>
                <m:chr m:val="⃗"/>
              </m:accPr>
              <m:e>
                <m:r>
                  <m:t>p</m:t>
                </m:r>
              </m:e>
            </m:acc>
          </m:e>
          <m:sup>
            <m:r>
              <m:rPr>
                <m:sty m:val="p"/>
              </m:rPr>
              <m:t>*</m:t>
            </m:r>
          </m:sup>
        </m:sSup>
      </m:oMath>
      <w:r>
        <w:t xml:space="preserve">.</w:t>
      </w:r>
    </w:p>
    <w:bookmarkEnd w:id="92"/>
    <w:bookmarkStart w:id="93" w:name="iii-implicaciones-1"/>
    <w:p>
      <w:pPr>
        <w:pStyle w:val="Heading5"/>
      </w:pPr>
      <w:r>
        <w:t xml:space="preserve">iii) Implicaciones</w:t>
      </w:r>
    </w:p>
    <w:p>
      <w:pPr>
        <w:numPr>
          <w:ilvl w:val="0"/>
          <w:numId w:val="1044"/>
        </w:numPr>
      </w:pP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 Con 2 bienes basta el gráfico de la unicidad: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de modo que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son estables y los otros, inestables: con varios equilibrios, estables e inestables se alternan (gráfico 5).</w:t>
      </w:r>
    </w:p>
    <w:bookmarkEnd w:id="93"/>
    <w:bookmarkEnd w:id="94"/>
    <w:bookmarkStart w:id="95" w:name="e-valoración-1"/>
    <w:p>
      <w:pPr>
        <w:pStyle w:val="Heading4"/>
      </w:pPr>
      <w:r>
        <w:t xml:space="preserve">e) Valoración</w:t>
      </w:r>
    </w:p>
    <w:p>
      <w:pPr>
        <w:numPr>
          <w:ilvl w:val="0"/>
          <w:numId w:val="1045"/>
        </w:numPr>
      </w:pPr>
      <w:r>
        <w:t xml:space="preserve">H. E.</w:t>
      </w:r>
      <w:r>
        <w:t xml:space="preserve"> </w:t>
      </w:r>
      <w:r>
        <w:rPr>
          <w:smallCaps/>
        </w:rPr>
        <w:t xml:space="preserve">Scarf</w:t>
      </w:r>
      <w:r>
        <w:t xml:space="preserve"> </w:t>
      </w:r>
      <w:r>
        <w:t xml:space="preserve">(</w:t>
      </w:r>
      <w:hyperlink w:anchor="ref-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45"/>
        </w:numPr>
      </w:pPr>
      <w:r>
        <w:t xml:space="preserve">El tanteo es además un proceso ficticio: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r>
        <w:rPr>
          <w:rStyle w:val="Referenciaatema"/>
        </w:rPr>
        <w:t xml:space="preserve">[ver tema 3.A.4]</w:t>
      </w:r>
      <w:r>
        <w:t xml:space="preserve">.</w:t>
      </w:r>
    </w:p>
    <w:bookmarkEnd w:id="95"/>
    <w:bookmarkEnd w:id="96"/>
    <w:bookmarkEnd w:id="97"/>
    <w:bookmarkStart w:id="107" w:name="X4944875e55b06db14e46a61122fe3618dd158cb"/>
    <w:p>
      <w:pPr>
        <w:pStyle w:val="Heading2"/>
      </w:pPr>
      <w:r>
        <w:t xml:space="preserve">II.2.</w:t>
      </w:r>
      <w:r>
        <w:t xml:space="preserve"> </w:t>
      </w:r>
      <w:r>
        <w:t xml:space="preserve">Análisis normativo del equilibrio general competitivo</w:t>
      </w:r>
    </w:p>
    <w:bookmarkStart w:id="100" w:name="optimalidad-de-pareto"/>
    <w:p>
      <w:pPr>
        <w:pStyle w:val="Heading3"/>
      </w:pPr>
      <w:r>
        <w:t xml:space="preserve">II.2.1.</w:t>
      </w:r>
      <w:r>
        <w:t xml:space="preserve"> </w:t>
      </w:r>
      <w:r>
        <w:t xml:space="preserve">Optimalidad de</w:t>
      </w:r>
      <w:r>
        <w:t xml:space="preserve"> </w:t>
      </w:r>
      <w:r>
        <w:rPr>
          <w:smallCaps/>
        </w:rPr>
        <w:t xml:space="preserve">Pareto</w:t>
      </w:r>
    </w:p>
    <w:p>
      <w:pPr>
        <w:numPr>
          <w:ilvl w:val="0"/>
          <w:numId w:val="1046"/>
        </w:numPr>
      </w:pPr>
      <w:r>
        <w:t xml:space="preserve">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w:t>
      </w:r>
      <w:r>
        <w:rPr>
          <w:rStyle w:val="FootnoteReference"/>
        </w:rPr>
        <w:footnoteReference w:id="98"/>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46"/>
        </w:numPr>
      </w:pPr>
      <w:r>
        <w:t xml:space="preserve">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99"/>
      </w:r>
      <w:r>
        <w:t xml:space="preserve"> </w:t>
      </w:r>
      <w:r>
        <w:rPr>
          <w:rStyle w:val="Referenciaatema"/>
        </w:rPr>
        <w:t xml:space="preserve">[ver tema 3.A.22]</w:t>
      </w:r>
      <w:r>
        <w:t xml:space="preserve"> </w:t>
      </w:r>
      <w:r>
        <w:rPr>
          <w:rStyle w:val="Referenciaatema"/>
        </w:rPr>
        <w:t xml:space="preserve">[ver tema 3.A.24]</w:t>
      </w:r>
      <w:r>
        <w:t xml:space="preserve"> </w:t>
      </w:r>
      <w:r>
        <w:t xml:space="preserve">(ventajas y críticas, en el anexo C).</w:t>
      </w:r>
    </w:p>
    <w:p>
      <w:pPr>
        <w:numPr>
          <w:ilvl w:val="0"/>
          <w:numId w:val="1046"/>
        </w:numPr>
      </w:pPr>
      <w:r>
        <w:t xml:space="preserve">En la caja de intercambio,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6).</w:t>
      </w:r>
    </w:p>
    <w:bookmarkEnd w:id="100"/>
    <w:bookmarkStart w:id="106" w:name="Xf6b71314e4bd9502f3b430192fabe484e5fec32"/>
    <w:p>
      <w:pPr>
        <w:pStyle w:val="Heading3"/>
      </w:pPr>
      <w:r>
        <w:t xml:space="preserve">II.2.2.</w:t>
      </w:r>
      <w:r>
        <w:t xml:space="preserve"> </w:t>
      </w:r>
      <w:r>
        <w:t xml:space="preserve">Teoremas fundamentales de la economía del bienestar</w:t>
      </w:r>
    </w:p>
    <w:p>
      <w:pPr>
        <w:keepNext/>
        <w:numPr>
          <w:ilvl w:val="0"/>
          <w:numId w:val="1047"/>
        </w:numPr>
      </w:pPr>
      <w:r>
        <w:rPr>
          <w:b/>
          <w:bCs/>
        </w:rPr>
        <w:t xml:space="preserve">Primer teorema</w:t>
      </w:r>
      <w:r>
        <w:t xml:space="preserve"> </w:t>
      </w:r>
      <w:r>
        <w:t xml:space="preserve">(1TFEB): si las preferencias son localmente no saciables, todo equilibrio general competitivo es óptimo de</w:t>
      </w:r>
      <w:r>
        <w:t xml:space="preserve"> </w:t>
      </w:r>
      <w:r>
        <w:rPr>
          <w:smallCaps/>
        </w:rPr>
        <w:t xml:space="preserve">Pareto</w:t>
      </w:r>
      <w:r>
        <w:t xml:space="preserve"> </w:t>
      </w:r>
      <w:r>
        <w:t xml:space="preserve">(</w:t>
      </w:r>
      <w:hyperlink w:anchor="ref-Arrow1951Extension">
        <w:r>
          <w:rPr>
            <w:rStyle w:val="Hyperlink"/>
            <w:smallCaps/>
          </w:rPr>
          <w:t xml:space="preserve">Arrow</w:t>
        </w:r>
        <w:r>
          <w:rPr>
            <w:rStyle w:val="Hyperlink"/>
          </w:rPr>
          <w:t xml:space="preserve"> </w:t>
        </w:r>
        <w:r>
          <w:rPr>
            <w:rStyle w:val="Hyperlink"/>
          </w:rPr>
          <w:t xml:space="preserve">1951</w:t>
        </w:r>
      </w:hyperlink>
      <w:r>
        <w:t xml:space="preserve">;</w:t>
      </w:r>
      <w:r>
        <w:t xml:space="preserve"> </w:t>
      </w:r>
      <w:hyperlink w:anchor="ref-Debreu1951Coefficient">
        <w:r>
          <w:rPr>
            <w:rStyle w:val="Hyperlink"/>
            <w:smallCaps/>
          </w:rPr>
          <w:t xml:space="preserve">Debreu</w:t>
        </w:r>
        <w:r>
          <w:rPr>
            <w:rStyle w:val="Hyperlink"/>
          </w:rPr>
          <w:t xml:space="preserve"> </w:t>
        </w:r>
        <w:r>
          <w:rPr>
            <w:rStyle w:val="Hyperlink"/>
          </w:rPr>
          <w:t xml:space="preserve">1951</w:t>
        </w:r>
      </w:hyperlink>
      <w:r>
        <w:t xml:space="preserve">)</w:t>
      </w:r>
      <w:r>
        <w:t xml:space="preserve">. No necesita convexidad.</w:t>
      </w:r>
    </w:p>
    <w:p>
      <w:pPr>
        <w:keepNext/>
        <w:numPr>
          <w:ilvl w:val="1"/>
          <w:numId w:val="1048"/>
        </w:numPr>
      </w:pPr>
      <w:r>
        <w:t xml:space="preserve">Sí necesita los supuestos implícitos del modelo:</w:t>
      </w:r>
    </w:p>
    <w:p>
      <w:pPr>
        <w:numPr>
          <w:ilvl w:val="2"/>
          <w:numId w:val="1049"/>
        </w:numPr>
      </w:pPr>
      <w:r>
        <w:t xml:space="preserve">precios para todos los bienes (mercados completos, sin externalidades ni bienes públicos);</w:t>
      </w:r>
    </w:p>
    <w:p>
      <w:pPr>
        <w:numPr>
          <w:ilvl w:val="2"/>
          <w:numId w:val="1049"/>
        </w:numPr>
      </w:pPr>
      <w:r>
        <w:t xml:space="preserve">agentes precio-aceptantes;</w:t>
      </w:r>
    </w:p>
    <w:p>
      <w:pPr>
        <w:numPr>
          <w:ilvl w:val="2"/>
          <w:numId w:val="1049"/>
        </w:numPr>
      </w:pPr>
      <w:r>
        <w:t xml:space="preserve">precios comunes a todos, sin impuestos que abran cuñas entre ellos.</w:t>
      </w:r>
    </w:p>
    <w:p>
      <w:pPr>
        <w:numPr>
          <w:ilvl w:val="1"/>
          <w:numId w:val="1048"/>
        </w:numPr>
      </w:pPr>
      <w:r>
        <w:t xml:space="preserve">Es la formalización de la mano invisible de</w:t>
      </w:r>
      <w:r>
        <w:t xml:space="preserve"> </w:t>
      </w:r>
      <w:r>
        <w:rPr>
          <w:smallCaps/>
        </w:rPr>
        <w:t xml:space="preserve">Smith</w:t>
      </w:r>
      <w:r>
        <w:t xml:space="preserve">: los precios transmiten toda la información necesaria y hacen que todos igualen sus relaciones marginales, (11). En la caja, el equilibrio</w:t>
      </w:r>
      <w:r>
        <w:t xml:space="preserve"> </w:t>
      </w:r>
      <m:oMath>
        <m:r>
          <m:t>E</m:t>
        </m:r>
      </m:oMath>
      <w:r>
        <w:t xml:space="preserve"> </w:t>
      </w:r>
      <w:r>
        <w:t xml:space="preserve">está en la curva de contrato.</w:t>
      </w:r>
    </w:p>
    <w:p>
      <w:pPr>
        <w:numPr>
          <w:ilvl w:val="1"/>
          <w:numId w:val="1048"/>
        </w:numPr>
      </w:pPr>
      <w:r>
        <w:t xml:space="preserve">No dice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01"/>
      </w:r>
    </w:p>
    <w:p>
      <w:pPr>
        <w:keepNext/>
        <w:numPr>
          <w:ilvl w:val="0"/>
          <w:numId w:val="1047"/>
        </w:numPr>
      </w:pPr>
      <w:r>
        <w:rPr>
          <w:b/>
          <w:bCs/>
        </w:rPr>
        <w:t xml:space="preserve">Segundo teorema</w:t>
      </w:r>
      <w:r>
        <w:t xml:space="preserve"> </w:t>
      </w:r>
      <w:r>
        <w:t xml:space="preserve">(2TFEB): con preferencias y tecnologías</w:t>
      </w:r>
      <w:r>
        <w:t xml:space="preserve"> </w:t>
      </w:r>
      <w:r>
        <w:rPr>
          <w:i/>
          <w:iCs/>
        </w:rPr>
        <w:t xml:space="preserve">convexas</w:t>
      </w:r>
      <w:r>
        <w:t xml:space="preserve"> </w:t>
      </w:r>
      <w:r>
        <w:t xml:space="preserve">(además de continuas y localmente no saciables), todo óptimo de</w:t>
      </w:r>
      <w:r>
        <w:t xml:space="preserve"> </w:t>
      </w:r>
      <w:r>
        <w:rPr>
          <w:smallCaps/>
        </w:rPr>
        <w:t xml:space="preserve">Pareto</w:t>
      </w:r>
      <w:r>
        <w:t xml:space="preserve"> </w:t>
      </w:r>
      <w:r>
        <w:t xml:space="preserve">puede alcanzarse como equilibrio competitivo tras una redistribución de suma fija de las dotaciones.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1"/>
          <w:numId w:val="1050"/>
        </w:numPr>
      </w:pPr>
      <w:r>
        <w:t xml:space="preserve">Separa eficiencia y equidad: el Estado puede redistribuir y dejar que el mercado asigne. Pero las transferencias de suma fija que dependen de las características de cada uno no son factibles (la información es privada) y los impuestos reales distorsionan.</w:t>
      </w:r>
    </w:p>
    <w:bookmarkStart w:id="105" w:name="fig:caja-intercambio-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03" name="Picture"/>
            <a:graphic>
              <a:graphicData uri="http://schemas.openxmlformats.org/drawingml/2006/picture">
                <pic:pic>
                  <pic:nvPicPr>
                    <pic:cNvPr descr="C:\Users\vgutierrez\Documents\src\victorgutierrezmarcos.github.io-revision\oposicion\temario\fuentes\3A21\graficos/caja-intercambio-teoremas.png" id="104" name="Picture"/>
                    <pic:cNvPicPr>
                      <a:picLocks noChangeArrowheads="1" noChangeAspect="1"/>
                    </pic:cNvPicPr>
                  </pic:nvPicPr>
                  <pic:blipFill>
                    <a:blip r:embed="rId102"/>
                    <a:stretch>
                      <a:fillRect/>
                    </a:stretch>
                  </pic:blipFill>
                  <pic:spPr bwMode="auto">
                    <a:xfrm>
                      <a:off x="0" y="0"/>
                      <a:ext cx="4476750" cy="3187759"/>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w:t>
      </w:r>
    </w:p>
    <w:p>
      <w:pPr>
        <w:numPr>
          <w:ilvl w:val="0"/>
          <w:numId w:val="1051"/>
        </w:numPr>
      </w:pPr>
      <w:r>
        <w:t xml:space="preserve">Los 2 teoremas valen para cualquier equilibrio, sea único o no, y su desarrollo y demostración son materia de la economía del bienestar</w:t>
      </w:r>
      <w:r>
        <w:t xml:space="preserve"> </w:t>
      </w:r>
      <w:r>
        <w:rPr>
          <w:rStyle w:val="Referenciaatema"/>
        </w:rPr>
        <w:t xml:space="preserve">[ver tema 3.A.22]</w:t>
      </w:r>
      <w:r>
        <w:t xml:space="preserve"> </w:t>
      </w:r>
      <w:r>
        <w:t xml:space="preserve">(anexo C). Lo que interesa aquí es su papel en la teoría del equilibrio general: dicen qué supuestos del modelo de I hacen falta para que la descentralización funcione. Cuando falla alguno (externalidades, bienes públicos, poder de mercado, información asimétrica), el equilibrio deja de ser eficiente</w:t>
      </w:r>
      <w:r>
        <w:t xml:space="preserve"> </w:t>
      </w:r>
      <w:r>
        <w:rPr>
          <w:rStyle w:val="Referenciaatema"/>
        </w:rPr>
        <w:t xml:space="preserve">[ver tema 3.A.23]</w:t>
      </w:r>
      <w:r>
        <w:t xml:space="preserve"> </w:t>
      </w:r>
      <w:r>
        <w:rPr>
          <w:rStyle w:val="Referenciaatema"/>
        </w:rPr>
        <w:t xml:space="preserve">[ver tema 3.A.13]</w:t>
      </w:r>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r>
        <w:rPr>
          <w:rStyle w:val="Referenciaatema"/>
        </w:rPr>
        <w:t xml:space="preserve">[ver tema 3.A.24]</w:t>
      </w:r>
      <w:r>
        <w:t xml:space="preserve">.</w:t>
      </w:r>
    </w:p>
    <w:p>
      <w:pPr>
        <w:numPr>
          <w:ilvl w:val="0"/>
          <w:numId w:val="1051"/>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III 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en enunciados y sobre la caja, como propiedades del equilibrio general competitivo. Su desarrollo es de los temas vecinos: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r>
        <w:rPr>
          <w:rStyle w:val="Referenciaatema"/>
        </w:rPr>
        <w:t xml:space="preserve">[ver tema 3.A.22]</w:t>
      </w:r>
      <w:r>
        <w:t xml:space="preserve">; los fallos de mercado (externalidades y bienes públicos) por los que el equilibrio competitivo deja de ser eficiente, y la intervención</w:t>
      </w:r>
      <w:r>
        <w:t xml:space="preserve"> </w:t>
      </w:r>
      <w:r>
        <w:rPr>
          <w:rStyle w:val="Referenciaatema"/>
        </w:rPr>
        <w:t xml:space="preserve">[ver tema 3.A.23]</w:t>
      </w:r>
      <w:r>
        <w:t xml:space="preserve">, y cómo elegir entre los óptimos con una función de bienestar social, que no tiene por qué coincidir con el equilibrio alcanzado, y la elección colectiva</w:t>
      </w:r>
      <w:r>
        <w:t xml:space="preserve"> </w:t>
      </w:r>
      <w:r>
        <w:rPr>
          <w:rStyle w:val="Referenciaatema"/>
        </w:rPr>
        <w:t xml:space="preserve">[ver tema 3.A.24]</w:t>
      </w:r>
      <w:r>
        <w:t xml:space="preserve">.</w:t>
      </w:r>
    </w:p>
    <w:bookmarkEnd w:id="106"/>
    <w:bookmarkEnd w:id="107"/>
    <w:bookmarkEnd w:id="108"/>
    <w:bookmarkStart w:id="146" w:name="Xd3d80b8c81cad0f6d140864381d502b40ebce4e"/>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52"/>
        </w:numPr>
      </w:pPr>
      <w:r>
        <w:rPr>
          <w:i/>
          <w:iCs/>
        </w:rPr>
        <w:t xml:space="preserve">Idea</w:t>
      </w:r>
      <w:r>
        <w:t xml:space="preserve">: cada desarrollo de este bloque relaja un supuesto del modelo de I que las propiedades de II necesitaban: el subastador y los precios dados (III.1 y III.2), la convexidad (III.2), la ausencia de dinero (III.3) y la de tiempo e incertidumbre (III.4); el último muestra cómo se usa el modelo en la práctica (III.5).</w:t>
      </w:r>
    </w:p>
    <w:p>
      <w:pPr>
        <w:numPr>
          <w:ilvl w:val="0"/>
          <w:numId w:val="1052"/>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y el tramo</w:t>
      </w:r>
      <w:r>
        <w:t xml:space="preserve"> </w:t>
      </w:r>
      <m:oMath>
        <m:r>
          <m:t>C</m:t>
        </m:r>
        <m:r>
          <m:t>C</m:t>
        </m:r>
        <m:r>
          <m:rPr>
            <m:sty m:val="p"/>
          </m:rPr>
          <m:t>′</m:t>
        </m:r>
      </m:oMath>
      <w:r>
        <w:t xml:space="preserve"> </w:t>
      </w:r>
      <w:r>
        <w:t xml:space="preserve">(1′);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(2′); el dinero con la ley de</w:t>
      </w:r>
      <w:r>
        <w:t xml:space="preserve"> </w:t>
      </w:r>
      <w:r>
        <w:rPr>
          <w:smallCaps/>
        </w:rPr>
        <w:t xml:space="preserve">Walras</w:t>
      </w:r>
      <w:r>
        <w:t xml:space="preserve"> </w:t>
      </w:r>
      <w:r>
        <w:t xml:space="preserve">con dinero y la dicotomía inválida (1′); los bienes contingentes, los títulos de</w:t>
      </w:r>
      <w:r>
        <w:t xml:space="preserve"> </w:t>
      </w:r>
      <w:r>
        <w:rPr>
          <w:smallCaps/>
        </w:rPr>
        <w:t xml:space="preserve">Arrow</w:t>
      </w:r>
      <w:r>
        <w:t xml:space="preserve"> </w:t>
      </w:r>
      <w:r>
        <w:t xml:space="preserve">y los mercados incompletos (1′30″), y los modelos computables con un ejemplo (1′). El recuadro del monopolio, el diseño de mecanismos, las variantes monetarias y los modelos de las instituciones son de profundización. Si falta tiempo, III.1 se funde con el núcleo en una frase y III.5 se reduce a</w:t>
      </w:r>
      <w:r>
        <w:t xml:space="preserve"> </w:t>
      </w:r>
      <w:r>
        <w:rPr>
          <w:smallCaps/>
        </w:rPr>
        <w:t xml:space="preserve">Scarf</w:t>
      </w:r>
      <w:r>
        <w:t xml:space="preserve"> </w:t>
      </w:r>
      <w:r>
        <w:t xml:space="preserve">y un ejemplo.</w:t>
      </w:r>
    </w:p>
    <w:bookmarkStart w:id="119" w:name="teoría-del-intercambio-de-edgeworth"/>
    <w:p>
      <w:pPr>
        <w:pStyle w:val="Heading2"/>
      </w:pPr>
      <w:r>
        <w:t xml:space="preserve">III.1.</w:t>
      </w:r>
      <w:r>
        <w:t xml:space="preserve"> </w:t>
      </w:r>
      <w:r>
        <w:t xml:space="preserve">Teoría del intercambio de</w:t>
      </w:r>
      <w:r>
        <w:t xml:space="preserve"> </w:t>
      </w:r>
      <w:r>
        <w:rPr>
          <w:smallCaps/>
        </w:rPr>
        <w:t xml:space="preserve">Edgeworth</w:t>
      </w:r>
    </w:p>
    <w:bookmarkStart w:id="109" w:name="a-idea-2"/>
    <w:p>
      <w:pPr>
        <w:pStyle w:val="Heading4"/>
      </w:pPr>
      <w:r>
        <w:t xml:space="preserve">a) Idea</w:t>
      </w:r>
    </w:p>
    <w:p>
      <w:pPr>
        <w:numPr>
          <w:ilvl w:val="0"/>
          <w:numId w:val="1053"/>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09"/>
    <w:bookmarkStart w:id="113" w:name="b-modelo-2"/>
    <w:p>
      <w:pPr>
        <w:pStyle w:val="Heading4"/>
      </w:pPr>
      <w:r>
        <w:t xml:space="preserve">b) Modelo</w:t>
      </w:r>
    </w:p>
    <w:bookmarkStart w:id="110" w:name="i-supuestos-2"/>
    <w:p>
      <w:pPr>
        <w:pStyle w:val="Heading5"/>
      </w:pPr>
      <w:r>
        <w:t xml:space="preserve">i) Supuestos</w:t>
      </w:r>
    </w:p>
    <w:p>
      <w:pPr>
        <w:numPr>
          <w:ilvl w:val="0"/>
          <w:numId w:val="1054"/>
        </w:numPr>
      </w:pPr>
      <w:r>
        <w:t xml:space="preserve">2 agentes, 2 bienes y unas dotaciones</w:t>
      </w:r>
      <w:r>
        <w:t xml:space="preserve"> </w:t>
      </w:r>
      <m:oMath>
        <m:acc>
          <m:accPr>
            <m:chr m:val="⃗"/>
          </m:accPr>
          <m:e>
            <m:r>
              <m:t>ω</m:t>
            </m:r>
          </m:e>
        </m:acc>
      </m:oMath>
      <w:r>
        <w:t xml:space="preserve">, en la caja de intercambio de I.3 (gráfico 7), que negocian sin precios dados.</w:t>
      </w:r>
    </w:p>
    <w:bookmarkEnd w:id="110"/>
    <w:bookmarkStart w:id="111" w:name="ii-desarrollo-2"/>
    <w:p>
      <w:pPr>
        <w:pStyle w:val="Heading5"/>
      </w:pPr>
      <w:r>
        <w:t xml:space="preserve">ii) Desarrollo</w:t>
      </w:r>
    </w:p>
    <w:p>
      <w:pPr>
        <w:keepNext/>
        <w:numPr>
          <w:ilvl w:val="0"/>
          <w:numId w:val="1055"/>
        </w:numPr>
      </w:pPr>
      <w:r>
        <w:t xml:space="preserve">Un acuerdo final debe cumplir 2 condiciones:</w:t>
      </w:r>
    </w:p>
    <w:p>
      <w:pPr>
        <w:numPr>
          <w:ilvl w:val="1"/>
          <w:numId w:val="1056"/>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56"/>
        </w:numPr>
      </w:pPr>
      <w:r>
        <w:rPr>
          <w:i/>
          <w:iCs/>
        </w:rPr>
        <w:t xml:space="preserve">eficiencia</w:t>
      </w:r>
      <w:r>
        <w:t xml:space="preserve">: si no estuviera en la curva de contrato, los 2 podrían mejorar.</w:t>
      </w:r>
    </w:p>
    <w:bookmarkEnd w:id="111"/>
    <w:bookmarkStart w:id="112" w:name="iii-implicaciones-2"/>
    <w:p>
      <w:pPr>
        <w:pStyle w:val="Heading5"/>
      </w:pPr>
      <w:r>
        <w:t xml:space="preserve">iii) Implicaciones</w:t>
      </w:r>
    </w:p>
    <w:p>
      <w:pPr>
        <w:numPr>
          <w:ilvl w:val="0"/>
          <w:numId w:val="1057"/>
        </w:numPr>
      </w:pPr>
      <w:r>
        <w:t xml:space="preserve">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w:t>
      </w:r>
      <w:r>
        <w:t xml:space="preserve"> </w:t>
      </w:r>
      <w:r>
        <w:rPr>
          <w:rStyle w:val="Referenciaatema"/>
        </w:rPr>
        <w:t xml:space="preserve">[ver tema 3.A.14]</w:t>
      </w:r>
      <w:r>
        <w:t xml:space="preserve">. El equilibrio walrasiano</w:t>
      </w:r>
      <w:r>
        <w:t xml:space="preserve"> </w:t>
      </w:r>
      <m:oMath>
        <m:r>
          <m:t>E</m:t>
        </m:r>
      </m:oMath>
      <w:r>
        <w:t xml:space="preserve"> </w:t>
      </w:r>
      <w:r>
        <w:t xml:space="preserve">es uno de esos puntos: el único al que se llega con precios dados y comunes.</w:t>
      </w:r>
    </w:p>
    <w:bookmarkEnd w:id="112"/>
    <w:bookmarkEnd w:id="113"/>
    <w:bookmarkStart w:id="118" w:name="e-valoración-2"/>
    <w:p>
      <w:pPr>
        <w:pStyle w:val="Heading4"/>
      </w:pPr>
      <w:r>
        <w:t xml:space="preserve">e) Valoración</w:t>
      </w:r>
    </w:p>
    <w:p>
      <w:pPr>
        <w:numPr>
          <w:ilvl w:val="0"/>
          <w:numId w:val="1058"/>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Start w:id="117" w:name="fig:caja-intercambio-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4476750" cy="3187759"/>
            <wp:effectExtent b="0" l="0" r="0" t="0"/>
            <wp:docPr descr="" title="" id="115" name="Picture"/>
            <a:graphic>
              <a:graphicData uri="http://schemas.openxmlformats.org/drawingml/2006/picture">
                <pic:pic>
                  <pic:nvPicPr>
                    <pic:cNvPr descr="C:\Users\vgutierrez\Documents\src\victorgutierrezmarcos.github.io-revision\oposicion\temario\fuentes\3A21\graficos/caja-intercambio-nucleo.png" id="116" name="Picture"/>
                    <pic:cNvPicPr>
                      <a:picLocks noChangeArrowheads="1" noChangeAspect="1"/>
                    </pic:cNvPicPr>
                  </pic:nvPicPr>
                  <pic:blipFill>
                    <a:blip r:embed="rId114"/>
                    <a:stretch>
                      <a:fillRect/>
                    </a:stretch>
                  </pic:blipFill>
                  <pic:spPr bwMode="auto">
                    <a:xfrm>
                      <a:off x="0" y="0"/>
                      <a:ext cx="4476750" cy="318775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18</w:t>
        </w:r>
      </w:hyperlink>
      <w:r>
        <w:t xml:space="preserve">)</w:t>
      </w:r>
      <w:r>
        <w:t xml:space="preserve">.</w:t>
      </w:r>
    </w:p>
    <w:bookmarkEnd w:id="118"/>
    <w:bookmarkEnd w:id="119"/>
    <w:bookmarkStart w:id="131" w:name="enfoque-del-núcleo-debreu-y-scarf-1963"/>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bookmarkStart w:id="124" w:name="el-núcleo-de-una-economía"/>
    <w:p>
      <w:pPr>
        <w:pStyle w:val="Heading3"/>
      </w:pPr>
      <w:r>
        <w:t xml:space="preserve">III.2.1.</w:t>
      </w:r>
      <w:r>
        <w:t xml:space="preserve"> </w:t>
      </w:r>
      <w:r>
        <w:t xml:space="preserve">El núcleo de una economía</w:t>
      </w:r>
    </w:p>
    <w:bookmarkStart w:id="120" w:name="a-idea-3"/>
    <w:p>
      <w:pPr>
        <w:pStyle w:val="Heading4"/>
      </w:pPr>
      <w:r>
        <w:t xml:space="preserve">a) Idea</w:t>
      </w:r>
    </w:p>
    <w:p>
      <w:pPr>
        <w:numPr>
          <w:ilvl w:val="0"/>
          <w:numId w:val="1059"/>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r>
        <w:rPr>
          <w:rStyle w:val="Referenciaatema"/>
        </w:rPr>
        <w:t xml:space="preserve">[ver tema 3.A.14]</w:t>
      </w:r>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20"/>
    <w:bookmarkStart w:id="121" w:name="b-modelo-3"/>
    <w:p>
      <w:pPr>
        <w:pStyle w:val="Heading4"/>
      </w:pPr>
      <w:r>
        <w:t xml:space="preserve">b) Modelo</w:t>
      </w:r>
    </w:p>
    <w:p>
      <w:pPr>
        <w:numPr>
          <w:ilvl w:val="0"/>
          <w:numId w:val="1060"/>
        </w:numPr>
      </w:pPr>
      <w:r>
        <w:rPr>
          <w:i/>
          <w:iCs/>
        </w:rPr>
        <w:t xml:space="preserve">Supuestos</w:t>
      </w:r>
      <w:r>
        <w:t xml:space="preserve">: 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p>
      <w:pPr>
        <w:keepNext/>
        <w:numPr>
          <w:ilvl w:val="0"/>
          <w:numId w:val="1060"/>
        </w:numPr>
      </w:pPr>
      <w:r>
        <w:rPr>
          <w:i/>
          <w:iCs/>
        </w:rPr>
        <w:t xml:space="preserve">Desarrollo</w:t>
      </w:r>
      <w:r>
        <w:t xml:space="preserve">:</w:t>
      </w:r>
    </w:p>
    <w:p>
      <w:pPr>
        <w:numPr>
          <w:ilvl w:val="1"/>
          <w:numId w:val="1061"/>
        </w:numPr>
      </w:pPr>
      <w:r>
        <w:t xml:space="preserve">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1"/>
          <w:numId w:val="1061"/>
        </w:numPr>
      </w:pPr>
      <w:r>
        <w:t xml:space="preserve">el</w:t>
      </w:r>
      <w:r>
        <w:t xml:space="preserve"> </w:t>
      </w:r>
      <w:r>
        <w:rPr>
          <w:b/>
          <w:bCs/>
        </w:rPr>
        <w:t xml:space="preserve">núcleo</w:t>
      </w:r>
      <w:r>
        <w:t xml:space="preserve"> </w:t>
      </w:r>
      <w:r>
        <w:t xml:space="preserve">es el conjunto de asignaciones factibles que ninguna coalición bloquea;</w:t>
      </w:r>
    </w:p>
    <w:p>
      <w:pPr>
        <w:numPr>
          <w:ilvl w:val="2"/>
          <w:numId w:val="1062"/>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p>
      <w:pPr>
        <w:keepNext/>
        <w:numPr>
          <w:ilvl w:val="0"/>
          <w:numId w:val="1060"/>
        </w:numPr>
      </w:pPr>
      <w:r>
        <w:rPr>
          <w:i/>
          <w:iCs/>
        </w:rPr>
        <w:t xml:space="preserve">Implicaciones</w:t>
      </w:r>
      <w:r>
        <w:t xml:space="preserve">:</w:t>
      </w:r>
    </w:p>
    <w:p>
      <w:pPr>
        <w:numPr>
          <w:ilvl w:val="1"/>
          <w:numId w:val="1063"/>
        </w:numPr>
      </w:pPr>
      <w:r>
        <w:rPr>
          <w:i/>
          <w:iCs/>
        </w:rPr>
        <w:t xml:space="preserve">Todo equilibrio walrasiano está en el núcleo</w:t>
      </w:r>
      <w:r>
        <w:t xml:space="preserve"> </w:t>
      </w:r>
      <w:r>
        <w:t xml:space="preserve">(basta la no saciedad local): si una coalición pudiera mejorar a sus miembros con sus dotaciones, alguno de ellos habría podido comprar a los precios de equilibrio una cesta mejor que la que eligió.</w:t>
      </w:r>
    </w:p>
    <w:p>
      <w:pPr>
        <w:numPr>
          <w:ilvl w:val="1"/>
          <w:numId w:val="1063"/>
        </w:numPr>
      </w:pPr>
      <w:r>
        <w:rPr>
          <w:b/>
          <w:bCs/>
        </w:rPr>
        <w:t xml:space="preserve">Teorema del límite del núcleo</w:t>
      </w:r>
      <w:r>
        <w:t xml:space="preserve"> </w:t>
      </w:r>
      <w:r>
        <w:t xml:space="preserve">(</w:t>
      </w:r>
      <w:hyperlink w:anchor="ref-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7).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60"/>
        </w:numPr>
      </w:pPr>
      <w:r>
        <w:t xml:space="preserve">La precio-aceptación deja de ser un supuesto y pasa a ser un resultado: en una economía grande ningún grupo puede hacer nada mejor que lo que le da el mercado. No solo los precios son endógenos, sino también el hecho mismo de que los haya.</w:t>
      </w:r>
    </w:p>
    <w:bookmarkEnd w:id="121"/>
    <w:bookmarkStart w:id="122" w:name="c-extensiones"/>
    <w:p>
      <w:pPr>
        <w:pStyle w:val="Heading4"/>
      </w:pPr>
      <w:r>
        <w:t xml:space="preserve">c) Extensiones</w:t>
      </w:r>
    </w:p>
    <w:p>
      <w:pPr>
        <w:numPr>
          <w:ilvl w:val="0"/>
          <w:numId w:val="1064"/>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22"/>
    <w:bookmarkStart w:id="123" w:name="e-valoración-3"/>
    <w:p>
      <w:pPr>
        <w:pStyle w:val="Heading4"/>
      </w:pPr>
      <w:r>
        <w:t xml:space="preserve">e) Valoración</w:t>
      </w:r>
    </w:p>
    <w:p>
      <w:pPr>
        <w:numPr>
          <w:ilvl w:val="0"/>
          <w:numId w:val="1065"/>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w:t>
      </w:r>
    </w:p>
    <w:bookmarkEnd w:id="123"/>
    <w:bookmarkEnd w:id="124"/>
    <w:bookmarkStart w:id="129" w:name="comportamiento-estratégico"/>
    <w:p>
      <w:pPr>
        <w:pStyle w:val="Heading3"/>
      </w:pPr>
      <w:r>
        <w:t xml:space="preserve">III.2.2.</w:t>
      </w:r>
      <w:r>
        <w:t xml:space="preserve"> </w:t>
      </w:r>
      <w:r>
        <w:t xml:space="preserve">Comportamiento estratégico</w:t>
      </w:r>
    </w:p>
    <w:p>
      <w:pPr>
        <w:numPr>
          <w:ilvl w:val="0"/>
          <w:numId w:val="1066"/>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66"/>
        </w:numPr>
      </w:pPr>
      <w:r>
        <w:rPr>
          <w:i/>
          <w:iCs/>
        </w:rPr>
        <w:t xml:space="preserve">El caso más simple</w:t>
      </w:r>
      <w:r>
        <w:t xml:space="preserve">: un consumidor que fija el precio en la caja de intercambio (recuadro y gráfico 8).</w:t>
      </w:r>
    </w:p>
    <w:p>
      <w:pPr>
        <w:numPr>
          <w:ilvl w:val="0"/>
          <w:numId w:val="1066"/>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r>
        <w:rPr>
          <w:rStyle w:val="Referenciaatema"/>
        </w:rPr>
        <w:t xml:space="preserve">[ver tema 3.A.19]</w:t>
      </w:r>
      <w:r>
        <w:t xml:space="preserve">.</w:t>
      </w:r>
    </w:p>
    <w:p>
      <w:pPr>
        <w:numPr>
          <w:ilvl w:val="0"/>
          <w:numId w:val="1066"/>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28" w:name="fig:monopolio-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26" name="Picture"/>
            <a:graphic>
              <a:graphicData uri="http://schemas.openxmlformats.org/drawingml/2006/picture">
                <pic:pic>
                  <pic:nvPicPr>
                    <pic:cNvPr descr="C:\Users\vgutierrez\Documents\src\victorgutierrezmarcos.github.io-revision\oposicion\temario\fuentes\3A21\graficos/monopolio-intercambio.png" id="127" name="Picture"/>
                    <pic:cNvPicPr>
                      <a:picLocks noChangeArrowheads="1" noChangeAspect="1"/>
                    </pic:cNvPicPr>
                  </pic:nvPicPr>
                  <pic:blipFill>
                    <a:blip r:embed="rId125"/>
                    <a:stretch>
                      <a:fillRect/>
                    </a:stretch>
                  </pic:blipFill>
                  <pic:spPr bwMode="auto">
                    <a:xfrm>
                      <a:off x="0" y="0"/>
                      <a:ext cx="3282950" cy="2337690"/>
                    </a:xfrm>
                    <a:prstGeom prst="rect">
                      <a:avLst/>
                    </a:prstGeom>
                    <a:noFill/>
                    <a:ln w="9525">
                      <a:noFill/>
                      <a:headEnd/>
                      <a:tailEnd/>
                    </a:ln>
                  </pic:spPr>
                </pic:pic>
              </a:graphicData>
            </a:graphic>
          </wp:inline>
        </w:drawing>
      </w:r>
    </w:p>
    <w:bookmarkEnd w:id="128"/>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r>
        <w:rPr>
          <w:rStyle w:val="Referenciaatema"/>
        </w:rPr>
        <w:t xml:space="preserve">[ver tema 3.A.13]</w:t>
      </w:r>
      <w:r>
        <w:t xml:space="preserve"> </w:t>
      </w:r>
      <w:r>
        <w:rPr>
          <w:rStyle w:val="Referenciaatema"/>
        </w:rPr>
        <w:t xml:space="preserve">[ver tema 3.A.14]</w:t>
      </w:r>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29"/>
    <w:bookmarkStart w:id="130" w:name="no-convexidades-y-equilibrios-múltiples"/>
    <w:p>
      <w:pPr>
        <w:pStyle w:val="Heading3"/>
      </w:pPr>
      <w:r>
        <w:t xml:space="preserve">III.2.3.</w:t>
      </w:r>
      <w:r>
        <w:t xml:space="preserve"> </w:t>
      </w:r>
      <w:r>
        <w:t xml:space="preserve">No convexidades y equilibrios múltiples</w:t>
      </w:r>
    </w:p>
    <w:p>
      <w:pPr>
        <w:keepNext/>
        <w:numPr>
          <w:ilvl w:val="0"/>
          <w:numId w:val="1067"/>
        </w:numPr>
      </w:pPr>
      <w:r>
        <w:t xml:space="preserve">La convexidad de preferencias y tecnologías es el supuesto que sostiene la existencia (II.1.1) y el segundo teorema del bienestar. Sin ella:</w:t>
      </w:r>
    </w:p>
    <w:p>
      <w:pPr>
        <w:numPr>
          <w:ilvl w:val="1"/>
          <w:numId w:val="1068"/>
        </w:numPr>
      </w:pPr>
      <w:r>
        <w:t xml:space="preserve">con</w:t>
      </w:r>
      <w:r>
        <w:t xml:space="preserve"> </w:t>
      </w:r>
      <w:r>
        <w:rPr>
          <w:i/>
          <w:iCs/>
        </w:rPr>
        <w:t xml:space="preserve">preferencias no convexas</w:t>
      </w:r>
      <w:r>
        <w:t xml:space="preserve">, la demanda salta de una cesta a otra al cambiar los precios, el exceso de demanda es discontinuo y puede no haber ningún precio que vacíe los mercados (en la caja, las curvas de oferta-demanda no se cortan);</w:t>
      </w:r>
    </w:p>
    <w:p>
      <w:pPr>
        <w:numPr>
          <w:ilvl w:val="1"/>
          <w:numId w:val="1068"/>
        </w:numPr>
      </w:pPr>
      <w:r>
        <w:t xml:space="preserve">con</w:t>
      </w:r>
      <w:r>
        <w:t xml:space="preserve"> </w:t>
      </w:r>
      <w:r>
        <w:rPr>
          <w:i/>
          <w:iCs/>
        </w:rPr>
        <w:t xml:space="preserve">rendimientos crecientes</w:t>
      </w:r>
      <w:r>
        <w:t xml:space="preserve"> </w:t>
      </w:r>
      <w:r>
        <w:t xml:space="preserve">(costes fijos, costes medios en U con un tramo decreciente),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 o querría producir sin límite: no hay equilibrio competitivo y aparecen el monopolio natural</w:t>
      </w:r>
      <w:r>
        <w:t xml:space="preserve"> </w:t>
      </w:r>
      <w:r>
        <w:rPr>
          <w:rStyle w:val="Referenciaatema"/>
        </w:rPr>
        <w:t xml:space="preserve">[ver tema 3.A.17]</w:t>
      </w:r>
      <w:r>
        <w:t xml:space="preserve"> </w:t>
      </w:r>
      <w:r>
        <w:t xml:space="preserve">y la competencia imperfecta</w:t>
      </w:r>
      <w:r>
        <w:t xml:space="preserve"> </w:t>
      </w:r>
      <w:r>
        <w:rPr>
          <w:rStyle w:val="Referenciaatema"/>
        </w:rPr>
        <w:t xml:space="preserve">[ver tema 3.B.6]</w:t>
      </w:r>
      <w:r>
        <w:t xml:space="preserve">.</w:t>
      </w:r>
    </w:p>
    <w:p>
      <w:pPr>
        <w:numPr>
          <w:ilvl w:val="0"/>
          <w:numId w:val="1067"/>
        </w:numPr>
      </w:pPr>
      <w:r>
        <w:rPr>
          <w:i/>
          <w:iCs/>
        </w:rPr>
        <w:t xml:space="preserve">Economías grandes</w:t>
      </w:r>
      <w:r>
        <w:t xml:space="preserve">:</w:t>
      </w:r>
      <w:r>
        <w:t xml:space="preserve"> </w:t>
      </w:r>
      <w:r>
        <w:rPr>
          <w:smallCaps/>
        </w:rPr>
        <w:t xml:space="preserve">Starr</w:t>
      </w:r>
      <w:r>
        <w:t xml:space="preserve"> </w:t>
      </w:r>
      <w:r>
        <w:t xml:space="preserve">(</w:t>
      </w:r>
      <w:hyperlink w:anchor="ref-Starr1969Quasi">
        <w:r>
          <w:rPr>
            <w:rStyle w:val="Hyperlink"/>
          </w:rPr>
          <w:t xml:space="preserve">1969</w:t>
        </w:r>
      </w:hyperlink>
      <w:r>
        <w:t xml:space="preserve">)</w:t>
      </w:r>
      <w:r>
        <w:t xml:space="preserve">, con el lema de</w:t>
      </w:r>
      <w:r>
        <w:t xml:space="preserve"> </w:t>
      </w:r>
      <w:r>
        <w:rPr>
          <w:smallCaps/>
        </w:rPr>
        <w:t xml:space="preserve">Shapley</w:t>
      </w:r>
      <w:r>
        <w:t xml:space="preserve"> </w:t>
      </w:r>
      <w:r>
        <w:t xml:space="preserve">y</w:t>
      </w:r>
      <w:r>
        <w:t xml:space="preserve"> </w:t>
      </w:r>
      <w:r>
        <w:rPr>
          <w:smallCaps/>
        </w:rPr>
        <w:t xml:space="preserve">Folkman</w:t>
      </w:r>
      <w:r>
        <w:t xml:space="preserve">, muestra que la suma de muchos conjuntos no convexos es «casi» convexa: el error que introducen las no convexidades de las preferencias está acotado con independencia del número de agentes, de modo que por persona tiende a 0 y existen</w:t>
      </w:r>
      <w:r>
        <w:t xml:space="preserve"> </w:t>
      </w:r>
      <w:r>
        <w:rPr>
          <w:i/>
          <w:iCs/>
        </w:rPr>
        <w:t xml:space="preserve">equilibrios aproximados</w:t>
      </w:r>
      <w:r>
        <w:t xml:space="preserve">. Las no convexidades individuales importan poco si cada agente es pequeño; las de la tecnología, no, porque la escala de las empresas no se reduce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numPr>
          <w:ilvl w:val="0"/>
          <w:numId w:val="1067"/>
        </w:numPr>
      </w:pPr>
      <w:r>
        <w:rPr>
          <w:i/>
          <w:iCs/>
        </w:rPr>
        <w:t xml:space="preserve">Equilibrios múltiples</w:t>
      </w:r>
      <w:r>
        <w:t xml:space="preserve">: pueden darse con convexidad (II.1.2), y con rendimientos crecientes o complementariedades estratégicas son la regla. La economía puede quedar atrapada en un equilibrio ineficiente: son los fallos de coordinación, que enlazan la teoría con la macroeconomía keynesiana</w:t>
      </w:r>
      <w:r>
        <w:t xml:space="preserve"> </w:t>
      </w:r>
      <w:r>
        <w:t xml:space="preserve">(</w:t>
      </w:r>
      <w:hyperlink w:anchor="ref-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30"/>
    <w:bookmarkEnd w:id="131"/>
    <w:bookmarkStart w:id="135" w:name="Xc8f02bb6c0fa2f03d2aab3898ee4cd8b92f363f"/>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bookmarkStart w:id="132" w:name="a-idea-4"/>
    <w:p>
      <w:pPr>
        <w:pStyle w:val="Heading4"/>
      </w:pPr>
      <w:r>
        <w:t xml:space="preserve">a) Idea</w:t>
      </w:r>
    </w:p>
    <w:p>
      <w:pPr>
        <w:numPr>
          <w:ilvl w:val="0"/>
          <w:numId w:val="1069"/>
        </w:numPr>
      </w:pPr>
      <w:r>
        <w:t xml:space="preserve">En el modelo estudiado hasta aquí el dinero es solo unidad de cuenta: el numerario. Los bienes se intercambian en régimen de trueque, los precios absolutos quedan indeterminados (I.2.4) y el dinero no es ni medio de cambio ni depósito de valor. ¿Se puede introducir un dinero fiduciario, que no da utilidad por sí mismo, sin romper la coherencia del modelo?</w:t>
      </w:r>
    </w:p>
    <w:p>
      <w:pPr>
        <w:numPr>
          <w:ilvl w:val="0"/>
          <w:numId w:val="1069"/>
        </w:numPr>
      </w:pPr>
      <w:r>
        <w:t xml:space="preserve">El antecedente es</w:t>
      </w:r>
      <w:r>
        <w:t xml:space="preserve"> </w:t>
      </w:r>
      <w:r>
        <w:rPr>
          <w:smallCaps/>
        </w:rPr>
        <w:t xml:space="preserve">Mill</w:t>
      </w:r>
      <w:r>
        <w:t xml:space="preserve"> </w:t>
      </w:r>
      <w:r>
        <w:t xml:space="preserve">(</w:t>
      </w:r>
      <w:hyperlink w:anchor="ref-Mill1844Essays">
        <w:r>
          <w:rPr>
            <w:rStyle w:val="Hyperlink"/>
          </w:rPr>
          <w:t xml:space="preserve">1844</w:t>
        </w:r>
      </w:hyperlink>
      <w:r>
        <w:t xml:space="preserve">)</w:t>
      </w:r>
      <w:r>
        <w:t xml:space="preserv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bookmarkEnd w:id="132"/>
    <w:bookmarkStart w:id="133" w:name="b-modelo-4"/>
    <w:p>
      <w:pPr>
        <w:pStyle w:val="Heading4"/>
      </w:pPr>
      <w:r>
        <w:t xml:space="preserve">b) Modelo</w:t>
      </w:r>
    </w:p>
    <w:p>
      <w:pPr>
        <w:numPr>
          <w:ilvl w:val="0"/>
          <w:numId w:val="1070"/>
        </w:numPr>
      </w:pPr>
      <w:r>
        <w:rPr>
          <w:i/>
          <w:iCs/>
        </w:rPr>
        <w:t xml:space="preserve">Supuestos</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dotaciones</w:t>
      </w:r>
      <w:r>
        <w:t xml:space="preserve"> </w:t>
      </w:r>
      <m:oMath>
        <m:sSub>
          <m:e>
            <m:acc>
              <m:accPr>
                <m:chr m:val="⃗"/>
              </m:accPr>
              <m:e>
                <m:r>
                  <m:t>ω</m:t>
                </m:r>
              </m:e>
            </m:acc>
          </m:e>
          <m:sub>
            <m:r>
              <m:t>i</m:t>
            </m:r>
          </m:sub>
        </m:sSub>
      </m:oMath>
      <w:r>
        <w:t xml:space="preserve"> </w:t>
      </w:r>
      <w:r>
        <w:t xml:space="preserve">y saldos monetarios</w:t>
      </w:r>
      <w:r>
        <w:t xml:space="preserve"> </w:t>
      </w:r>
      <m:oMath>
        <m:sSub>
          <m:e>
            <m:bar>
              <m:barPr>
                <m:pos m:val="top"/>
              </m:barPr>
              <m:e>
                <m:r>
                  <m:t>M</m:t>
                </m:r>
              </m:e>
            </m:bar>
          </m:e>
          <m:sub>
            <m:r>
              <m:t>i</m:t>
            </m:r>
          </m:sub>
        </m:sSub>
      </m:oMath>
      <w:r>
        <w:t xml:space="preserve"> </w:t>
      </w:r>
      <w:r>
        <w:t xml:space="preserve">(</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el dinero no da utilidad.</w:t>
      </w:r>
    </w:p>
    <w:p>
      <w:pPr>
        <w:numPr>
          <w:ilvl w:val="0"/>
          <w:numId w:val="1070"/>
        </w:numPr>
      </w:pPr>
      <w:r>
        <w:rPr>
          <w:i/>
          <w:iCs/>
        </w:rPr>
        <w:t xml:space="preserve">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dinero lo que valen sus bienes y su dinero,</w:t>
      </w:r>
      <w:r>
        <w:t xml:space="preserve"> </w:t>
      </w: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oMath>
      <w:r>
        <w:t xml:space="preserve">; sumando,</w:t>
      </w:r>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0"/>
          <w:numId w:val="1070"/>
        </w:numPr>
      </w:pPr>
      <w:r>
        <w:rPr>
          <w:i/>
          <w:iCs/>
        </w:rPr>
        <w:t xml:space="preserve">La dicotomía clásica</w:t>
      </w:r>
      <w:r>
        <w:t xml:space="preserve">: los excesos de demanda de bienes dependen solo de los precios relativos (homogéneos de grado 0 en</w:t>
      </w:r>
      <w:r>
        <w:t xml:space="preserve"> </w:t>
      </w:r>
      <m:oMath>
        <m:acc>
          <m:accPr>
            <m:chr m:val="⃗"/>
          </m:accPr>
          <m:e>
            <m:r>
              <m:t>p</m:t>
            </m:r>
          </m:e>
        </m:acc>
      </m:oMath>
      <w:r>
        <w:t xml:space="preserve">), y como el dinero no da utilidad su demanda no sale de la optimización: se fija con una regla institucional de tipo Cambridge</w:t>
      </w:r>
      <w:r>
        <w:t xml:space="preserve"> </w:t>
      </w:r>
      <w:r>
        <w:rPr>
          <w:rStyle w:val="Referenciaatema"/>
        </w:rPr>
        <w:t xml:space="preserve">[ver tema 3.A.35]</w:t>
      </w:r>
      <w:r>
        <w:t xml:space="preserve">. Con beneficios nulos, cada consumidor desea mantener en dinero una proporción</w:t>
      </w:r>
      <w:r>
        <w:t xml:space="preserve"> </w:t>
      </w:r>
      <m:oMath>
        <m:r>
          <m:t>φ</m:t>
        </m:r>
      </m:oMath>
      <w:r>
        <w:t xml:space="preserve"> </w:t>
      </w:r>
      <w:r>
        <w:t xml:space="preserve">del valor de sus dotaciones,</w:t>
      </w:r>
      <w:r>
        <w:t xml:space="preserve"> </w:t>
      </w:r>
      <m:oMath>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El sector real fijaría los precios relativos y el mercado de dinero, el nivel de precios.</w:t>
      </w:r>
    </w:p>
    <w:p>
      <w:pPr>
        <w:numPr>
          <w:ilvl w:val="0"/>
          <w:numId w:val="1070"/>
        </w:numPr>
      </w:pPr>
      <w:r>
        <w:rPr>
          <w:i/>
          <w:iCs/>
        </w:rPr>
        <w:t xml:space="preserve">La dicotomía es inválida</w:t>
      </w:r>
      <w:r>
        <w:t xml:space="preserve"> </w:t>
      </w:r>
      <w:r>
        <w:t xml:space="preserve">(</w:t>
      </w:r>
      <w:hyperlink w:anchor="ref-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 si</w:t>
      </w:r>
      <w:r>
        <w:t xml:space="preserve"> </w:t>
      </w:r>
      <m:oMath>
        <m:sSup>
          <m:e>
            <m:acc>
              <m:accPr>
                <m:chr m:val="⃗"/>
              </m:accPr>
              <m:e>
                <m:r>
                  <m:t>p</m:t>
                </m:r>
              </m:e>
            </m:acc>
          </m:e>
          <m:sup>
            <m:r>
              <m:rPr>
                <m:sty m:val="p"/>
              </m:rPr>
              <m:t>*</m:t>
            </m:r>
          </m:sup>
        </m:sSup>
      </m:oMath>
      <w:r>
        <w:t xml:space="preserve"> </w:t>
      </w:r>
      <w:r>
        <w:t xml:space="preserve">es de equilibrio y se multiplican todos los precios por 2, los mercados de bienes siguen vaciándose (homogeneidad de grado 0), así que, por (18), el de dinero también; pero la regla de Cambridge dice que la demanda de dinero se ha duplicado. Las 2 cosas no pueden ser ciertas a la vez: con la dicotomía,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(identidad de</w:t>
      </w:r>
      <w:r>
        <w:t xml:space="preserve"> </w:t>
      </w:r>
      <w:r>
        <w:rPr>
          <w:smallCaps/>
        </w:rPr>
        <w:t xml:space="preserve">Say</w:t>
      </w:r>
      <w:r>
        <w:t xml:space="preserve">), y el nivel de precios queda indeterminado.</w:t>
      </w:r>
    </w:p>
    <w:p>
      <w:pPr>
        <w:numPr>
          <w:ilvl w:val="0"/>
          <w:numId w:val="1070"/>
        </w:numPr>
      </w:pPr>
      <w:r>
        <w:rPr>
          <w:i/>
          <w:iCs/>
        </w:rPr>
        <w:t xml:space="preserve">La solución de</w:t>
      </w:r>
      <w:r>
        <w:rPr>
          <w:i/>
          <w:iCs/>
        </w:rPr>
        <w:t xml:space="preserve"> </w:t>
      </w:r>
      <w:r>
        <w:rPr>
          <w:i/>
          <w:iCs/>
          <w:smallCaps/>
        </w:rPr>
        <w:t xml:space="preserve">Patinkin</w:t>
      </w:r>
      <w:r>
        <w:rPr>
          <w:i/>
          <w:iCs/>
        </w:rPr>
        <w:t xml:space="preserve"> </w:t>
      </w:r>
      <w:r>
        <w:rPr>
          <w:i/>
          <w:iCs/>
        </w:rPr>
        <w:t xml:space="preserve">(</w:t>
      </w:r>
      <w:hyperlink w:anchor="ref-Patinkin1956Money">
        <w:r>
          <w:rPr>
            <w:rStyle w:val="Hyperlink"/>
            <w:i/>
            <w:iCs/>
          </w:rPr>
          <w:t xml:space="preserve">1956</w:t>
        </w:r>
      </w:hyperlink>
      <w:r>
        <w:rPr>
          <w:i/>
          <w:iCs/>
        </w:rPr>
        <w:t xml:space="preserve">)</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con</w:t>
      </w:r>
      <w:r>
        <w:t xml:space="preserve"> </w:t>
      </w:r>
      <m:oMath>
        <m:r>
          <m:t>P</m:t>
        </m:r>
      </m:oMath>
      <w:r>
        <w:t xml:space="preserve"> </w:t>
      </w:r>
      <w:r>
        <w:t xml:space="preserve">un índice de precios (</w:t>
      </w:r>
      <w:r>
        <w:rPr>
          <w:b/>
          <w:bCs/>
        </w:rPr>
        <w:t xml:space="preserve">efecto saldos reales</w:t>
      </w:r>
      <w:r>
        <w:t xml:space="preserve">). Los excesos de demanda son homogéneos de grado 0 en precios</w:t>
      </w:r>
      <w:r>
        <w:t xml:space="preserve"> </w:t>
      </w:r>
      <w:r>
        <w:rPr>
          <w:i/>
          <w:iCs/>
        </w:rPr>
        <w:t xml:space="preserve">y</w:t>
      </w:r>
      <w:r>
        <w:t xml:space="preserve"> </w:t>
      </w:r>
      <w:r>
        <w:t xml:space="preserve">dinero, pero no en los precios solos: si el nivel de precios es demasiado alto, los saldos reales son bajos, cae la demanda de bienes y los precios bajan.</w:t>
      </w:r>
    </w:p>
    <w:p>
      <w:pPr>
        <w:numPr>
          <w:ilvl w:val="0"/>
          <w:numId w:val="1070"/>
        </w:numPr>
      </w:pPr>
      <w:r>
        <w:rPr>
          <w:i/>
          <w:iCs/>
        </w:rPr>
        <w:t xml:space="preserve">Implicaciones</w:t>
      </w:r>
      <w:r>
        <w:t xml:space="preserve">: el nivel de precios queda determinado y el dinero es</w:t>
      </w:r>
      <w:r>
        <w:t xml:space="preserve"> </w:t>
      </w:r>
      <w:r>
        <w:rPr>
          <w:b/>
          <w:bCs/>
        </w:rPr>
        <w:t xml:space="preserve">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Hay neutralidad sin dicotomía: el dinero no afecta al equilibrio, pero sí al proceso que lleva a él. Su versión macroeconómica, el ajuste lento hacia el pleno empleo con un efecto saldos reales que actúa en el desequilibrio, es materia del debate sobre el desequilibrio</w:t>
      </w:r>
      <w:r>
        <w:t xml:space="preserve"> </w:t>
      </w:r>
      <w:r>
        <w:rPr>
          <w:rStyle w:val="Referenciaatema"/>
        </w:rPr>
        <w:t xml:space="preserve">[ver tema 3.A.4]</w:t>
      </w:r>
      <w:r>
        <w:t xml:space="preserve">.</w:t>
      </w:r>
    </w:p>
    <w:p>
      <w:pPr>
        <w:numPr>
          <w:ilvl w:val="0"/>
          <w:numId w:val="1070"/>
        </w:numPr>
      </w:pP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ArchibaldLipsey1958Monetary">
        <w:r>
          <w:rPr>
            <w:rStyle w:val="Hyperlink"/>
          </w:rPr>
          <w:t xml:space="preserve">1958</w:t>
        </w:r>
      </w:hyperlink>
      <w:r>
        <w:t xml:space="preserve">)</w:t>
      </w:r>
      <w:r>
        <w:t xml:space="preserve"> </w:t>
      </w:r>
      <w:r>
        <w:t xml:space="preserve">precisan que, en el equilibrio estacionario, cuando cada uno ya ha ajustado sus saldos, la dicotomía vuelve a ser válida para los valores de equilibrio: el efecto saldos reales actúa en el ajuste.</w:t>
      </w:r>
    </w:p>
    <w:bookmarkEnd w:id="133"/>
    <w:bookmarkStart w:id="134" w:name="e-valoración-4"/>
    <w:p>
      <w:pPr>
        <w:pStyle w:val="Heading4"/>
      </w:pPr>
      <w:r>
        <w:t xml:space="preserve">e) Valoración</w:t>
      </w:r>
    </w:p>
    <w:p>
      <w:pPr>
        <w:numPr>
          <w:ilvl w:val="0"/>
          <w:numId w:val="1071"/>
        </w:numPr>
      </w:pPr>
      <w:r>
        <w:rPr>
          <w:smallCaps/>
        </w:rPr>
        <w:t xml:space="preserve">Hahn</w:t>
      </w:r>
      <w:r>
        <w:t xml:space="preserve"> </w:t>
      </w:r>
      <w:r>
        <w:t xml:space="preserve">(</w:t>
      </w:r>
      <w:hyperlink w:anchor="ref-Hahn1965Problems">
        <w:r>
          <w:rPr>
            <w:rStyle w:val="Hyperlink"/>
          </w:rPr>
          <w:t xml:space="preserve">1965</w:t>
        </w:r>
      </w:hyperlink>
      <w:r>
        <w:t xml:space="preserve">)</w:t>
      </w:r>
      <w:r>
        <w:t xml:space="preserve"> </w:t>
      </w:r>
      <w:r>
        <w:t xml:space="preserve">muestra el fallo de fondo: si el dinero no da utilidad ni presta ningún servicio en el modelo, siempre existe un equilibrio en el que no vale nada.</w:t>
      </w:r>
      <w:r>
        <w:t xml:space="preserve"> </w:t>
      </w:r>
      <w:r>
        <w:rPr>
          <w:smallCaps/>
        </w:rPr>
        <w:t xml:space="preserve">Patinkin</w:t>
      </w:r>
      <w:r>
        <w:t xml:space="preserve"> </w:t>
      </w:r>
      <w:r>
        <w:t xml:space="preserve">lo evita poniendo los saldos reales en la utilidad, que es suponer lo que había que explicar.</w:t>
      </w:r>
      <w:r>
        <w:t xml:space="preserve"> </w:t>
      </w:r>
      <w:r>
        <w:rPr>
          <w:smallCaps/>
        </w:rPr>
        <w:t xml:space="preserve">Hahn</w:t>
      </w:r>
      <w:r>
        <w:t xml:space="preserve"> </w:t>
      </w:r>
      <w:r>
        <w:t xml:space="preserve">(</w:t>
      </w:r>
      <w:hyperlink w:anchor="ref-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numPr>
          <w:ilvl w:val="0"/>
          <w:numId w:val="1071"/>
        </w:numPr>
      </w:pPr>
      <w:r>
        <w:t xml:space="preserve">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 depósito de valor en una economía de generaciones solapadas</w:t>
      </w:r>
      <w:r>
        <w:t xml:space="preserve"> </w:t>
      </w:r>
      <w:r>
        <w:t xml:space="preserve">(</w:t>
      </w:r>
      <w:hyperlink w:anchor="ref-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w:t>
      </w:r>
      <w:r>
        <w:rPr>
          <w:rStyle w:val="Referenciaatema"/>
        </w:rPr>
        <w:t xml:space="preserve">[ver tema 3.A.29]</w:t>
      </w:r>
      <w:r>
        <w:t xml:space="preserve">, restricción de liquidez previa al gasto</w:t>
      </w:r>
      <w:r>
        <w:t xml:space="preserve"> </w:t>
      </w:r>
      <w:r>
        <w:t xml:space="preserve">(</w:t>
      </w:r>
      <w:hyperlink w:anchor="ref-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medio de cambio que surge de la búsqueda de contrapartes</w:t>
      </w:r>
      <w:r>
        <w:t xml:space="preserve"> </w:t>
      </w:r>
      <w:r>
        <w:t xml:space="preserve">(</w:t>
      </w:r>
      <w:hyperlink w:anchor="ref-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w:t>
      </w:r>
      <w:r>
        <w:t xml:space="preserve">o, como forma reducida, dinero en la función de utilidad</w:t>
      </w:r>
      <w:r>
        <w:t xml:space="preserve"> </w:t>
      </w:r>
      <w:r>
        <w:t xml:space="preserve">(</w:t>
      </w:r>
      <w:hyperlink w:anchor="ref-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un panorama, en</w:t>
      </w:r>
      <w:r>
        <w:t xml:space="preserve"> </w:t>
      </w:r>
      <w:r>
        <w:rPr>
          <w:smallCaps/>
        </w:rPr>
        <w:t xml:space="preserve">Walsh</w:t>
      </w:r>
      <w:r>
        <w:t xml:space="preserve"> </w:t>
      </w:r>
      <w:r>
        <w:t xml:space="preserve">(</w:t>
      </w:r>
      <w:hyperlink w:anchor="ref-Walsh2017Monetary">
        <w:r>
          <w:rPr>
            <w:rStyle w:val="Hyperlink"/>
          </w:rPr>
          <w:t xml:space="preserve">2017, cap. 2–3</w:t>
        </w:r>
      </w:hyperlink>
      <w:r>
        <w:t xml:space="preserve">)</w:t>
      </w:r>
      <w:r>
        <w:t xml:space="preserve">.</w:t>
      </w:r>
    </w:p>
    <w:bookmarkEnd w:id="134"/>
    <w:bookmarkEnd w:id="135"/>
    <w:bookmarkStart w:id="142" w:name="X10a3fe127cfe3bbc2bbf7a3306d773bdb9a73e5"/>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bookmarkStart w:id="136" w:name="a-idea-5"/>
    <w:p>
      <w:pPr>
        <w:pStyle w:val="Heading4"/>
      </w:pPr>
      <w:r>
        <w:t xml:space="preserve">a) Idea</w:t>
      </w:r>
    </w:p>
    <w:p>
      <w:pPr>
        <w:numPr>
          <w:ilvl w:val="0"/>
          <w:numId w:val="1072"/>
        </w:numPr>
      </w:pPr>
      <w:r>
        <w:t xml:space="preserve">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en que se entregan</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 Un paraguas cuando llueve y un paraguas cuando no llueve son bienes distintos, con precios distintos: es el enfoque de la preferencia por el estado</w:t>
      </w:r>
      <w:r>
        <w:t xml:space="preserve"> </w:t>
      </w:r>
      <w:r>
        <w:rPr>
          <w:rStyle w:val="Referenciaatema"/>
        </w:rPr>
        <w:t xml:space="preserve">[ver tema 3.A.10]</w:t>
      </w:r>
      <w:r>
        <w:t xml:space="preserve">.</w:t>
      </w:r>
    </w:p>
    <w:bookmarkEnd w:id="136"/>
    <w:bookmarkStart w:id="137" w:name="b-modelo-5"/>
    <w:p>
      <w:pPr>
        <w:pStyle w:val="Heading4"/>
      </w:pPr>
      <w:r>
        <w:t xml:space="preserve">b) Modelo</w:t>
      </w:r>
    </w:p>
    <w:p>
      <w:pPr>
        <w:numPr>
          <w:ilvl w:val="0"/>
          <w:numId w:val="1073"/>
        </w:numPr>
      </w:pPr>
      <w:r>
        <w:rPr>
          <w:i/>
          <w:iCs/>
        </w:rPr>
        <w:t xml:space="preserve">Supuestos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información simétrica sobre qué estado ocurre y preferencias convexas sobre planes contingentes. No hace falta la utilidad esperada; si se usa, la aversión al riesgo basta para la convexidad.</w:t>
      </w:r>
    </w:p>
    <w:p>
      <w:pPr>
        <w:numPr>
          <w:ilvl w:val="0"/>
          <w:numId w:val="1073"/>
        </w:numPr>
      </w:pPr>
      <w:r>
        <w:rPr>
          <w:i/>
          <w:iCs/>
        </w:rPr>
        <w:t xml:space="preserve">Desarrollo</w:t>
      </w:r>
      <w:r>
        <w:t xml:space="preserve">: formalmente es el mismo modelo, con</w:t>
      </w:r>
      <w:r>
        <w:t xml:space="preserve"> </w:t>
      </w:r>
      <m:oMath>
        <m:r>
          <m:t>n</m:t>
        </m:r>
        <m:r>
          <m:rPr>
            <m:sty m:val="p"/>
          </m:rPr>
          <m:t>⋅</m:t>
        </m:r>
        <m:r>
          <m:t>S</m:t>
        </m:r>
      </m:oMath>
      <w:r>
        <w:t xml:space="preserve"> </w:t>
      </w:r>
      <w:r>
        <w:t xml:space="preserve">bienes.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 el riesgo se reparte de forma eficiente. Con utilidad esperada y un solo bien físico, todos los consumidores igualan su relación marginal de sustitución entre estados al cociente de los precios de estado:</w:t>
      </w:r>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keepNext/>
        <w:numPr>
          <w:ilvl w:val="0"/>
          <w:numId w:val="1073"/>
        </w:numPr>
      </w:pPr>
      <w:r>
        <w:rPr>
          <w:i/>
          <w:iCs/>
        </w:rPr>
        <w:t xml:space="preserve">Implicaciones</w:t>
      </w:r>
      <w:r>
        <w:t xml:space="preserve">:</w:t>
      </w:r>
    </w:p>
    <w:p>
      <w:pPr>
        <w:numPr>
          <w:ilvl w:val="1"/>
          <w:numId w:val="1074"/>
        </w:numPr>
      </w:pPr>
      <w:r>
        <w:rPr>
          <w:smallCaps/>
        </w:rPr>
        <w:t xml:space="preserve">Arrow</w:t>
      </w:r>
      <w:r>
        <w:t xml:space="preserve"> </w:t>
      </w:r>
      <w:r>
        <w:t xml:space="preserve">(</w:t>
      </w:r>
      <w:hyperlink w:anchor="ref-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 bastan</w:t>
      </w:r>
      <w:r>
        <w:t xml:space="preserve"> </w:t>
      </w:r>
      <m:oMath>
        <m:r>
          <m:t>S</m:t>
        </m:r>
      </m:oMath>
      <w:r>
        <w:t xml:space="preserve"> </w:t>
      </w:r>
      <w:r>
        <w:rPr>
          <w:b/>
          <w:bCs/>
        </w:rPr>
        <w:t xml:space="preserve">títulos de</w:t>
      </w:r>
      <w:r>
        <w:rPr>
          <w:b/>
          <w:bCs/>
        </w:rPr>
        <w:t xml:space="preserve"> </w:t>
      </w:r>
      <w:r>
        <w:rPr>
          <w:b/>
          <w:bCs/>
          <w:smallCaps/>
        </w:rPr>
        <w:t xml:space="preserve">Arrow</w:t>
      </w:r>
      <w:r>
        <w:t xml:space="preserve"> </w:t>
      </w:r>
      <w:r>
        <w:t xml:space="preserve">(cada uno paga una unidad de cuenta en un estado)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si los agentes prevén bien los precios futuros</w:t>
      </w:r>
      <w:r>
        <w:t xml:space="preserve"> </w:t>
      </w:r>
      <w:r>
        <w:t xml:space="preserve">(</w:t>
      </w:r>
      <w:hyperlink w:anchor="ref-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1"/>
          <w:numId w:val="1074"/>
        </w:numPr>
      </w:pPr>
      <w:r>
        <w:rPr>
          <w:smallCaps/>
        </w:rPr>
        <w:t xml:space="preserve">Radner</w:t>
      </w:r>
      <w:r>
        <w:t xml:space="preserve"> </w:t>
      </w:r>
      <w:r>
        <w:t xml:space="preserve">(</w:t>
      </w:r>
      <w:hyperlink w:anchor="ref-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37"/>
    <w:bookmarkStart w:id="138" w:name="Xe793d4e90cab0e8cdbf1085687307497fa588a5"/>
    <w:p>
      <w:pPr>
        <w:pStyle w:val="Heading4"/>
      </w:pPr>
      <w:r>
        <w:t xml:space="preserve">c) Extensiones: mercados incompletos y tiempo</w:t>
      </w:r>
    </w:p>
    <w:p>
      <w:pPr>
        <w:keepNext/>
        <w:numPr>
          <w:ilvl w:val="0"/>
          <w:numId w:val="1075"/>
        </w:numPr>
      </w:pPr>
      <w:r>
        <w:t xml:space="preserve">Si hay menos activos independientes que estados, el equilibrio de</w:t>
      </w:r>
      <w:r>
        <w:t xml:space="preserve"> </w:t>
      </w:r>
      <w:r>
        <w:rPr>
          <w:smallCaps/>
        </w:rPr>
        <w:t xml:space="preserve">Radner</w:t>
      </w:r>
      <w:r>
        <w:t xml:space="preserve">:</w:t>
      </w:r>
    </w:p>
    <w:p>
      <w:pPr>
        <w:numPr>
          <w:ilvl w:val="1"/>
          <w:numId w:val="1076"/>
        </w:numPr>
      </w:pPr>
      <w:r>
        <w:t xml:space="preserve">en general no es eficiente, ni siquiera</w:t>
      </w:r>
      <w:r>
        <w:t xml:space="preserve"> </w:t>
      </w:r>
      <w:r>
        <w:rPr>
          <w:i/>
          <w:iCs/>
        </w:rPr>
        <w:t xml:space="preserve">restringidamente</w:t>
      </w:r>
      <w:r>
        <w:t xml:space="preserve">: un planificador que solo pudiera usar los mismos activos podría mejorar a todos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X5282c39af3d56c258586e1f0ea5992ba9b44b54">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076"/>
        </w:numPr>
      </w:pPr>
      <w:r>
        <w:t xml:space="preserve">puede no existir con activos reales</w:t>
      </w:r>
      <w:r>
        <w:t xml:space="preserve"> </w:t>
      </w:r>
      <w:r>
        <w:t xml:space="preserve">(</w:t>
      </w:r>
      <w:hyperlink w:anchor="ref-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076"/>
        </w:numPr>
      </w:pPr>
      <w:r>
        <w:t xml:space="preserve">con activos nominales está</w:t>
      </w:r>
      <w:r>
        <w:t xml:space="preserve"> </w:t>
      </w:r>
      <w:r>
        <w:rPr>
          <w:i/>
          <w:iCs/>
        </w:rPr>
        <w:t xml:space="preserve">indeterminado</w:t>
      </w:r>
      <w:r>
        <w:t xml:space="preserve">: hay un continuo de equilibrios reales cuya dimensión,</w:t>
      </w:r>
      <w:r>
        <w:t xml:space="preserve"> </w:t>
      </w:r>
      <m:oMath>
        <m:r>
          <m:t>S</m:t>
        </m:r>
        <m:r>
          <m:rPr>
            <m:sty m:val="p"/>
          </m:rPr>
          <m:t>−</m:t>
        </m:r>
        <m:r>
          <m:t>1</m:t>
        </m:r>
      </m:oMath>
      <w:r>
        <w:t xml:space="preserve">, crece con el número de estados</w:t>
      </w:r>
      <w:r>
        <w:t xml:space="preserve"> </w:t>
      </w:r>
      <w:r>
        <w:t xml:space="preserve">(</w:t>
      </w:r>
      <w:hyperlink w:anchor="ref-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 Con mercados completos el equilibrio vuelve a ser determinado (un número finito de equilibrios, como en las economías regulares de II.1.2) y eficiente: la universalidad de los mercados juega a favor de la determinación del equilibrio.</w:t>
      </w:r>
    </w:p>
    <w:p>
      <w:pPr>
        <w:numPr>
          <w:ilvl w:val="0"/>
          <w:numId w:val="1075"/>
        </w:numPr>
      </w:pPr>
      <w:r>
        <w:t xml:space="preserve">Con un horizonte infinito y agentes que nacen y mueren (generaciones solapadas), el equilibrio competitivo puede ser ineficiente incluso con mercados completos en cada periodo (ineficiencia dinámica)</w:t>
      </w:r>
      <w:r>
        <w:t xml:space="preserve"> </w:t>
      </w:r>
      <w:r>
        <w:rPr>
          <w:rStyle w:val="Referenciaatema"/>
        </w:rPr>
        <w:t xml:space="preserve">[ver tema 3.A.29]</w:t>
      </w:r>
      <w:r>
        <w:t xml:space="preserve">.</w:t>
      </w:r>
    </w:p>
    <w:bookmarkEnd w:id="138"/>
    <w:bookmarkStart w:id="139" w:name="d-evidencia-empírica"/>
    <w:p>
      <w:pPr>
        <w:pStyle w:val="Heading4"/>
      </w:pPr>
      <w:r>
        <w:t xml:space="preserve">d) Evidencia empírica</w:t>
      </w:r>
    </w:p>
    <w:p>
      <w:pPr>
        <w:numPr>
          <w:ilvl w:val="0"/>
          <w:numId w:val="1077"/>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Shiller1993Macro">
        <w:r>
          <w:rPr>
            <w:rStyle w:val="Hyperlink"/>
          </w:rPr>
          <w:t xml:space="preserve">1993</w:t>
        </w:r>
      </w:hyperlink>
      <w:r>
        <w:t xml:space="preserve">)</w:t>
      </w:r>
      <w:r>
        <w:t xml:space="preserve"> </w:t>
      </w:r>
      <w:r>
        <w:t xml:space="preserve">propone crearlos.</w:t>
      </w:r>
    </w:p>
    <w:bookmarkEnd w:id="139"/>
    <w:bookmarkStart w:id="141" w:name="e-valoración-5"/>
    <w:p>
      <w:pPr>
        <w:pStyle w:val="Heading4"/>
      </w:pPr>
      <w:r>
        <w:t xml:space="preserve">e) Valoración</w:t>
      </w:r>
    </w:p>
    <w:p>
      <w:pPr>
        <w:numPr>
          <w:ilvl w:val="0"/>
          <w:numId w:val="1078"/>
        </w:numPr>
      </w:pPr>
      <w:r>
        <w:t xml:space="preserve">El modelo exige más mercados de los que hay.</w:t>
      </w:r>
      <w:r>
        <w:rPr>
          <w:rStyle w:val="FootnoteReference"/>
        </w:rPr>
        <w:footnoteReference w:id="140"/>
      </w:r>
      <w:r>
        <w:t xml:space="preserve"> </w:t>
      </w:r>
      <w:r>
        <w:t xml:space="preserve">Los costes de transacción y la información asimétrica (selección adversa, riesgo moral) explican por qué faltan mercados</w:t>
      </w:r>
      <w:r>
        <w:t xml:space="preserve"> </w:t>
      </w:r>
      <w:r>
        <w:t xml:space="preserve">(</w:t>
      </w:r>
      <w:hyperlink w:anchor="ref-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r>
        <w:rPr>
          <w:rStyle w:val="Referenciaatema"/>
        </w:rPr>
        <w:t xml:space="preserve">[ver tema 3.A.13]</w:t>
      </w:r>
      <w:r>
        <w:t xml:space="preserve">, y su ausencia justifica intervenciones como los seguros obligatorios o la protección social.</w:t>
      </w:r>
    </w:p>
    <w:bookmarkEnd w:id="141"/>
    <w:bookmarkEnd w:id="142"/>
    <w:bookmarkStart w:id="145" w:name="X31a243db8302fbc2dbd4c029d72756edf02d7de"/>
    <w:p>
      <w:pPr>
        <w:pStyle w:val="Heading2"/>
      </w:pPr>
      <w:r>
        <w:t xml:space="preserve">III.5.</w:t>
      </w:r>
      <w:r>
        <w:t xml:space="preserve"> </w:t>
      </w:r>
      <w:r>
        <w:t xml:space="preserve">Modelos de equilibrio general computable (</w:t>
      </w:r>
      <w:r>
        <w:rPr>
          <w:smallCaps/>
        </w:rPr>
        <w:t xml:space="preserve">Scarf</w:t>
      </w:r>
      <w:r>
        <w:t xml:space="preserve">)</w:t>
      </w:r>
    </w:p>
    <w:p>
      <w:pPr>
        <w:keepNext/>
        <w:numPr>
          <w:ilvl w:val="0"/>
          <w:numId w:val="1079"/>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080"/>
        </w:numPr>
      </w:pPr>
      <w:r>
        <w:t xml:space="preserve">el algoritmo de</w:t>
      </w:r>
      <w:r>
        <w:t xml:space="preserve"> </w:t>
      </w:r>
      <w:r>
        <w:t xml:space="preserve">H.</w:t>
      </w:r>
      <w:r>
        <w:t xml:space="preserve"> </w:t>
      </w:r>
      <w:r>
        <w:rPr>
          <w:smallCaps/>
        </w:rPr>
        <w:t xml:space="preserve">Scarf</w:t>
      </w:r>
      <w:r>
        <w:t xml:space="preserve"> </w:t>
      </w:r>
      <w:r>
        <w:t xml:space="preserve">(</w:t>
      </w:r>
      <w:hyperlink w:anchor="ref-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ScarfHansen1973Computation">
        <w:r>
          <w:rPr>
            <w:rStyle w:val="Hyperlink"/>
          </w:rPr>
          <w:t xml:space="preserve">1973</w:t>
        </w:r>
      </w:hyperlink>
      <w:r>
        <w:t xml:space="preserve">)</w:t>
      </w:r>
      <w:r>
        <w:t xml:space="preserve">;</w:t>
      </w:r>
    </w:p>
    <w:p>
      <w:pPr>
        <w:numPr>
          <w:ilvl w:val="1"/>
          <w:numId w:val="1080"/>
        </w:numPr>
      </w:pPr>
      <w:r>
        <w:t xml:space="preserve">la capacidad de cálculo de los ordenadores y unas estadísticas nacionales cada vez más detalladas.</w:t>
      </w:r>
    </w:p>
    <w:p>
      <w:pPr>
        <w:numPr>
          <w:ilvl w:val="0"/>
          <w:numId w:val="1079"/>
        </w:numPr>
      </w:pPr>
      <w:r>
        <w:rPr>
          <w:i/>
          <w:iCs/>
        </w:rPr>
        <w:t xml:space="preserve">Metodología</w:t>
      </w:r>
      <w:r>
        <w:t xml:space="preserve"> </w:t>
      </w:r>
      <w:r>
        <w:t xml:space="preserve">(</w:t>
      </w:r>
      <w:hyperlink w:anchor="ref-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r>
        <w:rPr>
          <w:rStyle w:val="Referenciaatema"/>
        </w:rPr>
        <w:t xml:space="preserve">[ver tema 3.A.11]</w:t>
      </w:r>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r>
        <w:rPr>
          <w:rStyle w:val="Referenciaatema"/>
        </w:rPr>
        <w:t xml:space="preserve">[ver tema 3.A.31]</w:t>
      </w:r>
      <w:r>
        <w:t xml:space="preserve">, y se simula la política (arancel, impuesto, precio del carbono) comparando el nuevo equilibrio con el de referencia: es estática comparativa (anexo E) a gran escala.</w:t>
      </w:r>
      <w:r>
        <w:rPr>
          <w:rStyle w:val="FootnoteReference"/>
        </w:rPr>
        <w:footnoteReference w:id="143"/>
      </w:r>
    </w:p>
    <w:p>
      <w:pPr>
        <w:keepNext/>
        <w:numPr>
          <w:ilvl w:val="0"/>
          <w:numId w:val="1079"/>
        </w:numPr>
      </w:pPr>
      <w:r>
        <w:rPr>
          <w:i/>
          <w:iCs/>
        </w:rPr>
        <w:t xml:space="preserve">Usos</w:t>
      </w:r>
      <w:r>
        <w:t xml:space="preserve">:</w:t>
      </w:r>
    </w:p>
    <w:p>
      <w:pPr>
        <w:keepNext/>
        <w:numPr>
          <w:ilvl w:val="1"/>
          <w:numId w:val="1081"/>
        </w:numPr>
      </w:pPr>
      <w:r>
        <w:rPr>
          <w:i/>
          <w:iCs/>
        </w:rPr>
        <w:t xml:space="preserve">Comercio internacional</w:t>
      </w:r>
      <w:r>
        <w:t xml:space="preserve">: uno de sus primeros usos fue medir el efecto de las barreras comerciales.</w:t>
      </w:r>
    </w:p>
    <w:p>
      <w:pPr>
        <w:numPr>
          <w:ilvl w:val="2"/>
          <w:numId w:val="1082"/>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082"/>
        </w:numPr>
      </w:pPr>
      <w:r>
        <w:t xml:space="preserve">Su sucesor, el T-MEC (USMCA), se evaluó con un modelo de equilibrio general: +0,35 % del PIB real de EE. UU. y unos 176.000 empleos</w:t>
      </w:r>
      <w:r>
        <w:t xml:space="preserve"> </w:t>
      </w:r>
      <w:r>
        <w:t xml:space="preserve">(</w:t>
      </w:r>
      <w:hyperlink w:anchor="ref-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082"/>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082"/>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081"/>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r>
        <w:rPr>
          <w:rStyle w:val="Referenciaatema"/>
        </w:rPr>
        <w:t xml:space="preserve">[ver tema 3.B.31]</w:t>
      </w:r>
      <w:r>
        <w:t xml:space="preserve">.</w:t>
      </w:r>
    </w:p>
    <w:p>
      <w:pPr>
        <w:keepNext/>
        <w:numPr>
          <w:ilvl w:val="1"/>
          <w:numId w:val="1081"/>
        </w:numPr>
      </w:pPr>
      <w:r>
        <w:rPr>
          <w:i/>
          <w:iCs/>
        </w:rPr>
        <w:t xml:space="preserve">Macroeconomía</w:t>
      </w:r>
      <w:r>
        <w:t xml:space="preserve">: los modelos de equilibrio general dinámicos y estocásticos son la versión agregada e intertemporal del mismo programa</w:t>
      </w:r>
      <w:r>
        <w:t xml:space="preserve"> </w:t>
      </w:r>
      <w:r>
        <w:rPr>
          <w:rStyle w:val="Referenciaatema"/>
        </w:rPr>
        <w:t xml:space="preserve">[ver tema 3.A.6]</w:t>
      </w:r>
      <w:r>
        <w:t xml:space="preserve">.</w:t>
      </w:r>
    </w:p>
    <w:p>
      <w:pPr>
        <w:numPr>
          <w:ilvl w:val="2"/>
          <w:numId w:val="1083"/>
        </w:numPr>
      </w:pPr>
      <w:r>
        <w:t xml:space="preserve">En España, el Ministerio de Economía y Hacienda desarrolló en 2008 el modelo REMS, con la Universidad de Valencia, la Fundación Rafael del Pino y BBVA</w:t>
      </w:r>
      <w:r>
        <w:t xml:space="preserve"> </w:t>
      </w:r>
      <w:r>
        <w:t xml:space="preserve">(</w:t>
      </w:r>
      <w:hyperlink w:anchor="ref-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083"/>
        </w:numPr>
      </w:pPr>
      <w:r>
        <w:t xml:space="preserve">Su versión estimada, EREMS</w:t>
      </w:r>
      <w:r>
        <w:t xml:space="preserve"> </w:t>
      </w:r>
      <w:r>
        <w:t xml:space="preserve">(</w:t>
      </w:r>
      <w:hyperlink w:anchor="ref-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083"/>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144"/>
      </w:r>
    </w:p>
    <w:p>
      <w:pPr>
        <w:numPr>
          <w:ilvl w:val="0"/>
          <w:numId w:val="1079"/>
        </w:numPr>
      </w:pPr>
      <w:r>
        <w:rPr>
          <w:i/>
          <w:iCs/>
        </w:rPr>
        <w:t xml:space="preserve">Valoración</w:t>
      </w:r>
      <w:r>
        <w:t xml:space="preserve">: los resultados dependen de las elasticidades y de los cierres macroeconómicos elegidos, y la unicidad del equilibrio calculado no está garantizada (II.1.2). Aun así, son la forma de llevar la teoría del equilibrio general a la evaluación de políticas.</w:t>
      </w:r>
    </w:p>
    <w:bookmarkEnd w:id="145"/>
    <w:bookmarkEnd w:id="146"/>
    <w:bookmarkStart w:id="147" w:name="conclusión"/>
    <w:p>
      <w:pPr>
        <w:pStyle w:val="Heading1"/>
      </w:pPr>
      <w:r>
        <w:t xml:space="preserve">Conclusión</w:t>
      </w:r>
      <w:r>
        <w:t xml:space="preserve"> </w:t>
      </w:r>
      <w:r>
        <w:rPr>
          <w:rStyle w:val="Minutos"/>
        </w:rPr>
        <w:t xml:space="preserve">1′</w:t>
      </w:r>
    </w:p>
    <w:p>
      <w:pPr>
        <w:keepNext/>
        <w:numPr>
          <w:ilvl w:val="0"/>
          <w:numId w:val="1084"/>
        </w:numPr>
      </w:pPr>
      <w:r>
        <w:rPr>
          <w:b/>
          <w:bCs/>
          <w:i/>
          <w:iCs/>
        </w:rPr>
        <w:t xml:space="preserve">Recapitulación (ideas clave)</w:t>
      </w:r>
      <w:r>
        <w:t xml:space="preserve">:</w:t>
      </w:r>
    </w:p>
    <w:p>
      <w:pPr>
        <w:numPr>
          <w:ilvl w:val="1"/>
          <w:numId w:val="1085"/>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(I y II.1).</w:t>
      </w:r>
    </w:p>
    <w:p>
      <w:pPr>
        <w:numPr>
          <w:ilvl w:val="1"/>
          <w:numId w:val="1085"/>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(II.2).</w:t>
      </w:r>
    </w:p>
    <w:p>
      <w:pPr>
        <w:numPr>
          <w:ilvl w:val="1"/>
          <w:numId w:val="1085"/>
        </w:numPr>
      </w:pPr>
      <w:r>
        <w:t xml:space="preserve">Y el modelo resiste bien que se relajen algunos supuestos (con muchos agentes, el núcleo converge al equilibrio walrasiano) y peor otros: poder de mercado, no convexidades, mercados incompletos y dinero (III).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084"/>
        </w:numPr>
      </w:pPr>
      <w:r>
        <w:rPr>
          <w:b/>
          <w:bCs/>
          <w:i/>
          <w:iCs/>
        </w:rPr>
        <w:t xml:space="preserve">Relevancia</w:t>
      </w:r>
      <w:r>
        <w:t xml:space="preserve">: es el lenguaje común de la teoría económica. La macroeconomía actual es equilibrio general dinámico y estocástico</w:t>
      </w:r>
      <w:r>
        <w:t xml:space="preserve"> </w:t>
      </w:r>
      <w:r>
        <w:rPr>
          <w:rStyle w:val="Referenciaatema"/>
        </w:rPr>
        <w:t xml:space="preserve">[ver tema 3.A.6]</w:t>
      </w:r>
      <w:r>
        <w:t xml:space="preserve"> </w:t>
      </w:r>
      <w:r>
        <w:rPr>
          <w:rStyle w:val="Referenciaatema"/>
        </w:rPr>
        <w:t xml:space="preserve">[ver tema 3.A.42]</w:t>
      </w:r>
      <w:r>
        <w:t xml:space="preserve">, y</w:t>
      </w:r>
      <w:r>
        <w:t xml:space="preserve"> </w:t>
      </w:r>
      <w:r>
        <w:rPr>
          <w:smallCaps/>
        </w:rPr>
        <w:t xml:space="preserve">De Vroey</w:t>
      </w:r>
      <w:r>
        <w:t xml:space="preserve"> </w:t>
      </w:r>
      <w:r>
        <w:t xml:space="preserve">(</w:t>
      </w:r>
      <w:hyperlink w:anchor="ref-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r>
        <w:rPr>
          <w:rStyle w:val="Referenciaatema"/>
        </w:rPr>
        <w:t xml:space="preserve">[ver tema 3.B.5]</w:t>
      </w:r>
      <w:r>
        <w:t xml:space="preserve"> </w:t>
      </w:r>
      <w:r>
        <w:t xml:space="preserve">y la economía del clima</w:t>
      </w:r>
      <w:r>
        <w:t xml:space="preserve"> </w:t>
      </w:r>
      <w:r>
        <w:rPr>
          <w:rStyle w:val="Referenciaatema"/>
        </w:rPr>
        <w:t xml:space="preserve">[ver tema 3.B.31]</w:t>
      </w:r>
      <w:r>
        <w:t xml:space="preserve">, y los modelos computables se usan para evaluar acuerdos comerciales, impuestos y políticas climáticas.</w:t>
      </w:r>
    </w:p>
    <w:p>
      <w:pPr>
        <w:keepNext/>
        <w:numPr>
          <w:ilvl w:val="0"/>
          <w:numId w:val="1084"/>
        </w:numPr>
      </w:pPr>
      <w:r>
        <w:rPr>
          <w:b/>
          <w:bCs/>
          <w:i/>
          <w:iCs/>
        </w:rPr>
        <w:t xml:space="preserve">Extensiones y relación con otras partes del temario</w:t>
      </w:r>
      <w:r>
        <w:t xml:space="preserve">:</w:t>
      </w:r>
    </w:p>
    <w:p>
      <w:pPr>
        <w:numPr>
          <w:ilvl w:val="1"/>
          <w:numId w:val="1086"/>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r>
        <w:rPr>
          <w:rStyle w:val="Referenciaatema"/>
        </w:rPr>
        <w:t xml:space="preserve">[ver tema 3.A.16]</w:t>
      </w:r>
      <w:r>
        <w:t xml:space="preserve">.</w:t>
      </w:r>
    </w:p>
    <w:p>
      <w:pPr>
        <w:numPr>
          <w:ilvl w:val="1"/>
          <w:numId w:val="1086"/>
        </w:numPr>
      </w:pPr>
      <w:r>
        <w:t xml:space="preserve">Los fallos de mercado (poder de mercado, externalidades, bienes públicos)</w:t>
      </w:r>
      <w:r>
        <w:t xml:space="preserve"> </w:t>
      </w:r>
      <w:r>
        <w:rPr>
          <w:rStyle w:val="Referenciaatema"/>
        </w:rPr>
        <w:t xml:space="preserve">[ver tema 3.A.23]</w:t>
      </w:r>
      <w:r>
        <w:t xml:space="preserve"> </w:t>
      </w:r>
      <w:r>
        <w:t xml:space="preserve">y la información asimétrica</w:t>
      </w:r>
      <w:r>
        <w:t xml:space="preserve"> </w:t>
      </w:r>
      <w:r>
        <w:rPr>
          <w:rStyle w:val="Referenciaatema"/>
        </w:rPr>
        <w:t xml:space="preserve">[ver tema 3.A.13]</w:t>
      </w:r>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r>
        <w:rPr>
          <w:rStyle w:val="Referenciaatema"/>
        </w:rPr>
        <w:t xml:space="preserve">[ver tema 3.A.24]</w:t>
      </w:r>
      <w:r>
        <w:t xml:space="preserve">.</w:t>
      </w:r>
    </w:p>
    <w:p>
      <w:pPr>
        <w:numPr>
          <w:ilvl w:val="1"/>
          <w:numId w:val="1086"/>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r>
        <w:rPr>
          <w:rStyle w:val="Referenciaatema"/>
        </w:rPr>
        <w:t xml:space="preserve">[ver tema 3.A.4]</w:t>
      </w:r>
      <w:r>
        <w:t xml:space="preserve">;</w:t>
      </w:r>
      <w:r>
        <w:t xml:space="preserve"> </w:t>
      </w:r>
      <w:r>
        <w:rPr>
          <w:smallCaps/>
        </w:rPr>
        <w:t xml:space="preserve">Kirman</w:t>
      </w:r>
      <w:r>
        <w:t xml:space="preserve"> </w:t>
      </w:r>
      <w:r>
        <w:t xml:space="preserve">(</w:t>
      </w:r>
      <w:hyperlink w:anchor="ref-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084"/>
        </w:numPr>
      </w:pPr>
      <w:r>
        <w:rPr>
          <w:b/>
          <w:bCs/>
          <w:i/>
          <w:iCs/>
        </w:rPr>
        <w:t xml:space="preserve">Opinión</w:t>
      </w:r>
      <w:r>
        <w:t xml:space="preserve">: el equilibrio general competitivo no describe ninguna economía real;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084"/>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47"/>
    <w:bookmarkStart w:id="153" w:name="anexo:modelo-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08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08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r>
        <w:rPr>
          <w:rStyle w:val="Referenciaatema"/>
        </w:rPr>
        <w:t xml:space="preserve">[ver tema 3.A.11]</w:t>
      </w:r>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r>
        <w:rPr>
          <w:rStyle w:val="Referenciaatema"/>
        </w:rPr>
        <w:t xml:space="preserve">[ver tema 3.A.12]</w:t>
      </w:r>
      <w:r>
        <w:t xml:space="preserve">.</w:t>
      </w:r>
    </w:p>
    <w:p>
      <w:pPr>
        <w:numPr>
          <w:ilvl w:val="0"/>
          <w:numId w:val="1087"/>
        </w:numPr>
      </w:pPr>
      <w:r>
        <w:rPr>
          <w:i/>
          <w:iCs/>
        </w:rPr>
        <w:t xml:space="preserve">Exceso de demanda y equilibrio</w:t>
      </w:r>
      <w:r>
        <w:t xml:space="preserve">: el exceso de demanda agregado es (8),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(10).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152" w:name="X0178a4486eb54e97361975b6f9f4727743fe8ab"/>
    <w:p>
      <w:pPr>
        <w:pStyle w:val="Heading2"/>
      </w:pPr>
      <w:r>
        <w:t xml:space="preserve">A.1. La maximización del beneficio en 2 etapas</w:t>
      </w:r>
    </w:p>
    <w:p>
      <w:pPr>
        <w:keepNext/>
        <w:numPr>
          <w:ilvl w:val="0"/>
          <w:numId w:val="1088"/>
        </w:numPr>
      </w:pPr>
      <w:r>
        <w:t xml:space="preserve">El problema de la empresa (2) puede resolverse en 2 etapas</w:t>
      </w:r>
      <w:r>
        <w:t xml:space="preserve"> </w:t>
      </w:r>
      <w:r>
        <w:rPr>
          <w:rStyle w:val="Referenciaatema"/>
        </w:rPr>
        <w:t xml:space="preserve">[ver tema 3.A.12]</w:t>
      </w:r>
      <w:r>
        <w:t xml:space="preserve">:</w:t>
      </w:r>
    </w:p>
    <w:p>
      <w:pPr>
        <w:numPr>
          <w:ilvl w:val="1"/>
          <w:numId w:val="108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08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08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9).</w:t>
      </w:r>
    </w:p>
    <w:bookmarkStart w:id="151" w:name="fig:maximizacion-dos-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149" name="Picture"/>
            <a:graphic>
              <a:graphicData uri="http://schemas.openxmlformats.org/drawingml/2006/picture">
                <pic:pic>
                  <pic:nvPicPr>
                    <pic:cNvPr descr="C:\Users\vgutierrez\Documents\src\victorgutierrezmarcos.github.io-revision\oposicion\temario\fuentes\3A21\graficos/maximizacion-dos-etapas.png" id="150" name="Picture"/>
                    <pic:cNvPicPr>
                      <a:picLocks noChangeArrowheads="1" noChangeAspect="1"/>
                    </pic:cNvPicPr>
                  </pic:nvPicPr>
                  <pic:blipFill>
                    <a:blip r:embed="rId148"/>
                    <a:stretch>
                      <a:fillRect/>
                    </a:stretch>
                  </pic:blipFill>
                  <pic:spPr bwMode="auto">
                    <a:xfrm>
                      <a:off x="0" y="0"/>
                      <a:ext cx="3282950" cy="1960761"/>
                    </a:xfrm>
                    <a:prstGeom prst="rect">
                      <a:avLst/>
                    </a:prstGeom>
                    <a:noFill/>
                    <a:ln w="9525">
                      <a:noFill/>
                      <a:headEnd/>
                      <a:tailEnd/>
                    </a:ln>
                  </pic:spPr>
                </pic:pic>
              </a:graphicData>
            </a:graphic>
          </wp:inline>
        </w:drawing>
      </w:r>
    </w:p>
    <w:bookmarkEnd w:id="15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bookmarkEnd w:id="152"/>
    <w:bookmarkEnd w:id="153"/>
    <w:bookmarkStart w:id="157" w:name="anexo:existencia"/>
    <w:p>
      <w:pPr>
        <w:pStyle w:val="Heading1"/>
      </w:pPr>
      <w:r>
        <w:t xml:space="preserve">B. Anexo: existencia y unicidad del equilibrio</w:t>
      </w:r>
    </w:p>
    <w:bookmarkStart w:id="155" w:name="b.1.-demostración-de-la-existencia"/>
    <w:p>
      <w:pPr>
        <w:pStyle w:val="Heading2"/>
      </w:pPr>
      <w:r>
        <w:t xml:space="preserve">B.1. Demostración de la existencia</w:t>
      </w:r>
    </w:p>
    <w:p>
      <w:pPr>
        <w:numPr>
          <w:ilvl w:val="0"/>
          <w:numId w:val="1090"/>
        </w:numPr>
      </w:pPr>
      <w:r>
        <w:rPr>
          <w:i/>
          <w:iCs/>
        </w:rPr>
        <w:t xml:space="preserve">Supuestos</w:t>
      </w:r>
      <w:r>
        <w:t xml:space="preserve">:</w:t>
      </w:r>
      <w:r>
        <w:t xml:space="preserve"> </w:t>
      </w:r>
      <m:oMath>
        <m:acc>
          <m:accPr>
            <m:chr m:val="⃗"/>
          </m:accPr>
          <m:e>
            <m:r>
              <m:t>z</m:t>
            </m:r>
          </m:e>
        </m:acc>
        <m:r>
          <m:rPr>
            <m:sty m:val="p"/>
          </m:rPr>
          <m:t>:</m:t>
        </m:r>
        <m:r>
          <m:t>Δ</m:t>
        </m:r>
        <m:r>
          <m:rPr>
            <m:sty m:val="p"/>
          </m:rPr>
          <m:t>→</m:t>
        </m:r>
        <m:sSup>
          <m:e>
            <m:r>
              <m:rPr>
                <m:sty m:val="p"/>
                <m:scr m:val="double-struck"/>
              </m:rPr>
              <m:t>R</m:t>
            </m:r>
          </m:e>
          <m:sup>
            <m:r>
              <m:t>n</m:t>
            </m:r>
          </m:sup>
        </m:sSup>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r>
          <m:rPr>
            <m:sty m:val="p"/>
          </m:rPr>
          <m:t>∈</m:t>
        </m:r>
        <m:r>
          <m:t>Δ</m:t>
        </m:r>
      </m:oMath>
      <w:r>
        <w:t xml:space="preserve">.</w:t>
      </w:r>
      <w:r>
        <w:rPr>
          <w:rStyle w:val="FootnoteReference"/>
        </w:rPr>
        <w:footnoteReference w:id="154"/>
      </w:r>
    </w:p>
    <w:p>
      <w:pPr>
        <w:numPr>
          <w:ilvl w:val="0"/>
          <w:numId w:val="1090"/>
        </w:numPr>
      </w:pPr>
      <w:r>
        <w:rPr>
          <w:i/>
          <w:iCs/>
        </w:rPr>
        <w:t xml:space="preserve">El conjunto</w:t>
      </w:r>
      <w:r>
        <w:t xml:space="preserve">: el símplice</w:t>
      </w:r>
      <w:r>
        <w:t xml:space="preserve"> </w:t>
      </w:r>
      <m:oMath>
        <m:r>
          <m:t>Δ</m:t>
        </m:r>
      </m:oMath>
      <w:r>
        <w:t xml:space="preserve"> (12) es no vacío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 acotado (</w:t>
      </w:r>
      <m:oMath>
        <m:r>
          <m:t>0</m:t>
        </m:r>
        <m:r>
          <m:rPr>
            <m:sty m:val="p"/>
          </m:rPr>
          <m:t>≤</m:t>
        </m:r>
        <m:sSub>
          <m:e>
            <m:r>
              <m:t>p</m:t>
            </m:r>
          </m:e>
          <m:sub>
            <m:r>
              <m:t>k</m:t>
            </m:r>
          </m:sub>
        </m:sSub>
        <m:r>
          <m:rPr>
            <m:sty m:val="p"/>
          </m:rPr>
          <m:t>≤</m:t>
        </m:r>
        <m:r>
          <m:t>1</m:t>
        </m:r>
      </m:oMath>
      <w:r>
        <w:t xml:space="preserve">), cerrado (incluye su frontera) y convexo (toda combinación convexa de 2 vectores de precios que suman 1 suma 1).</w:t>
      </w:r>
    </w:p>
    <w:p>
      <w:pPr>
        <w:numPr>
          <w:ilvl w:val="0"/>
          <w:numId w:val="1090"/>
        </w:numPr>
      </w:pPr>
      <w:r>
        <w:rPr>
          <w:i/>
          <w:iCs/>
        </w:rPr>
        <w:t xml:space="preserve">La aplicación</w:t>
      </w:r>
      <w:r>
        <w:t xml:space="preserve">: con velocidades</w:t>
      </w:r>
      <w:r>
        <w:t xml:space="preserve"> </w:t>
      </w:r>
      <m:oMath>
        <m:sSub>
          <m:e>
            <m:r>
              <m:t>κ</m:t>
            </m:r>
          </m:e>
          <m:sub>
            <m:r>
              <m:t>k</m:t>
            </m:r>
          </m:sub>
        </m:sSub>
        <m:r>
          <m:rPr>
            <m:sty m:val="p"/>
          </m:rPr>
          <m:t>&gt;</m:t>
        </m:r>
        <m:r>
          <m:t>0</m:t>
        </m:r>
      </m:oMath>
      <w:r>
        <w:t xml:space="preserve">, la regla del subastador (13),</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oMath>
      </m:oMathPara>
    </w:p>
    <w:p>
      <w:pPr>
        <w:numPr>
          <w:ilvl w:val="1"/>
          <w:numId w:val="1091"/>
        </w:numPr>
      </w:pPr>
      <w:r>
        <w:t xml:space="preserve">El denominador es positivo: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r>
        <w:t xml:space="preserve"> </w:t>
      </w:r>
      <m:oMath>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n"/>
          </m:naryPr>
          <m:sub>
            <m:r>
              <m:t>l</m:t>
            </m:r>
          </m:sub>
          <m:sup>
            <m:r>
              <m:t>​</m:t>
            </m:r>
          </m:sup>
          <m:e>
            <m:sSubSup>
              <m:e>
                <m:r>
                  <m:t>p</m:t>
                </m:r>
              </m:e>
              <m:sub>
                <m:r>
                  <m:t>l</m:t>
                </m:r>
              </m:sub>
              <m:sup>
                <m:r>
                  <m:t>2</m:t>
                </m:r>
              </m:sup>
            </m:sSubSup>
          </m:e>
        </m:nary>
        <m:r>
          <m:rPr>
            <m:sty m:val="p"/>
          </m:rPr>
          <m:t>/</m:t>
        </m:r>
        <m:sSub>
          <m:e>
            <m:r>
              <m:t>κ</m:t>
            </m:r>
          </m:e>
          <m:sub>
            <m:r>
              <m:t>l</m:t>
            </m:r>
          </m:sub>
        </m:sSub>
        <m:r>
          <m:rPr>
            <m:sty m:val="p"/>
          </m:rPr>
          <m:t>≤</m:t>
        </m:r>
        <m:r>
          <m:t>0</m:t>
        </m:r>
      </m:oMath>
      <w:r>
        <w:t xml:space="preserve">, imposible porque</w:t>
      </w:r>
      <w:r>
        <w:t xml:space="preserve"> </w:t>
      </w:r>
      <m:oMath>
        <m:nary>
          <m:naryPr>
            <m:chr m:val="∑"/>
            <m:limLoc m:val="undOvr"/>
            <m:subHide m:val="off"/>
            <m:supHide m:val="on"/>
          </m:naryPr>
          <m:sub>
            <m:r>
              <m:t>l</m:t>
            </m:r>
          </m:sub>
          <m:sup>
            <m:r>
              <m:t>​</m:t>
            </m:r>
          </m:sup>
          <m:e>
            <m:sSub>
              <m:e>
                <m:r>
                  <m:t>p</m:t>
                </m:r>
              </m:e>
              <m:sub>
                <m:r>
                  <m:t>l</m:t>
                </m:r>
              </m:sub>
            </m:sSub>
          </m:e>
        </m:nary>
        <m:r>
          <m:rPr>
            <m:sty m:val="p"/>
          </m:rPr>
          <m:t>=</m:t>
        </m:r>
        <m:r>
          <m:t>1</m:t>
        </m:r>
      </m:oMath>
      <w:r>
        <w:t xml:space="preserve">.</w:t>
      </w:r>
    </w:p>
    <w:p>
      <w:pPr>
        <w:numPr>
          <w:ilvl w:val="1"/>
          <w:numId w:val="1091"/>
        </w:numPr>
      </w:pPr>
      <w:r>
        <w:t xml:space="preserve">Por tanto</w:t>
      </w:r>
      <w:r>
        <w:t xml:space="preserve"> </w:t>
      </w:r>
      <m:oMath>
        <m:acc>
          <m:accPr>
            <m:chr m:val="⃗"/>
          </m:accPr>
          <m:e>
            <m:r>
              <m:t>f</m:t>
            </m:r>
          </m:e>
        </m:acc>
      </m:oMath>
      <w:r>
        <w:t xml:space="preserve"> </w:t>
      </w:r>
      <w:r>
        <w:t xml:space="preserve">es continua (cociente de funciones continuas con denominador positivo), sus componentes son no negativas y suman 1:</w:t>
      </w:r>
      <w:r>
        <w:t xml:space="preserve"> </w:t>
      </w:r>
      <m:oMath>
        <m:acc>
          <m:accPr>
            <m:chr m:val="⃗"/>
          </m:accPr>
          <m:e>
            <m:r>
              <m:t>f</m:t>
            </m:r>
          </m:e>
        </m:acc>
        <m:r>
          <m:rPr>
            <m:sty m:val="p"/>
          </m:rPr>
          <m:t>:</m:t>
        </m:r>
        <m:r>
          <m:t>Δ</m:t>
        </m:r>
        <m:r>
          <m:rPr>
            <m:sty m:val="p"/>
          </m:rPr>
          <m:t>→</m:t>
        </m:r>
        <m:r>
          <m:t>Δ</m:t>
        </m:r>
      </m:oMath>
      <w:r>
        <w:t xml:space="preserve">. Por</w:t>
      </w:r>
      <w:r>
        <w:t xml:space="preserve"> </w:t>
      </w:r>
      <w:r>
        <w:rPr>
          <w:smallCaps/>
        </w:rPr>
        <w:t xml:space="preserve">Brouwer</w:t>
      </w:r>
      <w:r>
        <w:t xml:space="preserve">, existe</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keepNext/>
        <w:numPr>
          <w:ilvl w:val="0"/>
          <w:numId w:val="1090"/>
        </w:numPr>
      </w:pPr>
      <w:r>
        <w:rPr>
          <w:i/>
          <w:iCs/>
        </w:rPr>
        <w:t xml:space="preserve">El punto fijo es un equilibrio</w:t>
      </w:r>
      <w:r>
        <w:t xml:space="preserve">. Sea</w:t>
      </w:r>
      <w:r>
        <w:t xml:space="preserve"> </w:t>
      </w:r>
      <m:oMath>
        <m:r>
          <m:t>μ</m:t>
        </m:r>
        <m:r>
          <m:rPr>
            <m:sty m:val="p"/>
          </m:rPr>
          <m:t>≡</m:t>
        </m:r>
        <m:nary>
          <m:naryPr>
            <m:chr m:val="∑"/>
            <m:limLoc m:val="undOvr"/>
            <m:subHide m:val="off"/>
            <m:supHide m:val="on"/>
          </m:naryPr>
          <m:sub>
            <m:r>
              <m:t>l</m:t>
            </m:r>
          </m:sub>
          <m:sup>
            <m:r>
              <m:t>​</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oMath>
      <w:r>
        <w:t xml:space="preserve">. El punto fijo dice que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1"/>
          <w:numId w:val="1092"/>
        </w:numPr>
      </w:pPr>
      <w:r>
        <w:t xml:space="preserve">Si</w:t>
      </w:r>
      <w:r>
        <w:t xml:space="preserve"> </w:t>
      </w:r>
      <m:oMath>
        <m:sSubSup>
          <m:e>
            <m:r>
              <m:t>p</m:t>
            </m:r>
          </m:e>
          <m:sub>
            <m:r>
              <m:t>k</m:t>
            </m:r>
          </m:sub>
          <m:sup>
            <m:r>
              <m:rPr>
                <m:sty m:val="p"/>
              </m:rPr>
              <m:t>*</m:t>
            </m:r>
          </m:sup>
        </m:sSubSup>
        <m:r>
          <m:rPr>
            <m:sty m:val="p"/>
          </m:rPr>
          <m:t>=</m:t>
        </m:r>
        <m:r>
          <m:t>0</m:t>
        </m:r>
      </m:oMath>
      <w:r>
        <w:t xml:space="preserve">:</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(bien libre).</w:t>
      </w:r>
    </w:p>
    <w:p>
      <w:pPr>
        <w:numPr>
          <w:ilvl w:val="1"/>
          <w:numId w:val="1092"/>
        </w:numPr>
      </w:pPr>
      <w:r>
        <w:t xml:space="preserve">Si</w:t>
      </w:r>
      <w:r>
        <w:t xml:space="preserve"> </w:t>
      </w:r>
      <m:oMath>
        <m:sSubSup>
          <m:e>
            <m:r>
              <m:t>p</m:t>
            </m:r>
          </m:e>
          <m:sub>
            <m:r>
              <m:t>k</m:t>
            </m:r>
          </m:sub>
          <m:sup>
            <m:r>
              <m:rPr>
                <m:sty m:val="p"/>
              </m:rPr>
              <m:t>*</m:t>
            </m:r>
          </m:sup>
        </m:sSubSup>
        <m:r>
          <m:rPr>
            <m:sty m:val="p"/>
          </m:rPr>
          <m:t>&gt;</m:t>
        </m:r>
        <m:r>
          <m:t>0</m:t>
        </m:r>
      </m:oMath>
      <w:r>
        <w:t xml:space="preserve">:</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luego</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sSubSup>
          <m:e>
            <m:r>
              <m:t>p</m:t>
            </m:r>
          </m:e>
          <m:sub>
            <m:r>
              <m:t>k</m:t>
            </m:r>
          </m:sub>
          <m:sup>
            <m:r>
              <m:rPr>
                <m:sty m:val="p"/>
              </m:rPr>
              <m:t>*</m:t>
            </m:r>
          </m:sup>
        </m:sSubSup>
        <m:r>
          <m:rPr>
            <m:sty m:val="p"/>
          </m:rPr>
          <m:t>/</m:t>
        </m:r>
        <m:sSub>
          <m:e>
            <m:r>
              <m:t>κ</m:t>
            </m:r>
          </m:e>
          <m:sub>
            <m:r>
              <m:t>k</m:t>
            </m:r>
          </m:sub>
        </m:sSub>
      </m:oMath>
      <w:r>
        <w:t xml:space="preserve">.</w:t>
      </w:r>
    </w:p>
    <w:p>
      <w:pPr>
        <w:numPr>
          <w:ilvl w:val="1"/>
          <w:numId w:val="1092"/>
        </w:numPr>
      </w:pPr>
      <w:r>
        <w:t xml:space="preserve">Multiplicando la última igualdad por</w:t>
      </w:r>
      <w:r>
        <w:t xml:space="preserve"> </w:t>
      </w:r>
      <m:oMath>
        <m:sSubSup>
          <m:e>
            <m:r>
              <m:t>p</m:t>
            </m:r>
          </m:e>
          <m:sub>
            <m:r>
              <m:t>k</m:t>
            </m:r>
          </m:sub>
          <m:sup>
            <m:r>
              <m:rPr>
                <m:sty m:val="p"/>
              </m:rPr>
              <m:t>*</m:t>
            </m:r>
          </m:sup>
        </m:sSubSup>
      </m:oMath>
      <w:r>
        <w:t xml:space="preserve"> </w:t>
      </w:r>
      <w:r>
        <w:t xml:space="preserve">y sumando (los bienes con</w:t>
      </w:r>
      <w:r>
        <w:t xml:space="preserve"> </w:t>
      </w:r>
      <m:oMath>
        <m:sSubSup>
          <m:e>
            <m:r>
              <m:t>p</m:t>
            </m:r>
          </m:e>
          <m:sub>
            <m:r>
              <m:t>k</m:t>
            </m:r>
          </m:sub>
          <m:sup>
            <m:r>
              <m:rPr>
                <m:sty m:val="p"/>
              </m:rPr>
              <m:t>*</m:t>
            </m:r>
          </m:sup>
        </m:sSubSup>
        <m:r>
          <m:rPr>
            <m:sty m:val="p"/>
          </m:rPr>
          <m:t>=</m:t>
        </m:r>
        <m:r>
          <m:t>0</m:t>
        </m:r>
      </m:oMath>
      <w:r>
        <w:t xml:space="preserve"> </w:t>
      </w:r>
      <w:r>
        <w:t xml:space="preserve">no aportan nada a la ley de</w:t>
      </w:r>
      <w:r>
        <w:t xml:space="preserve"> </w:t>
      </w:r>
      <w:r>
        <w:rPr>
          <w:smallCaps/>
        </w:rPr>
        <w:t xml:space="preserve">Walras</w:t>
      </w:r>
      <w:r>
        <w:t xml:space="preserv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nary>
          <m:naryPr>
            <m:chr m:val="∑"/>
            <m:limLoc m:val="undOvr"/>
            <m:subHide m:val="off"/>
            <m:supHide m:val="on"/>
          </m:naryPr>
          <m:sub>
            <m:r>
              <m:t>k</m:t>
            </m:r>
          </m:sub>
          <m:sup>
            <m:r>
              <m:t>​</m:t>
            </m:r>
          </m:sup>
          <m:e>
            <m:sSup>
              <m:e>
                <m:d>
                  <m:dPr>
                    <m:begChr m:val="("/>
                    <m:sepChr m:val=""/>
                    <m:endChr m:val=")"/>
                    <m:grow/>
                  </m:dPr>
                  <m:e>
                    <m:sSubSup>
                      <m:e>
                        <m:r>
                          <m:t>p</m:t>
                        </m:r>
                      </m:e>
                      <m:sub>
                        <m:r>
                          <m:t>k</m:t>
                        </m:r>
                      </m:sub>
                      <m:sup>
                        <m:r>
                          <m:rPr>
                            <m:sty m:val="p"/>
                          </m:rPr>
                          <m:t>*</m:t>
                        </m:r>
                      </m:sup>
                    </m:sSubSup>
                  </m:e>
                </m:d>
              </m:e>
              <m:sup>
                <m:r>
                  <m:t>2</m:t>
                </m:r>
              </m:sup>
            </m:sSup>
          </m:e>
        </m:nary>
        <m:r>
          <m:rPr>
            <m:sty m:val="p"/>
          </m:rPr>
          <m:t>/</m:t>
        </m:r>
        <m:sSub>
          <m:e>
            <m:r>
              <m:t>κ</m:t>
            </m:r>
          </m:e>
          <m:sub>
            <m:r>
              <m:t>k</m:t>
            </m:r>
          </m:sub>
        </m:sSub>
      </m:oMath>
      <w:r>
        <w:t xml:space="preserve">. El primer miembro es 0 por la ley de</w:t>
      </w:r>
      <w:r>
        <w:t xml:space="preserve"> </w:t>
      </w:r>
      <w:r>
        <w:rPr>
          <w:smallCaps/>
        </w:rPr>
        <w:t xml:space="preserve">Walras</w:t>
      </w:r>
      <w:r>
        <w:t xml:space="preserve"> </w:t>
      </w:r>
      <w:r>
        <w:t xml:space="preserve">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para todos los bienes con precio positivo (bienes económicos). Se cumple (10).</w:t>
      </w:r>
      <w:r>
        <w:t xml:space="preserve"> </w:t>
      </w:r>
      <m:oMath>
        <m:r>
          <m:rPr>
            <m:sty m:val="p"/>
          </m:rPr>
          <m:t>◼</m:t>
        </m:r>
      </m:oMath>
    </w:p>
    <w:p>
      <w:pPr>
        <w:numPr>
          <w:ilvl w:val="0"/>
          <w:numId w:val="1090"/>
        </w:numPr>
      </w:pPr>
      <w:r>
        <w:t xml:space="preserve">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La convergencia es la pregunta de la estabilidad (II.1.3).</w:t>
      </w:r>
    </w:p>
    <w:bookmarkEnd w:id="155"/>
    <w:bookmarkStart w:id="156" w:name="anexo:unicidad"/>
    <w:p>
      <w:pPr>
        <w:pStyle w:val="Heading2"/>
      </w:pPr>
      <w:r>
        <w:t xml:space="preserve">B.2. Unicidad del equilibrio</w:t>
      </w:r>
    </w:p>
    <w:p>
      <w:pPr>
        <w:numPr>
          <w:ilvl w:val="0"/>
          <w:numId w:val="1093"/>
        </w:numPr>
      </w:pPr>
      <w:r>
        <w:rPr>
          <w:i/>
          <w:iCs/>
        </w:rPr>
        <w:t xml:space="preserve">Sustitutivos brutos</w:t>
      </w:r>
      <w:r>
        <w:t xml:space="preserve">. Con sustitución bruta (15), todo precio de equilibrio es positivo. Si</w:t>
      </w:r>
      <w:r>
        <w:t xml:space="preserve"> </w:t>
      </w:r>
      <m:oMath>
        <m:sSup>
          <m:e>
            <m:acc>
              <m:accPr>
                <m:chr m:val="⃗"/>
              </m:accPr>
              <m:e>
                <m:r>
                  <m:t>p</m:t>
                </m:r>
              </m:e>
            </m:acc>
          </m:e>
          <m:sup>
            <m:r>
              <m:t>0</m:t>
            </m:r>
          </m:sup>
        </m:sSup>
      </m:oMath>
      <w:r>
        <w:t xml:space="preserve"> </w:t>
      </w:r>
      <w:r>
        <w:t xml:space="preserve">y</w:t>
      </w:r>
      <w:r>
        <w:t xml:space="preserve"> </w:t>
      </w:r>
      <m:oMath>
        <m:sSup>
          <m:e>
            <m:acc>
              <m:accPr>
                <m:chr m:val="⃗"/>
              </m:accPr>
              <m:e>
                <m:r>
                  <m:t>p</m:t>
                </m:r>
              </m:e>
            </m:acc>
          </m:e>
          <m:sup>
            <m:r>
              <m:t>1</m:t>
            </m:r>
          </m:sup>
        </m:sSup>
      </m:oMath>
      <w:r>
        <w:t xml:space="preserve"> </w:t>
      </w:r>
      <w:r>
        <w:t xml:space="preserve">fueran 2 equilibrios no proporcionales, normalicemos</w:t>
      </w:r>
      <w:r>
        <w:t xml:space="preserve"> </w:t>
      </w:r>
      <m:oMath>
        <m:sSup>
          <m:e>
            <m:acc>
              <m:accPr>
                <m:chr m:val="⃗"/>
              </m:accPr>
              <m:e>
                <m:r>
                  <m:t>p</m:t>
                </m:r>
              </m:e>
            </m:acc>
          </m:e>
          <m:sup>
            <m:r>
              <m:t>1</m:t>
            </m:r>
          </m:sup>
        </m:sSup>
      </m:oMath>
      <w:r>
        <w:t xml:space="preserve"> </w:t>
      </w:r>
      <w:r>
        <w:t xml:space="preserve">para que</w:t>
      </w:r>
      <w:r>
        <w:t xml:space="preserve"> </w:t>
      </w:r>
      <m:oMath>
        <m:sSub>
          <m:e>
            <m:r>
              <m:rPr>
                <m:sty m:val="p"/>
              </m:rPr>
              <m:t>min</m:t>
            </m:r>
          </m:e>
          <m:sub>
            <m:r>
              <m:t>l</m:t>
            </m:r>
          </m:sub>
        </m:sSub>
        <m:sSubSup>
          <m:e>
            <m:r>
              <m:t>p</m:t>
            </m:r>
          </m:e>
          <m:sub>
            <m:r>
              <m:t>l</m:t>
            </m:r>
          </m:sub>
          <m:sup>
            <m:r>
              <m:t>1</m:t>
            </m:r>
          </m:sup>
        </m:sSubSup>
        <m:r>
          <m:rPr>
            <m:sty m:val="p"/>
          </m:rPr>
          <m:t>/</m:t>
        </m:r>
        <m:sSubSup>
          <m:e>
            <m:r>
              <m:t>p</m:t>
            </m:r>
          </m:e>
          <m:sub>
            <m:r>
              <m:t>l</m:t>
            </m:r>
          </m:sub>
          <m:sup>
            <m:r>
              <m:t>0</m:t>
            </m:r>
          </m:sup>
        </m:sSubSup>
        <m:r>
          <m:rPr>
            <m:sty m:val="p"/>
          </m:rPr>
          <m:t>=</m:t>
        </m:r>
        <m:r>
          <m:t>1</m:t>
        </m:r>
      </m:oMath>
      <w:r>
        <w:t xml:space="preserve"> </w:t>
      </w:r>
      <w:r>
        <w:t xml:space="preserve">y sea</w:t>
      </w:r>
      <w:r>
        <w:t xml:space="preserve"> </w:t>
      </w:r>
      <m:oMath>
        <m:r>
          <m:t>k</m:t>
        </m:r>
      </m:oMath>
      <w:r>
        <w:t xml:space="preserve"> </w:t>
      </w:r>
      <w:r>
        <w:t xml:space="preserve">el bien en que se alcanza: entonces</w:t>
      </w:r>
      <w:r>
        <w:t xml:space="preserve"> </w:t>
      </w:r>
      <m:oMath>
        <m:sSubSup>
          <m:e>
            <m:r>
              <m:t>p</m:t>
            </m:r>
          </m:e>
          <m:sub>
            <m:r>
              <m:t>k</m:t>
            </m:r>
          </m:sub>
          <m:sup>
            <m:r>
              <m:t>1</m:t>
            </m:r>
          </m:sup>
        </m:sSubSup>
        <m:r>
          <m:rPr>
            <m:sty m:val="p"/>
          </m:rPr>
          <m:t>=</m:t>
        </m:r>
        <m:sSubSup>
          <m:e>
            <m:r>
              <m:t>p</m:t>
            </m:r>
          </m:e>
          <m:sub>
            <m:r>
              <m:t>k</m:t>
            </m:r>
          </m:sub>
          <m:sup>
            <m:r>
              <m:t>0</m:t>
            </m:r>
          </m:sup>
        </m:sSubSup>
      </m:oMath>
      <w:r>
        <w:t xml:space="preserve"> </w:t>
      </w:r>
      <w:r>
        <w:t xml:space="preserve">y</w:t>
      </w:r>
      <w:r>
        <w:t xml:space="preserve"> </w:t>
      </w:r>
      <m:oMath>
        <m:sSubSup>
          <m:e>
            <m:r>
              <m:t>p</m:t>
            </m:r>
          </m:e>
          <m:sub>
            <m:r>
              <m:t>l</m:t>
            </m:r>
          </m:sub>
          <m:sup>
            <m:r>
              <m:t>1</m:t>
            </m:r>
          </m:sup>
        </m:sSubSup>
        <m:r>
          <m:rPr>
            <m:sty m:val="p"/>
          </m:rPr>
          <m:t>≥</m:t>
        </m:r>
        <m:sSubSup>
          <m:e>
            <m:r>
              <m:t>p</m:t>
            </m:r>
          </m:e>
          <m:sub>
            <m:r>
              <m:t>l</m:t>
            </m:r>
          </m:sub>
          <m:sup>
            <m:r>
              <m:t>0</m:t>
            </m:r>
          </m:sup>
        </m:sSubSup>
      </m:oMath>
      <w:r>
        <w:t xml:space="preserve"> </w:t>
      </w:r>
      <w:r>
        <w:t xml:space="preserve">para todo</w:t>
      </w:r>
      <w:r>
        <w:t xml:space="preserve"> </w:t>
      </w:r>
      <m:oMath>
        <m:r>
          <m:t>l</m:t>
        </m:r>
      </m:oMath>
      <w:r>
        <w:t xml:space="preserve">, con alguna desigualdad estricta. Al pasar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solo suben (o se quedan igual) los precios de los demás bienes; por la sustitución bruta,</w:t>
      </w:r>
      <w:r>
        <w:t xml:space="preserve"> </w:t>
      </w:r>
      <m:oMath>
        <m:sSub>
          <m:e>
            <m:r>
              <m:t>z</m:t>
            </m:r>
          </m:e>
          <m:sub>
            <m:r>
              <m:t>k</m:t>
            </m:r>
          </m:sub>
        </m:sSub>
        <m:d>
          <m:dPr>
            <m:begChr m:val="("/>
            <m:sepChr m:val=""/>
            <m:endChr m:val=")"/>
            <m:grow/>
          </m:dPr>
          <m:e>
            <m:sSup>
              <m:e>
                <m:acc>
                  <m:accPr>
                    <m:chr m:val="⃗"/>
                  </m:accPr>
                  <m:e>
                    <m:r>
                      <m:t>p</m:t>
                    </m:r>
                  </m:e>
                </m:acc>
              </m:e>
              <m:sup>
                <m:r>
                  <m:t>1</m:t>
                </m:r>
              </m:sup>
            </m:sSup>
          </m:e>
        </m:d>
        <m:r>
          <m:rPr>
            <m:sty m:val="p"/>
          </m:rPr>
          <m:t>&gt;</m:t>
        </m:r>
        <m:sSub>
          <m:e>
            <m:r>
              <m:t>z</m:t>
            </m:r>
          </m:e>
          <m:sub>
            <m:r>
              <m:t>k</m:t>
            </m:r>
          </m:sub>
        </m:sSub>
        <m:d>
          <m:dPr>
            <m:begChr m:val="("/>
            <m:sepChr m:val=""/>
            <m:endChr m:val=")"/>
            <m:grow/>
          </m:dPr>
          <m:e>
            <m:sSup>
              <m:e>
                <m:acc>
                  <m:accPr>
                    <m:chr m:val="⃗"/>
                  </m:accPr>
                  <m:e>
                    <m:r>
                      <m:t>p</m:t>
                    </m:r>
                  </m:e>
                </m:acc>
              </m:e>
              <m:sup>
                <m:r>
                  <m:t>0</m:t>
                </m:r>
              </m:sup>
            </m:sSup>
          </m:e>
        </m:d>
        <m:r>
          <m:rPr>
            <m:sty m:val="p"/>
          </m:rPr>
          <m:t>=</m:t>
        </m:r>
        <m:r>
          <m:t>0</m:t>
        </m:r>
      </m:oMath>
      <w:r>
        <w:t xml:space="preserve">, y</w:t>
      </w:r>
      <w:r>
        <w:t xml:space="preserve"> </w:t>
      </w:r>
      <m:oMath>
        <m:sSup>
          <m:e>
            <m:acc>
              <m:accPr>
                <m:chr m:val="⃗"/>
              </m:accPr>
              <m:e>
                <m:r>
                  <m:t>p</m:t>
                </m:r>
              </m:e>
            </m:acc>
          </m:e>
          <m:sup>
            <m:r>
              <m:t>1</m:t>
            </m:r>
          </m:sup>
        </m:sSup>
      </m:oMath>
      <w:r>
        <w:t xml:space="preserve"> </w:t>
      </w:r>
      <w:r>
        <w:t xml:space="preserve">no es de equilibrio.</w:t>
      </w:r>
      <w:r>
        <w:t xml:space="preserve"> </w:t>
      </w:r>
      <m:oMath>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p>
    <w:p>
      <w:pPr>
        <w:numPr>
          <w:ilvl w:val="0"/>
          <w:numId w:val="1093"/>
        </w:numPr>
      </w:pPr>
      <w:r>
        <w:rPr>
          <w:i/>
          <w:iCs/>
        </w:rPr>
        <w:t xml:space="preserve">Axioma débil de la preferencia revelada agregado</w:t>
      </w:r>
      <w:r>
        <w:t xml:space="preserve">:</w:t>
      </w:r>
      <w:r>
        <w:t xml:space="preserve"> </w:t>
      </w:r>
      <m:oMath>
        <m:acc>
          <m:accPr>
            <m:chr m:val="⃗"/>
          </m:accPr>
          <m:e>
            <m:r>
              <m:t>z</m:t>
            </m:r>
          </m:e>
        </m:acc>
      </m:oMath>
      <w:r>
        <w:t xml:space="preserve"> </w:t>
      </w:r>
      <w:r>
        <w:t xml:space="preserve">lo cumple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(14). Si</w:t>
      </w:r>
      <w:r>
        <w:t xml:space="preserve"> </w:t>
      </w:r>
      <m:oMath>
        <m:sSup>
          <m:e>
            <m:acc>
              <m:accPr>
                <m:chr m:val="⃗"/>
              </m:accPr>
              <m:e>
                <m:r>
                  <m:t>p</m:t>
                </m:r>
              </m:e>
            </m:acc>
          </m:e>
          <m:sup>
            <m:r>
              <m:t>0</m:t>
            </m:r>
          </m:sup>
        </m:sSup>
      </m:oMath>
      <w:r>
        <w:t xml:space="preserve"> </w:t>
      </w:r>
      <w:r>
        <w:t xml:space="preserve">es otro equilibrio, el axioma no dice nada: por eso solo asegura que el conjunto de equilibrios es convexo.</w:t>
      </w:r>
    </w:p>
    <w:p>
      <w:pPr>
        <w:numPr>
          <w:ilvl w:val="0"/>
          <w:numId w:val="1093"/>
        </w:numPr>
      </w:pPr>
      <w:r>
        <w:rPr>
          <w:i/>
          <w:iCs/>
        </w:rPr>
        <w:t xml:space="preserve">Cuándo se cumple</w:t>
      </w:r>
      <w:r>
        <w:t xml:space="preserve">: cada consumidor cumple el axioma débil, pero la demanda agregada no lo hereda, porque los cambios de precios redistribuyen la renta entre consumidores que gastan de forma distinta. Una condición suficiente es que las preferencias sean homotéticas (curvas de</w:t>
      </w:r>
      <w:r>
        <w:t xml:space="preserve"> </w:t>
      </w:r>
      <w:r>
        <w:rPr>
          <w:smallCaps/>
        </w:rPr>
        <w:t xml:space="preserve">Engel</w:t>
      </w:r>
      <w:r>
        <w:t xml:space="preserve"> </w:t>
      </w:r>
      <w:r>
        <w:t xml:space="preserve">rectas por el origen) y las dotaciones, proporcionales, de modo que la distribución relativa de la renta no cambie con los precios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w:t>
      </w:r>
      <w:r>
        <w:rPr>
          <w:rStyle w:val="Referenciaatema"/>
        </w:rPr>
        <w:t xml:space="preserve">[ver tema 3.A.8]</w:t>
      </w:r>
      <w:r>
        <w:t xml:space="preserve">.</w:t>
      </w:r>
    </w:p>
    <w:bookmarkEnd w:id="156"/>
    <w:bookmarkEnd w:id="157"/>
    <w:bookmarkStart w:id="160" w:name="anexo: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numPr>
          <w:ilvl w:val="0"/>
          <w:numId w:val="1094"/>
        </w:numPr>
      </w:pPr>
      <w:r>
        <w:t xml:space="preserve">Su desarrollo completo es materia de la economía del bienestar</w:t>
      </w:r>
      <w:r>
        <w:t xml:space="preserve"> </w:t>
      </w:r>
      <w:r>
        <w:rPr>
          <w:rStyle w:val="Referenciaatema"/>
        </w:rPr>
        <w:t xml:space="preserve">[ver tema 3.A.22]</w:t>
      </w:r>
      <w:r>
        <w:t xml:space="preserve">; aquí se recoge lo que el cuerpo resume.</w:t>
      </w:r>
    </w:p>
    <w:bookmarkStart w:id="158" w:name="c.1.-el-criterio-de-pareto"/>
    <w:p>
      <w:pPr>
        <w:pStyle w:val="Heading2"/>
      </w:pPr>
      <w:r>
        <w:t xml:space="preserve">C.1. El criterio de</w:t>
      </w:r>
      <w:r>
        <w:t xml:space="preserve"> </w:t>
      </w:r>
      <w:r>
        <w:rPr>
          <w:smallCaps/>
        </w:rPr>
        <w:t xml:space="preserve">Pareto</w:t>
      </w:r>
    </w:p>
    <w:p>
      <w:pPr>
        <w:numPr>
          <w:ilvl w:val="0"/>
          <w:numId w:val="109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095"/>
        </w:numPr>
      </w:pPr>
      <w:r>
        <w:rPr>
          <w:i/>
          <w:iCs/>
        </w:rPr>
        <w:t xml:space="preserve">Ventajas</w:t>
      </w:r>
      <w:r>
        <w:t xml:space="preserve">:</w:t>
      </w:r>
    </w:p>
    <w:p>
      <w:pPr>
        <w:numPr>
          <w:ilvl w:val="1"/>
          <w:numId w:val="1096"/>
        </w:numPr>
      </w:pPr>
      <w:r>
        <w:t xml:space="preserve">es</w:t>
      </w:r>
      <w:r>
        <w:t xml:space="preserve"> </w:t>
      </w:r>
      <w:r>
        <w:rPr>
          <w:i/>
          <w:iCs/>
        </w:rPr>
        <w:t xml:space="preserve">ordinal</w:t>
      </w:r>
      <w:r>
        <w:t xml:space="preserve">: evita las comparaciones interpersonales de utilidad;</w:t>
      </w:r>
    </w:p>
    <w:p>
      <w:pPr>
        <w:numPr>
          <w:ilvl w:val="1"/>
          <w:numId w:val="1096"/>
        </w:numPr>
      </w:pPr>
      <w:r>
        <w:t xml:space="preserve">se basa en</w:t>
      </w:r>
      <w:r>
        <w:t xml:space="preserve"> </w:t>
      </w:r>
      <w:r>
        <w:rPr>
          <w:i/>
          <w:iCs/>
        </w:rPr>
        <w:t xml:space="preserve">pocos juicios de valor</w:t>
      </w:r>
      <w:r>
        <w:t xml:space="preserve">, generalmente aceptados: no deben desperdiciarse recursos;</w:t>
      </w:r>
    </w:p>
    <w:p>
      <w:pPr>
        <w:numPr>
          <w:ilvl w:val="1"/>
          <w:numId w:val="109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095"/>
        </w:numPr>
      </w:pPr>
      <w:r>
        <w:rPr>
          <w:i/>
          <w:iCs/>
        </w:rPr>
        <w:t xml:space="preserve">Críticas</w:t>
      </w:r>
      <w:r>
        <w:t xml:space="preserve">:</w:t>
      </w:r>
    </w:p>
    <w:p>
      <w:pPr>
        <w:numPr>
          <w:ilvl w:val="1"/>
          <w:numId w:val="109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09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09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09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09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r>
        <w:rPr>
          <w:rStyle w:val="Referenciaatema"/>
        </w:rPr>
        <w:t xml:space="preserve">[ver tema 3.A.24]</w:t>
      </w:r>
      <w:r>
        <w:t xml:space="preserve">.</w:t>
      </w:r>
    </w:p>
    <w:p>
      <w:pPr>
        <w:numPr>
          <w:ilvl w:val="0"/>
          <w:numId w:val="109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II.2.1.</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158"/>
    <w:bookmarkStart w:id="159" w:name="c.2.-los-teoremas-fundamentales"/>
    <w:p>
      <w:pPr>
        <w:pStyle w:val="Heading2"/>
      </w:pPr>
      <w:r>
        <w:t xml:space="preserve">C.2. Los teoremas fundamentales</w:t>
      </w:r>
    </w:p>
    <w:p>
      <w:pPr>
        <w:keepNext/>
        <w:numPr>
          <w:ilvl w:val="0"/>
          <w:numId w:val="109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16</w:t>
        </w:r>
      </w:hyperlink>
      <w:r>
        <w:t xml:space="preserve">)</w:t>
      </w:r>
      <w:r>
        <w:t xml:space="preserve">, en su versión de equilibrio general):</w:t>
      </w:r>
    </w:p>
    <w:p>
      <w:pPr>
        <w:numPr>
          <w:ilvl w:val="1"/>
          <w:numId w:val="109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099"/>
        </w:numPr>
      </w:pPr>
      <w:r>
        <w:rPr>
          <w:i/>
          <w:iCs/>
        </w:rPr>
        <w:t xml:space="preserve">ausencia de poder de mercado</w:t>
      </w:r>
      <w:r>
        <w:t xml:space="preserve">: todos los agentes son precio-aceptantes;</w:t>
      </w:r>
    </w:p>
    <w:p>
      <w:pPr>
        <w:numPr>
          <w:ilvl w:val="1"/>
          <w:numId w:val="1099"/>
        </w:numPr>
      </w:pPr>
      <w:r>
        <w:rPr>
          <w:i/>
          <w:iCs/>
        </w:rPr>
        <w:t xml:space="preserve">mercados completos</w:t>
      </w:r>
      <w:r>
        <w:t xml:space="preserve">: todos los bienes tienen mercado y precio; no hay externalidades ni bienes públicos;</w:t>
      </w:r>
    </w:p>
    <w:p>
      <w:pPr>
        <w:numPr>
          <w:ilvl w:val="1"/>
          <w:numId w:val="109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(11):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r>
        <w:rPr>
          <w:rStyle w:val="Referenciaatema"/>
        </w:rPr>
        <w:t xml:space="preserve">[ver tema 3.A.24]</w:t>
      </w:r>
      <w:r>
        <w:t xml:space="preserve">.</w:t>
      </w:r>
    </w:p>
    <w:p>
      <w:pPr>
        <w:numPr>
          <w:ilvl w:val="0"/>
          <w:numId w:val="109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r>
        <w:rPr>
          <w:rStyle w:val="Referenciaatema"/>
        </w:rPr>
        <w:t xml:space="preserve">[ver tema 3.A.23]</w:t>
      </w:r>
      <w:r>
        <w:t xml:space="preserve">) y porque la eficiencia no es el único objetivo: también importan la equidad y la justicia social.</w:t>
      </w:r>
    </w:p>
    <w:p>
      <w:pPr>
        <w:numPr>
          <w:ilvl w:val="0"/>
          <w:numId w:val="109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6):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09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09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p>
    <w:bookmarkEnd w:id="159"/>
    <w:bookmarkEnd w:id="160"/>
    <w:bookmarkStart w:id="166" w:name="anexo:estabilidad-parcial"/>
    <w:p>
      <w:pPr>
        <w:pStyle w:val="Heading1"/>
      </w:pPr>
      <w:r>
        <w:t xml:space="preserve">D. Anexo: estabilidad en un mercado:</w:t>
      </w:r>
      <w:r>
        <w:br/>
      </w:r>
      <w:r>
        <w:t xml:space="preserve">ajuste walrasiano y marshalliano</w:t>
      </w:r>
    </w:p>
    <w:p>
      <w:pPr>
        <w:keepNext/>
        <w:numPr>
          <w:ilvl w:val="0"/>
          <w:numId w:val="1100"/>
        </w:numPr>
      </w:pPr>
      <w:r>
        <w:t xml:space="preserve">En un solo mercado</w:t>
      </w:r>
      <w:r>
        <w:t xml:space="preserve"> </w:t>
      </w:r>
      <w:r>
        <w:rPr>
          <w:rStyle w:val="Referenciaatema"/>
        </w:rPr>
        <w:t xml:space="preserve">[ver tema 3.A.16]</w:t>
      </w:r>
      <w:r>
        <w:t xml:space="preserve"> </w:t>
      </w:r>
      <w:r>
        <w:t xml:space="preserve">hay 2 mecanismos de ajuste,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0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01"/>
        </w:numPr>
      </w:pPr>
      <w:r>
        <w:rPr>
          <w:b/>
          <w:bCs/>
        </w:rPr>
        <w:t xml:space="preserve">ajuste marshalliano (por cantidades)</w:t>
      </w:r>
      <w:r>
        <w:t xml:space="preserve">: la cantidad aumenta si el precio de demanda supera al de oferta,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00"/>
        </w:numPr>
      </w:pPr>
      <w:r>
        <w:t xml:space="preserve">Con oferta creciente y demanda decreciente, los 2 ajustes son estables. Si las 2 curvas tienen pendiente negativa (oferta con rendimientos crecientes, o demanda de un bien</w:t>
      </w:r>
      <w:r>
        <w:t xml:space="preserve"> </w:t>
      </w:r>
      <w:r>
        <w:rPr>
          <w:smallCaps/>
        </w:rPr>
        <w:t xml:space="preserve">Giffen</w:t>
      </w:r>
      <w:r>
        <w:t xml:space="preserve"> </w:t>
      </w:r>
      <w:r>
        <w:t xml:space="preserve">y oferta creciente), dan resultados opuestos (tabla 2 y gráfico 10):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161" w:name="tab:estabilidad-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6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165" w:name="fig:estabilidad-parcial"/>
    <w:p>
      <w:pPr>
        <w:pStyle w:val="ImageCaption"/>
      </w:pPr>
      <w:r>
        <w:t xml:space="preserve">Gráfico 10.–</w:t>
      </w:r>
      <w:r>
        <w:t xml:space="preserve"> </w:t>
      </w:r>
      <w:r>
        <w:t xml:space="preserve">Ajuste walrasiano y marshalliano en un mercado con oferta y demanda decrecientes</w:t>
      </w:r>
    </w:p>
    <w:p>
      <w:pPr>
        <w:pStyle w:val="CaptionedFigure"/>
      </w:pPr>
      <w:r>
        <w:drawing>
          <wp:inline>
            <wp:extent cx="4923692" cy="2406798"/>
            <wp:effectExtent b="0" l="0" r="0" t="0"/>
            <wp:docPr descr="" title="" id="163" name="Picture"/>
            <a:graphic>
              <a:graphicData uri="http://schemas.openxmlformats.org/drawingml/2006/picture">
                <pic:pic>
                  <pic:nvPicPr>
                    <pic:cNvPr descr="C:\Users\vgutierrez\Documents\src\victorgutierrezmarcos.github.io-revision\oposicion\temario\fuentes\3A21\graficos/estabilidad-parcial.png" id="164" name="Picture"/>
                    <pic:cNvPicPr>
                      <a:picLocks noChangeArrowheads="1" noChangeAspect="1"/>
                    </pic:cNvPicPr>
                  </pic:nvPicPr>
                  <pic:blipFill>
                    <a:blip r:embed="rId162"/>
                    <a:stretch>
                      <a:fillRect/>
                    </a:stretch>
                  </pic:blipFill>
                  <pic:spPr bwMode="auto">
                    <a:xfrm>
                      <a:off x="0" y="0"/>
                      <a:ext cx="4923692" cy="2406798"/>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102"/>
        </w:numPr>
      </w:pPr>
      <w:r>
        <w:rPr>
          <w:i/>
          <w:iCs/>
        </w:rPr>
        <w:t xml:space="preserve">Valoración</w:t>
      </w:r>
      <w:r>
        <w:t xml:space="preserve">: si el equilibrio es estable, el propio mercado tiende a él sin intervención; si no, la mano invisible no basta. En equilibrio general la pregunta es la del tanteo multimercado (II.1.3).</w:t>
      </w:r>
    </w:p>
    <w:bookmarkEnd w:id="166"/>
    <w:bookmarkStart w:id="175" w:name="anexo: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numPr>
          <w:ilvl w:val="0"/>
          <w:numId w:val="110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03"/>
        </w:numPr>
      </w:pPr>
      <w:r>
        <w:t xml:space="preserve">En el 2×2×2×2 con rendimientos constantes los resultados son nítidos y son la base de la teoría del comercio internacional</w:t>
      </w:r>
      <w:r>
        <w:t xml:space="preserve"> </w:t>
      </w:r>
      <w:r>
        <w:rPr>
          <w:rStyle w:val="Referenciaatema"/>
        </w:rPr>
        <w:t xml:space="preserve">[ver tema 3.B.5]</w:t>
      </w:r>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r>
        <w:rPr>
          <w:rStyle w:val="Referenciaatema"/>
        </w:rPr>
        <w:t xml:space="preserve">[ver tema 3.A.12]</w:t>
      </w:r>
      <w:r>
        <w:t xml:space="preserve">.</w:t>
      </w:r>
    </w:p>
    <w:p>
      <w:pPr>
        <w:numPr>
          <w:ilvl w:val="0"/>
          <w:numId w:val="110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03"/>
        </w:numPr>
      </w:pPr>
      <w:r>
        <w:rPr>
          <w:i/>
          <w:iCs/>
        </w:rPr>
        <w:t xml:space="preserve">Del lado de los precios</w:t>
      </w:r>
      <w:r>
        <w:t xml:space="preserve"> </w:t>
      </w:r>
      <w:r>
        <w:t xml:space="preserve">(gráfico 11):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0"/>
          <w:numId w:val="1103"/>
        </w:numPr>
      </w:pPr>
      <w:r>
        <w:rPr>
          <w:i/>
          <w:iCs/>
        </w:rPr>
        <w:t xml:space="preserve">Del lado de las cantidades</w:t>
      </w:r>
      <w:r>
        <w:t xml:space="preserve"> </w:t>
      </w:r>
      <w:r>
        <w:t xml:space="preserve">(gráfico 12):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0"/>
          <w:numId w:val="110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170" w:name="fig:costes-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168" name="Picture"/>
            <a:graphic>
              <a:graphicData uri="http://schemas.openxmlformats.org/drawingml/2006/picture">
                <pic:pic>
                  <pic:nvPicPr>
                    <pic:cNvPr descr="C:\Users\vgutierrez\Documents\src\victorgutierrezmarcos.github.io-revision\oposicion\temario\fuentes\3A21\graficos/costes-unitarios.png" id="169" name="Picture"/>
                    <pic:cNvPicPr>
                      <a:picLocks noChangeArrowheads="1" noChangeAspect="1"/>
                    </pic:cNvPicPr>
                  </pic:nvPicPr>
                  <pic:blipFill>
                    <a:blip r:embed="rId167"/>
                    <a:stretch>
                      <a:fillRect/>
                    </a:stretch>
                  </pic:blipFill>
                  <pic:spPr bwMode="auto">
                    <a:xfrm>
                      <a:off x="0" y="0"/>
                      <a:ext cx="2984500" cy="2183512"/>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Start w:id="174" w:name="fig: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172" name="Picture"/>
            <a:graphic>
              <a:graphicData uri="http://schemas.openxmlformats.org/drawingml/2006/picture">
                <pic:pic>
                  <pic:nvPicPr>
                    <pic:cNvPr descr="C:\Users\vgutierrez\Documents\src\victorgutierrezmarcos.github.io-revision\oposicion\temario\fuentes\3A21\graficos/rybczynski.png" id="173" name="Picture"/>
                    <pic:cNvPicPr>
                      <a:picLocks noChangeArrowheads="1" noChangeAspect="1"/>
                    </pic:cNvPicPr>
                  </pic:nvPicPr>
                  <pic:blipFill>
                    <a:blip r:embed="rId171"/>
                    <a:stretch>
                      <a:fillRect/>
                    </a:stretch>
                  </pic:blipFill>
                  <pic:spPr bwMode="auto">
                    <a:xfrm>
                      <a:off x="0" y="0"/>
                      <a:ext cx="3568912" cy="2544417"/>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Jones</w:t>
      </w:r>
      <w:r>
        <w:t xml:space="preserve"> </w:t>
      </w:r>
      <w:r>
        <w:t xml:space="preserve">(</w:t>
      </w:r>
      <w:hyperlink w:anchor="ref-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MartinezGiralt2008Microeconomia">
        <w:r>
          <w:rPr>
            <w:rStyle w:val="Hyperlink"/>
          </w:rPr>
          <w:t xml:space="preserve">2008, cap. 4</w:t>
        </w:r>
      </w:hyperlink>
      <w:r>
        <w:t xml:space="preserve">)</w:t>
      </w:r>
      <w:r>
        <w:t xml:space="preserve">.</w:t>
      </w:r>
    </w:p>
    <w:bookmarkEnd w:id="175"/>
    <w:bookmarkStart w:id="178"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176">
        <w:r>
          <w:rPr>
            <w:rStyle w:val="Hyperlink"/>
          </w:rPr>
          <w:t xml:space="preserve">simulador de test</w:t>
        </w:r>
      </w:hyperlink>
      <w:r>
        <w:t xml:space="preserve">.</w:t>
      </w:r>
    </w:p>
    <w:p>
      <w:pPr>
        <w:numPr>
          <w:ilvl w:val="0"/>
          <w:numId w:val="1104"/>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04"/>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04"/>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04"/>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04"/>
        </w:numPr>
      </w:pPr>
      <w:r>
        <w:rPr>
          <w:i/>
          <w:iCs/>
        </w:rPr>
        <w:t xml:space="preserve">Teoremas del bienestar</w:t>
      </w:r>
      <w:r>
        <w:t xml:space="preserve">: el primero no necesita convexidad; el segundo, sí.</w:t>
      </w:r>
    </w:p>
    <w:p>
      <w:pPr>
        <w:numPr>
          <w:ilvl w:val="0"/>
          <w:numId w:val="1104"/>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04"/>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177" w:name="preguntas-probables-del-tribunal"/>
    <w:p>
      <w:pPr>
        <w:pStyle w:val="Heading4"/>
      </w:pPr>
      <w:r>
        <w:t xml:space="preserve">Preguntas probables del tribunal</w:t>
      </w:r>
    </w:p>
    <w:p>
      <w:pPr>
        <w:numPr>
          <w:ilvl w:val="0"/>
          <w:numId w:val="1105"/>
        </w:numPr>
      </w:pPr>
      <w:r>
        <w:t xml:space="preserve">¿Por qué no basta con contar ecuaciones e incógnitas para probar la existencia del equilibrio?</w:t>
      </w:r>
    </w:p>
    <w:p>
      <w:pPr>
        <w:numPr>
          <w:ilvl w:val="0"/>
          <w:numId w:val="1105"/>
        </w:numPr>
      </w:pPr>
      <w:r>
        <w:t xml:space="preserve">¿Qué papel desempeña la convexidad en la existencia? ¿Y en el primer teorema del bienestar?</w:t>
      </w:r>
    </w:p>
    <w:p>
      <w:pPr>
        <w:numPr>
          <w:ilvl w:val="0"/>
          <w:numId w:val="1105"/>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05"/>
        </w:numPr>
      </w:pPr>
      <w:r>
        <w:t xml:space="preserve">¿Por qué la sustitución bruta garantiza a la vez unicidad y estabilidad?</w:t>
      </w:r>
    </w:p>
    <w:p>
      <w:pPr>
        <w:numPr>
          <w:ilvl w:val="0"/>
          <w:numId w:val="1105"/>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05"/>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05"/>
        </w:numPr>
      </w:pPr>
      <w:r>
        <w:t xml:space="preserve">¿Es eficiente el equilibrio con mercados incompletos? ¿Y restringidamente eficiente?</w:t>
      </w:r>
    </w:p>
    <w:p>
      <w:pPr>
        <w:numPr>
          <w:ilvl w:val="0"/>
          <w:numId w:val="1105"/>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7"/>
    <w:bookmarkEnd w:id="178"/>
    <w:bookmarkStart w:id="356" w:name="bibliography"/>
    <w:p>
      <w:pPr>
        <w:pStyle w:val="Heading1"/>
      </w:pPr>
      <w:r>
        <w:t xml:space="preserve">Bibliografía</w:t>
      </w:r>
    </w:p>
    <w:bookmarkStart w:id="355" w:name="refs"/>
    <w:bookmarkStart w:id="180" w:name="ref-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179">
        <w:r>
          <w:rPr>
            <w:rStyle w:val="Hyperlink"/>
          </w:rPr>
          <w:t xml:space="preserve">https://doi.org/10.21642/JGEA.100201AF</w:t>
        </w:r>
      </w:hyperlink>
      <w:r>
        <w:t xml:space="preserve">.</w:t>
      </w:r>
    </w:p>
    <w:bookmarkEnd w:id="180"/>
    <w:bookmarkStart w:id="182" w:name="ref-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181">
        <w:r>
          <w:rPr>
            <w:rStyle w:val="Hyperlink"/>
          </w:rPr>
          <w:t xml:space="preserve">https://www.bde.es/wbe/es/publicaciones/analisis-economico-investigacion/documentos-trabajo/bemod-dsge-model-for-spanish-economy-and-rest-euro-area.html</w:t>
        </w:r>
      </w:hyperlink>
      <w:r>
        <w:t xml:space="preserve">.</w:t>
      </w:r>
    </w:p>
    <w:bookmarkEnd w:id="182"/>
    <w:bookmarkStart w:id="183" w:name="ref-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183"/>
    <w:bookmarkStart w:id="184"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184"/>
    <w:bookmarkStart w:id="185" w:name="ref-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185"/>
    <w:bookmarkStart w:id="186" w:name="ref-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186"/>
    <w:bookmarkStart w:id="188" w:name="ref-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187">
        <w:r>
          <w:rPr>
            <w:rStyle w:val="Hyperlink"/>
          </w:rPr>
          <w:t xml:space="preserve">https://doi.org/10.2307/2296188</w:t>
        </w:r>
      </w:hyperlink>
      <w:r>
        <w:t xml:space="preserve">.</w:t>
      </w:r>
    </w:p>
    <w:bookmarkEnd w:id="188"/>
    <w:bookmarkStart w:id="189" w:name="ref-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189"/>
    <w:bookmarkStart w:id="191" w:name="ref-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190">
        <w:r>
          <w:rPr>
            <w:rStyle w:val="Hyperlink"/>
          </w:rPr>
          <w:t xml:space="preserve">https://doi.org/10.2307/1907353</w:t>
        </w:r>
      </w:hyperlink>
      <w:r>
        <w:t xml:space="preserve">.</w:t>
      </w:r>
    </w:p>
    <w:bookmarkEnd w:id="191"/>
    <w:bookmarkStart w:id="192" w:name="ref-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192"/>
    <w:bookmarkStart w:id="193" w:name="ref-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193"/>
    <w:bookmarkStart w:id="194" w:name="ref-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194"/>
    <w:bookmarkStart w:id="195" w:name="ref-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195"/>
    <w:bookmarkStart w:id="197" w:name="ref-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196">
        <w:r>
          <w:rPr>
            <w:rStyle w:val="Hyperlink"/>
          </w:rPr>
          <w:t xml:space="preserve">https://doi.org/10.1073/pnas.2312030121</w:t>
        </w:r>
      </w:hyperlink>
      <w:r>
        <w:t xml:space="preserve">.</w:t>
      </w:r>
    </w:p>
    <w:bookmarkEnd w:id="197"/>
    <w:bookmarkStart w:id="199" w:name="ref-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198">
        <w:r>
          <w:rPr>
            <w:rStyle w:val="Hyperlink"/>
          </w:rPr>
          <w:t xml:space="preserve">https://www.econlib.org/book-chapters/chapter-s-1-ch-18-there-are-no-absolute-principles</w:t>
        </w:r>
      </w:hyperlink>
      <w:r>
        <w:t xml:space="preserve">.</w:t>
      </w:r>
    </w:p>
    <w:bookmarkEnd w:id="199"/>
    <w:bookmarkStart w:id="200" w:name="ref-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00"/>
    <w:bookmarkStart w:id="20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01">
        <w:r>
          <w:rPr>
            <w:rStyle w:val="Hyperlink"/>
          </w:rPr>
          <w:t xml:space="preserve">https://doi.org/10.2307/2228949</w:t>
        </w:r>
      </w:hyperlink>
      <w:r>
        <w:t xml:space="preserve">.</w:t>
      </w:r>
    </w:p>
    <w:bookmarkEnd w:id="202"/>
    <w:bookmarkStart w:id="203" w:name="ref-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03"/>
    <w:bookmarkStart w:id="205" w:name="ref-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04">
        <w:r>
          <w:rPr>
            <w:rStyle w:val="Hyperlink"/>
          </w:rPr>
          <w:t xml:space="preserve">https://doi.org/10.1007/s13209-009-0013-8</w:t>
        </w:r>
      </w:hyperlink>
      <w:r>
        <w:t xml:space="preserve">.</w:t>
      </w:r>
    </w:p>
    <w:bookmarkEnd w:id="205"/>
    <w:bookmarkStart w:id="207" w:name="ref-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06">
        <w:r>
          <w:rPr>
            <w:rStyle w:val="Hyperlink"/>
          </w:rPr>
          <w:t xml:space="preserve">https://doi.org/10.1016/j.euroecorev.2020.103469</w:t>
        </w:r>
      </w:hyperlink>
      <w:r>
        <w:t xml:space="preserve">.</w:t>
      </w:r>
    </w:p>
    <w:bookmarkEnd w:id="207"/>
    <w:bookmarkStart w:id="209" w:name="ref-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08">
        <w:r>
          <w:rPr>
            <w:rStyle w:val="Hyperlink"/>
          </w:rPr>
          <w:t xml:space="preserve">https://documentos.fedea.net/pubs/eee/2026/eee2026-12.pdf</w:t>
        </w:r>
      </w:hyperlink>
      <w:r>
        <w:t xml:space="preserve">.</w:t>
      </w:r>
    </w:p>
    <w:bookmarkEnd w:id="209"/>
    <w:bookmarkStart w:id="211" w:name="ref-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10">
        <w:r>
          <w:rPr>
            <w:rStyle w:val="Hyperlink"/>
          </w:rPr>
          <w:t xml:space="preserve">https://doi.org/10.1007/BF01456931</w:t>
        </w:r>
      </w:hyperlink>
      <w:r>
        <w:t xml:space="preserve">.</w:t>
      </w:r>
    </w:p>
    <w:bookmarkEnd w:id="211"/>
    <w:bookmarkStart w:id="212" w:name="ref-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212"/>
    <w:bookmarkStart w:id="214" w:name="ref-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213">
        <w:r>
          <w:rPr>
            <w:rStyle w:val="Hyperlink"/>
          </w:rPr>
          <w:t xml:space="preserve">https://www.ecb.europa.eu/pub/pdf/scpwps/ecb.wp2200.en.pdf</w:t>
        </w:r>
      </w:hyperlink>
      <w:r>
        <w:t xml:space="preserve">.</w:t>
      </w:r>
    </w:p>
    <w:bookmarkEnd w:id="214"/>
    <w:bookmarkStart w:id="216" w:name="ref-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215">
        <w:r>
          <w:rPr>
            <w:rStyle w:val="Hyperlink"/>
          </w:rPr>
          <w:t xml:space="preserve">https://web.jrc.ec.europa.eu/policy-model-inventory/explore/models/model-quest</w:t>
        </w:r>
      </w:hyperlink>
      <w:r>
        <w:t xml:space="preserve">.</w:t>
      </w:r>
    </w:p>
    <w:bookmarkEnd w:id="216"/>
    <w:bookmarkStart w:id="218" w:name="ref-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217">
        <w:r>
          <w:rPr>
            <w:rStyle w:val="Hyperlink"/>
          </w:rPr>
          <w:t xml:space="preserve">https://op.europa.eu/en/publication-detail/-/publication/6f1a741f-677e-11f0-bf4e-01aa75ed71a1/language-en</w:t>
        </w:r>
      </w:hyperlink>
      <w:r>
        <w:t xml:space="preserve">.</w:t>
      </w:r>
    </w:p>
    <w:bookmarkEnd w:id="218"/>
    <w:bookmarkStart w:id="220" w:name="ref-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219">
        <w:r>
          <w:rPr>
            <w:rStyle w:val="Hyperlink"/>
          </w:rPr>
          <w:t xml:space="preserve">https://data.consilium.europa.eu/doc/document/ST-6052-2019-INIT/en/pdf</w:t>
        </w:r>
      </w:hyperlink>
      <w:r>
        <w:t xml:space="preserve">.</w:t>
      </w:r>
    </w:p>
    <w:bookmarkEnd w:id="220"/>
    <w:bookmarkStart w:id="221" w:name="ref-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221"/>
    <w:bookmarkStart w:id="222" w:name="ref-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222"/>
    <w:bookmarkStart w:id="224"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3">
        <w:r>
          <w:rPr>
            <w:rStyle w:val="Hyperlink"/>
          </w:rPr>
          <w:t xml:space="preserve">https://doi.org/10.2307/1906814</w:t>
        </w:r>
      </w:hyperlink>
      <w:r>
        <w:t xml:space="preserve">.</w:t>
      </w:r>
    </w:p>
    <w:bookmarkEnd w:id="224"/>
    <w:bookmarkStart w:id="226" w:name="ref-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5">
        <w:r>
          <w:rPr>
            <w:rStyle w:val="Hyperlink"/>
          </w:rPr>
          <w:t xml:space="preserve">https://cowles.yale.edu/sites/default/files/2022-09/m17-all.pdf</w:t>
        </w:r>
      </w:hyperlink>
      <w:r>
        <w:t xml:space="preserve">.</w:t>
      </w:r>
    </w:p>
    <w:bookmarkEnd w:id="226"/>
    <w:bookmarkStart w:id="228" w:name="ref-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227">
        <w:r>
          <w:rPr>
            <w:rStyle w:val="Hyperlink"/>
          </w:rPr>
          <w:t xml:space="preserve">https://doi.org/10.2307/1909545</w:t>
        </w:r>
      </w:hyperlink>
      <w:r>
        <w:t xml:space="preserve">.</w:t>
      </w:r>
    </w:p>
    <w:bookmarkEnd w:id="228"/>
    <w:bookmarkStart w:id="230"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229">
        <w:r>
          <w:rPr>
            <w:rStyle w:val="Hyperlink"/>
          </w:rPr>
          <w:t xml:space="preserve">https://doi.org/10.1016/0304-4068(74)90032-9</w:t>
        </w:r>
      </w:hyperlink>
      <w:r>
        <w:t xml:space="preserve">.</w:t>
      </w:r>
    </w:p>
    <w:bookmarkEnd w:id="230"/>
    <w:bookmarkStart w:id="232" w:name="ref-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31">
        <w:r>
          <w:rPr>
            <w:rStyle w:val="Hyperlink"/>
          </w:rPr>
          <w:t xml:space="preserve">https://doi.org/10.2307/2525306</w:t>
        </w:r>
      </w:hyperlink>
      <w:r>
        <w:t xml:space="preserve">.</w:t>
      </w:r>
    </w:p>
    <w:bookmarkEnd w:id="232"/>
    <w:bookmarkStart w:id="233" w:name="ref-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79">
        <w:r>
          <w:rPr>
            <w:rStyle w:val="Hyperlink"/>
          </w:rPr>
          <w:t xml:space="preserve">https://doi.org/10.1016/S0185-0849(14)71348-9</w:t>
        </w:r>
      </w:hyperlink>
      <w:r>
        <w:t xml:space="preserve">.</w:t>
      </w:r>
    </w:p>
    <w:bookmarkEnd w:id="233"/>
    <w:bookmarkStart w:id="234" w:name="ref-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234"/>
    <w:bookmarkStart w:id="235"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5"/>
    <w:bookmarkStart w:id="236"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6"/>
    <w:bookmarkStart w:id="237" w:name="ref-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7"/>
    <w:bookmarkStart w:id="238" w:name="ref-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8"/>
    <w:bookmarkStart w:id="240" w:name="ref-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239">
        <w:r>
          <w:rPr>
            <w:rStyle w:val="Hyperlink"/>
          </w:rPr>
          <w:t xml:space="preserve">https://cepr.org/publications/books-and-reports/reducing-transatlantic-barriers-trade-and-investment-economic</w:t>
        </w:r>
      </w:hyperlink>
      <w:r>
        <w:t xml:space="preserve">.</w:t>
      </w:r>
    </w:p>
    <w:bookmarkEnd w:id="240"/>
    <w:bookmarkStart w:id="241" w:name="ref-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241"/>
    <w:bookmarkStart w:id="243" w:name="ref-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242">
        <w:r>
          <w:rPr>
            <w:rStyle w:val="Hyperlink"/>
          </w:rPr>
          <w:t xml:space="preserve">https://doi.org/10.7146/math.scand.a-10436</w:t>
        </w:r>
      </w:hyperlink>
      <w:r>
        <w:t xml:space="preserve">.</w:t>
      </w:r>
    </w:p>
    <w:bookmarkEnd w:id="243"/>
    <w:bookmarkStart w:id="245" w:name="ref-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244">
        <w:r>
          <w:rPr>
            <w:rStyle w:val="Hyperlink"/>
          </w:rPr>
          <w:t xml:space="preserve">https://doi.org/10.1016/0304-4068(76)90029-X</w:t>
        </w:r>
      </w:hyperlink>
      <w:r>
        <w:t xml:space="preserve">.</w:t>
      </w:r>
    </w:p>
    <w:bookmarkEnd w:id="245"/>
    <w:bookmarkStart w:id="246" w:name="X5282c39af3d56c258586e1f0ea5992ba9b44b54"/>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246"/>
    <w:bookmarkStart w:id="247" w:name="ref-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247"/>
    <w:bookmarkStart w:id="248" w:name="ref-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48"/>
    <w:bookmarkStart w:id="249"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9"/>
    <w:bookmarkStart w:id="251"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50">
        <w:r>
          <w:rPr>
            <w:rStyle w:val="Hyperlink"/>
          </w:rPr>
          <w:t xml:space="preserve">https://doi.org/10.1086/260629</w:t>
        </w:r>
      </w:hyperlink>
      <w:r>
        <w:t xml:space="preserve">.</w:t>
      </w:r>
    </w:p>
    <w:bookmarkEnd w:id="251"/>
    <w:bookmarkStart w:id="252" w:name="ref-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252"/>
    <w:bookmarkStart w:id="253" w:name="ref-Hahn1982Money"/>
    <w:p>
      <w:pPr>
        <w:pStyle w:val="Bibliography"/>
      </w:pPr>
      <w:r>
        <w:t xml:space="preserve">———. 1982.</w:t>
      </w:r>
      <w:r>
        <w:t xml:space="preserve"> </w:t>
      </w:r>
      <w:r>
        <w:rPr>
          <w:i/>
          <w:iCs/>
        </w:rPr>
        <w:t xml:space="preserve">Money and Inflation</w:t>
      </w:r>
      <w:r>
        <w:t xml:space="preserve">. Oxford: Basil Blackwell.</w:t>
      </w:r>
    </w:p>
    <w:bookmarkEnd w:id="253"/>
    <w:bookmarkStart w:id="254" w:name="ref-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4"/>
    <w:bookmarkStart w:id="255" w:name="ref-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5"/>
    <w:bookmarkStart w:id="256"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56"/>
    <w:bookmarkStart w:id="257" w:name="ref-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57"/>
    <w:bookmarkStart w:id="258" w:name="ref-ICEXCECO3A21"/>
    <w:p>
      <w:pPr>
        <w:pStyle w:val="Bibliography"/>
      </w:pPr>
      <w:r>
        <w:t xml:space="preserve">ICEX-CECO. s. f.</w:t>
      </w:r>
      <w:r>
        <w:t xml:space="preserve"> </w:t>
      </w:r>
      <w:r>
        <w:t xml:space="preserve">«Tema 3.A.21: La teoría del equilibrio general»</w:t>
      </w:r>
      <w:r>
        <w:t xml:space="preserve">. ICEX-CECO.</w:t>
      </w:r>
    </w:p>
    <w:bookmarkEnd w:id="258"/>
    <w:bookmarkStart w:id="25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59"/>
    <w:bookmarkStart w:id="260" w:name="ref-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260"/>
    <w:bookmarkStart w:id="262" w:name="ref-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61">
        <w:r>
          <w:rPr>
            <w:rStyle w:val="Hyperlink"/>
          </w:rPr>
          <w:t xml:space="preserve">https://doi.org/10.1215/S0012-7094-41-00838-4</w:t>
        </w:r>
      </w:hyperlink>
      <w:r>
        <w:t xml:space="preserve">.</w:t>
      </w:r>
    </w:p>
    <w:bookmarkEnd w:id="262"/>
    <w:bookmarkStart w:id="264" w:name="ref-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263">
        <w:r>
          <w:rPr>
            <w:rStyle w:val="Hyperlink"/>
          </w:rPr>
          <w:t xml:space="preserve">https://doi.org/10.1017/CBO9780511614330.014</w:t>
        </w:r>
      </w:hyperlink>
      <w:r>
        <w:t xml:space="preserve">.</w:t>
      </w:r>
    </w:p>
    <w:bookmarkEnd w:id="264"/>
    <w:bookmarkStart w:id="266" w:name="ref-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265">
        <w:r>
          <w:rPr>
            <w:rStyle w:val="Hyperlink"/>
          </w:rPr>
          <w:t xml:space="preserve">https://doi.org/10.1257/jep.6.2.117</w:t>
        </w:r>
      </w:hyperlink>
      <w:r>
        <w:t xml:space="preserve">.</w:t>
      </w:r>
    </w:p>
    <w:bookmarkEnd w:id="266"/>
    <w:bookmarkStart w:id="267" w:name="ref-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267"/>
    <w:bookmarkStart w:id="269"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68">
        <w:r>
          <w:rPr>
            <w:rStyle w:val="Hyperlink"/>
          </w:rPr>
          <w:t xml:space="preserve">https://doi.org/10.1086/259131</w:t>
        </w:r>
      </w:hyperlink>
      <w:r>
        <w:t xml:space="preserve">.</w:t>
      </w:r>
    </w:p>
    <w:bookmarkEnd w:id="269"/>
    <w:bookmarkStart w:id="270" w:name="ref-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0"/>
    <w:bookmarkStart w:id="271" w:name="ref-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271"/>
    <w:bookmarkStart w:id="273" w:name="ref-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2">
        <w:r>
          <w:rPr>
            <w:rStyle w:val="Hyperlink"/>
          </w:rPr>
          <w:t xml:space="preserve">https://doi.org/10.2307/1905465</w:t>
        </w:r>
      </w:hyperlink>
      <w:r>
        <w:t xml:space="preserve">.</w:t>
      </w:r>
    </w:p>
    <w:bookmarkEnd w:id="273"/>
    <w:bookmarkStart w:id="275"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4">
        <w:r>
          <w:rPr>
            <w:rStyle w:val="Hyperlink"/>
          </w:rPr>
          <w:t xml:space="preserve">https://doi.org/10.2307/2967550</w:t>
        </w:r>
      </w:hyperlink>
      <w:r>
        <w:t xml:space="preserve">.</w:t>
      </w:r>
    </w:p>
    <w:bookmarkEnd w:id="275"/>
    <w:bookmarkStart w:id="276" w:name="ref-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80">
        <w:r>
          <w:rPr>
            <w:rStyle w:val="Hyperlink"/>
          </w:rPr>
          <w:t xml:space="preserve">http://math.uchicago.edu/~may/REU2019/REUPapers/Liu,Zhengyang.pdf</w:t>
        </w:r>
      </w:hyperlink>
      <w:r>
        <w:t xml:space="preserve">.</w:t>
      </w:r>
    </w:p>
    <w:bookmarkEnd w:id="276"/>
    <w:bookmarkStart w:id="27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277">
        <w:r>
          <w:rPr>
            <w:rStyle w:val="Hyperlink"/>
          </w:rPr>
          <w:t xml:space="preserve">https://doi.org/10.1016/0022-0531(74)90100-8</w:t>
        </w:r>
      </w:hyperlink>
      <w:r>
        <w:t xml:space="preserve">.</w:t>
      </w:r>
    </w:p>
    <w:bookmarkEnd w:id="278"/>
    <w:bookmarkStart w:id="280" w:name="ref-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279">
        <w:r>
          <w:rPr>
            <w:rStyle w:val="Hyperlink"/>
          </w:rPr>
          <w:t xml:space="preserve">https://ddd.uab.cat/pub/llibres/2008/137476/microeconomiaavanzada_a2008.pdf</w:t>
        </w:r>
      </w:hyperlink>
      <w:r>
        <w:t xml:space="preserve">.</w:t>
      </w:r>
    </w:p>
    <w:bookmarkEnd w:id="280"/>
    <w:bookmarkStart w:id="28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1"/>
    <w:bookmarkStart w:id="283" w:name="ref-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282">
        <w:r>
          <w:rPr>
            <w:rStyle w:val="Hyperlink"/>
          </w:rPr>
          <w:t xml:space="preserve">https://doi.org/10.2307/1907539</w:t>
        </w:r>
      </w:hyperlink>
      <w:r>
        <w:t xml:space="preserve">.</w:t>
      </w:r>
    </w:p>
    <w:bookmarkEnd w:id="283"/>
    <w:bookmarkStart w:id="284" w:name="ref-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284"/>
    <w:bookmarkStart w:id="285" w:name="ref-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285"/>
    <w:bookmarkStart w:id="286" w:name="ref-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286"/>
    <w:bookmarkStart w:id="287" w:name="ref-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87"/>
    <w:bookmarkStart w:id="289" w:name="ref-Nash1950Equilibrium"/>
    <w:p>
      <w:pPr>
        <w:pStyle w:val="Bibliography"/>
      </w:pPr>
      <w:r>
        <w:t xml:space="preserve">Nash, John F. 1950.</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288">
        <w:r>
          <w:rPr>
            <w:rStyle w:val="Hyperlink"/>
          </w:rPr>
          <w:t xml:space="preserve">https://doi.org/10.1073/pnas.36.1.48</w:t>
        </w:r>
      </w:hyperlink>
      <w:r>
        <w:t xml:space="preserve">.</w:t>
      </w:r>
    </w:p>
    <w:bookmarkEnd w:id="289"/>
    <w:bookmarkStart w:id="290" w:name="ref-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290"/>
    <w:bookmarkStart w:id="291" w:name="ref-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291"/>
    <w:bookmarkStart w:id="293" w:name="ref-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292">
        <w:r>
          <w:rPr>
            <w:rStyle w:val="Hyperlink"/>
          </w:rPr>
          <w:t xml:space="preserve">https://doi.org/10.1111/j.1467-999X.1956.tb00099.x</w:t>
        </w:r>
      </w:hyperlink>
      <w:r>
        <w:t xml:space="preserve">.</w:t>
      </w:r>
    </w:p>
    <w:bookmarkEnd w:id="293"/>
    <w:bookmarkStart w:id="295" w:name="ref-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294">
        <w:r>
          <w:rPr>
            <w:rStyle w:val="Hyperlink"/>
          </w:rPr>
          <w:t xml:space="preserve">https://ustr.gov/about/policy-offices/press-office/press-releases/2026/july/ambassador-greer-issues-statement-usmca-joint-review</w:t>
        </w:r>
      </w:hyperlink>
      <w:r>
        <w:t xml:space="preserve">.</w:t>
      </w:r>
    </w:p>
    <w:bookmarkEnd w:id="295"/>
    <w:bookmarkStart w:id="296"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96"/>
    <w:bookmarkStart w:id="297" w:name="ref-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297"/>
    <w:bookmarkStart w:id="298" w:name="ref-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298"/>
    <w:bookmarkStart w:id="300" w:name="ref-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299">
        <w:r>
          <w:rPr>
            <w:rStyle w:val="Hyperlink"/>
          </w:rPr>
          <w:t xml:space="preserve">https://doi.org/10.2307/1909407</w:t>
        </w:r>
      </w:hyperlink>
      <w:r>
        <w:t xml:space="preserve">.</w:t>
      </w:r>
    </w:p>
    <w:bookmarkEnd w:id="300"/>
    <w:bookmarkStart w:id="301" w:name="ref-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01"/>
    <w:bookmarkStart w:id="302" w:name="ref-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02"/>
    <w:bookmarkStart w:id="303" w:name="ref-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03"/>
    <w:bookmarkStart w:id="304"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4"/>
    <w:bookmarkStart w:id="305" w:name="ref-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305"/>
    <w:bookmarkStart w:id="307" w:name="ref-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306">
        <w:r>
          <w:rPr>
            <w:rStyle w:val="Hyperlink"/>
          </w:rPr>
          <w:t xml:space="preserve">https://doi.org/10.1137/0115116</w:t>
        </w:r>
      </w:hyperlink>
      <w:r>
        <w:t xml:space="preserve">.</w:t>
      </w:r>
    </w:p>
    <w:bookmarkEnd w:id="307"/>
    <w:bookmarkStart w:id="308" w:name="ref-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308"/>
    <w:bookmarkStart w:id="309" w:name="ref-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309"/>
    <w:bookmarkStart w:id="310"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0"/>
    <w:bookmarkStart w:id="311" w:name="ref-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311"/>
    <w:bookmarkStart w:id="312" w:name="ref-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312"/>
    <w:bookmarkStart w:id="313" w:name="ref-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313"/>
    <w:bookmarkStart w:id="314" w:name="ref-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314"/>
    <w:bookmarkStart w:id="316"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15">
        <w:r>
          <w:rPr>
            <w:rStyle w:val="Hyperlink"/>
          </w:rPr>
          <w:t xml:space="preserve">https://www.gutenberg.org/cache/epub/3300/pg3300.txt</w:t>
        </w:r>
      </w:hyperlink>
      <w:r>
        <w:t xml:space="preserve">.</w:t>
      </w:r>
    </w:p>
    <w:bookmarkEnd w:id="316"/>
    <w:bookmarkStart w:id="318"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317">
        <w:r>
          <w:rPr>
            <w:rStyle w:val="Hyperlink"/>
          </w:rPr>
          <w:t xml:space="preserve">https://doi.org/10.2307/1913184</w:t>
        </w:r>
      </w:hyperlink>
      <w:r>
        <w:t xml:space="preserve">.</w:t>
      </w:r>
    </w:p>
    <w:bookmarkEnd w:id="318"/>
    <w:bookmarkStart w:id="320"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19">
        <w:r>
          <w:rPr>
            <w:rStyle w:val="Hyperlink"/>
          </w:rPr>
          <w:t xml:space="preserve">https://doi.org/10.1016/0022-0531(73)90066-5</w:t>
        </w:r>
      </w:hyperlink>
      <w:r>
        <w:t xml:space="preserve">.</w:t>
      </w:r>
    </w:p>
    <w:bookmarkEnd w:id="320"/>
    <w:bookmarkStart w:id="322" w:name="ref-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321">
        <w:r>
          <w:rPr>
            <w:rStyle w:val="Hyperlink"/>
          </w:rPr>
          <w:t xml:space="preserve">https://doi.org/10.1016/j.econmod.2011.10.001</w:t>
        </w:r>
      </w:hyperlink>
      <w:r>
        <w:t xml:space="preserve">.</w:t>
      </w:r>
    </w:p>
    <w:bookmarkEnd w:id="322"/>
    <w:bookmarkStart w:id="32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23">
        <w:r>
          <w:rPr>
            <w:rStyle w:val="Hyperlink"/>
          </w:rPr>
          <w:t xml:space="preserve">https://doi.org/10.2307/1909201</w:t>
        </w:r>
      </w:hyperlink>
      <w:r>
        <w:t xml:space="preserve">.</w:t>
      </w:r>
    </w:p>
    <w:bookmarkEnd w:id="324"/>
    <w:bookmarkStart w:id="32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5">
        <w:r>
          <w:rPr>
            <w:rStyle w:val="Hyperlink"/>
          </w:rPr>
          <w:t xml:space="preserve">https://doi.org/10.1086/258464</w:t>
        </w:r>
      </w:hyperlink>
      <w:r>
        <w:t xml:space="preserve">.</w:t>
      </w:r>
    </w:p>
    <w:bookmarkEnd w:id="326"/>
    <w:bookmarkStart w:id="327" w:name="ref-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327"/>
    <w:bookmarkStart w:id="329" w:name="ref-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328">
        <w:r>
          <w:rPr>
            <w:rStyle w:val="Hyperlink"/>
          </w:rPr>
          <w:t xml:space="preserve">https://www.hetwebsite.net/het/profiles/wald.htm</w:t>
        </w:r>
      </w:hyperlink>
      <w:r>
        <w:t xml:space="preserve">.</w:t>
      </w:r>
    </w:p>
    <w:bookmarkEnd w:id="329"/>
    <w:bookmarkStart w:id="331" w:name="ref-HET2026Cassel"/>
    <w:p>
      <w:pPr>
        <w:pStyle w:val="Bibliography"/>
      </w:pPr>
      <w:r>
        <w:t xml:space="preserve">———. 2026b.</w:t>
      </w:r>
      <w:r>
        <w:t xml:space="preserve"> </w:t>
      </w:r>
      <w:r>
        <w:t xml:space="preserve">«Gustav Cassel, 1866-1945»</w:t>
      </w:r>
      <w:r>
        <w:t xml:space="preserve">. 2026.</w:t>
      </w:r>
      <w:r>
        <w:t xml:space="preserve"> </w:t>
      </w:r>
      <w:hyperlink r:id="rId330">
        <w:r>
          <w:rPr>
            <w:rStyle w:val="Hyperlink"/>
          </w:rPr>
          <w:t xml:space="preserve">https://www.hetwebsite.net/het/profiles/cassel.htm</w:t>
        </w:r>
      </w:hyperlink>
      <w:r>
        <w:t xml:space="preserve">.</w:t>
      </w:r>
    </w:p>
    <w:bookmarkEnd w:id="331"/>
    <w:bookmarkStart w:id="333" w:name="ref-HET2026Swedish"/>
    <w:p>
      <w:pPr>
        <w:pStyle w:val="Bibliography"/>
      </w:pPr>
      <w:r>
        <w:t xml:space="preserve">———. 2026c.</w:t>
      </w:r>
      <w:r>
        <w:t xml:space="preserve"> </w:t>
      </w:r>
      <w:r>
        <w:t xml:space="preserve">«The Swedish Schools»</w:t>
      </w:r>
      <w:r>
        <w:t xml:space="preserve">. 2026.</w:t>
      </w:r>
      <w:r>
        <w:t xml:space="preserve"> </w:t>
      </w:r>
      <w:hyperlink r:id="rId332">
        <w:r>
          <w:rPr>
            <w:rStyle w:val="Hyperlink"/>
          </w:rPr>
          <w:t xml:space="preserve">https://hetwebsite.net/het/schools/sweden.htm</w:t>
        </w:r>
      </w:hyperlink>
      <w:r>
        <w:t xml:space="preserve">.</w:t>
      </w:r>
    </w:p>
    <w:bookmarkEnd w:id="333"/>
    <w:bookmarkStart w:id="335" w:name="ref-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34">
        <w:r>
          <w:rPr>
            <w:rStyle w:val="Hyperlink"/>
          </w:rPr>
          <w:t xml:space="preserve">https://www.nobelprize.org/prizes/economic-sciences/1972/summary/</w:t>
        </w:r>
      </w:hyperlink>
      <w:r>
        <w:t xml:space="preserve">.</w:t>
      </w:r>
    </w:p>
    <w:bookmarkEnd w:id="335"/>
    <w:bookmarkStart w:id="337" w:name="ref-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336">
        <w:r>
          <w:rPr>
            <w:rStyle w:val="Hyperlink"/>
          </w:rPr>
          <w:t xml:space="preserve">https://www.nobelprize.org/prizes/economic-sciences/1983/summary/</w:t>
        </w:r>
      </w:hyperlink>
      <w:r>
        <w:t xml:space="preserve">.</w:t>
      </w:r>
    </w:p>
    <w:bookmarkEnd w:id="337"/>
    <w:bookmarkStart w:id="339" w:name="ref-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338">
        <w:r>
          <w:rPr>
            <w:rStyle w:val="Hyperlink"/>
          </w:rPr>
          <w:t xml:space="preserve">https://www.nobelprize.org/prizes/economic-sciences/1998/summary/</w:t>
        </w:r>
      </w:hyperlink>
      <w:r>
        <w:t xml:space="preserve">.</w:t>
      </w:r>
    </w:p>
    <w:bookmarkEnd w:id="339"/>
    <w:bookmarkStart w:id="341" w:name="ref-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340">
        <w:r>
          <w:rPr>
            <w:rStyle w:val="Hyperlink"/>
          </w:rPr>
          <w:t xml:space="preserve">https://www.nobelprize.org/prizes/economic-sciences/2017/summary/</w:t>
        </w:r>
      </w:hyperlink>
      <w:r>
        <w:t xml:space="preserve">.</w:t>
      </w:r>
    </w:p>
    <w:bookmarkEnd w:id="341"/>
    <w:bookmarkStart w:id="343" w:name="ref-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342">
        <w:r>
          <w:rPr>
            <w:rStyle w:val="Hyperlink"/>
          </w:rPr>
          <w:t xml:space="preserve">https://www.nobelprize.org/prizes/economic-sciences/2018/summary/</w:t>
        </w:r>
      </w:hyperlink>
      <w:r>
        <w:t xml:space="preserve">.</w:t>
      </w:r>
    </w:p>
    <w:bookmarkEnd w:id="343"/>
    <w:bookmarkStart w:id="345" w:name="ref-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344">
        <w:r>
          <w:rPr>
            <w:rStyle w:val="Hyperlink"/>
          </w:rPr>
          <w:t xml:space="preserve">https://www.usitc.gov/publications/332/pub4889.pdf</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347"/>
    <w:bookmarkStart w:id="349"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48">
        <w:r>
          <w:rPr>
            <w:rStyle w:val="Hyperlink"/>
          </w:rPr>
          <w:t xml:space="preserve">https://doi.org/10.1086/261484</w:t>
        </w:r>
      </w:hyperlink>
      <w:r>
        <w:t xml:space="preserve">.</w:t>
      </w:r>
    </w:p>
    <w:bookmarkEnd w:id="349"/>
    <w:bookmarkStart w:id="35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50">
        <w:r>
          <w:rPr>
            <w:rStyle w:val="Hyperlink"/>
          </w:rPr>
          <w:t xml:space="preserve">https://archive.org/details/lmentsdconomiep01walrgoog</w:t>
        </w:r>
      </w:hyperlink>
      <w:r>
        <w:t xml:space="preserve">.</w:t>
      </w:r>
    </w:p>
    <w:bookmarkEnd w:id="351"/>
    <w:bookmarkStart w:id="352" w:name="ref-Walsh2017Monetary"/>
    <w:p>
      <w:pPr>
        <w:pStyle w:val="Bibliography"/>
      </w:pPr>
      <w:r>
        <w:t xml:space="preserve">Walsh, Carl E. 2017.</w:t>
      </w:r>
      <w:r>
        <w:t xml:space="preserve"> </w:t>
      </w:r>
      <w:r>
        <w:rPr>
          <w:i/>
          <w:iCs/>
        </w:rPr>
        <w:t xml:space="preserve">Monetary Theory and Policy</w:t>
      </w:r>
      <w:r>
        <w:t xml:space="preserve">. 4.ª ed. Cambridge (Massachusetts): MIT Press.</w:t>
      </w:r>
    </w:p>
    <w:bookmarkEnd w:id="352"/>
    <w:bookmarkStart w:id="353" w:name="ref-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53"/>
    <w:bookmarkStart w:id="354" w:name="ref-Wikipedia2026Tanteo"/>
    <w:p>
      <w:pPr>
        <w:pStyle w:val="Bibliography"/>
      </w:pPr>
      <w:r>
        <w:t xml:space="preserve">Wikipedia. 2026.</w:t>
      </w:r>
      <w:r>
        <w:t xml:space="preserve"> </w:t>
      </w:r>
      <w:r>
        <w:t xml:space="preserve">«Tanteo walrasiano»</w:t>
      </w:r>
      <w:r>
        <w:t xml:space="preserve">. 2026.</w:t>
      </w:r>
      <w:r>
        <w:t xml:space="preserve"> </w:t>
      </w:r>
      <w:hyperlink r:id="rId27">
        <w:r>
          <w:rPr>
            <w:rStyle w:val="Hyperlink"/>
          </w:rPr>
          <w:t xml:space="preserve">https://es.wikipedia.org/wiki/Tanteo_walrasiano</w:t>
        </w:r>
      </w:hyperlink>
      <w:r>
        <w:t xml:space="preserve">.</w:t>
      </w:r>
    </w:p>
    <w:bookmarkEnd w:id="354"/>
    <w:bookmarkEnd w:id="355"/>
    <w:bookmarkEnd w:id="3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3">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24">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HET2026Cassel">
        <w:r>
          <w:rPr>
            <w:rStyle w:val="Hyperlink"/>
          </w:rPr>
          <w:t xml:space="preserve">2026b</w:t>
        </w:r>
      </w:hyperlink>
      <w:r>
        <w:t xml:space="preserve">,</w:t>
      </w:r>
      <w:r>
        <w:t xml:space="preserve"> </w:t>
      </w:r>
      <w:hyperlink w:anchor="ref-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0">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1">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r>
        <w:rPr>
          <w:rStyle w:val="Referenciaatema"/>
        </w:rPr>
        <w:t xml:space="preserve">[ver tema 3.A.23]</w:t>
      </w:r>
      <w:r>
        <w:t xml:space="preserve">.</w:t>
      </w:r>
    </w:p>
  </w:footnote>
  <w:footnote w:id="32">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II.1.1).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3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3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r>
        <w:rPr>
          <w:rStyle w:val="Referenciaatema"/>
        </w:rPr>
        <w:t xml:space="preserve">[ver tema 3.A.11]</w:t>
      </w:r>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w:t>
      </w:r>
    </w:p>
  </w:footnote>
  <w:footnote w:id="38">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r>
        <w:rPr>
          <w:rStyle w:val="Referenciaatema"/>
        </w:rPr>
        <w:t xml:space="preserve">[ver tema 3.A.12]</w:t>
      </w:r>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A.</w:t>
      </w:r>
    </w:p>
  </w:footnote>
  <w:footnote w:id="39">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r>
        <w:rPr>
          <w:rStyle w:val="Referenciaatema"/>
        </w:rPr>
        <w:t xml:space="preserve">[ver tema 3.A.11]</w:t>
      </w:r>
      <w:r>
        <w:t xml:space="preserve">.</w:t>
      </w:r>
    </w:p>
  </w:footnote>
  <w:footnote w:id="40">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41">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r>
        <w:rPr>
          <w:rStyle w:val="Referenciaatema"/>
        </w:rPr>
        <w:t xml:space="preserve">[ver tema 3.B.6]</w:t>
      </w:r>
      <w:r>
        <w:t xml:space="preserve">.</w:t>
      </w:r>
    </w:p>
  </w:footnote>
  <w:footnote w:id="42">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49">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r>
        <w:rPr>
          <w:rStyle w:val="Referenciaatema"/>
        </w:rPr>
        <w:t xml:space="preserve">[ver tema 3.A.16]</w:t>
      </w:r>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r>
        <w:rPr>
          <w:rStyle w:val="Referenciaatema"/>
        </w:rPr>
        <w:t xml:space="preserve">[ver tema 3.A.11]</w:t>
      </w:r>
      <w:r>
        <w:t xml:space="preserve">.</w:t>
      </w:r>
    </w:p>
  </w:footnote>
  <w:footnote w:id="55">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r>
        <w:rPr>
          <w:rStyle w:val="Referenciaatema"/>
        </w:rPr>
        <w:t xml:space="preserve">[ver tema 3.A.2]</w:t>
      </w:r>
      <w:r>
        <w:t xml:space="preserve"> </w:t>
      </w:r>
      <w:r>
        <w:rPr>
          <w:rStyle w:val="Referenciaatema"/>
        </w:rPr>
        <w:t xml:space="preserve">[ver tema 3.A.4]</w:t>
      </w:r>
      <w:r>
        <w:t xml:space="preserve">.</w:t>
      </w:r>
    </w:p>
  </w:footnote>
  <w:footnote w:id="65">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66">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Nash1950Equilibrium">
        <w:r>
          <w:rPr>
            <w:rStyle w:val="Hyperlink"/>
          </w:rPr>
          <w:t xml:space="preserve">1950</w:t>
        </w:r>
      </w:hyperlink>
      <w:r>
        <w:t xml:space="preserve">)</w:t>
      </w:r>
      <w:r>
        <w:t xml:space="preserve"> </w:t>
      </w:r>
      <w:r>
        <w:t xml:space="preserve">lo aplica al equilibrio de un juego</w:t>
      </w:r>
      <w:r>
        <w:t xml:space="preserve"> </w:t>
      </w:r>
      <w:r>
        <w:rPr>
          <w:rStyle w:val="Referenciaatema"/>
        </w:rPr>
        <w:t xml:space="preserve">[ver tema 3.A.14]</w:t>
      </w:r>
      <w:r>
        <w:t xml:space="preserve">.</w:t>
      </w:r>
    </w:p>
  </w:footnote>
  <w:footnote w:id="68">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 I.2.3: el exceso de demanda crece sin límite cuando un precio tiende a 0, de modo que todos los precios de equilibrio son positivos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B.</w:t>
      </w:r>
    </w:p>
  </w:footnote>
  <w:footnote w:id="69">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75">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83">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r>
        <w:rPr>
          <w:rStyle w:val="Referenciaatema"/>
        </w:rPr>
        <w:t xml:space="preserve">[ver tema 3.B.5]</w:t>
      </w:r>
      <w:r>
        <w:t xml:space="preserve"> </w:t>
      </w:r>
      <w:r>
        <w:t xml:space="preserve">(anexo E).</w:t>
      </w:r>
    </w:p>
  </w:footnote>
  <w:footnote w:id="88">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r>
        <w:rPr>
          <w:rStyle w:val="Referenciaatema"/>
        </w:rPr>
        <w:t xml:space="preserve">[ver tema 3.A.9]</w:t>
      </w:r>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w:t>
      </w:r>
    </w:p>
  </w:footnote>
  <w:footnote w:id="98">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 cap. 17</w:t>
        </w:r>
      </w:hyperlink>
      <w:r>
        <w:t xml:space="preserve">)</w:t>
      </w:r>
      <w:r>
        <w:t xml:space="preserve">.</w:t>
      </w:r>
    </w:p>
  </w:footnote>
  <w:footnote w:id="99">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r>
        <w:rPr>
          <w:rStyle w:val="Referenciaatema"/>
        </w:rPr>
        <w:t xml:space="preserve">[ver tema 3.A.24]</w:t>
      </w:r>
      <w:r>
        <w:t xml:space="preserve">.</w:t>
      </w:r>
    </w:p>
  </w:footnote>
  <w:footnote w:id="101">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r>
        <w:t xml:space="preserve"> </w:t>
      </w:r>
      <w:r>
        <w:rPr>
          <w:smallCaps/>
        </w:rPr>
        <w:t xml:space="preserve">Feldman</w:t>
      </w:r>
      <w:r>
        <w:t xml:space="preserve"> </w:t>
      </w:r>
      <w:r>
        <w:t xml:space="preserve">(</w:t>
      </w:r>
      <w:hyperlink w:anchor="ref-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0">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143">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144">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154">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teorema 5.3)</w:t>
      </w:r>
      <w:r>
        <w:t xml:space="preserve">). Por eso no hace falta suponer saciedad.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02" Target="media/rId102.png" /><Relationship Type="http://schemas.openxmlformats.org/officeDocument/2006/relationships/image" Id="rId43" Target="media/rId43.png" /><Relationship Type="http://schemas.openxmlformats.org/officeDocument/2006/relationships/image" Id="rId167" Target="media/rId167.png" /><Relationship Type="http://schemas.openxmlformats.org/officeDocument/2006/relationships/image" Id="rId84" Target="media/rId84.png" /><Relationship Type="http://schemas.openxmlformats.org/officeDocument/2006/relationships/image" Id="rId162" Target="media/rId162.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171" Target="media/rId171.png" /><Relationship Type="http://schemas.openxmlformats.org/officeDocument/2006/relationships/hyperlink" Id="rId80" Target="http://math.uchicago.edu/~may/REU2019/REUPapers/Liu,Zhengyang.pdf" TargetMode="External" /><Relationship Type="http://schemas.openxmlformats.org/officeDocument/2006/relationships/hyperlink" Id="rId350" Target="https://archive.org/details/lmentsdconomiep01walrgoog" TargetMode="External" /><Relationship Type="http://schemas.openxmlformats.org/officeDocument/2006/relationships/hyperlink" Id="rId239" Target="https://cepr.org/publications/books-and-reports/reducing-transatlantic-barriers-trade-and-investment-economic" TargetMode="External" /><Relationship Type="http://schemas.openxmlformats.org/officeDocument/2006/relationships/hyperlink" Id="rId225"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79"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19" Target="https://doi.org/10.1016/0022-0531(73)90066-5" TargetMode="External" /><Relationship Type="http://schemas.openxmlformats.org/officeDocument/2006/relationships/hyperlink" Id="rId277" Target="https://doi.org/10.1016/0022-0531(74)90100-8" TargetMode="External" /><Relationship Type="http://schemas.openxmlformats.org/officeDocument/2006/relationships/hyperlink" Id="rId229" Target="https://doi.org/10.1016/0304-4068(74)90032-9" TargetMode="External" /><Relationship Type="http://schemas.openxmlformats.org/officeDocument/2006/relationships/hyperlink" Id="rId244"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1"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3"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8" Target="https://doi.org/10.1073/pnas.36.1.48" TargetMode="External" /><Relationship Type="http://schemas.openxmlformats.org/officeDocument/2006/relationships/hyperlink" Id="rId325" Target="https://doi.org/10.1086/258464" TargetMode="External" /><Relationship Type="http://schemas.openxmlformats.org/officeDocument/2006/relationships/hyperlink" Id="rId268" Target="https://doi.org/10.1086/259131" TargetMode="External" /><Relationship Type="http://schemas.openxmlformats.org/officeDocument/2006/relationships/hyperlink" Id="rId250" Target="https://doi.org/10.1086/260629" TargetMode="External" /><Relationship Type="http://schemas.openxmlformats.org/officeDocument/2006/relationships/hyperlink" Id="rId348" Target="https://doi.org/10.1086/261484" TargetMode="External" /><Relationship Type="http://schemas.openxmlformats.org/officeDocument/2006/relationships/hyperlink" Id="rId292" Target="https://doi.org/10.1111/j.1467-999X.1956.tb00099.x" TargetMode="External" /><Relationship Type="http://schemas.openxmlformats.org/officeDocument/2006/relationships/hyperlink" Id="rId306" Target="https://doi.org/10.1137/0115116" TargetMode="External" /><Relationship Type="http://schemas.openxmlformats.org/officeDocument/2006/relationships/hyperlink" Id="rId261" Target="https://doi.org/10.1215/S0012-7094-41-00838-4" TargetMode="External" /><Relationship Type="http://schemas.openxmlformats.org/officeDocument/2006/relationships/hyperlink" Id="rId265"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2" Target="https://doi.org/10.2307/1905465" TargetMode="External" /><Relationship Type="http://schemas.openxmlformats.org/officeDocument/2006/relationships/hyperlink" Id="rId223"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2" Target="https://doi.org/10.2307/1907539" TargetMode="External" /><Relationship Type="http://schemas.openxmlformats.org/officeDocument/2006/relationships/hyperlink" Id="rId323" Target="https://doi.org/10.2307/1909201" TargetMode="External" /><Relationship Type="http://schemas.openxmlformats.org/officeDocument/2006/relationships/hyperlink" Id="rId299" Target="https://doi.org/10.2307/1909407" TargetMode="External" /><Relationship Type="http://schemas.openxmlformats.org/officeDocument/2006/relationships/hyperlink" Id="rId227" Target="https://doi.org/10.2307/1909545" TargetMode="External" /><Relationship Type="http://schemas.openxmlformats.org/officeDocument/2006/relationships/hyperlink" Id="rId317"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1" Target="https://doi.org/10.2307/2525306" TargetMode="External" /><Relationship Type="http://schemas.openxmlformats.org/officeDocument/2006/relationships/hyperlink" Id="rId274" Target="https://doi.org/10.2307/2967550" TargetMode="External" /><Relationship Type="http://schemas.openxmlformats.org/officeDocument/2006/relationships/hyperlink" Id="rId242"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32" Target="https://hetwebsite.net/het/schools/sweden.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4"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5" Target="https://www.gutenberg.org/cache/epub/3300/pg3300.txt" TargetMode="External" /><Relationship Type="http://schemas.openxmlformats.org/officeDocument/2006/relationships/hyperlink" Id="rId330" Target="https://www.hetwebsite.net/het/profiles/cassel.htm" TargetMode="External" /><Relationship Type="http://schemas.openxmlformats.org/officeDocument/2006/relationships/hyperlink" Id="rId328" Target="https://www.hetwebsite.net/het/profiles/wald.htm" TargetMode="External" /><Relationship Type="http://schemas.openxmlformats.org/officeDocument/2006/relationships/hyperlink" Id="rId334" Target="https://www.nobelprize.org/prizes/economic-sciences/1972/summary/" TargetMode="External" /><Relationship Type="http://schemas.openxmlformats.org/officeDocument/2006/relationships/hyperlink" Id="rId336" Target="https://www.nobelprize.org/prizes/economic-sciences/1983/summary/" TargetMode="External" /><Relationship Type="http://schemas.openxmlformats.org/officeDocument/2006/relationships/hyperlink" Id="rId338" Target="https://www.nobelprize.org/prizes/economic-sciences/1998/summary/" TargetMode="External" /><Relationship Type="http://schemas.openxmlformats.org/officeDocument/2006/relationships/hyperlink" Id="rId340" Target="https://www.nobelprize.org/prizes/economic-sciences/2017/summary/" TargetMode="External" /><Relationship Type="http://schemas.openxmlformats.org/officeDocument/2006/relationships/hyperlink" Id="rId342" Target="https://www.nobelprize.org/prizes/economic-sciences/2018/summary/" TargetMode="External" /><Relationship Type="http://schemas.openxmlformats.org/officeDocument/2006/relationships/hyperlink" Id="rId344"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80" Target="http://math.uchicago.edu/~may/REU2019/REUPapers/Liu,Zhengyang.pdf" TargetMode="External" /><Relationship Type="http://schemas.openxmlformats.org/officeDocument/2006/relationships/hyperlink" Id="rId350" Target="https://archive.org/details/lmentsdconomiep01walrgoog" TargetMode="External" /><Relationship Type="http://schemas.openxmlformats.org/officeDocument/2006/relationships/hyperlink" Id="rId239" Target="https://cepr.org/publications/books-and-reports/reducing-transatlantic-barriers-trade-and-investment-economic" TargetMode="External" /><Relationship Type="http://schemas.openxmlformats.org/officeDocument/2006/relationships/hyperlink" Id="rId225" Target="https://cowles.yale.edu/sites/default/files/2022-09/m17-all.pdf" TargetMode="External" /><Relationship Type="http://schemas.openxmlformats.org/officeDocument/2006/relationships/hyperlink" Id="rId219" Target="https://data.consilium.europa.eu/doc/document/ST-6052-2019-INIT/en/pdf" TargetMode="External" /><Relationship Type="http://schemas.openxmlformats.org/officeDocument/2006/relationships/hyperlink" Id="rId279" Target="https://ddd.uab.cat/pub/llibres/2008/137476/microeconomiaavanzada_a2008.pdf" TargetMode="External" /><Relationship Type="http://schemas.openxmlformats.org/officeDocument/2006/relationships/hyperlink" Id="rId208" Target="https://documentos.fedea.net/pubs/eee/2026/eee2026-12.pdf" TargetMode="External" /><Relationship Type="http://schemas.openxmlformats.org/officeDocument/2006/relationships/hyperlink" Id="rId210" Target="https://doi.org/10.1007/BF01456931" TargetMode="External" /><Relationship Type="http://schemas.openxmlformats.org/officeDocument/2006/relationships/hyperlink" Id="rId204" Target="https://doi.org/10.1007/s13209-009-0013-8" TargetMode="External" /><Relationship Type="http://schemas.openxmlformats.org/officeDocument/2006/relationships/hyperlink" Id="rId319" Target="https://doi.org/10.1016/0022-0531(73)90066-5" TargetMode="External" /><Relationship Type="http://schemas.openxmlformats.org/officeDocument/2006/relationships/hyperlink" Id="rId277" Target="https://doi.org/10.1016/0022-0531(74)90100-8" TargetMode="External" /><Relationship Type="http://schemas.openxmlformats.org/officeDocument/2006/relationships/hyperlink" Id="rId229" Target="https://doi.org/10.1016/0304-4068(74)90032-9" TargetMode="External" /><Relationship Type="http://schemas.openxmlformats.org/officeDocument/2006/relationships/hyperlink" Id="rId244" Target="https://doi.org/10.1016/0304-4068(76)90029-X" TargetMode="External" /><Relationship Type="http://schemas.openxmlformats.org/officeDocument/2006/relationships/hyperlink" Id="rId79" Target="https://doi.org/10.1016/S0185-0849(14)71348-9" TargetMode="External" /><Relationship Type="http://schemas.openxmlformats.org/officeDocument/2006/relationships/hyperlink" Id="rId321" Target="https://doi.org/10.1016/j.econmod.2011.10.001" TargetMode="External" /><Relationship Type="http://schemas.openxmlformats.org/officeDocument/2006/relationships/hyperlink" Id="rId206" Target="https://doi.org/10.1016/j.euroecorev.2020.103469" TargetMode="External" /><Relationship Type="http://schemas.openxmlformats.org/officeDocument/2006/relationships/hyperlink" Id="rId263" Target="https://doi.org/10.1017/CBO9780511614330.014" TargetMode="External" /><Relationship Type="http://schemas.openxmlformats.org/officeDocument/2006/relationships/hyperlink" Id="rId196" Target="https://doi.org/10.1073/pnas.2312030121" TargetMode="External" /><Relationship Type="http://schemas.openxmlformats.org/officeDocument/2006/relationships/hyperlink" Id="rId288" Target="https://doi.org/10.1073/pnas.36.1.48" TargetMode="External" /><Relationship Type="http://schemas.openxmlformats.org/officeDocument/2006/relationships/hyperlink" Id="rId325" Target="https://doi.org/10.1086/258464" TargetMode="External" /><Relationship Type="http://schemas.openxmlformats.org/officeDocument/2006/relationships/hyperlink" Id="rId268" Target="https://doi.org/10.1086/259131" TargetMode="External" /><Relationship Type="http://schemas.openxmlformats.org/officeDocument/2006/relationships/hyperlink" Id="rId250" Target="https://doi.org/10.1086/260629" TargetMode="External" /><Relationship Type="http://schemas.openxmlformats.org/officeDocument/2006/relationships/hyperlink" Id="rId348" Target="https://doi.org/10.1086/261484" TargetMode="External" /><Relationship Type="http://schemas.openxmlformats.org/officeDocument/2006/relationships/hyperlink" Id="rId292" Target="https://doi.org/10.1111/j.1467-999X.1956.tb00099.x" TargetMode="External" /><Relationship Type="http://schemas.openxmlformats.org/officeDocument/2006/relationships/hyperlink" Id="rId306" Target="https://doi.org/10.1137/0115116" TargetMode="External" /><Relationship Type="http://schemas.openxmlformats.org/officeDocument/2006/relationships/hyperlink" Id="rId261" Target="https://doi.org/10.1215/S0012-7094-41-00838-4" TargetMode="External" /><Relationship Type="http://schemas.openxmlformats.org/officeDocument/2006/relationships/hyperlink" Id="rId265" Target="https://doi.org/10.1257/jep.6.2.117" TargetMode="External" /><Relationship Type="http://schemas.openxmlformats.org/officeDocument/2006/relationships/hyperlink" Id="rId179" Target="https://doi.org/10.21642/JGEA.100201AF" TargetMode="External" /><Relationship Type="http://schemas.openxmlformats.org/officeDocument/2006/relationships/hyperlink" Id="rId272" Target="https://doi.org/10.2307/1905465" TargetMode="External" /><Relationship Type="http://schemas.openxmlformats.org/officeDocument/2006/relationships/hyperlink" Id="rId223" Target="https://doi.org/10.2307/1906814" TargetMode="External" /><Relationship Type="http://schemas.openxmlformats.org/officeDocument/2006/relationships/hyperlink" Id="rId190" Target="https://doi.org/10.2307/1907353" TargetMode="External" /><Relationship Type="http://schemas.openxmlformats.org/officeDocument/2006/relationships/hyperlink" Id="rId282" Target="https://doi.org/10.2307/1907539" TargetMode="External" /><Relationship Type="http://schemas.openxmlformats.org/officeDocument/2006/relationships/hyperlink" Id="rId323" Target="https://doi.org/10.2307/1909201" TargetMode="External" /><Relationship Type="http://schemas.openxmlformats.org/officeDocument/2006/relationships/hyperlink" Id="rId299" Target="https://doi.org/10.2307/1909407" TargetMode="External" /><Relationship Type="http://schemas.openxmlformats.org/officeDocument/2006/relationships/hyperlink" Id="rId227" Target="https://doi.org/10.2307/1909545" TargetMode="External" /><Relationship Type="http://schemas.openxmlformats.org/officeDocument/2006/relationships/hyperlink" Id="rId317" Target="https://doi.org/10.2307/1913184" TargetMode="External" /><Relationship Type="http://schemas.openxmlformats.org/officeDocument/2006/relationships/hyperlink" Id="rId201" Target="https://doi.org/10.2307/2228949" TargetMode="External" /><Relationship Type="http://schemas.openxmlformats.org/officeDocument/2006/relationships/hyperlink" Id="rId187" Target="https://doi.org/10.2307/2296188" TargetMode="External" /><Relationship Type="http://schemas.openxmlformats.org/officeDocument/2006/relationships/hyperlink" Id="rId231" Target="https://doi.org/10.2307/2525306" TargetMode="External" /><Relationship Type="http://schemas.openxmlformats.org/officeDocument/2006/relationships/hyperlink" Id="rId274" Target="https://doi.org/10.2307/2967550" TargetMode="External" /><Relationship Type="http://schemas.openxmlformats.org/officeDocument/2006/relationships/hyperlink" Id="rId242" Target="https://doi.org/10.7146/math.scand.a-10436" TargetMode="External" /><Relationship Type="http://schemas.openxmlformats.org/officeDocument/2006/relationships/hyperlink" Id="rId27" Target="https://es.wikipedia.org/wiki/Tanteo_walrasiano" TargetMode="External" /><Relationship Type="http://schemas.openxmlformats.org/officeDocument/2006/relationships/hyperlink" Id="rId28" Target="https://hetwebsite.net/het/essays/get/existence.htm" TargetMode="External" /><Relationship Type="http://schemas.openxmlformats.org/officeDocument/2006/relationships/hyperlink" Id="rId332" Target="https://hetwebsite.net/het/schools/sweden.htm" TargetMode="External" /><Relationship Type="http://schemas.openxmlformats.org/officeDocument/2006/relationships/hyperlink" Id="rId217" Target="https://op.europa.eu/en/publication-detail/-/publication/6f1a741f-677e-11f0-bf4e-01aa75ed71a1/language-en" TargetMode="External" /><Relationship Type="http://schemas.openxmlformats.org/officeDocument/2006/relationships/hyperlink" Id="rId294" Target="https://ustr.gov/about/policy-offices/press-office/press-releases/2026/july/ambassador-greer-issues-statement-usmca-joint-review" TargetMode="External" /><Relationship Type="http://schemas.openxmlformats.org/officeDocument/2006/relationships/hyperlink" Id="rId215" Target="https://web.jrc.ec.europa.eu/policy-model-inventory/explore/models/model-quest" TargetMode="External" /><Relationship Type="http://schemas.openxmlformats.org/officeDocument/2006/relationships/hyperlink" Id="rId181" Target="https://www.bde.es/wbe/es/publicaciones/analisis-economico-investigacion/documentos-trabajo/bemod-dsge-model-for-spanish-economy-and-rest-euro-area.html" TargetMode="External" /><Relationship Type="http://schemas.openxmlformats.org/officeDocument/2006/relationships/hyperlink" Id="rId213" Target="https://www.ecb.europa.eu/pub/pdf/scpwps/ecb.wp2200.en.pdf" TargetMode="External" /><Relationship Type="http://schemas.openxmlformats.org/officeDocument/2006/relationships/hyperlink" Id="rId198" Target="https://www.econlib.org/book-chapters/chapter-s-1-ch-18-there-are-no-absolute-principles" TargetMode="External" /><Relationship Type="http://schemas.openxmlformats.org/officeDocument/2006/relationships/hyperlink" Id="rId315" Target="https://www.gutenberg.org/cache/epub/3300/pg3300.txt" TargetMode="External" /><Relationship Type="http://schemas.openxmlformats.org/officeDocument/2006/relationships/hyperlink" Id="rId330" Target="https://www.hetwebsite.net/het/profiles/cassel.htm" TargetMode="External" /><Relationship Type="http://schemas.openxmlformats.org/officeDocument/2006/relationships/hyperlink" Id="rId328" Target="https://www.hetwebsite.net/het/profiles/wald.htm" TargetMode="External" /><Relationship Type="http://schemas.openxmlformats.org/officeDocument/2006/relationships/hyperlink" Id="rId334" Target="https://www.nobelprize.org/prizes/economic-sciences/1972/summary/" TargetMode="External" /><Relationship Type="http://schemas.openxmlformats.org/officeDocument/2006/relationships/hyperlink" Id="rId336" Target="https://www.nobelprize.org/prizes/economic-sciences/1983/summary/" TargetMode="External" /><Relationship Type="http://schemas.openxmlformats.org/officeDocument/2006/relationships/hyperlink" Id="rId338" Target="https://www.nobelprize.org/prizes/economic-sciences/1998/summary/" TargetMode="External" /><Relationship Type="http://schemas.openxmlformats.org/officeDocument/2006/relationships/hyperlink" Id="rId340" Target="https://www.nobelprize.org/prizes/economic-sciences/2017/summary/" TargetMode="External" /><Relationship Type="http://schemas.openxmlformats.org/officeDocument/2006/relationships/hyperlink" Id="rId342" Target="https://www.nobelprize.org/prizes/economic-sciences/2018/summary/" TargetMode="External" /><Relationship Type="http://schemas.openxmlformats.org/officeDocument/2006/relationships/hyperlink" Id="rId344" Target="https://www.usitc.gov/publications/332/pub4889.pdf" TargetMode="External" /><Relationship Type="http://schemas.openxmlformats.org/officeDocument/2006/relationships/hyperlink" Id="rId176"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language>es-ES</dc:language>
  <cp:keywords/>
  <dcterms:created xsi:type="dcterms:W3CDTF">2026-10-16T22:28:43Z</dcterms:created>
  <dcterms:modified xsi:type="dcterms:W3CDTF">2026-10-16T22:28:43Z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3A21</vt:lpwstr>
  </property>
  <property fmtid="{D5CDD505-2E9C-101B-9397-08002B2CF9AE}" pid="4" name="bibliography">
    <vt:lpwstr>C:\Users\vgutierrez\Documents\src\victorgutierrezmarcos.github.io-revision\oposicion\temario\fuentes\3A21\3A21.bib</vt:lpwstr>
  </property>
  <property fmtid="{D5CDD505-2E9C-101B-9397-08002B2CF9AE}" pid="5" name="carpeta">
    <vt:lpwstr>tercer-ejercicio</vt:lpwstr>
  </property>
  <property fmtid="{D5CDD505-2E9C-101B-9397-08002B2CF9AE}" pid="6" name="codigo">
    <vt:lpwstr>3.A.21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C:\Users\vgutierrez\Documents\src\victorgutierrezmarcos.github.io-revision\oposicion\temario\fuentes\3A21\graficos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29 págs. · Anexos: 9 · Bibliografía: 7</vt:lpwstr>
  </property>
  <property fmtid="{D5CDD505-2E9C-101B-9397-08002B2CF9AE}" pid="18"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microeconomía</vt:lpwstr>
  </property>
  <property fmtid="{D5CDD505-2E9C-101B-9397-08002B2CF9AE}" pid="19" name="reference-section-title">
    <vt:lpwstr>Bibliografía</vt:lpwstr>
  </property>
  <property fmtid="{D5CDD505-2E9C-101B-9397-08002B2CF9AE}" pid="20" name="resumen">
    <vt:lpwstr>Modelos de Walras y Arrow-Debreu, existencia, unicidad y estabilidad, teoremas del bienestar, núcleo, Sonnenschein-Mantel-Debreu y modelos MEGC.</vt:lpwstr>
  </property>
  <property fmtid="{D5CDD505-2E9C-101B-9397-08002B2CF9AE}" pid="21" name="titulo">
    <vt:lpwstr>La teoría del equilibrio general.</vt:lpwstr>
  </property>
  <property fmtid="{D5CDD505-2E9C-101B-9397-08002B2CF9AE}" pid="22" name="titulo-seo">
    <vt:lpwstr>Equilibrio general: Walras y Arrow-Debreu</vt:lpwstr>
  </property>
</Properties>
</file>