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png" ContentType="image/png"/>
  <Override PartName="/word/media/rId84.png" ContentType="image/png"/>
  <Override PartName="/word/media/rId36.png" ContentType="image/png"/>
  <Override PartName="/word/media/rId49.png" ContentType="image/png"/>
  <Override PartName="/word/media/rId124.png" ContentType="image/png"/>
  <Override PartName="/word/media/rId24.png" ContentType="image/png"/>
  <Override PartName="/word/media/rId224.png" ContentType="image/png"/>
  <Override PartName="/word/media/rId185.png" ContentType="image/png"/>
  <Override PartName="/word/media/rId42.png" ContentType="image/png"/>
  <Override PartName="/word/media/rId63.png" ContentType="image/png"/>
  <Override PartName="/word/media/rId108.png" ContentType="image/png"/>
  <Override PartName="/word/media/rId138.png" ContentType="image/png"/>
  <Override PartName="/word/media/rId166.png" ContentType="image/png"/>
  <Override PartName="/word/media/rId104.png" ContentType="image/png"/>
  <Override PartName="/word/media/rId150.png" ContentType="image/png"/>
  <Override PartName="/word/media/rId176.png" ContentType="image/png"/>
  <Override PartName="/word/media/rId171.png" ContentType="image/png"/>
  <Override PartName="/word/media/rId115.png" ContentType="image/png"/>
  <Override PartName="/word/media/rId128.png" ContentType="image/png"/>
  <Override PartName="/word/media/rId142.png" ContentType="image/png"/>
  <Override PartName="/word/media/rId54.png" ContentType="image/png"/>
  <Override PartName="/word/media/rId155.png" ContentType="image/png"/>
  <Override PartName="/word/media/rId159.png" ContentType="image/png"/>
  <Override PartName="/word/media/rId71.png" ContentType="image/png"/>
  <Override PartName="/word/media/rId202.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23"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rPr>
          <w:smallCaps/>
        </w:rPr>
        <w:t xml:space="preserve">Smith</w:t>
      </w:r>
      <w:r>
        <w:t xml:space="preserve"> </w:t>
      </w:r>
      <w:r>
        <w:t xml:space="preserve">(</w:t>
      </w:r>
      <w:hyperlink w:anchor="ref-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r>
        <w:rPr>
          <w:rStyle w:val="Referenciaatema"/>
        </w:rPr>
        <w:t xml:space="preserve">[ver tema 3.A.12]</w:t>
      </w:r>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r>
        <w:rPr>
          <w:rStyle w:val="Referenciaatema"/>
        </w:rPr>
        <w:t xml:space="preserve">[ver tema 3.A.12]</w:t>
      </w:r>
      <w:r>
        <w:t xml:space="preserve">, la oferta de la empresa y de la industria</w:t>
      </w:r>
      <w:r>
        <w:t xml:space="preserve"> </w:t>
      </w:r>
      <w:r>
        <w:rPr>
          <w:rStyle w:val="Referenciaatema"/>
        </w:rPr>
        <w:t xml:space="preserve">[ver tema 3.A.16]</w:t>
      </w:r>
      <w:r>
        <w:t xml:space="preserve"> </w:t>
      </w:r>
      <w:r>
        <w:t xml:space="preserve">y la demanda de factores, y con ella la remuneración de cada factor según su productividad marginal</w:t>
      </w:r>
      <w:r>
        <w:t xml:space="preserve"> </w:t>
      </w:r>
      <w:r>
        <w:rPr>
          <w:rStyle w:val="Referenciaatema"/>
        </w:rPr>
        <w:t xml:space="preserve">[ver tema 3.A.25]</w:t>
      </w:r>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r>
        <w:rPr>
          <w:rStyle w:val="Referenciaatema"/>
        </w:rPr>
        <w:t xml:space="preserve">[ver tema 3.A.43]</w:t>
      </w:r>
      <w:r>
        <w:t xml:space="preserve"> </w:t>
      </w:r>
      <w:r>
        <w:rPr>
          <w:rStyle w:val="Referenciaatema"/>
        </w:rPr>
        <w:t xml:space="preserve">[ver tema 3.A.44]</w:t>
      </w:r>
      <w:r>
        <w:t xml:space="preserve">, de la contabilidad del crecimiento y de la productividad total de los factores</w:t>
      </w:r>
      <w:r>
        <w:t xml:space="preserve"> </w:t>
      </w:r>
      <w:r>
        <w:rPr>
          <w:rStyle w:val="Referenciaatema"/>
        </w:rPr>
        <w:t xml:space="preserve">[ver tema 3.A.45]</w:t>
      </w:r>
      <w:r>
        <w:t xml:space="preserve"> </w:t>
      </w:r>
      <w:r>
        <w:t xml:space="preserve">y de los ciclos reales</w:t>
      </w:r>
      <w:r>
        <w:t xml:space="preserve"> </w:t>
      </w:r>
      <w:r>
        <w:rPr>
          <w:rStyle w:val="Referenciaatema"/>
        </w:rPr>
        <w:t xml:space="preserve">[ver tema 3.A.42]</w:t>
      </w:r>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r>
        <w:rPr>
          <w:rStyle w:val="Referenciaatema"/>
        </w:rPr>
        <w:t xml:space="preserve">[ver tema 3.B.5]</w:t>
      </w:r>
      <w:r>
        <w:t xml:space="preserve">, y los rendimientos crecientes a escala, el comercio intraindustrial</w:t>
      </w:r>
      <w:r>
        <w:t xml:space="preserve"> </w:t>
      </w:r>
      <w:r>
        <w:rPr>
          <w:rStyle w:val="Referenciaatema"/>
        </w:rPr>
        <w:t xml:space="preserve">[ver tema 3.B.6]</w:t>
      </w:r>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r>
        <w:rPr>
          <w:rStyle w:val="Referenciaatema"/>
        </w:rPr>
        <w:t xml:space="preserve">[ver tema 3.A.17]</w:t>
      </w:r>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HET2026Production">
        <w:r>
          <w:rPr>
            <w:rStyle w:val="Hyperlink"/>
            <w:smallCaps/>
          </w:rPr>
          <w:t xml:space="preserve">The History of Economic Thought Website</w:t>
        </w:r>
        <w:r>
          <w:rPr>
            <w:rStyle w:val="Hyperlink"/>
          </w:rPr>
          <w:t xml:space="preserve"> </w:t>
        </w:r>
        <w:r>
          <w:rPr>
            <w:rStyle w:val="Hyperlink"/>
          </w:rPr>
          <w:t xml:space="preserve">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Lowry1987Archaeology">
        <w:r>
          <w:rPr>
            <w:rStyle w:val="Hyperlink"/>
            <w:smallCaps/>
          </w:rPr>
          <w:t xml:space="preserve">Lowry</w:t>
        </w:r>
        <w:r>
          <w:rPr>
            <w:rStyle w:val="Hyperlink"/>
          </w:rPr>
          <w:t xml:space="preserve"> </w:t>
        </w:r>
        <w:r>
          <w:rPr>
            <w:rStyle w:val="Hyperlink"/>
          </w:rPr>
          <w:t xml:space="preserve">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r>
        <w:rPr>
          <w:rStyle w:val="Referenciaatema"/>
        </w:rPr>
        <w:t xml:space="preserve">[ver tema 3.A.2]</w:t>
      </w:r>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Pareto1896Cours">
        <w:r>
          <w:rPr>
            <w:rStyle w:val="Hyperlink"/>
          </w:rPr>
          <w:t xml:space="preserve">1896</w:t>
        </w:r>
      </w:hyperlink>
      <w:r>
        <w:t xml:space="preserve">)</w:t>
      </w:r>
      <w:r>
        <w:t xml:space="preserve">,</w:t>
      </w:r>
      <w:r>
        <w:t xml:space="preserve"> </w:t>
      </w:r>
      <w:r>
        <w:t xml:space="preserve">(</w:t>
      </w:r>
      <w:hyperlink w:anchor="ref-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w:t>
      </w:r>
      <w:hyperlink w:anchor="ref-Clark1899Distribution">
        <w:r>
          <w:rPr>
            <w:rStyle w:val="Hyperlink"/>
            <w:smallCaps/>
          </w:rPr>
          <w:t xml:space="preserve">Clark</w:t>
        </w:r>
        <w:r>
          <w:rPr>
            <w:rStyle w:val="Hyperlink"/>
          </w:rPr>
          <w:t xml:space="preserve"> </w:t>
        </w:r>
        <w:r>
          <w:rPr>
            <w:rStyle w:val="Hyperlink"/>
          </w:rPr>
          <w:t xml:space="preserve">1899</w:t>
        </w:r>
      </w:hyperlink>
      <w:r>
        <w:t xml:space="preserve">;</w:t>
      </w:r>
      <w:r>
        <w:t xml:space="preserve"> </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22"/>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r>
        <w:rPr>
          <w:rStyle w:val="Referenciaatema"/>
        </w:rPr>
        <w:t xml:space="preserve">[ver tema 3.A.18]</w:t>
      </w:r>
      <w:r>
        <w:t xml:space="preserve">: la teoría de la empresa y de los mercados sigue desde entonces su propio camino</w:t>
      </w:r>
      <w:r>
        <w:t xml:space="preserve"> </w:t>
      </w:r>
      <w:r>
        <w:rPr>
          <w:rStyle w:val="Referenciaatema"/>
        </w:rPr>
        <w:t xml:space="preserve">[ver tema 3.A.15]</w:t>
      </w:r>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y</w:t>
      </w:r>
      <w:r>
        <w:t xml:space="preserve"> </w:t>
      </w:r>
      <w:r>
        <w:rPr>
          <w:smallCaps/>
        </w:rPr>
        <w:t xml:space="preserve">Stigler</w:t>
      </w:r>
      <w:r>
        <w:t xml:space="preserve"> </w:t>
      </w:r>
      <w:r>
        <w:t xml:space="preserve">(</w:t>
      </w:r>
      <w:hyperlink w:anchor="ref-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r>
        <w:rPr>
          <w:rStyle w:val="Referenciaatema"/>
        </w:rPr>
        <w:t xml:space="preserve">[ver tema 3.A.12]</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b/>
          <w:bCs/>
        </w:rPr>
        <w:t xml:space="preserve">I. La tecnología</w:t>
      </w:r>
      <w:r>
        <w:t xml:space="preserve">: definiremos el conjunto de posibilidades de producción y sus axiomas (I.1), obtendremos de él la función de producción, sus propiedades y su curvatura (I.2)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(I.3).</w:t>
      </w:r>
    </w:p>
    <w:p>
      <w:pPr>
        <w:numPr>
          <w:ilvl w:val="1"/>
          <w:numId w:val="1008"/>
        </w:numPr>
      </w:pPr>
      <w:r>
        <w:rPr>
          <w:b/>
          <w:b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(II.1); a largo plazo, con todos los factores variables: rendimientos a escala globales y locales (II.2), y a muy largo plazo, cuando cambia la propia tecnología: el progreso técnico y sus tipos neutrales (II.3).</w:t>
      </w:r>
    </w:p>
    <w:p>
      <w:pPr>
        <w:numPr>
          <w:ilvl w:val="1"/>
          <w:numId w:val="1008"/>
        </w:numPr>
      </w:pPr>
      <w:r>
        <w:rPr>
          <w:b/>
          <w:b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(III.1), y la producción conjunta de varios bienes por una empresa, con su función de transformación (III.2).</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(I); después, cómo varía lo posible según el plazo (II), y, por último, cómo se generaliza a varios productos (III).</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(I) a cómo responde la producción en cada plazo (II) y a la producción de varios bienes (III). Reparto orientativo del cante (introducción, 2′30″; conclusión, 1′30″): I, 10′ (I.1, 3′; I.2, 2′30″; I.3, 4′30″); II, 11′30″ (II.1, 4′; II.2, 5′; II.3, 2′30″); III, 4′30″ (III.1, 2′30″; III.2, 2′). La superficie de producción con los 3 plazos (gráfico 9)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23"/>
    <w:bookmarkStart w:id="103" w:name="X0b846a096ad4d8bd60175f56a8a6255955a0ded"/>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r>
        <w:rPr>
          <w:rStyle w:val="Referenciaatema"/>
        </w:rPr>
        <w:t xml:space="preserve">[ver tema 3.A.8]</w:t>
      </w:r>
      <w:r>
        <w:t xml:space="preserve">, en 3 pasos (gráfico 1):</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r>
        <w:rPr>
          <w:rStyle w:val="Referenciaatema"/>
        </w:rPr>
        <w:t xml:space="preserve">[ver tema 3.A.12]</w:t>
      </w:r>
      <w:r>
        <w:t xml:space="preserve">.</w:t>
      </w:r>
    </w:p>
    <w:bookmarkStart w:id="27" w:name="fig:esquema-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 title="" id="25" name="Picture"/>
            <a:graphic>
              <a:graphicData uri="http://schemas.openxmlformats.org/drawingml/2006/picture">
                <pic:pic>
                  <pic:nvPicPr>
                    <pic:cNvPr descr="C:\Users\vgutierrez\Documents\src\victorgutierrezmarcos.github.io-revision\oposicion\temario\fuentes\3A11\graficos/esquema-tecnologia.png" id="26" name="Picture"/>
                    <pic:cNvPicPr>
                      <a:picLocks noChangeArrowheads="1" noChangeAspect="1"/>
                    </pic:cNvPicPr>
                  </pic:nvPicPr>
                  <pic:blipFill>
                    <a:blip r:embed="rId24"/>
                    <a:stretch>
                      <a:fillRect/>
                    </a:stretch>
                  </pic:blipFill>
                  <pic:spPr bwMode="auto">
                    <a:xfrm>
                      <a:off x="0" y="0"/>
                      <a:ext cx="5372100" cy="1411248"/>
                    </a:xfrm>
                    <a:prstGeom prst="rect">
                      <a:avLst/>
                    </a:prstGeom>
                    <a:noFill/>
                    <a:ln w="9525">
                      <a:noFill/>
                      <a:headEnd/>
                      <a:tailEnd/>
                    </a:ln>
                  </pic:spPr>
                </pic:pic>
              </a:graphicData>
            </a:graphic>
          </wp:inline>
        </w:drawing>
      </w:r>
    </w:p>
    <w:bookmarkEnd w:id="27"/>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2); la función de producción como su frontera eficiente, la superficie en tres dimensiones (gráfico 3) y sus propiedades; después, su curvatura, distinguiendo cuasiconcavidad (isocuantas convexas) y concavidad (rendimientos no crecientes); las isocuantas con sus propiedades, la RMST, las isoclinas y la elasticidad de sustitución, y la Cobb-Douglas, la CES con sus límites (gráfico 8)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28">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29">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30">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FulekyAnatomy">
        <w:r>
          <w:rPr>
            <w:rStyle w:val="Hyperlink"/>
          </w:rPr>
          <w:t xml:space="preserve">2006</w:t>
        </w:r>
      </w:hyperlink>
      <w:r>
        <w:t xml:space="preserve">)</w:t>
      </w:r>
      <w:r>
        <w:t xml:space="preserve">, gráficos tridimensionales de la Cobb-Douglas (copia archivada):</w:t>
      </w:r>
      <w:r>
        <w:t xml:space="preserve"> </w:t>
      </w:r>
      <w:hyperlink r:id="rId31">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32">
        <w:r>
          <w:rPr>
            <w:rStyle w:val="Hyperlink"/>
          </w:rPr>
          <w:t xml:space="preserve">https://www.hetwebsite.net/het/essays/product/prodcont.htm</w:t>
        </w:r>
      </w:hyperlink>
    </w:p>
    <w:bookmarkStart w:id="41" w:name="X6223317c5cd2f7adbc7e87898bddc32f466a6c6"/>
    <w:p>
      <w:pPr>
        <w:pStyle w:val="Heading2"/>
      </w:pPr>
      <w:r>
        <w:t xml:space="preserve">I.1.</w:t>
      </w:r>
      <w:r>
        <w:t xml:space="preserve"> </w:t>
      </w:r>
      <w:r>
        <w:t xml:space="preserve">Conjunto tecnológico: el conjunto de posibilidades de producción</w:t>
      </w:r>
    </w:p>
    <w:bookmarkStart w:id="33" w:name="definició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I.2);</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III.</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I.3)</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bookmarkEnd w:id="33"/>
    <w:bookmarkStart w:id="40" w:name="propiedades-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34"/>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I.2). Lo que decide su curvatura, como la convexidad del conjunto, son supuestos adicionales que se añaden después.</w:t>
      </w:r>
      <w:r>
        <w:rPr>
          <w:rStyle w:val="FootnoteReference"/>
        </w:rPr>
        <w:footnoteReference w:id="35"/>
      </w:r>
    </w:p>
    <w:bookmarkStart w:id="39" w:name="fig:conjunto-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 title="" id="37" name="Picture"/>
            <a:graphic>
              <a:graphicData uri="http://schemas.openxmlformats.org/drawingml/2006/picture">
                <pic:pic>
                  <pic:nvPicPr>
                    <pic:cNvPr descr="C:\Users\vgutierrez\Documents\src\victorgutierrezmarcos.github.io-revision\oposicion\temario\fuentes\3A11\graficos/conjunto-produccion.png" id="38" name="Picture"/>
                    <pic:cNvPicPr>
                      <a:picLocks noChangeArrowheads="1" noChangeAspect="1"/>
                    </pic:cNvPicPr>
                  </pic:nvPicPr>
                  <pic:blipFill>
                    <a:blip r:embed="rId36"/>
                    <a:stretch>
                      <a:fillRect/>
                    </a:stretch>
                  </pic:blipFill>
                  <pic:spPr bwMode="auto">
                    <a:xfrm>
                      <a:off x="0" y="0"/>
                      <a:ext cx="3519981" cy="2541359"/>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p>
      <w:pPr>
        <w:keepNext/>
        <w:numPr>
          <w:ilvl w:val="0"/>
          <w:numId w:val="1017"/>
        </w:numPr>
      </w:pPr>
      <w:r>
        <w:t xml:space="preserve">En el gráfico 2 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II.1).</w:t>
      </w:r>
    </w:p>
    <w:bookmarkEnd w:id="40"/>
    <w:bookmarkEnd w:id="41"/>
    <w:bookmarkStart w:id="60" w:name="la-función-de-producción"/>
    <w:p>
      <w:pPr>
        <w:pStyle w:val="Heading2"/>
      </w:pPr>
      <w:r>
        <w:t xml:space="preserve">I.2.</w:t>
      </w:r>
      <w:r>
        <w:t xml:space="preserve"> </w:t>
      </w:r>
      <w:r>
        <w:t xml:space="preserve">La función de producción</w:t>
      </w:r>
    </w:p>
    <w:bookmarkStart w:id="46" w:name="definición-1"/>
    <w:p>
      <w:pPr>
        <w:pStyle w:val="Heading4"/>
      </w:pPr>
      <w:r>
        <w:t xml:space="preserve">Definición</w:t>
      </w:r>
    </w:p>
    <w:p>
      <w:pPr>
        <w:numPr>
          <w:ilvl w:val="0"/>
          <w:numId w:val="1019"/>
        </w:numPr>
      </w:pPr>
      <w:r>
        <w:t xml:space="preserve">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3).</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i/>
          <w:i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Start w:id="45" w:name="fig:funcion-produccion-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 title="" id="43" name="Picture"/>
            <a:graphic>
              <a:graphicData uri="http://schemas.openxmlformats.org/drawingml/2006/picture">
                <pic:pic>
                  <pic:nvPicPr>
                    <pic:cNvPr descr="C:\Users\vgutierrez\Documents\src\victorgutierrezmarcos.github.io-revision\oposicion\temario\fuentes\3A11\graficos/funcion-produccion-3d.png" id="44" name="Picture"/>
                    <pic:cNvPicPr>
                      <a:picLocks noChangeArrowheads="1" noChangeAspect="1"/>
                    </pic:cNvPicPr>
                  </pic:nvPicPr>
                  <pic:blipFill>
                    <a:blip r:embed="rId42"/>
                    <a:stretch>
                      <a:fillRect/>
                    </a:stretch>
                  </pic:blipFill>
                  <pic:spPr bwMode="auto">
                    <a:xfrm>
                      <a:off x="0" y="0"/>
                      <a:ext cx="3874731" cy="3058193"/>
                    </a:xfrm>
                    <a:prstGeom prst="rect">
                      <a:avLst/>
                    </a:prstGeom>
                    <a:noFill/>
                    <a:ln w="9525">
                      <a:noFill/>
                      <a:headEnd/>
                      <a:tailEnd/>
                    </a:ln>
                  </pic:spPr>
                </pic:pic>
              </a:graphicData>
            </a:graphic>
          </wp:inline>
        </w:drawing>
      </w:r>
    </w:p>
    <w:bookmarkEnd w:id="45"/>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46"/>
    <w:bookmarkStart w:id="48"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r>
        <w:rPr>
          <w:rStyle w:val="Referenciaatema"/>
        </w:rPr>
        <w:t xml:space="preserve">[ver tema 3.A.8]</w:t>
      </w:r>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47"/>
      </w:r>
    </w:p>
    <w:bookmarkEnd w:id="48"/>
    <w:bookmarkStart w:id="59" w:name="curvatura-y-propiedades-de-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II.2)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4).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5.B.2)</w:t>
      </w:r>
      <w:r>
        <w:t xml:space="preserve">. La divisibilidad excluye los rendimientos crecientes y la aditividad, los decrecientes.</w:t>
      </w:r>
    </w:p>
    <w:bookmarkStart w:id="52" w:name="fig:convexidad-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 title="" id="50" name="Picture"/>
            <a:graphic>
              <a:graphicData uri="http://schemas.openxmlformats.org/drawingml/2006/picture">
                <pic:pic>
                  <pic:nvPicPr>
                    <pic:cNvPr descr="C:\Users\vgutierrez\Documents\src\victorgutierrezmarcos.github.io-revision\oposicion\temario\fuentes\3A11\graficos/convexidad-conjunto.png" id="51" name="Picture"/>
                    <pic:cNvPicPr>
                      <a:picLocks noChangeArrowheads="1" noChangeAspect="1"/>
                    </pic:cNvPicPr>
                  </pic:nvPicPr>
                  <pic:blipFill>
                    <a:blip r:embed="rId49"/>
                    <a:stretch>
                      <a:fillRect/>
                    </a:stretch>
                  </pic:blipFill>
                  <pic:spPr bwMode="auto">
                    <a:xfrm>
                      <a:off x="0" y="0"/>
                      <a:ext cx="2180492" cy="1709530"/>
                    </a:xfrm>
                    <a:prstGeom prst="rect">
                      <a:avLst/>
                    </a:prstGeom>
                    <a:noFill/>
                    <a:ln w="9525">
                      <a:noFill/>
                      <a:headEnd/>
                      <a:tailEnd/>
                    </a:ln>
                  </pic:spPr>
                </pic:pic>
              </a:graphicData>
            </a:graphic>
          </wp:inline>
        </w:drawing>
      </w:r>
    </w:p>
    <w:bookmarkEnd w:id="52"/>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r>
        <w:rPr>
          <w:rStyle w:val="FootnoteReference"/>
        </w:rPr>
        <w:footnoteReference w:id="53"/>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Inada1963Two">
        <w:r>
          <w:rPr>
            <w:rStyle w:val="Hyperlink"/>
            <w:smallCaps/>
          </w:rPr>
          <w:t xml:space="preserve">Inada</w:t>
        </w:r>
        <w:r>
          <w:rPr>
            <w:rStyle w:val="Hyperlink"/>
          </w:rPr>
          <w:t xml:space="preserve"> </w:t>
        </w:r>
        <w:r>
          <w:rPr>
            <w:rStyle w:val="Hyperlink"/>
          </w:rPr>
          <w:t xml:space="preserve">1963</w:t>
        </w:r>
      </w:hyperlink>
      <w:r>
        <w:t xml:space="preserve">)</w:t>
      </w:r>
      <w:r>
        <w:t xml:space="preserve">, habituales en la teoría del crecimiento:</w:t>
      </w:r>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El gráfico 5 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57" w:name="fig:rendimientos-escala-tipos-3d"/>
    <w:p>
      <w:pPr>
        <w:pStyle w:val="ImageCaption"/>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Pr>
      <w:r>
        <w:drawing>
          <wp:inline>
            <wp:extent cx="5670550" cy="5986574"/>
            <wp:effectExtent b="0" l="0" r="0" t="0"/>
            <wp:docPr descr="" title="" id="55" name="Picture"/>
            <a:graphic>
              <a:graphicData uri="http://schemas.openxmlformats.org/drawingml/2006/picture">
                <pic:pic>
                  <pic:nvPicPr>
                    <pic:cNvPr descr="C:\Users\vgutierrez\Documents\src\victorgutierrezmarcos.github.io-revision\oposicion\temario\fuentes\3A11\graficos/rendimientos-escala-tipos-3d.png" id="56" name="Picture"/>
                    <pic:cNvPicPr>
                      <a:picLocks noChangeArrowheads="1" noChangeAspect="1"/>
                    </pic:cNvPicPr>
                  </pic:nvPicPr>
                  <pic:blipFill>
                    <a:blip r:embed="rId54"/>
                    <a:stretch>
                      <a:fillRect/>
                    </a:stretch>
                  </pic:blipFill>
                  <pic:spPr bwMode="auto">
                    <a:xfrm>
                      <a:off x="0" y="0"/>
                      <a:ext cx="5670550" cy="5986574"/>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r>
        <w:rPr>
          <w:rStyle w:val="Referenciaatema"/>
        </w:rPr>
        <w:t xml:space="preserve">[ver tema 3.A.12]</w:t>
      </w:r>
      <w:r>
        <w:t xml:space="preserve">. La tabla 1 resume las definiciones y sus relaciones, y el problema del productor se resume en el anexo B.</w:t>
      </w:r>
    </w:p>
    <w:bookmarkStart w:id="58" w:name="tab:concavidad"/>
    <w:p>
      <w:pPr>
        <w:pStyle w:val="TableCaption"/>
      </w:pPr>
      <w:r>
        <w:t xml:space="preserve">Tabla 1.–</w:t>
      </w:r>
      <w:r>
        <w:t xml:space="preserve"> </w:t>
      </w:r>
      <w:r>
        <w:t xml:space="preserve">Concavidad y cuasiconcavidad: definiciones y relaciones</w:t>
      </w:r>
    </w:p>
    <w:tbl>
      <w:tblPr>
        <w:tblStyle w:val="Table"/>
        <w:tblW w:type="auto" w:w="0"/>
        <w:tblLook w:firstRow="0" w:lastRow="0" w:firstColumn="0" w:lastColumn="0" w:noHBand="0" w:noVBand="0" w:val="0000"/>
        <w:tblCaption w:val="Tabla 1.– Concavidad y cuasiconcavidad: definiciones y relaciones"/>
      </w:tblPr>
      <w:tblGrid>
        <w:gridCol w:w="2640"/>
        <w:gridCol w:w="2640"/>
        <w:gridCol w:w="2640"/>
      </w:tblGrid>
      <w:tr>
        <w:tc>
          <w:tcPr>
            <w:vAlign w:val="center"/>
          </w:tcPr>
          <w:p>
            <w:pPr>
              <w:pStyle w:val="Compact"/>
              <w:jc w:val="left"/>
            </w:pPr>
            <m:oMath>
              <m:r>
                <m:t>F</m:t>
              </m:r>
            </m:oMath>
            <w:r>
              <w:t xml:space="preserve"> </w:t>
            </w:r>
            <w:r>
              <w:t xml:space="preserve">es cóncava</w:t>
            </w:r>
          </w:p>
        </w:tc>
        <w:tc>
          <w:tcPr>
            <w:vAlign w:val="center"/>
          </w:tcPr>
          <w:p>
            <w:pPr>
              <w:pStyle w:val="Compact"/>
              <w:jc w:val="center"/>
            </w:pPr>
            <m:oMath>
              <m:r>
                <m:rPr>
                  <m:sty m:val="p"/>
                </m:rPr>
                <m:t>⇔</m:t>
              </m:r>
            </m:oMath>
          </w:p>
        </w:tc>
        <w:tc>
          <w:tcPr>
            <w:vAlign w:val="center"/>
          </w:tcPr>
          <w:p>
            <w:pPr>
              <w:pStyle w:val="Compact"/>
              <w:jc w:val="left"/>
            </w:pPr>
            <w:r>
              <w:t xml:space="preserve">el conjunto de puntos por debajo de su gráfica es convexo</w:t>
            </w:r>
          </w:p>
        </w:tc>
      </w:tr>
      <w:tr>
        <w:tc>
          <w:tcPr>
            <w:vAlign w:val="center"/>
          </w:tcPr>
          <w:p>
            <w:pPr>
              <w:pStyle w:val="Compact"/>
              <w:jc w:val="left"/>
            </w:pPr>
            <m:oMath>
              <m:r>
                <m:t>F</m:t>
              </m:r>
            </m:oMath>
            <w:r>
              <w:t xml:space="preserve"> </w:t>
            </w:r>
            <w:r>
              <w:t xml:space="preserve">es convexa</w:t>
            </w:r>
          </w:p>
        </w:tc>
        <w:tc>
          <w:tcPr>
            <w:vAlign w:val="center"/>
          </w:tcPr>
          <w:p>
            <w:pPr>
              <w:pStyle w:val="Compact"/>
              <w:jc w:val="center"/>
            </w:pPr>
            <m:oMath>
              <m:r>
                <m:rPr>
                  <m:sty m:val="p"/>
                </m:rPr>
                <m:t>⇔</m:t>
              </m:r>
            </m:oMath>
          </w:p>
        </w:tc>
        <w:tc>
          <w:tcPr>
            <w:vAlign w:val="center"/>
          </w:tcPr>
          <w:p>
            <w:pPr>
              <w:pStyle w:val="Compact"/>
              <w:jc w:val="left"/>
            </w:pPr>
            <w:r>
              <w:t xml:space="preserve">el conjunto de puntos por encima de su gráfica es convexo</w:t>
            </w:r>
          </w:p>
        </w:tc>
      </w:tr>
      <w:tr>
        <w:tc>
          <w:tcPr>
            <w:vAlign w:val="center"/>
          </w:tcPr>
          <w:p>
            <w:pPr>
              <w:pStyle w:val="Compact"/>
              <w:jc w:val="left"/>
            </w:pPr>
            <m:oMath>
              <m:r>
                <m:t>F</m:t>
              </m:r>
            </m:oMath>
            <w:r>
              <w:t xml:space="preserve"> </w:t>
            </w:r>
            <w:r>
              <w:t xml:space="preserve">es cuasicóncava</w:t>
            </w:r>
          </w:p>
        </w:tc>
        <w:tc>
          <w:tcPr>
            <w:vAlign w:val="center"/>
          </w:tcPr>
          <w:p>
            <w:pPr>
              <w:pStyle w:val="Compact"/>
              <w:jc w:val="center"/>
            </w:pPr>
            <m:oMath>
              <m:r>
                <m:rPr>
                  <m:sty m:val="p"/>
                </m:rPr>
                <m:t>⇔</m:t>
              </m:r>
            </m:oMath>
          </w:p>
        </w:tc>
        <w:tc>
          <w:tcP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es cuasiconvexa</w:t>
            </w:r>
          </w:p>
        </w:tc>
        <w:tc>
          <w:tcPr>
            <w:vAlign w:val="center"/>
          </w:tcPr>
          <w:p>
            <w:pPr>
              <w:pStyle w:val="Compact"/>
              <w:jc w:val="center"/>
            </w:pPr>
            <m:oMath>
              <m:r>
                <m:rPr>
                  <m:sty m:val="p"/>
                </m:rPr>
                <m:t>⇔</m:t>
              </m:r>
            </m:oMath>
          </w:p>
        </w:tc>
        <w:tc>
          <w:tcP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vAlign w:val="center"/>
          </w:tcPr>
          <w:p>
            <w:pPr>
              <w:pStyle w:val="Compact"/>
              <w:jc w:val="left"/>
            </w:pPr>
            <m:oMath>
              <m:r>
                <m:t>F</m:t>
              </m:r>
            </m:oMath>
            <w:r>
              <w:t xml:space="preserve"> </w:t>
            </w:r>
            <w:r>
              <w:t xml:space="preserve">cóncava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cuasicóncava (no al revés)</w:t>
            </w:r>
          </w:p>
        </w:tc>
      </w:tr>
      <w:tr>
        <w:tc>
          <w:tcPr>
            <w:vAlign w:val="center"/>
          </w:tcPr>
          <w:p>
            <w:pPr>
              <w:pStyle w:val="Compact"/>
              <w:jc w:val="left"/>
            </w:pPr>
            <m:oMath>
              <m:r>
                <m:t>F</m:t>
              </m:r>
            </m:oMath>
            <w:r>
              <w:t xml:space="preserve"> </w:t>
            </w:r>
            <w:r>
              <w:t xml:space="preserve">convexa</w:t>
            </w:r>
          </w:p>
        </w:tc>
        <w:tc>
          <w:tcPr>
            <w:vAlign w:val="center"/>
          </w:tcPr>
          <w:p>
            <w:pPr>
              <w:pStyle w:val="Compact"/>
              <w:jc w:val="center"/>
            </w:pPr>
            <m:oMath>
              <m:r>
                <m:rPr>
                  <m:sty m:val="p"/>
                </m:rPr>
                <m:t>⇒</m:t>
              </m:r>
            </m:oMath>
          </w:p>
        </w:tc>
        <w:tc>
          <w:tcPr>
            <w:vAlign w:val="center"/>
          </w:tcPr>
          <w:p>
            <w:pPr>
              <w:pStyle w:val="Compact"/>
              <w:jc w:val="left"/>
            </w:pPr>
            <m:oMath>
              <m:r>
                <m:t>F</m:t>
              </m:r>
            </m:oMath>
            <w:r>
              <w:t xml:space="preserve"> </w:t>
            </w:r>
            <w:r>
              <w:t xml:space="preserve">cuasiconvexa (no al revés)</w:t>
            </w:r>
          </w:p>
        </w:tc>
      </w:tr>
      <w:tr>
        <w:tc>
          <w:tcPr>
            <w:vAlign w:val="center"/>
          </w:tcPr>
          <w:p>
            <w:pPr>
              <w:pStyle w:val="Compact"/>
              <w:jc w:val="left"/>
            </w:pPr>
            <m:oMath>
              <m:r>
                <m:t>F</m:t>
              </m:r>
            </m:oMath>
            <w:r>
              <w:t xml:space="preserve"> </w:t>
            </w:r>
            <w:r>
              <w:t xml:space="preserve">(estrictamente) 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convexa</w:t>
            </w:r>
          </w:p>
        </w:tc>
      </w:tr>
      <w:tr>
        <w:tc>
          <w:tcPr>
            <w:vAlign w:val="center"/>
          </w:tcPr>
          <w:p>
            <w:pPr>
              <w:pStyle w:val="Compact"/>
              <w:jc w:val="left"/>
            </w:pPr>
            <m:oMath>
              <m:r>
                <m:t>F</m:t>
              </m:r>
            </m:oMath>
            <w:r>
              <w:t xml:space="preserve"> </w:t>
            </w:r>
            <w:r>
              <w:t xml:space="preserve">(estrictamente) cuasicóncava</w:t>
            </w:r>
          </w:p>
        </w:tc>
        <w:tc>
          <w:tcPr>
            <w:vAlign w:val="center"/>
          </w:tcPr>
          <w:p>
            <w:pPr>
              <w:pStyle w:val="Compact"/>
              <w:jc w:val="center"/>
            </w:pPr>
            <m:oMath>
              <m:r>
                <m:rPr>
                  <m:sty m:val="p"/>
                </m:rPr>
                <m:t>⇔</m:t>
              </m:r>
            </m:oMath>
          </w:p>
        </w:tc>
        <w:tc>
          <w:tcPr>
            <w:vAlign w:val="center"/>
          </w:tcPr>
          <w:p>
            <w:pPr>
              <w:pStyle w:val="Compact"/>
              <w:jc w:val="left"/>
            </w:pPr>
            <m:oMath>
              <m:r>
                <m:rPr>
                  <m:sty m:val="p"/>
                </m:rPr>
                <m:t>−</m:t>
              </m:r>
              <m:r>
                <m:t>F</m:t>
              </m:r>
            </m:oMath>
            <w:r>
              <w:t xml:space="preserve"> </w:t>
            </w:r>
            <w:r>
              <w:t xml:space="preserve">(estrictamente) cuasiconvexa</w:t>
            </w:r>
          </w:p>
        </w:tc>
      </w:tr>
    </w:tbl>
    <w:bookmarkEnd w:id="58"/>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A1</w:t>
        </w:r>
      </w:hyperlink>
      <w:r>
        <w:rPr>
          <w:i/>
          <w:iCs/>
        </w:rPr>
        <w:t xml:space="preserve">)</w:t>
      </w:r>
      <w:r>
        <w:rPr>
          <w:i/>
          <w:iCs/>
        </w:rPr>
        <w:t xml:space="preserve">.</w:t>
      </w:r>
    </w:p>
    <w:bookmarkEnd w:id="59"/>
    <w:bookmarkEnd w:id="60"/>
    <w:bookmarkStart w:id="102" w:name="las-curvas-isocuantas"/>
    <w:p>
      <w:pPr>
        <w:pStyle w:val="Heading2"/>
      </w:pPr>
      <w:r>
        <w:t xml:space="preserve">I.3.</w:t>
      </w:r>
      <w:r>
        <w:t xml:space="preserve"> </w:t>
      </w:r>
      <w:r>
        <w:t xml:space="preserve">Las curvas isocuantas</w:t>
      </w:r>
    </w:p>
    <w:bookmarkStart w:id="61" w:name="definición-2"/>
    <w:p>
      <w:pPr>
        <w:pStyle w:val="Heading4"/>
      </w:pPr>
      <w:r>
        <w:t xml:space="preserve">Definición</w:t>
      </w:r>
    </w:p>
    <w:p>
      <w:pPr>
        <w:numPr>
          <w:ilvl w:val="0"/>
          <w:numId w:val="1029"/>
        </w:numPr>
      </w:pPr>
      <w:r>
        <w:t xml:space="preserve">Una</w:t>
      </w:r>
      <w:r>
        <w:t xml:space="preserve"> </w:t>
      </w:r>
      <w:r>
        <w:rPr>
          <w:b/>
          <w:bCs/>
        </w:rPr>
        <w:t xml:space="preserve">isocuanta</w:t>
      </w:r>
      <w:r>
        <w:t xml:space="preserve"> </w:t>
      </w:r>
      <w:r>
        <w:t xml:space="preserve">es el lugar geométrico de las combinaciones de factores que, usadas eficientemente, dan el mismo nivel de producción:</w:t>
      </w:r>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7).</w:t>
      </w:r>
    </w:p>
    <w:bookmarkEnd w:id="61"/>
    <w:bookmarkStart w:id="67" w:name="propiedades-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r>
        <w:rPr>
          <w:rStyle w:val="Referenciaatema"/>
        </w:rPr>
        <w:t xml:space="preserve">[ver tema 3.A.8]</w:t>
      </w:r>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II.1 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62"/>
      </w:r>
      <w:r>
        <w:t xml:space="preserve"> </w:t>
      </w:r>
      <w:r>
        <w:t xml:space="preserve">(gráfico 6):</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II.2), como la curva de renta-consumo con preferencias homotéticas</w:t>
      </w:r>
      <w:r>
        <w:t xml:space="preserve"> </w:t>
      </w:r>
      <w:r>
        <w:rPr>
          <w:rStyle w:val="Referenciaatema"/>
        </w:rPr>
        <w:t xml:space="preserve">[ver tema 3.A.8]</w:t>
      </w:r>
      <w:r>
        <w:t xml:space="preserve">; las líneas de contorno que delimitan la región económica son isoclinas (apartado II.1), y, con precios de los factores dados, la senda de expansión de la empresa también lo es</w:t>
      </w:r>
      <w:r>
        <w:t xml:space="preserve"> </w:t>
      </w:r>
      <w:r>
        <w:rPr>
          <w:rStyle w:val="Referenciaatema"/>
        </w:rPr>
        <w:t xml:space="preserve">[ver tema 3.A.12]</w:t>
      </w:r>
      <w:r>
        <w:t xml:space="preserve">.</w:t>
      </w:r>
    </w:p>
    <w:bookmarkStart w:id="66" w:name="fig:isocuantas-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 title="" id="64" name="Picture"/>
            <a:graphic>
              <a:graphicData uri="http://schemas.openxmlformats.org/drawingml/2006/picture">
                <pic:pic>
                  <pic:nvPicPr>
                    <pic:cNvPr descr="C:\Users\vgutierrez\Documents\src\victorgutierrezmarcos.github.io-revision\oposicion\temario\fuentes\3A11\graficos/isocuantas-rmst.png" id="65" name="Picture"/>
                    <pic:cNvPicPr>
                      <a:picLocks noChangeArrowheads="1" noChangeAspect="1"/>
                    </pic:cNvPicPr>
                  </pic:nvPicPr>
                  <pic:blipFill>
                    <a:blip r:embed="rId63"/>
                    <a:stretch>
                      <a:fillRect/>
                    </a:stretch>
                  </pic:blipFill>
                  <pic:spPr bwMode="auto">
                    <a:xfrm>
                      <a:off x="0" y="0"/>
                      <a:ext cx="2712618" cy="2504660"/>
                    </a:xfrm>
                    <a:prstGeom prst="rect">
                      <a:avLst/>
                    </a:prstGeom>
                    <a:noFill/>
                    <a:ln w="9525">
                      <a:noFill/>
                      <a:headEnd/>
                      <a:tailEnd/>
                    </a:ln>
                  </pic:spPr>
                </pic:pic>
              </a:graphicData>
            </a:graphic>
          </wp:inline>
        </w:drawing>
      </w:r>
    </w:p>
    <w:bookmarkEnd w:id="66"/>
    <w:p>
      <w:pPr>
        <w:pStyle w:val="Piedeimagen"/>
      </w:pPr>
      <w:r>
        <w:t xml:space="preserve">Fuente: elaboración propia.</w:t>
      </w:r>
    </w:p>
    <w:bookmarkEnd w:id="67"/>
    <w:bookmarkStart w:id="68" w:name="elasticidad-de-sustitució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r>
        <w:rPr>
          <w:rStyle w:val="Referenciaatema"/>
        </w:rPr>
        <w:t xml:space="preserve">[ver tema 3.A.8]</w:t>
      </w:r>
      <w:r>
        <w:t xml:space="preserve">.</w:t>
      </w:r>
    </w:p>
    <w:p>
      <w:pPr>
        <w:numPr>
          <w:ilvl w:val="1"/>
          <w:numId w:val="1034"/>
        </w:numPr>
      </w:pPr>
      <w:r>
        <w:t xml:space="preserve">La introducen, de forma independiente,</w:t>
      </w:r>
      <w:r>
        <w:t xml:space="preserve"> </w:t>
      </w:r>
      <w:r>
        <w:rPr>
          <w:smallCaps/>
        </w:rPr>
        <w:t xml:space="preserve">Hicks</w:t>
      </w:r>
      <w:r>
        <w:t xml:space="preserve"> </w:t>
      </w:r>
      <w:r>
        <w:t xml:space="preserve">(</w:t>
      </w:r>
      <w:hyperlink w:anchor="ref-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HET2026Elasticity">
        <w:r>
          <w:rPr>
            <w:rStyle w:val="Hyperlink"/>
            <w:smallCaps/>
          </w:rPr>
          <w:t xml:space="preserve">The History of Economic Thought Website</w:t>
        </w:r>
        <w:r>
          <w:rPr>
            <w:rStyle w:val="Hyperlink"/>
          </w:rPr>
          <w:t xml:space="preserve"> </w:t>
        </w:r>
        <w:r>
          <w:rPr>
            <w:rStyle w:val="Hyperlink"/>
          </w:rPr>
          <w:t xml:space="preserve">2026b</w:t>
        </w:r>
      </w:hyperlink>
      <w:r>
        <w:t xml:space="preserve">)</w:t>
      </w:r>
      <w:r>
        <w:t xml:space="preserve">.</w:t>
      </w:r>
    </w:p>
    <w:p>
      <w:pPr>
        <w:numPr>
          <w:ilvl w:val="1"/>
          <w:numId w:val="1034"/>
        </w:numPr>
      </w:pPr>
      <w:r>
        <w:t xml:space="preserve">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r>
        <w:rPr>
          <w:rStyle w:val="Referenciaatema"/>
        </w:rPr>
        <w:t xml:space="preserve">[ver tema 3.A.12]</w:t>
      </w:r>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Hicks1932Theory">
        <w:r>
          <w:rPr>
            <w:rStyle w:val="Hyperlink"/>
            <w:smallCaps/>
          </w:rPr>
          <w:t xml:space="preserve">Hicks</w:t>
        </w:r>
        <w:r>
          <w:rPr>
            <w:rStyle w:val="Hyperlink"/>
          </w:rPr>
          <w:t xml:space="preserve"> </w:t>
        </w:r>
        <w:r>
          <w:rPr>
            <w:rStyle w:val="Hyperlink"/>
          </w:rPr>
          <w:t xml:space="preserve">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D.</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68"/>
    <w:bookmarkStart w:id="80" w:name="la-función-cobb-douglas"/>
    <w:p>
      <w:pPr>
        <w:pStyle w:val="Heading3"/>
      </w:pPr>
      <w:r>
        <w:t xml:space="preserve">I.3.1.</w:t>
      </w:r>
      <w:r>
        <w:t xml:space="preserve"> </w:t>
      </w:r>
      <w:r>
        <w:t xml:space="preserve">La función Cobb-Douglas</w:t>
      </w:r>
    </w:p>
    <w:bookmarkStart w:id="69" w:name="a-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Sandelin1976Origin">
        <w:r>
          <w:rPr>
            <w:rStyle w:val="Hyperlink"/>
            <w:smallCaps/>
          </w:rPr>
          <w:t xml:space="preserve">Sandelin</w:t>
        </w:r>
        <w:r>
          <w:rPr>
            <w:rStyle w:val="Hyperlink"/>
          </w:rPr>
          <w:t xml:space="preserve"> </w:t>
        </w:r>
        <w:r>
          <w:rPr>
            <w:rStyle w:val="Hyperlink"/>
          </w:rPr>
          <w:t xml:space="preserve">1976</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p>
    <w:bookmarkEnd w:id="69"/>
    <w:bookmarkStart w:id="77" w:name="b-modelo"/>
    <w:p>
      <w:pPr>
        <w:pStyle w:val="Heading4"/>
      </w:pPr>
      <w:r>
        <w:t xml:space="preserve">b) Modelo</w:t>
      </w:r>
    </w:p>
    <w:bookmarkStart w:id="70" w:name="i-supuestos"/>
    <w:p>
      <w:pPr>
        <w:pStyle w:val="Heading5"/>
      </w:pPr>
      <w:r>
        <w:t xml:space="preserve">i) Supuestos</w:t>
      </w:r>
    </w:p>
    <w:p>
      <w:pPr>
        <w:numPr>
          <w:ilvl w:val="0"/>
          <w:numId w:val="1036"/>
        </w:numPr>
      </w:pPr>
      <w:r>
        <w:t xml:space="preserve">Con 2 factores,</w:t>
      </w:r>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70"/>
    <w:bookmarkStart w:id="75" w:name="ii-desarrollo"/>
    <w:p>
      <w:pPr>
        <w:pStyle w:val="Heading5"/>
      </w:pPr>
      <w:r>
        <w:t xml:space="preserve">ii) Desarrollo</w:t>
      </w:r>
    </w:p>
    <w:p>
      <w:pPr>
        <w:keepNext/>
        <w:numPr>
          <w:ilvl w:val="0"/>
          <w:numId w:val="1037"/>
        </w:numPr>
      </w:pPr>
      <w:r>
        <w:t xml:space="preserve">Sus propiedades resumen lo visto hasta ahora (gráfico 7):</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(3), de modo que toda la función está en la región económica de producción (apartado II.1).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II.2).</w:t>
      </w:r>
    </w:p>
    <w:bookmarkStart w:id="74" w:name="fig:superficie-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 title="" id="72" name="Picture"/>
            <a:graphic>
              <a:graphicData uri="http://schemas.openxmlformats.org/drawingml/2006/picture">
                <pic:pic>
                  <pic:nvPicPr>
                    <pic:cNvPr descr="C:\Users\vgutierrez\Documents\src\victorgutierrezmarcos.github.io-revision\oposicion\temario\fuentes\3A11\graficos/superficie-produccion.png" id="73" name="Picture"/>
                    <pic:cNvPicPr>
                      <a:picLocks noChangeArrowheads="1" noChangeAspect="1"/>
                    </pic:cNvPicPr>
                  </pic:nvPicPr>
                  <pic:blipFill>
                    <a:blip r:embed="rId71"/>
                    <a:stretch>
                      <a:fillRect/>
                    </a:stretch>
                  </pic:blipFill>
                  <pic:spPr bwMode="auto">
                    <a:xfrm>
                      <a:off x="0" y="0"/>
                      <a:ext cx="3180521" cy="2639221"/>
                    </a:xfrm>
                    <a:prstGeom prst="rect">
                      <a:avLst/>
                    </a:prstGeom>
                    <a:noFill/>
                    <a:ln w="9525">
                      <a:noFill/>
                      <a:headEnd/>
                      <a:tailEnd/>
                    </a:ln>
                  </pic:spPr>
                </pic:pic>
              </a:graphicData>
            </a:graphic>
          </wp:inline>
        </w:drawing>
      </w:r>
    </w:p>
    <w:bookmarkEnd w:id="74"/>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End w:id="75"/>
    <w:bookmarkStart w:id="76" w:name="iii-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r>
        <w:rPr>
          <w:rStyle w:val="Referenciaatema"/>
        </w:rPr>
        <w:t xml:space="preserve">[ver tema 3.A.43]</w:t>
      </w:r>
      <w:r>
        <w:t xml:space="preserve"> </w:t>
      </w:r>
      <w:r>
        <w:rPr>
          <w:rStyle w:val="Referenciaatema"/>
        </w:rPr>
        <w:t xml:space="preserve">[ver tema 3.A.45]</w:t>
      </w:r>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II.3). Es la tecnología de referencia de los modelos de crecimiento</w:t>
      </w:r>
      <w:r>
        <w:t xml:space="preserve"> </w:t>
      </w:r>
      <w:r>
        <w:rPr>
          <w:rStyle w:val="Referenciaatema"/>
        </w:rPr>
        <w:t xml:space="preserve">[ver tema 3.A.43]</w:t>
      </w:r>
      <w:r>
        <w:t xml:space="preserve"> </w:t>
      </w:r>
      <w:r>
        <w:t xml:space="preserve">y de ciclo real</w:t>
      </w:r>
      <w:r>
        <w:t xml:space="preserve"> </w:t>
      </w:r>
      <w:r>
        <w:rPr>
          <w:rStyle w:val="Referenciaatema"/>
        </w:rPr>
        <w:t xml:space="preserve">[ver tema 3.A.42]</w:t>
      </w:r>
      <w:r>
        <w:t xml:space="preserve">.</w:t>
      </w:r>
    </w:p>
    <w:bookmarkEnd w:id="76"/>
    <w:bookmarkEnd w:id="77"/>
    <w:bookmarkStart w:id="78" w:name="d-evidencia-empírica"/>
    <w:p>
      <w:pPr>
        <w:pStyle w:val="Heading4"/>
      </w:pPr>
      <w:r>
        <w:t xml:space="preserve">d)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w:t>
      </w:r>
    </w:p>
    <w:bookmarkEnd w:id="78"/>
    <w:bookmarkStart w:id="79" w:name="e-valoración"/>
    <w:p>
      <w:pPr>
        <w:pStyle w:val="Heading4"/>
      </w:pPr>
      <w:r>
        <w:t xml:space="preserve">e)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79"/>
    <w:bookmarkEnd w:id="80"/>
    <w:bookmarkStart w:id="93" w:name="X5fd4740153d900ddf469b3531147920f116e32c"/>
    <w:p>
      <w:pPr>
        <w:pStyle w:val="Heading3"/>
      </w:pPr>
      <w:r>
        <w:t xml:space="preserve">I.3.2.</w:t>
      </w:r>
      <w:r>
        <w:t xml:space="preserve"> </w:t>
      </w:r>
      <w:r>
        <w:t xml:space="preserve">La función de elasticidad de sustitución constante (CES)</w:t>
      </w:r>
    </w:p>
    <w:bookmarkStart w:id="82" w:name="a-idea-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81"/>
      </w:r>
    </w:p>
    <w:bookmarkEnd w:id="82"/>
    <w:bookmarkStart w:id="90" w:name="b-modelo-1"/>
    <w:p>
      <w:pPr>
        <w:pStyle w:val="Heading4"/>
      </w:pPr>
      <w:r>
        <w:t xml:space="preserve">b) Modelo</w:t>
      </w:r>
    </w:p>
    <w:bookmarkStart w:id="83" w:name="i-supuestos-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83"/>
    <w:bookmarkStart w:id="88" w:name="ii-desarrollo-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8; derivación en el anexo A.1):</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I.3.3).</w:t>
      </w:r>
    </w:p>
    <w:bookmarkStart w:id="87" w:name="fig:ces-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 title="" id="85" name="Picture"/>
            <a:graphic>
              <a:graphicData uri="http://schemas.openxmlformats.org/drawingml/2006/picture">
                <pic:pic>
                  <pic:nvPicPr>
                    <pic:cNvPr descr="C:\Users\vgutierrez\Documents\src\victorgutierrezmarcos.github.io-revision\oposicion\temario\fuentes\3A11\graficos/ces-isocuantas.png" id="86" name="Picture"/>
                    <pic:cNvPicPr>
                      <a:picLocks noChangeArrowheads="1" noChangeAspect="1"/>
                    </pic:cNvPicPr>
                  </pic:nvPicPr>
                  <pic:blipFill>
                    <a:blip r:embed="rId84"/>
                    <a:stretch>
                      <a:fillRect/>
                    </a:stretch>
                  </pic:blipFill>
                  <pic:spPr bwMode="auto">
                    <a:xfrm>
                      <a:off x="0" y="0"/>
                      <a:ext cx="2584173" cy="2471020"/>
                    </a:xfrm>
                    <a:prstGeom prst="rect">
                      <a:avLst/>
                    </a:prstGeom>
                    <a:noFill/>
                    <a:ln w="9525">
                      <a:noFill/>
                      <a:headEnd/>
                      <a:tailEnd/>
                    </a:ln>
                  </pic:spPr>
                </pic:pic>
              </a:graphicData>
            </a:graphic>
          </wp:inline>
        </w:drawing>
      </w:r>
    </w:p>
    <w:bookmarkEnd w:id="87"/>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8"/>
    <w:bookmarkStart w:id="89" w:name="iii-implicaciones-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r>
        <w:rPr>
          <w:rStyle w:val="Referenciaatema"/>
        </w:rPr>
        <w:t xml:space="preserve">[ver tema 3.A.44]</w:t>
      </w:r>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r>
        <w:rPr>
          <w:rStyle w:val="Referenciaatema"/>
        </w:rPr>
        <w:t xml:space="preserve">[ver tema 3.A.18]</w:t>
      </w:r>
      <w:r>
        <w:t xml:space="preserve">.</w:t>
      </w:r>
    </w:p>
    <w:bookmarkEnd w:id="89"/>
    <w:bookmarkEnd w:id="90"/>
    <w:bookmarkStart w:id="91" w:name="d-evidencia-empírica-1"/>
    <w:p>
      <w:pPr>
        <w:pStyle w:val="Heading4"/>
      </w:pPr>
      <w:r>
        <w:t xml:space="preserve">d)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w:t>
        </w:r>
        <w:r>
          <w:rPr>
            <w:rStyle w:val="Hyperlink"/>
          </w:rPr>
          <w:t xml:space="preserve">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w:t>
        </w:r>
        <w:r>
          <w:rPr>
            <w:rStyle w:val="Hyperlink"/>
          </w:rPr>
          <w:t xml:space="preserve">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91"/>
    <w:bookmarkStart w:id="92" w:name="e-valoración-1"/>
    <w:p>
      <w:pPr>
        <w:pStyle w:val="Heading4"/>
      </w:pPr>
      <w:r>
        <w:t xml:space="preserve">e)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C). En el extremo opuesto a la sustitución perfecta está la ausencia de sustitución: la función de</w:t>
      </w:r>
      <w:r>
        <w:t xml:space="preserve"> </w:t>
      </w:r>
      <w:r>
        <w:rPr>
          <w:smallCaps/>
        </w:rPr>
        <w:t xml:space="preserve">Leontief</w:t>
      </w:r>
      <w:r>
        <w:t xml:space="preserve">.</w:t>
      </w:r>
    </w:p>
    <w:bookmarkEnd w:id="92"/>
    <w:bookmarkEnd w:id="93"/>
    <w:bookmarkStart w:id="101" w:name="X1ac479c94a7c685b073157313d7511c2037781d"/>
    <w:p>
      <w:pPr>
        <w:pStyle w:val="Heading3"/>
      </w:pPr>
      <w:r>
        <w:t xml:space="preserve">I.3.3.</w:t>
      </w:r>
      <w:r>
        <w:t xml:space="preserve"> </w:t>
      </w:r>
      <w:r>
        <w:t xml:space="preserve">La función de coeficientes fijos (</w:t>
      </w:r>
      <w:r>
        <w:rPr>
          <w:smallCaps/>
        </w:rPr>
        <w:t xml:space="preserve">Leontief</w:t>
      </w:r>
      <w:r>
        <w:t xml:space="preserve">)</w:t>
      </w:r>
    </w:p>
    <w:bookmarkStart w:id="94" w:name="a-idea-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y</w:t>
      </w:r>
      <w:r>
        <w:t xml:space="preserve"> </w:t>
      </w:r>
      <w:r>
        <w:rPr>
          <w:smallCaps/>
        </w:rPr>
        <w:t xml:space="preserve">Leontief</w:t>
      </w:r>
      <w:r>
        <w:t xml:space="preserve"> </w:t>
      </w:r>
      <w:r>
        <w:t xml:space="preserve">(</w:t>
      </w:r>
      <w:hyperlink w:anchor="ref-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r>
        <w:rPr>
          <w:rStyle w:val="Referenciaatema"/>
        </w:rPr>
        <w:t xml:space="preserve">[ver tema 3.A.31]</w:t>
      </w:r>
      <w:r>
        <w:t xml:space="preserve">.</w:t>
      </w:r>
    </w:p>
    <w:bookmarkEnd w:id="94"/>
    <w:bookmarkStart w:id="98" w:name="b-modelo-2"/>
    <w:p>
      <w:pPr>
        <w:pStyle w:val="Heading4"/>
      </w:pPr>
      <w:r>
        <w:t xml:space="preserve">b) Modelo</w:t>
      </w:r>
    </w:p>
    <w:bookmarkStart w:id="95" w:name="i-supuestos-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95"/>
    <w:bookmarkStart w:id="96" w:name="ii-desarrollo-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8):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96"/>
    <w:bookmarkStart w:id="97" w:name="iii-implicaciones-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r>
        <w:rPr>
          <w:rStyle w:val="Referenciaatema"/>
        </w:rPr>
        <w:t xml:space="preserve">[ver tema 3.A.12]</w:t>
      </w:r>
      <w:r>
        <w:t xml:space="preserve">.</w:t>
      </w:r>
    </w:p>
    <w:bookmarkEnd w:id="97"/>
    <w:bookmarkEnd w:id="98"/>
    <w:bookmarkStart w:id="99" w:name="c-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que enlaza la función de producción con el conjunto de posibilidades de producción del apartado I.1.</w:t>
      </w:r>
    </w:p>
    <w:bookmarkEnd w:id="99"/>
    <w:bookmarkStart w:id="100" w:name="e-valoración-2"/>
    <w:p>
      <w:pPr>
        <w:pStyle w:val="Heading4"/>
      </w:pPr>
      <w:r>
        <w:t xml:space="preserve">e)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00"/>
    <w:bookmarkEnd w:id="101"/>
    <w:bookmarkEnd w:id="102"/>
    <w:bookmarkEnd w:id="103"/>
    <w:bookmarkStart w:id="182" w:name="Xcd79dbe38d8b03eddb72ae295a305abc66167c1"/>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9):</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07" w:name="fig:plazos-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 title="" id="105" name="Picture"/>
            <a:graphic>
              <a:graphicData uri="http://schemas.openxmlformats.org/drawingml/2006/picture">
                <pic:pic>
                  <pic:nvPicPr>
                    <pic:cNvPr descr="C:\Users\vgutierrez\Documents\src\victorgutierrezmarcos.github.io-revision\oposicion\temario\fuentes\3A11\graficos/plazos-3d.png" id="106" name="Picture"/>
                    <pic:cNvPicPr>
                      <a:picLocks noChangeArrowheads="1" noChangeAspect="1"/>
                    </pic:cNvPicPr>
                  </pic:nvPicPr>
                  <pic:blipFill>
                    <a:blip r:embed="rId104"/>
                    <a:stretch>
                      <a:fillRect/>
                    </a:stretch>
                  </pic:blipFill>
                  <pic:spPr bwMode="auto">
                    <a:xfrm>
                      <a:off x="0" y="0"/>
                      <a:ext cx="3706531" cy="33364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9),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12) y la elasticidad-producto; los rendimientos a escala con las isocuantas sobre un rayo (gráfico 15),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17 y 18) y la distinción entre rendimientos y economías de escala; y las 3 neutralidades del progreso técnico, dibujando solo el panel de</w:t>
      </w:r>
      <w:r>
        <w:t xml:space="preserve"> </w:t>
      </w:r>
      <w:r>
        <w:rPr>
          <w:smallCaps/>
        </w:rPr>
        <w:t xml:space="preserve">Hicks</w:t>
      </w:r>
      <w:r>
        <w:t xml:space="preserve"> </w:t>
      </w:r>
      <w:r>
        <w:t xml:space="preserve">(gráfico 21). Las causas de los rendimientos, el recuadro de funciones homogéneas y homotéticas, la evidencia empírica y el sesgo del progreso técnico son de profundización.</w:t>
      </w:r>
    </w:p>
    <w:bookmarkStart w:id="137" w:name="corto-plazo-productividad"/>
    <w:p>
      <w:pPr>
        <w:pStyle w:val="Heading2"/>
      </w:pPr>
      <w:r>
        <w:t xml:space="preserve">II.1.</w:t>
      </w:r>
      <w:r>
        <w:t xml:space="preserve"> </w:t>
      </w:r>
      <w:r>
        <w:t xml:space="preserve">Corto plazo: productividad</w:t>
      </w:r>
    </w:p>
    <w:bookmarkStart w:id="111" w:name="fig:plazos-3d-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 title="" id="109" name="Picture"/>
            <a:graphic>
              <a:graphicData uri="http://schemas.openxmlformats.org/drawingml/2006/picture">
                <pic:pic>
                  <pic:nvPicPr>
                    <pic:cNvPr descr="C:\Users\vgutierrez\Documents\src\victorgutierrezmarcos.github.io-revision\oposicion\temario\fuentes\3A11\graficos/plazos-3d-corto.png" id="110" name="Picture"/>
                    <pic:cNvPicPr>
                      <a:picLocks noChangeArrowheads="1" noChangeAspect="1"/>
                    </pic:cNvPicPr>
                  </pic:nvPicPr>
                  <pic:blipFill>
                    <a:blip r:embed="rId108"/>
                    <a:stretch>
                      <a:fillRect/>
                    </a:stretch>
                  </pic:blipFill>
                  <pic:spPr bwMode="auto">
                    <a:xfrm>
                      <a:off x="0" y="0"/>
                      <a:ext cx="3581400" cy="309262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59"/>
        </w:numPr>
      </w:pPr>
      <w:r>
        <w:t xml:space="preserve">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r>
        <w:rPr>
          <w:rStyle w:val="Referenciaatema"/>
        </w:rPr>
        <w:t xml:space="preserve">[ver tema 3.A.12]</w:t>
      </w:r>
      <w:r>
        <w:t xml:space="preserve">. El conjunto de corto plazo no cumple la posibilidad de inacción si el factor fijo tiene un coste hundido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10).</w:t>
      </w:r>
    </w:p>
    <w:bookmarkStart w:id="119" w:name="región-económica-de-la-producció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12"/>
      </w:r>
      <w:r>
        <w:t xml:space="preserve"> </w:t>
      </w:r>
      <w:r>
        <w:t xml:space="preserve">hasta alcanzar un máximo y, si se sigue añadiendo factor variable, disminuye (gráfico 12).</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13"/>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11,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14"/>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18" w:name="fig:region-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 title="" id="116" name="Picture"/>
            <a:graphic>
              <a:graphicData uri="http://schemas.openxmlformats.org/drawingml/2006/picture">
                <pic:pic>
                  <pic:nvPicPr>
                    <pic:cNvPr descr="C:\Users\vgutierrez\Documents\src\victorgutierrezmarcos.github.io-revision\oposicion\temario\fuentes\3A11\graficos/region-economica.png" id="117" name="Picture"/>
                    <pic:cNvPicPr>
                      <a:picLocks noChangeArrowheads="1" noChangeAspect="1"/>
                    </pic:cNvPicPr>
                  </pic:nvPicPr>
                  <pic:blipFill>
                    <a:blip r:embed="rId115"/>
                    <a:stretch>
                      <a:fillRect/>
                    </a:stretch>
                  </pic:blipFill>
                  <pic:spPr bwMode="auto">
                    <a:xfrm>
                      <a:off x="0" y="0"/>
                      <a:ext cx="3156056" cy="2868585"/>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RegionEconomica">
        <w:r>
          <w:rPr>
            <w:rStyle w:val="Hyperlink"/>
          </w:rPr>
          <w:t xml:space="preserve">2026a</w:t>
        </w:r>
      </w:hyperlink>
      <w:r>
        <w:t xml:space="preserve">)</w:t>
      </w:r>
      <w:r>
        <w:t xml:space="preserve">.</w:t>
      </w:r>
    </w:p>
    <w:bookmarkEnd w:id="119"/>
    <w:bookmarkStart w:id="136" w:name="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12, panel superior).</w:t>
      </w:r>
      <w:r>
        <w:rPr>
          <w:rStyle w:val="FootnoteReference"/>
        </w:rPr>
        <w:footnoteReference w:id="120"/>
      </w:r>
    </w:p>
    <w:bookmarkStart w:id="121" w:name="productividad-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21"/>
    <w:bookmarkStart w:id="122" w:name="productividad-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22"/>
    <w:bookmarkStart w:id="132" w:name="X5e8156c1364c2b5d64a154838e3e86fd651fcec"/>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23"/>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27" w:name="fig:corto-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 title="" id="125" name="Picture"/>
            <a:graphic>
              <a:graphicData uri="http://schemas.openxmlformats.org/drawingml/2006/picture">
                <pic:pic>
                  <pic:nvPicPr>
                    <pic:cNvPr descr="C:\Users\vgutierrez\Documents\src\victorgutierrezmarcos.github.io-revision\oposicion\temario\fuentes\3A11\graficos/corto-plazo.png" id="126" name="Picture"/>
                    <pic:cNvPicPr>
                      <a:picLocks noChangeArrowheads="1" noChangeAspect="1"/>
                    </pic:cNvPicPr>
                  </pic:nvPicPr>
                  <pic:blipFill>
                    <a:blip r:embed="rId124"/>
                    <a:stretch>
                      <a:fillRect/>
                    </a:stretch>
                  </pic:blipFill>
                  <pic:spPr bwMode="auto">
                    <a:xfrm>
                      <a:off x="0" y="0"/>
                      <a:ext cx="3581400" cy="4046075"/>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Policonomics</w:t>
      </w:r>
      <w:r>
        <w:t xml:space="preserve"> </w:t>
      </w:r>
      <w:r>
        <w:t xml:space="preserve">(</w:t>
      </w:r>
      <w:hyperlink w:anchor="ref-Policonomics2026ShortRun">
        <w:r>
          <w:rPr>
            <w:rStyle w:val="Hyperlink"/>
          </w:rPr>
          <w:t xml:space="preserve">2026b</w:t>
        </w:r>
      </w:hyperlink>
      <w:r>
        <w:t xml:space="preserve">)</w:t>
      </w:r>
      <w:r>
        <w:t xml:space="preserve">.</w:t>
      </w:r>
    </w:p>
    <w:bookmarkStart w:id="131" w:name="fig:rendimientos-decrecientes-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 title="" id="129" name="Picture"/>
            <a:graphic>
              <a:graphicData uri="http://schemas.openxmlformats.org/drawingml/2006/picture">
                <pic:pic>
                  <pic:nvPicPr>
                    <pic:cNvPr descr="C:\Users\vgutierrez\Documents\src\victorgutierrezmarcos.github.io-revision\oposicion\temario\fuentes\3A11\graficos/rendimientos-decrecientes-origen.png" id="130" name="Picture"/>
                    <pic:cNvPicPr>
                      <a:picLocks noChangeArrowheads="1" noChangeAspect="1"/>
                    </pic:cNvPicPr>
                  </pic:nvPicPr>
                  <pic:blipFill>
                    <a:blip r:embed="rId128"/>
                    <a:stretch>
                      <a:fillRect/>
                    </a:stretch>
                  </pic:blipFill>
                  <pic:spPr bwMode="auto">
                    <a:xfrm>
                      <a:off x="0" y="0"/>
                      <a:ext cx="3581400" cy="1796201"/>
                    </a:xfrm>
                    <a:prstGeom prst="rect">
                      <a:avLst/>
                    </a:prstGeom>
                    <a:noFill/>
                    <a:ln w="9525">
                      <a:noFill/>
                      <a:headEnd/>
                      <a:tailEnd/>
                    </a:ln>
                  </pic:spPr>
                </pic:pic>
              </a:graphicData>
            </a:graphic>
          </wp:inline>
        </w:drawing>
      </w:r>
    </w:p>
    <w:bookmarkEnd w:id="131"/>
    <w:p>
      <w:pPr>
        <w:pStyle w:val="Piedeimagen"/>
      </w:pPr>
      <w:r>
        <w:t xml:space="preserve">Fuente: elaboración propia.</w:t>
      </w:r>
    </w:p>
    <w:bookmarkEnd w:id="132"/>
    <w:bookmarkStart w:id="133" w:name="etapas-de-la-producció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12 y tabla 2):</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r>
        <w:rPr>
          <w:rStyle w:val="Referenciaatema"/>
        </w:rPr>
        <w:t xml:space="preserve">[ver tema 3.A.12]</w:t>
      </w:r>
      <w:r>
        <w:t xml:space="preserve"> </w:t>
      </w:r>
      <w:r>
        <w:rPr>
          <w:rStyle w:val="Referenciaatema"/>
        </w:rPr>
        <w:t xml:space="preserve">[ver tema 3.A.16]</w:t>
      </w:r>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33"/>
    <w:bookmarkStart w:id="135" w:name="elasticidad-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2,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34" w:name="tab: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34"/>
    <w:p>
      <w:pPr>
        <w:pStyle w:val="BodyText"/>
      </w:pPr>
      <w:r>
        <w:rPr>
          <w:i/>
          <w:iCs/>
        </w:rPr>
        <w:t xml:space="preserve">Fuente: elaboración propia.</w:t>
      </w:r>
    </w:p>
    <w:bookmarkEnd w:id="135"/>
    <w:bookmarkEnd w:id="136"/>
    <w:bookmarkEnd w:id="137"/>
    <w:bookmarkStart w:id="165" w:name="largo-plazo-rendimientos-a-escala"/>
    <w:p>
      <w:pPr>
        <w:pStyle w:val="Heading2"/>
      </w:pPr>
      <w:r>
        <w:t xml:space="preserve">II.2.</w:t>
      </w:r>
      <w:r>
        <w:t xml:space="preserve"> </w:t>
      </w:r>
      <w:r>
        <w:t xml:space="preserve">Largo plazo: rendimientos a escala</w:t>
      </w:r>
    </w:p>
    <w:bookmarkStart w:id="141" w:name="fig:plazos-3d-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 title="" id="139" name="Picture"/>
            <a:graphic>
              <a:graphicData uri="http://schemas.openxmlformats.org/drawingml/2006/picture">
                <pic:pic>
                  <pic:nvPicPr>
                    <pic:cNvPr descr="C:\Users\vgutierrez\Documents\src\victorgutierrezmarcos.github.io-revision\oposicion\temario\fuentes\3A11\graficos/plazos-3d-largo.png" id="140" name="Picture"/>
                    <pic:cNvPicPr>
                      <a:picLocks noChangeArrowheads="1" noChangeAspect="1"/>
                    </pic:cNvPicPr>
                  </pic:nvPicPr>
                  <pic:blipFill>
                    <a:blip r:embed="rId138"/>
                    <a:stretch>
                      <a:fillRect/>
                    </a:stretch>
                  </pic:blipFill>
                  <pic:spPr bwMode="auto">
                    <a:xfrm>
                      <a:off x="0" y="0"/>
                      <a:ext cx="3581400" cy="3084968"/>
                    </a:xfrm>
                    <a:prstGeom prst="rect">
                      <a:avLst/>
                    </a:prstGeom>
                    <a:noFill/>
                    <a:ln w="9525">
                      <a:noFill/>
                      <a:headEnd/>
                      <a:tailEnd/>
                    </a:ln>
                  </pic:spPr>
                </pic:pic>
              </a:graphicData>
            </a:graphic>
          </wp:inline>
        </w:drawing>
      </w:r>
    </w:p>
    <w:bookmarkEnd w:id="141"/>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p>
      <w:pPr>
        <w:numPr>
          <w:ilvl w:val="0"/>
          <w:numId w:val="1072"/>
        </w:numPr>
      </w:pPr>
      <w:r>
        <w:t xml:space="preserve">A largo plazo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14).</w:t>
      </w:r>
    </w:p>
    <w:bookmarkStart w:id="146" w:name="rendimientos-a-escala"/>
    <w:p>
      <w:pPr>
        <w:pStyle w:val="Heading4"/>
      </w:pPr>
      <w:r>
        <w:t xml:space="preserve">Rendimientos a escala</w:t>
      </w:r>
    </w:p>
    <w:p>
      <w:pPr>
        <w:keepNext/>
        <w:numPr>
          <w:ilvl w:val="0"/>
          <w:numId w:val="1073"/>
        </w:numPr>
      </w:pPr>
      <w:r>
        <w:t xml:space="preserve">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15 y 5).</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45" w:name="fig:rendimientos-escala-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 title="" id="143" name="Picture"/>
            <a:graphic>
              <a:graphicData uri="http://schemas.openxmlformats.org/drawingml/2006/picture">
                <pic:pic>
                  <pic:nvPicPr>
                    <pic:cNvPr descr="C:\Users\vgutierrez\Documents\src\victorgutierrezmarcos.github.io-revision\oposicion\temario\fuentes\3A11\graficos/rendimientos-escala-isocuantas.png" id="144" name="Picture"/>
                    <pic:cNvPicPr>
                      <a:picLocks noChangeArrowheads="1" noChangeAspect="1"/>
                    </pic:cNvPicPr>
                  </pic:nvPicPr>
                  <pic:blipFill>
                    <a:blip r:embed="rId142"/>
                    <a:stretch>
                      <a:fillRect/>
                    </a:stretch>
                  </pic:blipFill>
                  <pic:spPr bwMode="auto">
                    <a:xfrm>
                      <a:off x="0" y="0"/>
                      <a:ext cx="3825800" cy="4529185"/>
                    </a:xfrm>
                    <a:prstGeom prst="rect">
                      <a:avLst/>
                    </a:prstGeom>
                    <a:noFill/>
                    <a:ln w="9525">
                      <a:noFill/>
                      <a:headEnd/>
                      <a:tailEnd/>
                    </a:ln>
                  </pic:spPr>
                </pic:pic>
              </a:graphicData>
            </a:graphic>
          </wp:inline>
        </w:drawing>
      </w:r>
    </w:p>
    <w:bookmarkEnd w:id="145"/>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bookmarkEnd w:id="146"/>
    <w:bookmarkStart w:id="148" w:name="elasticidad-de-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3).</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A.2).</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Wicksteed1894Essay">
        <w:r>
          <w:rPr>
            <w:rStyle w:val="Hyperlink"/>
            <w:smallCaps/>
          </w:rPr>
          <w:t xml:space="preserve">Wicksteed</w:t>
        </w:r>
        <w:r>
          <w:rPr>
            <w:rStyle w:val="Hyperlink"/>
          </w:rPr>
          <w:t xml:space="preserve"> </w:t>
        </w:r>
        <w:r>
          <w:rPr>
            <w:rStyle w:val="Hyperlink"/>
          </w:rPr>
          <w:t xml:space="preserve">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47">
        <w:r>
          <w:rPr>
            <w:rStyle w:val="Hyperlink"/>
          </w:rPr>
          <w:t xml:space="preserve">https://www.youtube.com/watch?v=f88WupoFBPY</w:t>
        </w:r>
      </w:hyperlink>
    </w:p>
    <w:bookmarkEnd w:id="148"/>
    <w:bookmarkStart w:id="164" w:name="rendimientos-globales-y-locales-a-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I.2):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17,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49"/>
      </w:r>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16).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53" w:name="fig:productividad-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 title="" id="151" name="Picture"/>
            <a:graphic>
              <a:graphicData uri="http://schemas.openxmlformats.org/drawingml/2006/picture">
                <pic:pic>
                  <pic:nvPicPr>
                    <pic:cNvPr descr="C:\Users\vgutierrez\Documents\src\victorgutierrezmarcos.github.io-revision\oposicion\temario\fuentes\3A11\graficos/productividad-rendimientos.png" id="152" name="Picture"/>
                    <pic:cNvPicPr>
                      <a:picLocks noChangeArrowheads="1" noChangeAspect="1"/>
                    </pic:cNvPicPr>
                  </pic:nvPicPr>
                  <pic:blipFill>
                    <a:blip r:embed="rId150"/>
                    <a:stretch>
                      <a:fillRect/>
                    </a:stretch>
                  </pic:blipFill>
                  <pic:spPr bwMode="auto">
                    <a:xfrm>
                      <a:off x="0" y="0"/>
                      <a:ext cx="2984500" cy="1967912"/>
                    </a:xfrm>
                    <a:prstGeom prst="rect">
                      <a:avLst/>
                    </a:prstGeom>
                    <a:noFill/>
                    <a:ln w="9525">
                      <a:noFill/>
                      <a:headEnd/>
                      <a:tailEnd/>
                    </a:ln>
                  </pic:spPr>
                </pic:pic>
              </a:graphicData>
            </a:graphic>
          </wp:inline>
        </w:drawing>
      </w:r>
    </w:p>
    <w:bookmarkEnd w:id="15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w:t>
      </w:r>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17, panel b, y 18).</w:t>
      </w:r>
      <w:r>
        <w:rPr>
          <w:rStyle w:val="FootnoteReference"/>
        </w:rPr>
        <w:footnoteReference w:id="154"/>
      </w:r>
      <w:r>
        <w:t xml:space="preserve"> </w:t>
      </w:r>
      <w:r>
        <w:t xml:space="preserve">La función no es homogénea, pero sí homotética: es la tecnología «en S» que está detrás de la curva de costes medios en forma de U</w:t>
      </w:r>
      <w:r>
        <w:t xml:space="preserve"> </w:t>
      </w:r>
      <w:r>
        <w:rPr>
          <w:rStyle w:val="Referenciaatema"/>
        </w:rPr>
        <w:t xml:space="preserve">[ver tema 3.A.12]</w:t>
      </w:r>
      <w:r>
        <w:t xml:space="preserve">.</w:t>
      </w:r>
    </w:p>
    <w:bookmarkStart w:id="158" w:name="fig:rendimientos-globales-locales-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 title="" id="156" name="Picture"/>
            <a:graphic>
              <a:graphicData uri="http://schemas.openxmlformats.org/drawingml/2006/picture">
                <pic:pic>
                  <pic:nvPicPr>
                    <pic:cNvPr descr="C:\Users\vgutierrez\Documents\src\victorgutierrezmarcos.github.io-revision\oposicion\temario\fuentes\3A11\graficos/rendimientos-globales-locales-3d.png" id="157" name="Picture"/>
                    <pic:cNvPicPr>
                      <a:picLocks noChangeArrowheads="1" noChangeAspect="1"/>
                    </pic:cNvPicPr>
                  </pic:nvPicPr>
                  <pic:blipFill>
                    <a:blip r:embed="rId155"/>
                    <a:stretch>
                      <a:fillRect/>
                    </a:stretch>
                  </pic:blipFill>
                  <pic:spPr bwMode="auto">
                    <a:xfrm>
                      <a:off x="0" y="0"/>
                      <a:ext cx="4871703" cy="383803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bookmarkStart w:id="162" w:name="fig:rendimientos-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 title="" id="160" name="Picture"/>
            <a:graphic>
              <a:graphicData uri="http://schemas.openxmlformats.org/drawingml/2006/picture">
                <pic:pic>
                  <pic:nvPicPr>
                    <pic:cNvPr descr="C:\Users\vgutierrez\Documents\src\victorgutierrezmarcos.github.io-revision\oposicion\temario\fuentes\3A11\graficos/rendimientos-locales.png" id="161" name="Picture"/>
                    <pic:cNvPicPr>
                      <a:picLocks noChangeArrowheads="1" noChangeAspect="1"/>
                    </pic:cNvPicPr>
                  </pic:nvPicPr>
                  <pic:blipFill>
                    <a:blip r:embed="rId159"/>
                    <a:stretch>
                      <a:fillRect/>
                    </a:stretch>
                  </pic:blipFill>
                  <pic:spPr bwMode="auto">
                    <a:xfrm>
                      <a:off x="0" y="0"/>
                      <a:ext cx="4775200" cy="1866404"/>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3</w:t>
        </w:r>
      </w:hyperlink>
      <w:r>
        <w:t xml:space="preserve">)</w:t>
      </w:r>
      <w:r>
        <w:t xml:space="preserve">.</w:t>
      </w:r>
    </w:p>
    <w:p>
      <w:pPr>
        <w:keepNext/>
        <w:numPr>
          <w:ilvl w:val="0"/>
          <w:numId w:val="1084"/>
        </w:numPr>
      </w:pPr>
      <w:r>
        <w:t xml:space="preserve">Consecuencias:</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i/>
          <w:i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 los rendimientos locales crecientes son la base técnica de las economías de escala</w:t>
      </w:r>
      <w:r>
        <w:t xml:space="preserve"> </w:t>
      </w:r>
      <w:r>
        <w:rPr>
          <w:rStyle w:val="Referenciaatema"/>
        </w:rPr>
        <w:t xml:space="preserve">[ver tema 3.A.12]</w:t>
      </w:r>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r>
        <w:rPr>
          <w:rStyle w:val="Referenciaatema"/>
        </w:rPr>
        <w:t xml:space="preserve">[ver tema 3.A.16]</w:t>
      </w:r>
      <w:r>
        <w:t xml:space="preserve"> </w:t>
      </w:r>
      <w:r>
        <w:rPr>
          <w:rStyle w:val="Referenciaatema"/>
        </w:rPr>
        <w:t xml:space="preserve">[ver tema 3.A.43]</w:t>
      </w:r>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w:t>
        </w:r>
        <w:r>
          <w:rPr>
            <w:rStyle w:val="Hyperlink"/>
          </w:rPr>
          <w:t xml:space="preserve">1997</w:t>
        </w:r>
      </w:hyperlink>
      <w:r>
        <w:t xml:space="preserve">)</w:t>
      </w:r>
      <w:r>
        <w:t xml:space="preserve">. Este resultado avala el supuesto habitual de rendimientos constantes en la función de producción agregada.</w:t>
      </w:r>
    </w:p>
    <w:p>
      <w:pPr>
        <w:numPr>
          <w:ilvl w:val="0"/>
          <w:numId w:val="1086"/>
        </w:numPr>
      </w:pPr>
      <w:r>
        <w:t xml:space="preserve">La tabla 3 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63" w:name="tab: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63"/>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5.B</w:t>
        </w:r>
      </w:hyperlink>
      <w:r>
        <w:rPr>
          <w:i/>
          <w:iCs/>
        </w:rPr>
        <w:t xml:space="preserve">)</w:t>
      </w:r>
      <w:r>
        <w:rPr>
          <w:i/>
          <w:iCs/>
        </w:rPr>
        <w:t xml:space="preserve">.</w:t>
      </w:r>
    </w:p>
    <w:bookmarkEnd w:id="164"/>
    <w:bookmarkEnd w:id="165"/>
    <w:bookmarkStart w:id="181" w:name="muy-largo-plazo-progreso-técnico"/>
    <w:p>
      <w:pPr>
        <w:pStyle w:val="Heading2"/>
      </w:pPr>
      <w:r>
        <w:t xml:space="preserve">II.3.</w:t>
      </w:r>
      <w:r>
        <w:t xml:space="preserve"> </w:t>
      </w:r>
      <w:r>
        <w:t xml:space="preserve">Muy largo plazo: progreso técnico</w:t>
      </w:r>
    </w:p>
    <w:bookmarkStart w:id="169" w:name="fig:plazos-3d-muy-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 title="" id="167" name="Picture"/>
            <a:graphic>
              <a:graphicData uri="http://schemas.openxmlformats.org/drawingml/2006/picture">
                <pic:pic>
                  <pic:nvPicPr>
                    <pic:cNvPr descr="C:\Users\vgutierrez\Documents\src\victorgutierrezmarcos.github.io-revision\oposicion\temario\fuentes\3A11\graficos/plazos-3d-muy-largo.png" id="168" name="Picture"/>
                    <pic:cNvPicPr>
                      <a:picLocks noChangeArrowheads="1" noChangeAspect="1"/>
                    </pic:cNvPicPr>
                  </pic:nvPicPr>
                  <pic:blipFill>
                    <a:blip r:embed="rId166"/>
                    <a:stretch>
                      <a:fillRect/>
                    </a:stretch>
                  </pic:blipFill>
                  <pic:spPr bwMode="auto">
                    <a:xfrm>
                      <a:off x="0" y="0"/>
                      <a:ext cx="3581400" cy="3026056"/>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w:t>
      </w:r>
    </w:p>
    <w:bookmarkStart w:id="170" w:name="concepto-de-progreso-técnico"/>
    <w:p>
      <w:pPr>
        <w:pStyle w:val="Heading4"/>
      </w:pPr>
      <w:r>
        <w:t xml:space="preserve">Concepto de progreso técnico</w:t>
      </w:r>
    </w:p>
    <w:p>
      <w:pPr>
        <w:keepNext/>
        <w:numPr>
          <w:ilvl w:val="0"/>
          <w:numId w:val="1087"/>
        </w:numPr>
      </w:pPr>
      <w:r>
        <w:t xml:space="preserve">En el muy largo plazo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19).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170"/>
    <w:bookmarkStart w:id="175" w:name="representación-grá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20).</w:t>
      </w:r>
    </w:p>
    <w:bookmarkStart w:id="174" w:name="fig:progreso-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 title="" id="172" name="Picture"/>
            <a:graphic>
              <a:graphicData uri="http://schemas.openxmlformats.org/drawingml/2006/picture">
                <pic:pic>
                  <pic:nvPicPr>
                    <pic:cNvPr descr="C:\Users\vgutierrez\Documents\src\victorgutierrezmarcos.github.io-revision\oposicion\temario\fuentes\3A11\graficos/progreso-tecnico.png" id="173" name="Picture"/>
                    <pic:cNvPicPr>
                      <a:picLocks noChangeArrowheads="1" noChangeAspect="1"/>
                    </pic:cNvPicPr>
                  </pic:nvPicPr>
                  <pic:blipFill>
                    <a:blip r:embed="rId171"/>
                    <a:stretch>
                      <a:fillRect/>
                    </a:stretch>
                  </pic:blipFill>
                  <pic:spPr bwMode="auto">
                    <a:xfrm>
                      <a:off x="0" y="0"/>
                      <a:ext cx="4767724" cy="2217190"/>
                    </a:xfrm>
                    <a:prstGeom prst="rect">
                      <a:avLst/>
                    </a:prstGeom>
                    <a:noFill/>
                    <a:ln w="9525">
                      <a:noFill/>
                      <a:headEnd/>
                      <a:tailEnd/>
                    </a:ln>
                  </pic:spPr>
                </pic:pic>
              </a:graphicData>
            </a:graphic>
          </wp:inline>
        </w:drawing>
      </w:r>
    </w:p>
    <w:bookmarkEnd w:id="174"/>
    <w:p>
      <w:pPr>
        <w:pStyle w:val="Piedeimagen"/>
      </w:pPr>
      <w:r>
        <w:t xml:space="preserve">Fuente: elaboración propia.</w:t>
      </w:r>
    </w:p>
    <w:bookmarkEnd w:id="175"/>
    <w:bookmarkStart w:id="180" w:name="tipos-de-progreso-técnico-neutral"/>
    <w:p>
      <w:pPr>
        <w:pStyle w:val="Heading4"/>
      </w:pPr>
      <w:r>
        <w:t xml:space="preserve">Tipos de progreso técnico neutral</w:t>
      </w:r>
    </w:p>
    <w:p>
      <w:pPr>
        <w:keepNext/>
        <w:numPr>
          <w:ilvl w:val="0"/>
          <w:numId w:val="1090"/>
        </w:numPr>
      </w:pPr>
      <w:r>
        <w:t xml:space="preserve">Desde</w:t>
      </w:r>
      <w:r>
        <w:t xml:space="preserve"> </w:t>
      </w:r>
      <w:r>
        <w:rPr>
          <w:smallCaps/>
        </w:rPr>
        <w:t xml:space="preserve">Hicks</w:t>
      </w:r>
      <w:r>
        <w:t xml:space="preserve"> </w:t>
      </w:r>
      <w:r>
        <w:t xml:space="preserve">(</w:t>
      </w:r>
      <w:hyperlink w:anchor="ref-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i/>
          <w:i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i/>
          <w:i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21,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r>
        <w:rPr>
          <w:rStyle w:val="Referenciaatema"/>
        </w:rPr>
        <w:t xml:space="preserve">[ver tema 3.A.45]</w:t>
      </w:r>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Harrod1948Towards">
        <w:r>
          <w:rPr>
            <w:rStyle w:val="Hyperlink"/>
            <w:smallCaps/>
          </w:rPr>
          <w:t xml:space="preserve">Harrod</w:t>
        </w:r>
        <w:r>
          <w:rPr>
            <w:rStyle w:val="Hyperlink"/>
          </w:rPr>
          <w:t xml:space="preserve"> </w:t>
        </w:r>
        <w:r>
          <w:rPr>
            <w:rStyle w:val="Hyperlink"/>
          </w:rPr>
          <w:t xml:space="preserve">1948</w:t>
        </w:r>
      </w:hyperlink>
      <w:r>
        <w:t xml:space="preserve">)</w:t>
      </w:r>
      <w:r>
        <w:t xml:space="preserve">.</w:t>
      </w:r>
    </w:p>
    <w:p>
      <w:pPr>
        <w:numPr>
          <w:ilvl w:val="0"/>
          <w:numId w:val="1090"/>
        </w:numPr>
      </w:pPr>
      <w:r>
        <w:t xml:space="preserve">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r>
        <w:rPr>
          <w:rStyle w:val="Referenciaatema"/>
        </w:rPr>
        <w:t xml:space="preserve">[ver tema 3.A.43]</w:t>
      </w:r>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Acemoglu2009Introduction">
        <w:r>
          <w:rPr>
            <w:rStyle w:val="Hyperlink"/>
            <w:smallCaps/>
          </w:rPr>
          <w:t xml:space="preserve">Acemoglu</w:t>
        </w:r>
        <w:r>
          <w:rPr>
            <w:rStyle w:val="Hyperlink"/>
          </w:rPr>
          <w:t xml:space="preserve"> </w:t>
        </w:r>
        <w:r>
          <w:rPr>
            <w:rStyle w:val="Hyperlink"/>
          </w:rPr>
          <w:t xml:space="preserve">2009, cap. 15</w:t>
        </w:r>
      </w:hyperlink>
      <w:r>
        <w:t xml:space="preserve">)</w:t>
      </w:r>
      <w:r>
        <w:t xml:space="preserve">. El sesgo del progreso técnico por sectores condiciona además el comercio y la relación real de intercambio</w:t>
      </w:r>
      <w:r>
        <w:t xml:space="preserve"> </w:t>
      </w:r>
      <w:r>
        <w:rPr>
          <w:rStyle w:val="Referenciaatema"/>
        </w:rPr>
        <w:t xml:space="preserve">[ver tema 3.B.9]</w:t>
      </w:r>
      <w:r>
        <w:t xml:space="preserve">.</w:t>
      </w:r>
    </w:p>
    <w:bookmarkStart w:id="179" w:name="fig:progreso-tecnico-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 title="" id="177" name="Picture"/>
            <a:graphic>
              <a:graphicData uri="http://schemas.openxmlformats.org/drawingml/2006/picture">
                <pic:pic>
                  <pic:nvPicPr>
                    <pic:cNvPr descr="C:\Users\vgutierrez\Documents\src\victorgutierrezmarcos.github.io-revision\oposicion\temario\fuentes\3A11\graficos/progreso-tecnico-neutral.png" id="178" name="Picture"/>
                    <pic:cNvPicPr>
                      <a:picLocks noChangeArrowheads="1" noChangeAspect="1"/>
                    </pic:cNvPicPr>
                  </pic:nvPicPr>
                  <pic:blipFill>
                    <a:blip r:embed="rId176"/>
                    <a:stretch>
                      <a:fillRect/>
                    </a:stretch>
                  </pic:blipFill>
                  <pic:spPr bwMode="auto">
                    <a:xfrm>
                      <a:off x="0" y="0"/>
                      <a:ext cx="5670550" cy="184503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Acemoglu</w:t>
      </w:r>
      <w:r>
        <w:t xml:space="preserve"> </w:t>
      </w:r>
      <w:r>
        <w:t xml:space="preserve">(</w:t>
      </w:r>
      <w:hyperlink w:anchor="ref-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180"/>
    <w:bookmarkEnd w:id="181"/>
    <w:bookmarkEnd w:id="182"/>
    <w:bookmarkStart w:id="212" w:name="empresa-multiproducto-curva-de-contrato"/>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22), con la curva de contrato y la FPP en un solo gráfico (gráfico 23), sin repetir el desarrollo del equilibrio general (unos 2′30″); después, la función de transformación y la curva de transformación de la empresa con su RMT (gráfico 24), la producción conjunta en proporciones fijas y variables y las economías de alcance (unos 2′). El recuadro sobre la competencia perfecta se dice en una frase. Si falta tiempo, III.2 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199" w:name="X773954d80e715e73038d99d28d6a5bdacce9276"/>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183" w:name="a-idea-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r>
        <w:rPr>
          <w:rStyle w:val="Referenciaatema"/>
        </w:rPr>
        <w:t xml:space="preserve">[ver tema 3.A.21]</w:t>
      </w:r>
      <w:r>
        <w:t xml:space="preserve">, que aquí se resume.</w:t>
      </w:r>
    </w:p>
    <w:bookmarkEnd w:id="183"/>
    <w:bookmarkStart w:id="196" w:name="b-modelo-3"/>
    <w:p>
      <w:pPr>
        <w:pStyle w:val="Heading4"/>
      </w:pPr>
      <w:r>
        <w:t xml:space="preserve">b) Modelo</w:t>
      </w:r>
    </w:p>
    <w:bookmarkStart w:id="184" w:name="i-supuestos-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184"/>
    <w:bookmarkStart w:id="194" w:name="ii-desarrollo-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22).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23).</w:t>
      </w:r>
    </w:p>
    <w:bookmarkStart w:id="188" w:name="fig:formacion-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 title="" id="186" name="Picture"/>
            <a:graphic>
              <a:graphicData uri="http://schemas.openxmlformats.org/drawingml/2006/picture">
                <pic:pic>
                  <pic:nvPicPr>
                    <pic:cNvPr descr="C:\Users\vgutierrez\Documents\src\victorgutierrezmarcos.github.io-revision\oposicion\temario\fuentes\3A11\graficos/formacion-caja.png" id="187" name="Picture"/>
                    <pic:cNvPicPr>
                      <a:picLocks noChangeArrowheads="1" noChangeAspect="1"/>
                    </pic:cNvPicPr>
                  </pic:nvPicPr>
                  <pic:blipFill>
                    <a:blip r:embed="rId185"/>
                    <a:stretch>
                      <a:fillRect/>
                    </a:stretch>
                  </pic:blipFill>
                  <pic:spPr bwMode="auto">
                    <a:xfrm>
                      <a:off x="0" y="0"/>
                      <a:ext cx="3581400" cy="3823994"/>
                    </a:xfrm>
                    <a:prstGeom prst="rect">
                      <a:avLst/>
                    </a:prstGeom>
                    <a:noFill/>
                    <a:ln w="9525">
                      <a:noFill/>
                      <a:headEnd/>
                      <a:tailEnd/>
                    </a:ln>
                  </pic:spPr>
                </pic:pic>
              </a:graphicData>
            </a:graphic>
          </wp:inline>
        </w:drawing>
      </w:r>
    </w:p>
    <w:bookmarkEnd w:id="188"/>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r>
        <w:rPr>
          <w:rStyle w:val="Referenciaatema"/>
        </w:rPr>
        <w:t xml:space="preserve">[ver tema 3.A.22]</w:t>
      </w:r>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189"/>
      </w:r>
      <w:r>
        <w:t xml:space="preserve"> </w:t>
      </w:r>
      <w:r>
        <w:t xml:space="preserve">y el progreso técnico y el aumento de las dotaciones la desplazan</w:t>
      </w:r>
      <w:r>
        <w:t xml:space="preserve"> </w:t>
      </w:r>
      <w:r>
        <w:rPr>
          <w:i/>
          <w:iCs/>
        </w:rPr>
        <w:t xml:space="preserve">hacia fuera</w:t>
      </w:r>
      <w:r>
        <w:t xml:space="preserve">.</w:t>
      </w:r>
    </w:p>
    <w:bookmarkStart w:id="193" w:name="fig:caja-edgeworth-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 title="" id="191" name="Picture"/>
            <a:graphic>
              <a:graphicData uri="http://schemas.openxmlformats.org/drawingml/2006/picture">
                <pic:pic>
                  <pic:nvPicPr>
                    <pic:cNvPr descr="C:\Users\vgutierrez\Documents\src\victorgutierrezmarcos.github.io-revision\oposicion\temario\fuentes\3A11\graficos/caja-edgeworth-fpp.png" id="192" name="Picture"/>
                    <pic:cNvPicPr>
                      <a:picLocks noChangeArrowheads="1" noChangeAspect="1"/>
                    </pic:cNvPicPr>
                  </pic:nvPicPr>
                  <pic:blipFill>
                    <a:blip r:embed="rId190"/>
                    <a:stretch>
                      <a:fillRect/>
                    </a:stretch>
                  </pic:blipFill>
                  <pic:spPr bwMode="auto">
                    <a:xfrm>
                      <a:off x="0" y="0"/>
                      <a:ext cx="5372100" cy="2202773"/>
                    </a:xfrm>
                    <a:prstGeom prst="rect">
                      <a:avLst/>
                    </a:prstGeom>
                    <a:noFill/>
                    <a:ln w="9525">
                      <a:noFill/>
                      <a:headEnd/>
                      <a:tailEnd/>
                    </a:ln>
                  </pic:spPr>
                </pic:pic>
              </a:graphicData>
            </a:graphic>
          </wp:inline>
        </w:drawing>
      </w:r>
    </w:p>
    <w:bookmarkEnd w:id="193"/>
    <w:p>
      <w:pPr>
        <w:pStyle w:val="Piedeimagen"/>
      </w:pPr>
      <w:r>
        <w:t xml:space="preserve">Fuente: elaboración propia.</w:t>
      </w:r>
    </w:p>
    <w:bookmarkEnd w:id="194"/>
    <w:bookmarkStart w:id="195" w:name="iii-implicaciones-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195"/>
    <w:bookmarkEnd w:id="196"/>
    <w:bookmarkStart w:id="197" w:name="c-extensiones-1"/>
    <w:p>
      <w:pPr>
        <w:pStyle w:val="Heading4"/>
      </w:pPr>
      <w:r>
        <w:t xml:space="preserve">c) Extensiones</w:t>
      </w:r>
    </w:p>
    <w:p>
      <w:pPr>
        <w:pStyle w:val="Cajadeanotaciones"/>
      </w:pPr>
      <w:r>
        <w:rPr>
          <w:b/>
          <w:bCs/>
        </w:rPr>
        <w:t xml:space="preserve">Optimalidad en la producción con competencia perfecta</w:t>
      </w:r>
      <w:r>
        <w:t xml:space="preserve"> </w:t>
      </w:r>
      <w:r>
        <w:rPr>
          <w:rStyle w:val="Referenciaatema"/>
        </w:rPr>
        <w:t xml:space="preserve">[ver tema 3.A.22]</w:t>
      </w:r>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r>
        <w:rPr>
          <w:rStyle w:val="Referenciaatema"/>
        </w:rPr>
        <w:t xml:space="preserve">[ver tema 3.A.21]</w:t>
      </w:r>
      <w:r>
        <w:t xml:space="preserve">.</w:t>
      </w:r>
    </w:p>
    <w:bookmarkEnd w:id="197"/>
    <w:bookmarkStart w:id="198" w:name="e-valoración-3"/>
    <w:p>
      <w:pPr>
        <w:pStyle w:val="Heading4"/>
      </w:pPr>
      <w:r>
        <w:t xml:space="preserve">e)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198"/>
    <w:bookmarkEnd w:id="199"/>
    <w:bookmarkStart w:id="211" w:name="Xfe1b9aab1ea1f170d5ae7432307711bada20379"/>
    <w:p>
      <w:pPr>
        <w:pStyle w:val="Heading2"/>
      </w:pPr>
      <w:r>
        <w:t xml:space="preserve">III.2.</w:t>
      </w:r>
      <w:r>
        <w:t xml:space="preserve"> </w:t>
      </w:r>
      <w:r>
        <w:t xml:space="preserve">La empresa multiproducto y la producción conjunta</w:t>
      </w:r>
    </w:p>
    <w:bookmarkStart w:id="200" w:name="a-idea-4"/>
    <w:p>
      <w:pPr>
        <w:pStyle w:val="Heading4"/>
      </w:pPr>
      <w:r>
        <w:t xml:space="preserve">a) Idea</w:t>
      </w:r>
    </w:p>
    <w:p>
      <w:pPr>
        <w:numPr>
          <w:ilvl w:val="0"/>
          <w:numId w:val="1101"/>
        </w:numPr>
      </w:pPr>
      <w:r>
        <w:t xml:space="preserve">Muchas empresas obtienen varios productos con los mismos factores: es la</w:t>
      </w:r>
      <w:r>
        <w:t xml:space="preserve"> </w:t>
      </w:r>
      <w:r>
        <w:rPr>
          <w:b/>
          <w:bCs/>
        </w:rPr>
        <w:t xml:space="preserve">empresa multiproducto</w:t>
      </w:r>
      <w:r>
        <w:t xml:space="preserve">. El conjunto de posibilidades de producción del apartado I.1 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00"/>
    <w:bookmarkStart w:id="208" w:name="b-modelo-4"/>
    <w:p>
      <w:pPr>
        <w:pStyle w:val="Heading4"/>
      </w:pPr>
      <w:r>
        <w:t xml:space="preserve">b) Modelo</w:t>
      </w:r>
    </w:p>
    <w:bookmarkStart w:id="201" w:name="i-supuestos-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5.B</w:t>
        </w:r>
      </w:hyperlink>
      <w:r>
        <w:t xml:space="preserve">)</w:t>
      </w:r>
      <w:r>
        <w:t xml:space="preserve">:</w:t>
      </w:r>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01"/>
    <w:bookmarkStart w:id="206" w:name="ii-desarrollo-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24):</w:t>
      </w:r>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(21),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05" w:name="fig:transformacion-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 title="" id="203" name="Picture"/>
            <a:graphic>
              <a:graphicData uri="http://schemas.openxmlformats.org/drawingml/2006/picture">
                <pic:pic>
                  <pic:nvPicPr>
                    <pic:cNvPr descr="C:\Users\vgutierrez\Documents\src\victorgutierrezmarcos.github.io-revision\oposicion\temario\fuentes\3A11\graficos/transformacion-empresa.png" id="204" name="Picture"/>
                    <pic:cNvPicPr>
                      <a:picLocks noChangeArrowheads="1" noChangeAspect="1"/>
                    </pic:cNvPicPr>
                  </pic:nvPicPr>
                  <pic:blipFill>
                    <a:blip r:embed="rId202"/>
                    <a:stretch>
                      <a:fillRect/>
                    </a:stretch>
                  </pic:blipFill>
                  <pic:spPr bwMode="auto">
                    <a:xfrm>
                      <a:off x="0" y="0"/>
                      <a:ext cx="2984500" cy="2161008"/>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5.B</w:t>
        </w:r>
      </w:hyperlink>
      <w:r>
        <w:t xml:space="preserve">)</w:t>
      </w:r>
      <w:r>
        <w:t xml:space="preserve">.</w:t>
      </w:r>
    </w:p>
    <w:bookmarkEnd w:id="206"/>
    <w:bookmarkStart w:id="207" w:name="iii-implicaciones-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B).</w:t>
      </w:r>
    </w:p>
    <w:bookmarkEnd w:id="207"/>
    <w:bookmarkEnd w:id="208"/>
    <w:bookmarkStart w:id="209" w:name="c-extensiones-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r>
        <w:rPr>
          <w:rStyle w:val="Referenciaatema"/>
        </w:rPr>
        <w:t xml:space="preserve">[ver tema 3.A.12]</w:t>
      </w:r>
      <w:r>
        <w:t xml:space="preserve"> </w:t>
      </w:r>
      <w:r>
        <w:rPr>
          <w:rStyle w:val="Referenciaatema"/>
        </w:rPr>
        <w:t xml:space="preserve">[ver tema 3.A.17]</w:t>
      </w:r>
      <w:r>
        <w:t xml:space="preserve">, y condicionan los límites de la empresa</w:t>
      </w:r>
      <w:r>
        <w:t xml:space="preserve"> </w:t>
      </w:r>
      <w:r>
        <w:rPr>
          <w:rStyle w:val="Referenciaatema"/>
        </w:rPr>
        <w:t xml:space="preserve">[ver tema 3.A.15]</w:t>
      </w:r>
      <w:r>
        <w:t xml:space="preserve">.</w:t>
      </w:r>
    </w:p>
    <w:bookmarkEnd w:id="209"/>
    <w:bookmarkStart w:id="210" w:name="e-valoración-4"/>
    <w:p>
      <w:pPr>
        <w:pStyle w:val="Heading4"/>
      </w:pPr>
      <w:r>
        <w:t xml:space="preserve">e)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r>
        <w:rPr>
          <w:rStyle w:val="Referenciaatema"/>
        </w:rPr>
        <w:t xml:space="preserve">[ver tema 3.A.12]</w:t>
      </w:r>
      <w:r>
        <w:t xml:space="preserve">; como la empresa no tiene restricción presupuestaria, su oferta no tiene efecto renta y la oferta de mercado es la suma de las individuales (anexo B).</w:t>
      </w:r>
    </w:p>
    <w:bookmarkEnd w:id="210"/>
    <w:bookmarkEnd w:id="211"/>
    <w:bookmarkEnd w:id="212"/>
    <w:bookmarkStart w:id="213" w:name="conclusió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y el 56,6 % si se imputa un salario a los autónomos</w:t>
      </w:r>
      <w:r>
        <w:t xml:space="preserve"> </w:t>
      </w:r>
      <w:r>
        <w:t xml:space="preserve">(</w:t>
      </w:r>
      <w:hyperlink w:anchor="ref-AMECO2026WageShare">
        <w:r>
          <w:rPr>
            <w:rStyle w:val="Hyperlink"/>
            <w:smallCaps/>
          </w:rPr>
          <w:t xml:space="preserve">Comisión Europea</w:t>
        </w:r>
        <w:r>
          <w:rPr>
            <w:rStyle w:val="Hyperlink"/>
          </w:rPr>
          <w:t xml:space="preserve"> </w:t>
        </w:r>
        <w:r>
          <w:rPr>
            <w:rStyle w:val="Hyperlink"/>
          </w:rPr>
          <w:t xml:space="preserve">2026</w:t>
        </w:r>
      </w:hyperlink>
      <w:r>
        <w:t xml:space="preserve">)</w:t>
      </w:r>
      <w:r>
        <w:t xml:space="preserve">; pero la caída de esta participación en casi todos los países desde los años 80</w:t>
      </w:r>
      <w:r>
        <w:t xml:space="preserve"> </w:t>
      </w:r>
      <w:r>
        <w:t xml:space="preserve">(</w:t>
      </w:r>
      <w:hyperlink w:anchor="ref-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w:t>
        </w:r>
        <w:r>
          <w:rPr>
            <w:rStyle w:val="Hyperlink"/>
          </w:rPr>
          <w:t xml:space="preserve">2014</w:t>
        </w:r>
      </w:hyperlink>
      <w:r>
        <w:t xml:space="preserve">)</w:t>
      </w:r>
      <w:r>
        <w:t xml:space="preserve"> </w:t>
      </w:r>
      <w:r>
        <w:t xml:space="preserve">es difícil de explicar con</w:t>
      </w:r>
      <w:r>
        <w:t xml:space="preserve"> </w:t>
      </w:r>
      <m:oMath>
        <m:r>
          <m:t>σ</m:t>
        </m:r>
        <m:r>
          <m:rPr>
            <m:sty m:val="p"/>
          </m:rPr>
          <m:t>=</m:t>
        </m:r>
        <m:r>
          <m:t>1</m:t>
        </m:r>
      </m:oMath>
      <w:r>
        <w:t xml:space="preserve"> </w:t>
      </w:r>
      <w:r>
        <w:rPr>
          <w:rStyle w:val="Referenciaatema"/>
        </w:rPr>
        <w:t xml:space="preserve">[ver tema 3.A.45]</w:t>
      </w:r>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r>
        <w:rPr>
          <w:rStyle w:val="Referenciaatema"/>
        </w:rPr>
        <w:t xml:space="preserve">[ver tema 3.A.43]</w:t>
      </w:r>
      <w:r>
        <w:t xml:space="preserve">, y los rendimientos crecientes abren el crecimiento endógeno</w:t>
      </w:r>
      <w:r>
        <w:t xml:space="preserve"> </w:t>
      </w:r>
      <w:r>
        <w:rPr>
          <w:rStyle w:val="Referenciaatema"/>
        </w:rPr>
        <w:t xml:space="preserve">[ver tema 3.A.44]</w:t>
      </w:r>
      <w:r>
        <w:t xml:space="preserve"> </w:t>
      </w:r>
      <w:r>
        <w:t xml:space="preserve">y la nueva teoría del comercio</w:t>
      </w:r>
      <w:r>
        <w:t xml:space="preserve"> </w:t>
      </w:r>
      <w:r>
        <w:rPr>
          <w:rStyle w:val="Referenciaatema"/>
        </w:rPr>
        <w:t xml:space="preserve">[ver tema 3.B.6]</w:t>
      </w:r>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r>
        <w:rPr>
          <w:rStyle w:val="Referenciaatema"/>
        </w:rPr>
        <w:t xml:space="preserve">[ver tema 3.A.12]</w:t>
      </w:r>
      <w:r>
        <w:t xml:space="preserve">; con la estructura de mercado, la oferta</w:t>
      </w:r>
      <w:r>
        <w:t xml:space="preserve"> </w:t>
      </w:r>
      <w:r>
        <w:rPr>
          <w:rStyle w:val="Referenciaatema"/>
        </w:rPr>
        <w:t xml:space="preserve">[ver tema 3.A.16-3.A.19]</w:t>
      </w:r>
      <w:r>
        <w:t xml:space="preserve">. El problema del productor que maximiza el beneficio se resume en el anexo B.</w:t>
      </w:r>
    </w:p>
    <w:p>
      <w:pPr>
        <w:numPr>
          <w:ilvl w:val="1"/>
          <w:numId w:val="1112"/>
        </w:numPr>
      </w:pPr>
      <w:r>
        <w:t xml:space="preserve">Cuando las empresas no producen en la curva de contrato, el bienestar es menor que el posible</w:t>
      </w:r>
      <w:r>
        <w:t xml:space="preserve"> </w:t>
      </w:r>
      <w:r>
        <w:rPr>
          <w:rStyle w:val="Referenciaatema"/>
        </w:rPr>
        <w:t xml:space="preserve">[ver tema 3.A.22]</w:t>
      </w:r>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F)</w:t>
      </w:r>
      <w:r>
        <w:t xml:space="preserve"> </w:t>
      </w:r>
      <w:r>
        <w:rPr>
          <w:rStyle w:val="Referenciaatema"/>
        </w:rPr>
        <w:t xml:space="preserve">[ver tema 3.A.4]</w:t>
      </w:r>
      <w:r>
        <w:t xml:space="preserve">.</w:t>
      </w:r>
    </w:p>
    <w:p>
      <w:pPr>
        <w:numPr>
          <w:ilvl w:val="1"/>
          <w:numId w:val="1112"/>
        </w:numPr>
      </w:pPr>
      <w:r>
        <w:t xml:space="preserve">Los rendimientos crecientes y la forma de definir el capital (físico, humano, conocimiento) están en el origen del crecimiento endógeno</w:t>
      </w:r>
      <w:r>
        <w:t xml:space="preserve"> </w:t>
      </w:r>
      <w:r>
        <w:rPr>
          <w:rStyle w:val="Referenciaatema"/>
        </w:rPr>
        <w:t xml:space="preserve">[ver tema 3.A.44]</w:t>
      </w:r>
      <w:r>
        <w:t xml:space="preserve">, y las diferencias de tecnología, en la teoría del comercio internacional</w:t>
      </w:r>
      <w:r>
        <w:t xml:space="preserve"> </w:t>
      </w:r>
      <w:r>
        <w:rPr>
          <w:rStyle w:val="Referenciaatema"/>
        </w:rPr>
        <w:t xml:space="preserve">[ver tema 3.B.5]</w:t>
      </w:r>
      <w:r>
        <w:t xml:space="preserve"> </w:t>
      </w:r>
      <w:r>
        <w:rPr>
          <w:rStyle w:val="Referenciaatema"/>
        </w:rPr>
        <w:t xml:space="preserve">[ver tema 3.B.6]</w:t>
      </w:r>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r>
        <w:rPr>
          <w:rStyle w:val="Referenciaatema"/>
        </w:rPr>
        <w:t xml:space="preserve">[ver tema 3.A.15]</w:t>
      </w:r>
      <w:r>
        <w:t xml:space="preserve">.</w:t>
      </w:r>
    </w:p>
    <w:p>
      <w:pPr>
        <w:numPr>
          <w:ilvl w:val="0"/>
          <w:numId w:val="1109"/>
        </w:numPr>
      </w:pPr>
      <w:r>
        <w:rPr>
          <w:b/>
          <w:bCs/>
          <w:i/>
          <w:iCs/>
        </w:rPr>
        <w:t xml:space="preserve">Idea final</w:t>
      </w:r>
      <w:r>
        <w:t xml:space="preserve">: la teoría de la producción no dice qué producirá la empresa, sino qué puede producir: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3"/>
    <w:bookmarkStart w:id="217" w:name="anexo:derivaciones"/>
    <w:p>
      <w:pPr>
        <w:pStyle w:val="Heading1"/>
      </w:pPr>
      <w:r>
        <w:t xml:space="preserve">A. Anexo: derivaciones</w:t>
      </w:r>
    </w:p>
    <w:p>
      <w:pPr>
        <w:pStyle w:val="FirstParagraph"/>
      </w:pPr>
      <w:r>
        <w:t xml:space="preserve">Este anexo no se canta: desarrolla las derivaciones de los apartados I y II por si las pide el tribunal.</w:t>
      </w:r>
    </w:p>
    <w:bookmarkStart w:id="214" w:name="der: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w:t>
      </w:r>
      <w:r>
        <w:rPr>
          <w:i/>
          <w:iCs/>
        </w:rPr>
        <w:t xml:space="preserve">.</w:t>
      </w:r>
    </w:p>
    <w:bookmarkEnd w:id="214"/>
    <w:bookmarkStart w:id="215" w:name="der: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t xml:space="preserve">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w:t>
      </w:r>
      <w:r>
        <w:t xml:space="preserve">(</w:t>
      </w:r>
      <w:r>
        <w:rPr>
          <w:i/>
          <w:iCs/>
        </w:rPr>
        <w:t xml:space="preserve">teorema de</w:t>
      </w:r>
      <w:r>
        <w:rPr>
          <w:i/>
          <w:iCs/>
        </w:rPr>
        <w:t xml:space="preserve"> </w:t>
      </w:r>
      <w:r>
        <w:rPr>
          <w:i/>
          <w:iCs/>
          <w:smallCaps/>
        </w:rPr>
        <w:t xml:space="preserve">Euler</w:t>
      </w:r>
      <w:r>
        <w:t xml:space="preserve">). Con</w:t>
      </w:r>
      <w:r>
        <w:t xml:space="preserve"> </w:t>
      </w:r>
      <m:oMath>
        <m:r>
          <m:t>k</m:t>
        </m:r>
        <m:r>
          <m:rPr>
            <m:sty m:val="p"/>
          </m:rPr>
          <m:t>=</m:t>
        </m:r>
        <m:r>
          <m:t>1</m:t>
        </m:r>
      </m:oMath>
      <w:r>
        <w:t xml:space="preserve">, pagar a cada factor su productividad marginal agota el producto.</w:t>
      </w:r>
    </w:p>
    <w:p>
      <w:pPr>
        <w:numPr>
          <w:ilvl w:val="0"/>
          <w:numId w:val="1114"/>
        </w:numPr>
      </w:pPr>
      <w:r>
        <w:t xml:space="preserve">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w:t>
      </w:r>
    </w:p>
    <w:bookmarkEnd w:id="215"/>
    <w:bookmarkStart w:id="216" w:name="der:cobb-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w:t>
      </w:r>
    </w:p>
    <w:bookmarkEnd w:id="216"/>
    <w:bookmarkEnd w:id="217"/>
    <w:bookmarkStart w:id="218" w:name="anexo: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r>
        <w:rPr>
          <w:rStyle w:val="Referenciaatema"/>
        </w:rPr>
        <w:t xml:space="preserve">[ver tema 3.A.12]</w:t>
      </w:r>
      <w:r>
        <w:t xml:space="preserve">; aquí se resume lo que enlaza con la tecnología.</w:t>
      </w:r>
    </w:p>
    <w:p>
      <w:pPr>
        <w:numPr>
          <w:ilvl w:val="0"/>
          <w:numId w:val="1115"/>
        </w:numPr>
      </w:pPr>
      <w:r>
        <w:t xml:space="preserve">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I.2.</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r>
        <w:rPr>
          <w:rStyle w:val="Referenciaatema"/>
        </w:rPr>
        <w:t xml:space="preserve">[ver tema 3.A.8]</w:t>
      </w:r>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5.E.1)</w:t>
      </w:r>
      <w:r>
        <w:t xml:space="preserve">. La agregación de la producción es sencilla y poderosa, frente a la de la demanda.</w:t>
      </w:r>
    </w:p>
    <w:p>
      <w:pPr>
        <w:numPr>
          <w:ilvl w:val="0"/>
          <w:numId w:val="1115"/>
        </w:numPr>
      </w:pPr>
      <w:r>
        <w:t xml:space="preserve">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r>
        <w:rPr>
          <w:rStyle w:val="Referenciaatema"/>
        </w:rPr>
        <w:t xml:space="preserve">[ver tema 3.A.12]</w:t>
      </w:r>
      <w:r>
        <w:t xml:space="preserve"> </w:t>
      </w:r>
      <w:r>
        <w:t xml:space="preserve">y de la competencia perfecta</w:t>
      </w:r>
      <w:r>
        <w:t xml:space="preserve"> </w:t>
      </w:r>
      <w:r>
        <w:rPr>
          <w:rStyle w:val="Referenciaatema"/>
        </w:rPr>
        <w:t xml:space="preserve">[ver tema 3.A.16]</w:t>
      </w:r>
      <w:r>
        <w:t xml:space="preserve">; con rendimientos constantes, el tamaño de cada empresa queda indeterminado y la oferta de largo plazo de la industria es horizontal.</w:t>
      </w:r>
    </w:p>
    <w:bookmarkEnd w:id="218"/>
    <w:bookmarkStart w:id="221" w:name="anexo:formas"/>
    <w:p>
      <w:pPr>
        <w:pStyle w:val="Heading1"/>
      </w:pPr>
      <w:r>
        <w:t xml:space="preserve">C. Anexo: formas funcionales de la función de producción</w:t>
      </w:r>
    </w:p>
    <w:bookmarkStart w:id="219" w:name="tab: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r>
              <w:rPr>
                <w:rStyle w:val="Referenciaatema"/>
              </w:rPr>
              <w:t xml:space="preserve">[ver tema 3.A.31]</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19"/>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X3912afbe19fb4eb5a412d0575e10cb0aa993b54">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i/>
          <w:i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r>
        <w:rPr>
          <w:rStyle w:val="Referenciaatema"/>
        </w:rPr>
        <w:t xml:space="preserve">[ver tema 3.A.12]</w:t>
      </w:r>
      <w:r>
        <w:t xml:space="preserve">.</w:t>
      </w:r>
      <w:r>
        <w:rPr>
          <w:rStyle w:val="FootnoteReference"/>
        </w:rPr>
        <w:footnoteReference w:id="220"/>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II.2,</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r>
        <w:rPr>
          <w:rStyle w:val="Referenciaatema"/>
        </w:rPr>
        <w:t xml:space="preserve">[ver tema 3.A.8]</w:t>
      </w:r>
      <w:r>
        <w:t xml:space="preserve">.</w:t>
      </w:r>
    </w:p>
    <w:bookmarkEnd w:id="221"/>
    <w:bookmarkStart w:id="222" w:name="anexo:sigma-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w:t>
        </w:r>
        <w:r>
          <w:rPr>
            <w:rStyle w:val="Hyperlink"/>
          </w:rPr>
          <w:t xml:space="preserve">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r>
        <w:rPr>
          <w:rStyle w:val="Referenciaatema"/>
        </w:rPr>
        <w:t xml:space="preserve">[ver tema 3.A.12]</w:t>
      </w:r>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Allen1938Mathematical">
        <w:r>
          <w:rPr>
            <w:rStyle w:val="Hyperlink"/>
            <w:smallCaps/>
          </w:rPr>
          <w:t xml:space="preserve">Allen</w:t>
        </w:r>
        <w:r>
          <w:rPr>
            <w:rStyle w:val="Hyperlink"/>
          </w:rPr>
          <w:t xml:space="preserve"> </w:t>
        </w:r>
        <w:r>
          <w:rPr>
            <w:rStyle w:val="Hyperlink"/>
          </w:rPr>
          <w:t xml:space="preserve">1938</w:t>
        </w:r>
      </w:hyperlink>
      <w:r>
        <w:t xml:space="preserve">;</w:t>
      </w:r>
      <w:r>
        <w:t xml:space="preserve"> </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I.3.</w:t>
      </w:r>
    </w:p>
    <w:bookmarkEnd w:id="222"/>
    <w:bookmarkStart w:id="223" w:name="anexo: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r>
        <w:rPr>
          <w:rStyle w:val="Referenciaatema"/>
        </w:rPr>
        <w:t xml:space="preserve">[ver tema 3.A.10]</w:t>
      </w:r>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Stigler1939Production">
        <w:r>
          <w:rPr>
            <w:rStyle w:val="Hyperlink"/>
            <w:smallCaps/>
          </w:rPr>
          <w:t xml:space="preserve">Stigler</w:t>
        </w:r>
        <w:r>
          <w:rPr>
            <w:rStyle w:val="Hyperlink"/>
          </w:rPr>
          <w:t xml:space="preserve"> </w:t>
        </w:r>
        <w:r>
          <w:rPr>
            <w:rStyle w:val="Hyperlink"/>
          </w:rPr>
          <w:t xml:space="preserve">1939</w:t>
        </w:r>
      </w:hyperlink>
      <w:r>
        <w:t xml:space="preserve">)</w:t>
      </w:r>
      <w:r>
        <w:t xml:space="preserve">.</w:t>
      </w:r>
    </w:p>
    <w:bookmarkEnd w:id="223"/>
    <w:bookmarkStart w:id="230" w:name="anexo:cambridge"/>
    <w:p>
      <w:pPr>
        <w:pStyle w:val="Heading1"/>
      </w:pPr>
      <w:r>
        <w:t xml:space="preserve">F. Anexo: la función de producción agregada</w:t>
      </w:r>
      <w:r>
        <w:br/>
      </w:r>
      <w:r>
        <w:t xml:space="preserve">y la controversia del capital</w:t>
      </w:r>
    </w:p>
    <w:bookmarkStart w:id="228" w:name="Xf1a75499a1a4ef6c032a5785974c4852edf19a6"/>
    <w:p>
      <w:pPr>
        <w:pStyle w:val="Heading2"/>
      </w:pPr>
      <w:r>
        <w:t xml:space="preserve">F.1. La función de producción agregada en forma intensiva</w:t>
      </w:r>
    </w:p>
    <w:p>
      <w:pPr>
        <w:numPr>
          <w:ilvl w:val="0"/>
          <w:numId w:val="1121"/>
        </w:numPr>
      </w:pPr>
      <w:r>
        <w:t xml:space="preserve">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r>
        <w:rPr>
          <w:rStyle w:val="Referenciaatema"/>
        </w:rPr>
        <w:t xml:space="preserve">[ver tema 3.A.43]</w:t>
      </w:r>
      <w:r>
        <w:t xml:space="preserve">.</w:t>
      </w:r>
    </w:p>
    <w:p>
      <w:pPr>
        <w:numPr>
          <w:ilvl w:val="0"/>
          <w:numId w:val="1121"/>
        </w:numPr>
      </w:pPr>
      <w:r>
        <w:t xml:space="preserve">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25):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27" w:name="fig:forma-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 title="" id="225" name="Picture"/>
            <a:graphic>
              <a:graphicData uri="http://schemas.openxmlformats.org/drawingml/2006/picture">
                <pic:pic>
                  <pic:nvPicPr>
                    <pic:cNvPr descr="C:\Users\vgutierrez\Documents\src\victorgutierrezmarcos.github.io-revision\oposicion\temario\fuentes\3A11\graficos/forma-intensiva.png" id="226" name="Picture"/>
                    <pic:cNvPicPr>
                      <a:picLocks noChangeArrowheads="1" noChangeAspect="1"/>
                    </pic:cNvPicPr>
                  </pic:nvPicPr>
                  <pic:blipFill>
                    <a:blip r:embed="rId224"/>
                    <a:stretch>
                      <a:fillRect/>
                    </a:stretch>
                  </pic:blipFill>
                  <pic:spPr bwMode="auto">
                    <a:xfrm>
                      <a:off x="0" y="0"/>
                      <a:ext cx="3195812" cy="2513835"/>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w:t>
      </w:r>
    </w:p>
    <w:bookmarkEnd w:id="228"/>
    <w:bookmarkStart w:id="229" w:name="X610364530aed1f7414c826df0ecadc7d197b333"/>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w:t>
        </w:r>
        <w:r>
          <w:rPr>
            <w:rStyle w:val="Hyperlink"/>
          </w:rPr>
          <w:t xml:space="preserve">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rPr>
          <w:i/>
          <w:iCs/>
        </w:rPr>
        <w:t xml:space="preserve">Consecuencias</w:t>
      </w:r>
      <w:r>
        <w:t xml:space="preserve">: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r>
        <w:rPr>
          <w:rStyle w:val="Referenciaatema"/>
        </w:rPr>
        <w:t xml:space="preserve">[ver tema 3.A.45]</w:t>
      </w:r>
      <w:r>
        <w:t xml:space="preserve">, porque es manejable y empíricamente útil, y la teoría reciente estudia en qué condiciones puede fundamentarse desde la microeconomía</w:t>
      </w:r>
      <w:r>
        <w:t xml:space="preserve"> </w:t>
      </w:r>
      <w:r>
        <w:t xml:space="preserve">(</w:t>
      </w:r>
      <w:hyperlink w:anchor="ref-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w:t>
        </w:r>
        <w:r>
          <w:rPr>
            <w:rStyle w:val="Hyperlink"/>
          </w:rPr>
          <w:t xml:space="preserve">2019</w:t>
        </w:r>
      </w:hyperlink>
      <w:r>
        <w:t xml:space="preserve">)</w:t>
      </w:r>
      <w:r>
        <w:t xml:space="preserve">. La controversia enfrentó a los postkeynesianos con la síntesis neoclásica</w:t>
      </w:r>
      <w:r>
        <w:t xml:space="preserve"> </w:t>
      </w:r>
      <w:r>
        <w:rPr>
          <w:rStyle w:val="Referenciaatema"/>
        </w:rPr>
        <w:t xml:space="preserve">[ver tema 3.A.4]</w:t>
      </w:r>
      <w:r>
        <w:t xml:space="preserve">; para una exposición divulgativa,</w:t>
      </w:r>
      <w:r>
        <w:t xml:space="preserve"> </w:t>
      </w:r>
      <w:r>
        <w:rPr>
          <w:smallCaps/>
        </w:rPr>
        <w:t xml:space="preserve">Feás</w:t>
      </w:r>
      <w:r>
        <w:t xml:space="preserve"> </w:t>
      </w:r>
      <w:r>
        <w:t xml:space="preserve">(</w:t>
      </w:r>
      <w:hyperlink w:anchor="ref-Feas2017Robinson">
        <w:r>
          <w:rPr>
            <w:rStyle w:val="Hyperlink"/>
          </w:rPr>
          <w:t xml:space="preserve">2017</w:t>
        </w:r>
      </w:hyperlink>
      <w:r>
        <w:t xml:space="preserve">)</w:t>
      </w:r>
      <w:r>
        <w:t xml:space="preserve">.</w:t>
      </w:r>
    </w:p>
    <w:bookmarkEnd w:id="229"/>
    <w:bookmarkEnd w:id="230"/>
    <w:bookmarkStart w:id="232" w:name="anexo:test"/>
    <w:p>
      <w:pPr>
        <w:pStyle w:val="Heading1"/>
      </w:pPr>
      <w:r>
        <w:t xml:space="preserve">G. Anexo: aspectos para el test</w:t>
      </w:r>
    </w:p>
    <w:p>
      <w:pPr>
        <w:pStyle w:val="Cajadeanotaciones"/>
      </w:pPr>
      <w:r>
        <w:t xml:space="preserve">Preguntas tipo test del primer ejercicio:</w:t>
      </w:r>
      <w:r>
        <w:t xml:space="preserve"> </w:t>
      </w:r>
      <w:hyperlink r:id="rId231">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2"/>
    <w:bookmarkStart w:id="353" w:name="bibliography"/>
    <w:p>
      <w:pPr>
        <w:pStyle w:val="Heading1"/>
      </w:pPr>
      <w:r>
        <w:t xml:space="preserve">Bibliografía</w:t>
      </w:r>
    </w:p>
    <w:bookmarkStart w:id="352" w:name="refs"/>
    <w:bookmarkStart w:id="233" w:name="ref-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33"/>
    <w:bookmarkStart w:id="234" w:name="ref-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34"/>
    <w:bookmarkStart w:id="236"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35">
        <w:r>
          <w:rPr>
            <w:rStyle w:val="Hyperlink"/>
          </w:rPr>
          <w:t xml:space="preserve">https://doi.org/10.2307/1927286</w:t>
        </w:r>
      </w:hyperlink>
      <w:r>
        <w:t xml:space="preserve">.</w:t>
      </w:r>
    </w:p>
    <w:bookmarkEnd w:id="236"/>
    <w:bookmarkStart w:id="238" w:name="ref-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37">
        <w:r>
          <w:rPr>
            <w:rStyle w:val="Hyperlink"/>
          </w:rPr>
          <w:t xml:space="preserve">https://doi.org/10.1093/jeea/jvz050</w:t>
        </w:r>
      </w:hyperlink>
      <w:r>
        <w:t xml:space="preserve">.</w:t>
      </w:r>
    </w:p>
    <w:bookmarkEnd w:id="238"/>
    <w:bookmarkStart w:id="240" w:name="ref-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39">
        <w:r>
          <w:rPr>
            <w:rStyle w:val="Hyperlink"/>
          </w:rPr>
          <w:t xml:space="preserve">https://doi.org/10.1086/262073</w:t>
        </w:r>
      </w:hyperlink>
      <w:r>
        <w:t xml:space="preserve">.</w:t>
      </w:r>
    </w:p>
    <w:bookmarkEnd w:id="240"/>
    <w:bookmarkStart w:id="242"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1">
        <w:r>
          <w:rPr>
            <w:rStyle w:val="Hyperlink"/>
          </w:rPr>
          <w:t xml:space="preserve">https://doi.org/10.2307/2228949</w:t>
        </w:r>
      </w:hyperlink>
      <w:r>
        <w:t xml:space="preserve">.</w:t>
      </w:r>
    </w:p>
    <w:bookmarkEnd w:id="242"/>
    <w:bookmarkStart w:id="243"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43"/>
    <w:bookmarkStart w:id="244" w:name="ref-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44"/>
    <w:bookmarkStart w:id="245"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45"/>
    <w:bookmarkStart w:id="247" w:name="ref-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46">
        <w:r>
          <w:rPr>
            <w:rStyle w:val="Hyperlink"/>
          </w:rPr>
          <w:t xml:space="preserve">https://doi.org/10.1016/j.jmacro.2007.10.010</w:t>
        </w:r>
      </w:hyperlink>
      <w:r>
        <w:t xml:space="preserve">.</w:t>
      </w:r>
    </w:p>
    <w:bookmarkEnd w:id="247"/>
    <w:bookmarkStart w:id="249"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48">
        <w:r>
          <w:rPr>
            <w:rStyle w:val="Hyperlink"/>
          </w:rPr>
          <w:t xml:space="preserve">https://doi.org/10.2307/1927992</w:t>
        </w:r>
      </w:hyperlink>
      <w:r>
        <w:t xml:space="preserve">.</w:t>
      </w:r>
    </w:p>
    <w:bookmarkEnd w:id="249"/>
    <w:bookmarkStart w:id="250" w:name="ref-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50"/>
    <w:bookmarkStart w:id="251"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1"/>
    <w:bookmarkStart w:id="253" w:name="ref-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52">
        <w:r>
          <w:rPr>
            <w:rStyle w:val="Hyperlink"/>
          </w:rPr>
          <w:t xml:space="preserve">https://doi.org/10.1257/089533003321165010</w:t>
        </w:r>
      </w:hyperlink>
      <w:r>
        <w:t xml:space="preserve">.</w:t>
      </w:r>
    </w:p>
    <w:bookmarkEnd w:id="253"/>
    <w:bookmarkStart w:id="255" w:name="ref-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54">
        <w:r>
          <w:rPr>
            <w:rStyle w:val="Hyperlink"/>
          </w:rPr>
          <w:t xml:space="preserve">https://ec.europa.eu/economy_finance/ameco/wq/series?fullVariable=1.0.0.0.ALCD0&amp;countries=ESP</w:t>
        </w:r>
      </w:hyperlink>
      <w:r>
        <w:t xml:space="preserve">.</w:t>
      </w:r>
    </w:p>
    <w:bookmarkEnd w:id="255"/>
    <w:bookmarkStart w:id="256"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56"/>
    <w:bookmarkStart w:id="258"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57">
        <w:r>
          <w:rPr>
            <w:rStyle w:val="Hyperlink"/>
          </w:rPr>
          <w:t xml:space="preserve">https://cowles.yale.edu/sites/default/files/2022-09/m17-all.pdf</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0">
        <w:r>
          <w:rPr>
            <w:rStyle w:val="Hyperlink"/>
          </w:rPr>
          <w:t xml:space="preserve">https://doi.org/10.1086/260489</w:t>
        </w:r>
      </w:hyperlink>
      <w:r>
        <w:t xml:space="preserve">.</w:t>
      </w:r>
    </w:p>
    <w:bookmarkEnd w:id="261"/>
    <w:bookmarkStart w:id="262"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62"/>
    <w:bookmarkStart w:id="264" w:name="ref-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263">
        <w:r>
          <w:rPr>
            <w:rStyle w:val="Hyperlink"/>
          </w:rPr>
          <w:t xml:space="preserve">https://ec.europa.eu/eurostat/databrowser/view/nama_10_gdp/default/table</w:t>
        </w:r>
      </w:hyperlink>
      <w:r>
        <w:t xml:space="preserve">.</w:t>
      </w:r>
    </w:p>
    <w:bookmarkEnd w:id="264"/>
    <w:bookmarkStart w:id="266" w:name="ref-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265">
        <w:r>
          <w:rPr>
            <w:rStyle w:val="Hyperlink"/>
          </w:rPr>
          <w:t xml:space="preserve">https://blognewdeal.com/enrique-feas/brindo-por-usted-senora-robinson/</w:t>
        </w:r>
      </w:hyperlink>
      <w:r>
        <w:t xml:space="preserve">.</w:t>
      </w:r>
    </w:p>
    <w:bookmarkEnd w:id="266"/>
    <w:bookmarkStart w:id="267" w:name="ref-Frisch1965Theory"/>
    <w:p>
      <w:pPr>
        <w:pStyle w:val="Bibliography"/>
      </w:pPr>
      <w:r>
        <w:t xml:space="preserve">Frisch, Ragnar. 1965.</w:t>
      </w:r>
      <w:r>
        <w:t xml:space="preserve"> </w:t>
      </w:r>
      <w:r>
        <w:rPr>
          <w:i/>
          <w:iCs/>
        </w:rPr>
        <w:t xml:space="preserve">Theory of Production</w:t>
      </w:r>
      <w:r>
        <w:t xml:space="preserve">. Dordrecht: D. Reidel.</w:t>
      </w:r>
    </w:p>
    <w:bookmarkEnd w:id="267"/>
    <w:bookmarkStart w:id="269"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268">
        <w:r>
          <w:rPr>
            <w:rStyle w:val="Hyperlink"/>
          </w:rPr>
          <w:t xml:space="preserve">https://web.archive.org/web/20260106065001/http://www2.hawaii.edu/~fuleky/anatomy/anatomy.html</w:t>
        </w:r>
      </w:hyperlink>
      <w:r>
        <w:t xml:space="preserve">.</w:t>
      </w:r>
    </w:p>
    <w:bookmarkEnd w:id="269"/>
    <w:bookmarkStart w:id="271" w:name="ref-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270">
        <w:r>
          <w:rPr>
            <w:rStyle w:val="Hyperlink"/>
          </w:rPr>
          <w:t xml:space="preserve">https://doi.org/10.1016/j.red.2021.05.003</w:t>
        </w:r>
      </w:hyperlink>
      <w:r>
        <w:t xml:space="preserve">.</w:t>
      </w:r>
    </w:p>
    <w:bookmarkEnd w:id="271"/>
    <w:bookmarkStart w:id="272"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72"/>
    <w:bookmarkStart w:id="274"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73">
        <w:r>
          <w:rPr>
            <w:rStyle w:val="Hyperlink"/>
          </w:rPr>
          <w:t xml:space="preserve">https://doi.org/10.1086/260629</w:t>
        </w:r>
      </w:hyperlink>
      <w:r>
        <w:t xml:space="preserve">.</w:t>
      </w:r>
    </w:p>
    <w:bookmarkEnd w:id="274"/>
    <w:bookmarkStart w:id="275"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75"/>
    <w:bookmarkStart w:id="276" w:name="ref-Harrod1948Towards"/>
    <w:p>
      <w:pPr>
        <w:pStyle w:val="Bibliography"/>
      </w:pPr>
      <w:r>
        <w:t xml:space="preserve">Harrod, Roy F. 1948.</w:t>
      </w:r>
      <w:r>
        <w:t xml:space="preserve"> </w:t>
      </w:r>
      <w:r>
        <w:rPr>
          <w:i/>
          <w:iCs/>
        </w:rPr>
        <w:t xml:space="preserve">Towards a Dynamic Economics</w:t>
      </w:r>
      <w:r>
        <w:t xml:space="preserve">. Londres: Macmillan.</w:t>
      </w:r>
    </w:p>
    <w:bookmarkEnd w:id="276"/>
    <w:bookmarkStart w:id="277" w:name="ref-Hicks1932Theory"/>
    <w:p>
      <w:pPr>
        <w:pStyle w:val="Bibliography"/>
      </w:pPr>
      <w:r>
        <w:t xml:space="preserve">Hicks, John R. 1932.</w:t>
      </w:r>
      <w:r>
        <w:t xml:space="preserve"> </w:t>
      </w:r>
      <w:r>
        <w:rPr>
          <w:i/>
          <w:iCs/>
        </w:rPr>
        <w:t xml:space="preserve">The Theory of Wages</w:t>
      </w:r>
      <w:r>
        <w:t xml:space="preserve">. Londres: Macmillan.</w:t>
      </w:r>
    </w:p>
    <w:bookmarkEnd w:id="277"/>
    <w:bookmarkStart w:id="278" w:name="ref-Hicks1939Value"/>
    <w:p>
      <w:pPr>
        <w:pStyle w:val="Bibliography"/>
      </w:pPr>
      <w:r>
        <w:t xml:space="preserve">———. 1939.</w:t>
      </w:r>
      <w:r>
        <w:t xml:space="preserve"> </w:t>
      </w:r>
      <w:r>
        <w:rPr>
          <w:i/>
          <w:iCs/>
        </w:rPr>
        <w:t xml:space="preserve">Value and Capital</w:t>
      </w:r>
      <w:r>
        <w:t xml:space="preserve">. Oxford: Clarendon Press.</w:t>
      </w:r>
    </w:p>
    <w:bookmarkEnd w:id="278"/>
    <w:bookmarkStart w:id="280"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9">
        <w:r>
          <w:rPr>
            <w:rStyle w:val="Hyperlink"/>
          </w:rPr>
          <w:t xml:space="preserve">https://doi.org/10.1086/254387</w:t>
        </w:r>
      </w:hyperlink>
      <w:r>
        <w:t xml:space="preserve">.</w:t>
      </w:r>
    </w:p>
    <w:bookmarkEnd w:id="280"/>
    <w:bookmarkStart w:id="282"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81">
        <w:r>
          <w:rPr>
            <w:rStyle w:val="Hyperlink"/>
          </w:rPr>
          <w:t xml:space="preserve">https://www.richmondfed.org/publications/research/economic_quarterly/1997/winter/humphrey</w:t>
        </w:r>
      </w:hyperlink>
      <w:r>
        <w:t xml:space="preserve">.</w:t>
      </w:r>
    </w:p>
    <w:bookmarkEnd w:id="282"/>
    <w:bookmarkStart w:id="284" w:name="ref-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283">
        <w:r>
          <w:rPr>
            <w:rStyle w:val="Hyperlink"/>
          </w:rPr>
          <w:t xml:space="preserve">https://doi.org/10.2307/2295809</w:t>
        </w:r>
      </w:hyperlink>
      <w:r>
        <w:t xml:space="preserve">.</w:t>
      </w:r>
    </w:p>
    <w:bookmarkEnd w:id="284"/>
    <w:bookmarkStart w:id="285"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85"/>
    <w:bookmarkStart w:id="287" w:name="ref-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286">
        <w:r>
          <w:rPr>
            <w:rStyle w:val="Hyperlink"/>
          </w:rPr>
          <w:t xml:space="preserve">https://doi.org/10.1093/qje/qjt032</w:t>
        </w:r>
      </w:hyperlink>
      <w:r>
        <w:t xml:space="preserve">.</w:t>
      </w:r>
    </w:p>
    <w:bookmarkEnd w:id="287"/>
    <w:bookmarkStart w:id="289" w:name="ref-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288">
        <w:r>
          <w:rPr>
            <w:rStyle w:val="Hyperlink"/>
          </w:rPr>
          <w:t xml:space="preserve">https://doi.org/10.1111/1467-9442.00183</w:t>
        </w:r>
      </w:hyperlink>
      <w:r>
        <w:t xml:space="preserve">.</w:t>
      </w:r>
    </w:p>
    <w:bookmarkEnd w:id="289"/>
    <w:bookmarkStart w:id="291" w:name="ref-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290">
        <w:r>
          <w:rPr>
            <w:rStyle w:val="Hyperlink"/>
          </w:rPr>
          <w:t xml:space="preserve">https://doi.org/10.1111/obes.12312</w:t>
        </w:r>
      </w:hyperlink>
      <w:r>
        <w:t xml:space="preserve">.</w:t>
      </w:r>
    </w:p>
    <w:bookmarkEnd w:id="291"/>
    <w:bookmarkStart w:id="292" w:name="ref-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292"/>
    <w:bookmarkStart w:id="294"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293">
        <w:r>
          <w:rPr>
            <w:rStyle w:val="Hyperlink"/>
          </w:rPr>
          <w:t xml:space="preserve">https://doi.org/10.1086/259131</w:t>
        </w:r>
      </w:hyperlink>
      <w:r>
        <w:t xml:space="preserve">.</w:t>
      </w:r>
    </w:p>
    <w:bookmarkEnd w:id="294"/>
    <w:bookmarkStart w:id="296" w:name="ref-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295">
        <w:r>
          <w:rPr>
            <w:rStyle w:val="Hyperlink"/>
          </w:rPr>
          <w:t xml:space="preserve">https://doi.org/10.2307/1927837</w:t>
        </w:r>
      </w:hyperlink>
      <w:r>
        <w:t xml:space="preserve">.</w:t>
      </w:r>
    </w:p>
    <w:bookmarkEnd w:id="296"/>
    <w:bookmarkStart w:id="297" w:name="ref-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297"/>
    <w:bookmarkStart w:id="298" w:name="ref-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298"/>
    <w:bookmarkStart w:id="30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9">
        <w:r>
          <w:rPr>
            <w:rStyle w:val="Hyperlink"/>
          </w:rPr>
          <w:t xml:space="preserve">https://www.marxists.org/reference/subject/economics/marshall/bk1ch01.htm</w:t>
        </w:r>
      </w:hyperlink>
      <w:r>
        <w:t xml:space="preserve">.</w:t>
      </w:r>
    </w:p>
    <w:bookmarkEnd w:id="300"/>
    <w:bookmarkStart w:id="30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1"/>
    <w:bookmarkStart w:id="302"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02"/>
    <w:bookmarkStart w:id="304" w:name="ref-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03">
        <w:r>
          <w:rPr>
            <w:rStyle w:val="Hyperlink"/>
          </w:rPr>
          <w:t xml:space="preserve">https://doi.org/10.3982/ECTA12807</w:t>
        </w:r>
      </w:hyperlink>
      <w:r>
        <w:t xml:space="preserve">.</w:t>
      </w:r>
    </w:p>
    <w:bookmarkEnd w:id="304"/>
    <w:bookmarkStart w:id="305"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5"/>
    <w:bookmarkStart w:id="306" w:name="ref-Pareto1896Cours"/>
    <w:p>
      <w:pPr>
        <w:pStyle w:val="Bibliography"/>
      </w:pPr>
      <w:r>
        <w:t xml:space="preserve">Pareto, Vilfredo. 1896.</w:t>
      </w:r>
      <w:r>
        <w:t xml:space="preserve"> </w:t>
      </w:r>
      <w:r>
        <w:rPr>
          <w:i/>
          <w:iCs/>
        </w:rPr>
        <w:t xml:space="preserve">Cours d’économie politique</w:t>
      </w:r>
      <w:r>
        <w:t xml:space="preserve">. Lausana: F. Rouge.</w:t>
      </w:r>
    </w:p>
    <w:bookmarkEnd w:id="306"/>
    <w:bookmarkStart w:id="307"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07"/>
    <w:bookmarkStart w:id="308" w:name="ref-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08"/>
    <w:bookmarkStart w:id="310" w:name="ref-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09">
        <w:r>
          <w:rPr>
            <w:rStyle w:val="Hyperlink"/>
          </w:rPr>
          <w:t xml:space="preserve">https://policonomics.com/es/lp-produccion1-region-economica-produccion/</w:t>
        </w:r>
      </w:hyperlink>
      <w:r>
        <w:t xml:space="preserve">.</w:t>
      </w:r>
    </w:p>
    <w:bookmarkEnd w:id="310"/>
    <w:bookmarkStart w:id="312" w:name="ref-Policonomics2026ShortRun"/>
    <w:p>
      <w:pPr>
        <w:pStyle w:val="Bibliography"/>
      </w:pPr>
      <w:r>
        <w:t xml:space="preserve">———. 2026b.</w:t>
      </w:r>
      <w:r>
        <w:t xml:space="preserve"> </w:t>
      </w:r>
      <w:r>
        <w:t xml:space="preserve">«Production II: Short run production»</w:t>
      </w:r>
      <w:r>
        <w:t xml:space="preserve">. 2026.</w:t>
      </w:r>
      <w:r>
        <w:t xml:space="preserve"> </w:t>
      </w:r>
      <w:hyperlink r:id="rId311">
        <w:r>
          <w:rPr>
            <w:rStyle w:val="Hyperlink"/>
          </w:rPr>
          <w:t xml:space="preserve">https://policonomics.com/lp-production2-short-run-production/</w:t>
        </w:r>
      </w:hyperlink>
      <w:r>
        <w:t xml:space="preserve">.</w:t>
      </w:r>
    </w:p>
    <w:bookmarkEnd w:id="312"/>
    <w:bookmarkStart w:id="313"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13"/>
    <w:bookmarkStart w:id="315" w:name="ref-Robinson1953Production"/>
    <w:p>
      <w:pPr>
        <w:pStyle w:val="Bibliography"/>
      </w:pPr>
      <w:r>
        <w:t xml:space="preserve">———.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14">
        <w:r>
          <w:rPr>
            <w:rStyle w:val="Hyperlink"/>
          </w:rPr>
          <w:t xml:space="preserve">https://doi.org/10.2307/2296002</w:t>
        </w:r>
      </w:hyperlink>
      <w:r>
        <w:t xml:space="preserve">.</w:t>
      </w:r>
    </w:p>
    <w:bookmarkEnd w:id="315"/>
    <w:bookmarkStart w:id="316"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16"/>
    <w:bookmarkStart w:id="318" w:name="ref-Samuelson1966Summing"/>
    <w:p>
      <w:pPr>
        <w:pStyle w:val="Bibliography"/>
      </w:pPr>
      <w:r>
        <w:t xml:space="preserve">———.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17">
        <w:r>
          <w:rPr>
            <w:rStyle w:val="Hyperlink"/>
          </w:rPr>
          <w:t xml:space="preserve">https://doi.org/10.2307/1882916</w:t>
        </w:r>
      </w:hyperlink>
      <w:r>
        <w:t xml:space="preserve">.</w:t>
      </w:r>
    </w:p>
    <w:bookmarkEnd w:id="318"/>
    <w:bookmarkStart w:id="319" w:name="ref-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19"/>
    <w:bookmarkStart w:id="320" w:name="ref-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20"/>
    <w:bookmarkStart w:id="321"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21"/>
    <w:bookmarkStart w:id="32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22"/>
    <w:bookmarkStart w:id="324"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3">
        <w:r>
          <w:rPr>
            <w:rStyle w:val="Hyperlink"/>
          </w:rPr>
          <w:t xml:space="preserve">https://www.gutenberg.org/cache/epub/3300/pg3300.txt</w:t>
        </w:r>
      </w:hyperlink>
      <w:r>
        <w:t xml:space="preserve">.</w:t>
      </w:r>
    </w:p>
    <w:bookmarkEnd w:id="324"/>
    <w:bookmarkStart w:id="326" w:name="ref-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25">
        <w:r>
          <w:rPr>
            <w:rStyle w:val="Hyperlink"/>
          </w:rPr>
          <w:t xml:space="preserve">https://doi.org/10.2307/1884513</w:t>
        </w:r>
      </w:hyperlink>
      <w:r>
        <w:t xml:space="preserve">.</w:t>
      </w:r>
    </w:p>
    <w:bookmarkEnd w:id="326"/>
    <w:bookmarkStart w:id="328" w:name="ref-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27">
        <w:r>
          <w:rPr>
            <w:rStyle w:val="Hyperlink"/>
          </w:rPr>
          <w:t xml:space="preserve">https://doi.org/10.2307/2959866</w:t>
        </w:r>
      </w:hyperlink>
      <w:r>
        <w:t xml:space="preserve">.</w:t>
      </w:r>
    </w:p>
    <w:bookmarkEnd w:id="328"/>
    <w:bookmarkStart w:id="329" w:name="ref-Sraffa1960Production"/>
    <w:p>
      <w:pPr>
        <w:pStyle w:val="Bibliography"/>
      </w:pPr>
      <w:r>
        <w:t xml:space="preserve">———. 1960.</w:t>
      </w:r>
      <w:r>
        <w:t xml:space="preserve"> </w:t>
      </w:r>
      <w:r>
        <w:rPr>
          <w:i/>
          <w:iCs/>
        </w:rPr>
        <w:t xml:space="preserve">Production of Commodities by Means of Commodities</w:t>
      </w:r>
      <w:r>
        <w:t xml:space="preserve">. Cambridge: Cambridge University Press.</w:t>
      </w:r>
    </w:p>
    <w:bookmarkEnd w:id="329"/>
    <w:bookmarkStart w:id="331"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30">
        <w:r>
          <w:rPr>
            <w:rStyle w:val="Hyperlink"/>
          </w:rPr>
          <w:t xml:space="preserve">https://doi.org/10.1086/255387</w:t>
        </w:r>
      </w:hyperlink>
      <w:r>
        <w:t xml:space="preserve">.</w:t>
      </w:r>
    </w:p>
    <w:bookmarkEnd w:id="331"/>
    <w:bookmarkStart w:id="332" w:name="ref-Stigler1941Production"/>
    <w:p>
      <w:pPr>
        <w:pStyle w:val="Bibliography"/>
      </w:pPr>
      <w:r>
        <w:t xml:space="preserve">———. 1941.</w:t>
      </w:r>
      <w:r>
        <w:t xml:space="preserve"> </w:t>
      </w:r>
      <w:r>
        <w:rPr>
          <w:i/>
          <w:iCs/>
        </w:rPr>
        <w:t xml:space="preserve">Production and Distribution Theories: The Formative Period</w:t>
      </w:r>
      <w:r>
        <w:t xml:space="preserve">. Nueva York: Macmillan.</w:t>
      </w:r>
    </w:p>
    <w:bookmarkEnd w:id="332"/>
    <w:bookmarkStart w:id="334"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33">
        <w:r>
          <w:rPr>
            <w:rStyle w:val="Hyperlink"/>
          </w:rPr>
          <w:t xml:space="preserve">https://doi.org/10.1086/258464</w:t>
        </w:r>
      </w:hyperlink>
      <w:r>
        <w:t xml:space="preserve">.</w:t>
      </w:r>
    </w:p>
    <w:bookmarkEnd w:id="334"/>
    <w:bookmarkStart w:id="336" w:name="ref-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35">
        <w:r>
          <w:rPr>
            <w:rStyle w:val="Hyperlink"/>
          </w:rPr>
          <w:t xml:space="preserve">https://www.hetwebsite.net/het/essays/product/prodintro.htm</w:t>
        </w:r>
      </w:hyperlink>
      <w:r>
        <w:t xml:space="preserve">.</w:t>
      </w:r>
    </w:p>
    <w:bookmarkEnd w:id="336"/>
    <w:bookmarkStart w:id="338" w:name="ref-HET2026Elasticity"/>
    <w:p>
      <w:pPr>
        <w:pStyle w:val="Bibliography"/>
      </w:pPr>
      <w:r>
        <w:t xml:space="preserve">———. 2026b.</w:t>
      </w:r>
      <w:r>
        <w:t xml:space="preserve"> </w:t>
      </w:r>
      <w:r>
        <w:t xml:space="preserve">«The Elasticity of Substitution»</w:t>
      </w:r>
      <w:r>
        <w:t xml:space="preserve">. 2026.</w:t>
      </w:r>
      <w:r>
        <w:t xml:space="preserve"> </w:t>
      </w:r>
      <w:hyperlink r:id="rId337">
        <w:r>
          <w:rPr>
            <w:rStyle w:val="Hyperlink"/>
          </w:rPr>
          <w:t xml:space="preserve">https://hetwebsite.net/het/essays/product/elastic.htm</w:t>
        </w:r>
      </w:hyperlink>
      <w:r>
        <w:t xml:space="preserve">.</w:t>
      </w:r>
    </w:p>
    <w:bookmarkEnd w:id="338"/>
    <w:bookmarkStart w:id="339" w:name="ref-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39"/>
    <w:bookmarkStart w:id="341" w:name="ref-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40">
        <w:r>
          <w:rPr>
            <w:rStyle w:val="Hyperlink"/>
          </w:rPr>
          <w:t xml:space="preserve">https://doi.org/10.2307/2295709</w:t>
        </w:r>
      </w:hyperlink>
      <w:r>
        <w:t xml:space="preserve">.</w:t>
      </w:r>
    </w:p>
    <w:bookmarkEnd w:id="341"/>
    <w:bookmarkStart w:id="343" w:name="ref-Uzawa1962Production"/>
    <w:p>
      <w:pPr>
        <w:pStyle w:val="Bibliography"/>
      </w:pPr>
      <w:r>
        <w:t xml:space="preserve">———.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42">
        <w:r>
          <w:rPr>
            <w:rStyle w:val="Hyperlink"/>
          </w:rPr>
          <w:t xml:space="preserve">https://doi.org/10.2307/2296305</w:t>
        </w:r>
      </w:hyperlink>
      <w:r>
        <w:t xml:space="preserve">.</w:t>
      </w:r>
    </w:p>
    <w:bookmarkEnd w:id="343"/>
    <w:bookmarkStart w:id="345"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44">
        <w:r>
          <w:rPr>
            <w:rStyle w:val="Hyperlink"/>
          </w:rPr>
          <w:t xml:space="preserve">https://doi.org/10.2307/2525564</w:t>
        </w:r>
      </w:hyperlink>
      <w:r>
        <w:t xml:space="preserve">.</w:t>
      </w:r>
    </w:p>
    <w:bookmarkEnd w:id="345"/>
    <w:bookmarkStart w:id="346"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46"/>
    <w:bookmarkStart w:id="347"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47"/>
    <w:bookmarkStart w:id="348"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48"/>
    <w:bookmarkStart w:id="349"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49"/>
    <w:bookmarkStart w:id="351" w:name="ref-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50">
        <w:r>
          <w:rPr>
            <w:rStyle w:val="Hyperlink"/>
          </w:rPr>
          <w:t xml:space="preserve">https://cruel.org/econthought/texts/wicksteed/wickess.pdf</w:t>
        </w:r>
      </w:hyperlink>
      <w:r>
        <w:t xml:space="preserve">.</w:t>
      </w:r>
    </w:p>
    <w:bookmarkEnd w:id="351"/>
    <w:bookmarkEnd w:id="352"/>
    <w:bookmarkEnd w:id="353"/>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r>
        <w:rPr>
          <w:rStyle w:val="Referenciaatema"/>
        </w:rPr>
        <w:t xml:space="preserve">[ver tema 3.A.8]</w:t>
      </w:r>
      <w:r>
        <w:t xml:space="preserve">. Además, la microeconomía estudia otros agentes, como las instituciones financieras o el Estado.</w:t>
      </w:r>
    </w:p>
  </w:footnote>
  <w:footnote w:id="22">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34">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II.1).</w:t>
      </w:r>
    </w:p>
  </w:footnote>
  <w:footnote w:id="35">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I.2).</w:t>
      </w:r>
    </w:p>
  </w:footnote>
  <w:footnote w:id="47">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53">
    <w:p>
      <w:pPr>
        <w:pStyle w:val="FootnoteText"/>
      </w:pPr>
      <w:r>
        <w:rPr>
          <w:rStyle w:val="FootnoteReference"/>
        </w:rPr>
        <w:footnoteRef/>
      </w:r>
      <w:r>
        <w:t xml:space="preserve"> </w:t>
      </w:r>
      <w:r>
        <w:t xml:space="preserve">Como la convexidad estricta de las preferencias</w:t>
      </w:r>
      <w:r>
        <w:t xml:space="preserve"> </w:t>
      </w:r>
      <w:r>
        <w:rPr>
          <w:rStyle w:val="Referenciaatema"/>
        </w:rPr>
        <w:t xml:space="preserve">[ver tema 3.A.8]</w:t>
      </w:r>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62">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81">
    <w:p>
      <w:pPr>
        <w:pStyle w:val="FootnoteText"/>
      </w:pPr>
      <w:r>
        <w:rPr>
          <w:rStyle w:val="FootnoteReference"/>
        </w:rPr>
        <w:footnoteRef/>
      </w:r>
      <w:r>
        <w:t xml:space="preserve"> </w:t>
      </w:r>
      <w:r>
        <w:rPr>
          <w:smallCaps/>
        </w:rPr>
        <w:t xml:space="preserve">Solow</w:t>
      </w:r>
      <w:r>
        <w:t xml:space="preserve"> </w:t>
      </w:r>
      <w:r>
        <w:t xml:space="preserve">(</w:t>
      </w:r>
      <w:hyperlink w:anchor="ref-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r>
        <w:rPr>
          <w:rStyle w:val="Referenciaatema"/>
        </w:rPr>
        <w:t xml:space="preserve">[ver tema 3.A.43]</w:t>
      </w:r>
      <w:r>
        <w:t xml:space="preserve">, pero la formalización general y su estimación son de</w:t>
      </w:r>
      <w:r>
        <w:t xml:space="preserve"> </w:t>
      </w:r>
      <w:r>
        <w:rPr>
          <w:smallCaps/>
        </w:rPr>
        <w:t xml:space="preserve">Arrow</w:t>
      </w:r>
      <w:r>
        <w:t xml:space="preserve"> </w:t>
      </w:r>
      <w:r>
        <w:t xml:space="preserve">et al. (</w:t>
      </w:r>
      <w:hyperlink w:anchor="ref-ArrowEtAl1961Capital">
        <w:r>
          <w:rPr>
            <w:rStyle w:val="Hyperlink"/>
          </w:rPr>
          <w:t xml:space="preserve">1961</w:t>
        </w:r>
      </w:hyperlink>
      <w:r>
        <w:t xml:space="preserve">)</w:t>
      </w:r>
      <w:r>
        <w:t xml:space="preserve"> </w:t>
      </w:r>
      <w:r>
        <w:t xml:space="preserve">(</w:t>
      </w:r>
      <w:hyperlink w:anchor="ref-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w:t>
        </w:r>
        <w:r>
          <w:rPr>
            <w:rStyle w:val="Hyperlink"/>
          </w:rPr>
          <w:t xml:space="preserve">2000</w:t>
        </w:r>
      </w:hyperlink>
      <w:r>
        <w:t xml:space="preserve">)</w:t>
      </w:r>
      <w:r>
        <w:t xml:space="preserve">.</w:t>
      </w:r>
    </w:p>
  </w:footnote>
  <w:footnote w:id="112">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 </w:t>
      </w:r>
      <w:r>
        <w:rPr>
          <w:rStyle w:val="Referenciaatema"/>
        </w:rPr>
        <w:t xml:space="preserve">[ver tema 3.A.2]</w:t>
      </w:r>
      <w:r>
        <w:t xml:space="preserve">.</w:t>
      </w:r>
    </w:p>
  </w:footnote>
  <w:footnote w:id="113">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(3),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14">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20">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13). La exposición se centra en el primer caso, que es más general.</w:t>
      </w:r>
    </w:p>
  </w:footnote>
  <w:footnote w:id="123">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w:t>
      </w:r>
    </w:p>
  </w:footnote>
  <w:footnote w:id="149">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54">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w:t>
      </w:r>
    </w:p>
  </w:footnote>
  <w:footnote w:id="189">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r>
        <w:rPr>
          <w:rStyle w:val="Referenciaatema"/>
        </w:rPr>
        <w:t xml:space="preserve">[ver tema 3.A.21]</w:t>
      </w:r>
      <w:r>
        <w:t xml:space="preserve"> </w:t>
      </w:r>
      <w:r>
        <w:rPr>
          <w:rStyle w:val="Referenciaatema"/>
        </w:rPr>
        <w:t xml:space="preserve">[ver tema 3.B.6]</w:t>
      </w:r>
      <w:r>
        <w:t xml:space="preserve">.</w:t>
      </w:r>
    </w:p>
  </w:footnote>
  <w:footnote w:id="220">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124" Target="media/rId124.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185" Target="media/rId185.png" /><Relationship Type="http://schemas.openxmlformats.org/officeDocument/2006/relationships/image" Id="rId42" Target="media/rId42.png" /><Relationship Type="http://schemas.openxmlformats.org/officeDocument/2006/relationships/image" Id="rId63" Target="media/rId63.png" /><Relationship Type="http://schemas.openxmlformats.org/officeDocument/2006/relationships/image" Id="rId108" Target="media/rId108.png" /><Relationship Type="http://schemas.openxmlformats.org/officeDocument/2006/relationships/image" Id="rId138" Target="media/rId138.png" /><Relationship Type="http://schemas.openxmlformats.org/officeDocument/2006/relationships/image" Id="rId166" Target="media/rId166.png" /><Relationship Type="http://schemas.openxmlformats.org/officeDocument/2006/relationships/image" Id="rId104" Target="media/rId104.png" /><Relationship Type="http://schemas.openxmlformats.org/officeDocument/2006/relationships/image" Id="rId150" Target="media/rId150.png" /><Relationship Type="http://schemas.openxmlformats.org/officeDocument/2006/relationships/image" Id="rId176" Target="media/rId176.png" /><Relationship Type="http://schemas.openxmlformats.org/officeDocument/2006/relationships/image" Id="rId171" Target="media/rId171.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142" Target="media/rId142.png"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71" Target="media/rId71.png" /><Relationship Type="http://schemas.openxmlformats.org/officeDocument/2006/relationships/image" Id="rId202" Target="media/rId202.png" /><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65" Target="https://blognewdeal.com/enrique-feas/brindo-por-usted-senora-robinson/" TargetMode="External" /><Relationship Type="http://schemas.openxmlformats.org/officeDocument/2006/relationships/hyperlink" Id="rId257" Target="https://cowles.yale.edu/sites/default/files/2022-09/m17-all.pdf" TargetMode="External" /><Relationship Type="http://schemas.openxmlformats.org/officeDocument/2006/relationships/hyperlink" Id="rId350" Target="https://cruel.org/econthought/texts/wicksteed/wickess.pdf" TargetMode="External" /><Relationship Type="http://schemas.openxmlformats.org/officeDocument/2006/relationships/hyperlink" Id="rId246" Target="https://doi.org/10.1016/j.jmacro.2007.10.010" TargetMode="External" /><Relationship Type="http://schemas.openxmlformats.org/officeDocument/2006/relationships/hyperlink" Id="rId270" Target="https://doi.org/10.1016/j.red.2021.05.003" TargetMode="External" /><Relationship Type="http://schemas.openxmlformats.org/officeDocument/2006/relationships/hyperlink" Id="rId279" Target="https://doi.org/10.1086/254387" TargetMode="External" /><Relationship Type="http://schemas.openxmlformats.org/officeDocument/2006/relationships/hyperlink" Id="rId330" Target="https://doi.org/10.1086/255387" TargetMode="External" /><Relationship Type="http://schemas.openxmlformats.org/officeDocument/2006/relationships/hyperlink" Id="rId333" Target="https://doi.org/10.1086/258464" TargetMode="External" /><Relationship Type="http://schemas.openxmlformats.org/officeDocument/2006/relationships/hyperlink" Id="rId293" Target="https://doi.org/10.1086/259131" TargetMode="External" /><Relationship Type="http://schemas.openxmlformats.org/officeDocument/2006/relationships/hyperlink" Id="rId260" Target="https://doi.org/10.1086/260489" TargetMode="External" /><Relationship Type="http://schemas.openxmlformats.org/officeDocument/2006/relationships/hyperlink" Id="rId273" Target="https://doi.org/10.1086/260629" TargetMode="External" /><Relationship Type="http://schemas.openxmlformats.org/officeDocument/2006/relationships/hyperlink" Id="rId239" Target="https://doi.org/10.1086/262073" TargetMode="External" /><Relationship Type="http://schemas.openxmlformats.org/officeDocument/2006/relationships/hyperlink" Id="rId237" Target="https://doi.org/10.1093/jeea/jvz050" TargetMode="External" /><Relationship Type="http://schemas.openxmlformats.org/officeDocument/2006/relationships/hyperlink" Id="rId286" Target="https://doi.org/10.1093/qje/qjt032" TargetMode="External" /><Relationship Type="http://schemas.openxmlformats.org/officeDocument/2006/relationships/hyperlink" Id="rId288" Target="https://doi.org/10.1111/1467-9442.00183" TargetMode="External" /><Relationship Type="http://schemas.openxmlformats.org/officeDocument/2006/relationships/hyperlink" Id="rId290" Target="https://doi.org/10.1111/obes.12312" TargetMode="External" /><Relationship Type="http://schemas.openxmlformats.org/officeDocument/2006/relationships/hyperlink" Id="rId252" Target="https://doi.org/10.1257/089533003321165010" TargetMode="External" /><Relationship Type="http://schemas.openxmlformats.org/officeDocument/2006/relationships/hyperlink" Id="rId317" Target="https://doi.org/10.2307/1882916" TargetMode="External" /><Relationship Type="http://schemas.openxmlformats.org/officeDocument/2006/relationships/hyperlink" Id="rId325" Target="https://doi.org/10.2307/1884513" TargetMode="External" /><Relationship Type="http://schemas.openxmlformats.org/officeDocument/2006/relationships/hyperlink" Id="rId235" Target="https://doi.org/10.2307/1927286" TargetMode="External" /><Relationship Type="http://schemas.openxmlformats.org/officeDocument/2006/relationships/hyperlink" Id="rId295" Target="https://doi.org/10.2307/1927837" TargetMode="External" /><Relationship Type="http://schemas.openxmlformats.org/officeDocument/2006/relationships/hyperlink" Id="rId248" Target="https://doi.org/10.2307/1927992" TargetMode="External" /><Relationship Type="http://schemas.openxmlformats.org/officeDocument/2006/relationships/hyperlink" Id="rId241" Target="https://doi.org/10.2307/2228949" TargetMode="External" /><Relationship Type="http://schemas.openxmlformats.org/officeDocument/2006/relationships/hyperlink" Id="rId340" Target="https://doi.org/10.2307/2295709" TargetMode="External" /><Relationship Type="http://schemas.openxmlformats.org/officeDocument/2006/relationships/hyperlink" Id="rId283" Target="https://doi.org/10.2307/2295809" TargetMode="External" /><Relationship Type="http://schemas.openxmlformats.org/officeDocument/2006/relationships/hyperlink" Id="rId314" Target="https://doi.org/10.2307/2296002" TargetMode="External" /><Relationship Type="http://schemas.openxmlformats.org/officeDocument/2006/relationships/hyperlink" Id="rId342" Target="https://doi.org/10.2307/2296305" TargetMode="External" /><Relationship Type="http://schemas.openxmlformats.org/officeDocument/2006/relationships/hyperlink" Id="rId344" Target="https://doi.org/10.2307/2525564" TargetMode="External" /><Relationship Type="http://schemas.openxmlformats.org/officeDocument/2006/relationships/hyperlink" Id="rId327" Target="https://doi.org/10.2307/2959866" TargetMode="External" /><Relationship Type="http://schemas.openxmlformats.org/officeDocument/2006/relationships/hyperlink" Id="rId303" Target="https://doi.org/10.3982/ECTA12807" TargetMode="External" /><Relationship Type="http://schemas.openxmlformats.org/officeDocument/2006/relationships/hyperlink" Id="rId254" Target="https://ec.europa.eu/economy_finance/ameco/wq/series?fullVariable=1.0.0.0.ALCD0&amp;countries=ESP" TargetMode="External" /><Relationship Type="http://schemas.openxmlformats.org/officeDocument/2006/relationships/hyperlink" Id="rId263" Target="https://ec.europa.eu/eurostat/databrowser/view/nama_10_gdp/default/table" TargetMode="External" /><Relationship Type="http://schemas.openxmlformats.org/officeDocument/2006/relationships/hyperlink" Id="rId337" Target="https://hetwebsite.net/het/essays/product/elastic.htm" TargetMode="External" /><Relationship Type="http://schemas.openxmlformats.org/officeDocument/2006/relationships/hyperlink" Id="rId309" Target="https://policonomics.com/es/lp-produccion1-region-economica-produccion/" TargetMode="External" /><Relationship Type="http://schemas.openxmlformats.org/officeDocument/2006/relationships/hyperlink" Id="rId28" Target="https://policonomics.com/es/lp-produccion1/" TargetMode="External" /><Relationship Type="http://schemas.openxmlformats.org/officeDocument/2006/relationships/hyperlink" Id="rId29" Target="https://policonomics.com/es/lp-produccion2/" TargetMode="External" /><Relationship Type="http://schemas.openxmlformats.org/officeDocument/2006/relationships/hyperlink" Id="rId30" Target="https://policonomics.com/es/video-b1-funcion-produccion/" TargetMode="External" /><Relationship Type="http://schemas.openxmlformats.org/officeDocument/2006/relationships/hyperlink" Id="rId311" Target="https://policonomics.com/lp-production2-short-run-production/" TargetMode="External" /><Relationship Type="http://schemas.openxmlformats.org/officeDocument/2006/relationships/hyperlink" Id="rId268" Target="https://web.archive.org/web/20260106065001/http://www2.hawaii.edu/~fuleky/anatomy/anatomy.html" TargetMode="External" /><Relationship Type="http://schemas.openxmlformats.org/officeDocument/2006/relationships/hyperlink" Id="rId31" Target="https://web.archive.org/web/20260222212443/http://www2.hawaii.edu/~fuleky/anatomy/anatomy.html" TargetMode="External" /><Relationship Type="http://schemas.openxmlformats.org/officeDocument/2006/relationships/hyperlink" Id="rId323" Target="https://www.gutenberg.org/cache/epub/3300/pg3300.txt" TargetMode="External" /><Relationship Type="http://schemas.openxmlformats.org/officeDocument/2006/relationships/hyperlink" Id="rId32" Target="https://www.hetwebsite.net/het/essays/product/prodcont.htm" TargetMode="External" /><Relationship Type="http://schemas.openxmlformats.org/officeDocument/2006/relationships/hyperlink" Id="rId335" Target="https://www.hetwebsite.net/het/essays/product/prodintro.htm" TargetMode="External" /><Relationship Type="http://schemas.openxmlformats.org/officeDocument/2006/relationships/hyperlink" Id="rId299" Target="https://www.marxists.org/reference/subject/economics/marshall/bk1ch01.htm" TargetMode="External" /><Relationship Type="http://schemas.openxmlformats.org/officeDocument/2006/relationships/hyperlink" Id="rId281" Target="https://www.richmondfed.org/publications/research/economic_quarterly/1997/winter/humphrey" TargetMode="External" /><Relationship Type="http://schemas.openxmlformats.org/officeDocument/2006/relationships/hyperlink" Id="rId231" Target="https://www.victorgutierrezmarcos.es/oposicion/temario/primer-ejercicio/test/simulador.html" TargetMode="External" /><Relationship Type="http://schemas.openxmlformats.org/officeDocument/2006/relationships/hyperlink" Id="rId147"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language>es-ES</dc:language>
  <cp:keywords/>
  <dcterms:created xsi:type="dcterms:W3CDTF">2026-10-16T14:18:39Z</dcterms:created>
  <dcterms:modified xsi:type="dcterms:W3CDTF">2026-10-16T14:18:39Z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3A11</vt:lpwstr>
  </property>
  <property fmtid="{D5CDD505-2E9C-101B-9397-08002B2CF9AE}" pid="4" name="bibliography">
    <vt:lpwstr>C:\Users\vgutierrez\Documents\src\victorgutierrezmarcos.github.io-revision\oposicion\temario\fuentes\3A11\3A11.bib</vt:lpwstr>
  </property>
  <property fmtid="{D5CDD505-2E9C-101B-9397-08002B2CF9AE}" pid="5" name="carpeta">
    <vt:lpwstr>tercer-ejercicio</vt:lpwstr>
  </property>
  <property fmtid="{D5CDD505-2E9C-101B-9397-08002B2CF9AE}" pid="6" name="codigo">
    <vt:lpwstr>3.A.11</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C:\Users\vgutierrez\Documents\src\victorgutierrezmarcos.github.io-revision\oposicion\temario\fuentes\3A11\graficos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6 · Bibliografía: 4</vt:lpwstr>
  </property>
  <property fmtid="{D5CDD505-2E9C-101B-9397-08002B2CF9AE}" pid="17"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18" name="reference-section-title">
    <vt:lpwstr>Bibliografía</vt:lpwstr>
  </property>
  <property fmtid="{D5CDD505-2E9C-101B-9397-08002B2CF9AE}" pid="19" name="resumen">
    <vt:lpwstr>Conjunto de producción, isocuantas, corto y largo plazo, rendimientos a escala, elasticidad de sustitución (Cobb-Douglas, CES) y producción conjunta.</vt:lpwstr>
  </property>
  <property fmtid="{D5CDD505-2E9C-101B-9397-08002B2CF9AE}" pid="20"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1" name="titulo-seo">
    <vt:lpwstr>Teoría de la producción y rendimientos a escala</vt:lpwstr>
  </property>
</Properties>
</file>