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7.png" ContentType="image/png"/>
  <Override PartName="/word/media/rId85.png" ContentType="image/png"/>
  <Override PartName="/word/media/rId301.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5.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37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keepNext/>
        <w:numPr>
          <w:ilvl w:val="1"/>
          <w:numId w:val="1006"/>
        </w:numPr>
      </w:pPr>
      <w:r>
        <w:t xml:space="preserve">En el siglo XIX:</w:t>
      </w:r>
    </w:p>
    <w:p>
      <w:pPr>
        <w:numPr>
          <w:ilvl w:val="2"/>
          <w:numId w:val="1007"/>
        </w:numPr>
      </w:pPr>
      <w:r>
        <w:t xml:space="preserve">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w:t>
      </w:r>
    </w:p>
    <w:p>
      <w:pPr>
        <w:numPr>
          <w:ilvl w:val="2"/>
          <w:numId w:val="1007"/>
        </w:numPr>
      </w:pPr>
      <w:r>
        <w:t xml:space="preserve">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w:t>
      </w:r>
    </w:p>
    <w:p>
      <w:pPr>
        <w:numPr>
          <w:ilvl w:val="2"/>
          <w:numId w:val="1007"/>
        </w:numPr>
      </w:pPr>
      <w:r>
        <w:t xml:space="preserve">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keepNext/>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Después:</w:t>
      </w:r>
    </w:p>
    <w:p>
      <w:pPr>
        <w:numPr>
          <w:ilvl w:val="2"/>
          <w:numId w:val="1008"/>
        </w:numPr>
      </w:pPr>
      <w:r>
        <w:t xml:space="preserve">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w:t>
      </w:r>
    </w:p>
    <w:p>
      <w:pPr>
        <w:numPr>
          <w:ilvl w:val="2"/>
          <w:numId w:val="1008"/>
        </w:numPr>
      </w:pPr>
      <w:r>
        <w:t xml:space="preserve">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w:t>
      </w:r>
    </w:p>
    <w:p>
      <w:pPr>
        <w:numPr>
          <w:ilvl w:val="2"/>
          <w:numId w:val="1008"/>
        </w:numPr>
      </w:pPr>
      <w:r>
        <w:t xml:space="preserve">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keepNext/>
        <w:numPr>
          <w:ilvl w:val="1"/>
          <w:numId w:val="1006"/>
        </w:numPr>
      </w:pPr>
      <w:r>
        <w:t xml:space="preserve">Tras la Segunda Guerra Mundial:</w:t>
      </w:r>
    </w:p>
    <w:p>
      <w:pPr>
        <w:numPr>
          <w:ilvl w:val="2"/>
          <w:numId w:val="1009"/>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p>
    <w:p>
      <w:pPr>
        <w:numPr>
          <w:ilvl w:val="2"/>
          <w:numId w:val="1009"/>
        </w:numPr>
      </w:pP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p>
    <w:p>
      <w:pPr>
        <w:numPr>
          <w:ilvl w:val="2"/>
          <w:numId w:val="1009"/>
        </w:numPr>
      </w:pP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w:t>
      </w:r>
    </w:p>
    <w:p>
      <w:pPr>
        <w:numPr>
          <w:ilvl w:val="2"/>
          <w:numId w:val="1009"/>
        </w:numPr>
      </w:pPr>
      <w:r>
        <w:t xml:space="preserve">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10"/>
        </w:numPr>
      </w:pPr>
      <w:r>
        <w:t xml:space="preserve">¿Cómo fija el precio y la cantidad una empresa sin competidores, qué limita su poder y cuánto le cuesta eso a la sociedad?</w:t>
      </w:r>
    </w:p>
    <w:p>
      <w:pPr>
        <w:numPr>
          <w:ilvl w:val="1"/>
          <w:numId w:val="1010"/>
        </w:numPr>
      </w:pPr>
      <w:r>
        <w:t xml:space="preserve">¿Qué cambia cuando puede cobrar precios distintos, cuando la tecnología hace preferible una sola empresa o cuando vende varios productos?</w:t>
      </w:r>
    </w:p>
    <w:p>
      <w:pPr>
        <w:numPr>
          <w:ilvl w:val="1"/>
          <w:numId w:val="1010"/>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keepNext/>
        <w:numPr>
          <w:ilvl w:val="1"/>
          <w:numId w:val="1011"/>
        </w:numPr>
      </w:pPr>
      <w:r>
        <w:rPr>
          <w:b/>
          <w:bCs/>
        </w:rPr>
        <w:t xml:space="preserve">I. Teoría del monopolio</w:t>
      </w:r>
      <w:r>
        <w:t xml:space="preserve">:</w:t>
      </w:r>
    </w:p>
    <w:p>
      <w:pPr>
        <w:numPr>
          <w:ilvl w:val="2"/>
          <w:numId w:val="1012"/>
        </w:numPr>
      </w:pPr>
      <w:r>
        <w:t xml:space="preserve">el escenario base (una sola empresa, muchos compradores precio-aceptantes y barreras a la entrada) (</w:t>
      </w:r>
      <w:hyperlink w:anchor="sec_caracterizacion_monopolio_escenario">
        <w:r>
          <w:rPr>
            <w:rStyle w:val="Hyperlink"/>
          </w:rPr>
          <w:t xml:space="preserve">I.1</w:t>
        </w:r>
      </w:hyperlink>
      <w:r>
        <w:t xml:space="preserve">);</w:t>
      </w:r>
    </w:p>
    <w:p>
      <w:pPr>
        <w:numPr>
          <w:ilvl w:val="2"/>
          <w:numId w:val="1012"/>
        </w:numPr>
      </w:pPr>
      <w:r>
        <w:t xml:space="preserve">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w:t>
      </w:r>
    </w:p>
    <w:p>
      <w:pPr>
        <w:numPr>
          <w:ilvl w:val="2"/>
          <w:numId w:val="1012"/>
        </w:numPr>
      </w:pPr>
      <w:r>
        <w:t xml:space="preserve">el análisis de eficiencia y bienestar (</w:t>
      </w:r>
      <w:hyperlink w:anchor="sec_analisis_eficiencia_bienestar">
        <w:r>
          <w:rPr>
            <w:rStyle w:val="Hyperlink"/>
          </w:rPr>
          <w:t xml:space="preserve">I.3</w:t>
        </w:r>
      </w:hyperlink>
      <w:r>
        <w:t xml:space="preserve">), que adelantamos porque es la vara de medir de todo lo que sigue.</w:t>
      </w:r>
    </w:p>
    <w:p>
      <w:pPr>
        <w:keepNext/>
        <w:numPr>
          <w:ilvl w:val="1"/>
          <w:numId w:val="1011"/>
        </w:numPr>
      </w:pPr>
      <w:r>
        <w:rPr>
          <w:b/>
          <w:bCs/>
        </w:rPr>
        <w:t xml:space="preserve">II. Desarrollos de la teoría del monopolio</w:t>
      </w:r>
      <w:r>
        <w:t xml:space="preserve">, levantando de uno en uno los supuestos del escenario base:</w:t>
      </w:r>
    </w:p>
    <w:p>
      <w:pPr>
        <w:numPr>
          <w:ilvl w:val="2"/>
          <w:numId w:val="1013"/>
        </w:numPr>
      </w:pPr>
      <w:r>
        <w:t xml:space="preserve">el precio único (discriminación de precios,</w:t>
      </w:r>
      <w:r>
        <w:t xml:space="preserve"> </w:t>
      </w:r>
      <w:hyperlink w:anchor="sec_discriminacion_precios">
        <w:r>
          <w:rPr>
            <w:rStyle w:val="Hyperlink"/>
          </w:rPr>
          <w:t xml:space="preserve">II.1</w:t>
        </w:r>
      </w:hyperlink>
      <w:r>
        <w:t xml:space="preserve">);</w:t>
      </w:r>
    </w:p>
    <w:p>
      <w:pPr>
        <w:numPr>
          <w:ilvl w:val="2"/>
          <w:numId w:val="1013"/>
        </w:numPr>
      </w:pPr>
      <w:r>
        <w:t xml:space="preserve">unos costes sin ventajas de tamaño (monopolio natural y su regulación,</w:t>
      </w:r>
      <w:r>
        <w:t xml:space="preserve"> </w:t>
      </w:r>
      <w:hyperlink w:anchor="sec_monopolio_natural">
        <w:r>
          <w:rPr>
            <w:rStyle w:val="Hyperlink"/>
          </w:rPr>
          <w:t xml:space="preserve">II.2</w:t>
        </w:r>
      </w:hyperlink>
      <w:r>
        <w:t xml:space="preserve">);</w:t>
      </w:r>
    </w:p>
    <w:p>
      <w:pPr>
        <w:numPr>
          <w:ilvl w:val="2"/>
          <w:numId w:val="1013"/>
        </w:numPr>
      </w:pPr>
      <w:r>
        <w:t xml:space="preserve">el producto y la planta únicos (producción conjunta,</w:t>
      </w:r>
      <w:r>
        <w:t xml:space="preserve"> </w:t>
      </w:r>
      <w:hyperlink w:anchor="sec_produccion_conjunta">
        <w:r>
          <w:rPr>
            <w:rStyle w:val="Hyperlink"/>
          </w:rPr>
          <w:t xml:space="preserve">II.3</w:t>
        </w:r>
      </w:hyperlink>
      <w:r>
        <w:t xml:space="preserve">).</w:t>
      </w:r>
    </w:p>
    <w:p>
      <w:pPr>
        <w:numPr>
          <w:ilvl w:val="1"/>
          <w:numId w:val="1011"/>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keepLines/>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keepLines/>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keepLines/>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14"/>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5"/>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6"/>
        </w:numPr>
      </w:pPr>
      <w:r>
        <w:t xml:space="preserve">Supuesto a supuesto, el escenario base del monopolio queda así:</w:t>
      </w:r>
    </w:p>
    <w:p>
      <w:pPr>
        <w:numPr>
          <w:ilvl w:val="1"/>
          <w:numId w:val="1017"/>
        </w:numPr>
      </w:pPr>
      <w:r>
        <w:rPr>
          <w:i/>
          <w:iCs/>
        </w:rPr>
        <w:t xml:space="preserve">Se mantiene: agentes racionales</w:t>
      </w:r>
      <w:r>
        <w:t xml:space="preserve">. Los consumidores maximizan su utilidad y el monopolista, su beneficio.</w:t>
      </w:r>
    </w:p>
    <w:p>
      <w:pPr>
        <w:numPr>
          <w:ilvl w:val="1"/>
          <w:numId w:val="1017"/>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7"/>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7"/>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7"/>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8"/>
        </w:numPr>
      </w:pPr>
      <w:r>
        <w:rPr>
          <w:i/>
          <w:iCs/>
        </w:rPr>
        <w:t xml:space="preserve">estratégicas</w:t>
      </w:r>
      <w:r>
        <w:t xml:space="preserve">: conductas del monopolista que disuaden la entrada de competidores potenciales;</w:t>
      </w:r>
    </w:p>
    <w:p>
      <w:pPr>
        <w:numPr>
          <w:ilvl w:val="2"/>
          <w:numId w:val="1018"/>
        </w:numPr>
      </w:pPr>
      <w:r>
        <w:rPr>
          <w:i/>
          <w:iCs/>
        </w:rPr>
        <w:t xml:space="preserve">legales o administrativas</w:t>
      </w:r>
      <w:r>
        <w:t xml:space="preserve">: patentes, licencias, concesiones o aranceles que excluyen a los competidores extranjeros;</w:t>
      </w:r>
    </w:p>
    <w:p>
      <w:pPr>
        <w:numPr>
          <w:ilvl w:val="2"/>
          <w:numId w:val="1018"/>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6"/>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6"/>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cantSplit/>
          <w:tblHeader w:val="on"/>
        </w:trPr>
        <w:tc>
          <w:tcPr>
            <w:shd w:val="clear" w:color="auto" w:fill="DDEBF7"/>
            <w:vAlign w:val="center"/>
          </w:tcPr>
          <w:p>
            <w:pPr>
              <w:pStyle w:val="Celdatceeazulpalido"/>
              <w:keepNext/>
              <w:jc w:val="center"/>
            </w:pPr>
            <w:r>
              <w:rPr>
                <w:b/>
                <w:bCs/>
              </w:rPr>
              <w:t xml:space="preserve">Supuesto del escenario base</w:t>
            </w:r>
          </w:p>
        </w:tc>
        <w:tc>
          <w:tcPr>
            <w:shd w:val="clear" w:color="auto" w:fill="DDEBF7"/>
            <w:vAlign w:val="center"/>
          </w:tcPr>
          <w:p>
            <w:pPr>
              <w:pStyle w:val="Celdatceeazulpalido"/>
              <w:keepNext/>
              <w:jc w:val="center"/>
            </w:pPr>
            <w:r>
              <w:rPr>
                <w:b/>
                <w:bCs/>
              </w:rPr>
              <w:t xml:space="preserve">Desarrollo que lo levanta</w:t>
            </w:r>
          </w:p>
        </w:tc>
      </w:tr>
      <w:tr>
        <w:trPr>
          <w:cantSplit/>
        </w:trP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rPr>
          <w:cantSplit/>
        </w:trP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rPr>
          <w:cantSplit/>
        </w:trP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rPr>
          <w:cantSplit/>
        </w:trP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rPr>
          <w:cantSplit/>
        </w:trP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rPr>
          <w:cantSplit/>
        </w:trP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9"/>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20"/>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20"/>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21"/>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22"/>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22"/>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23"/>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23"/>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24"/>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24"/>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23"/>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23"/>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keepLines/>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y lo usan las autoridades de competencia. Implica que:</w:t>
      </w:r>
    </w:p>
    <w:p>
      <w:pPr>
        <w:numPr>
          <w:ilvl w:val="1"/>
          <w:numId w:val="1025"/>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5"/>
        </w:numPr>
      </w:pPr>
      <w:r>
        <w:t xml:space="preserve">cuanto más inelástica es la demanda, es decir, cuanto menos reaccionan los consumidores a una subida del precio, mayor es el poder de mercado y mayor el precio.</w:t>
      </w:r>
    </w:p>
    <w:p>
      <w:pPr>
        <w:numPr>
          <w:ilvl w:val="0"/>
          <w:numId w:val="1023"/>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23"/>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23"/>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6"/>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6"/>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6"/>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23"/>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Gráfico 1.– Equilibrio del monopolista: IMg=CMg y precio sobre la demanda"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7"/>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7"/>
        </w:numPr>
      </w:pPr>
      <w:r>
        <w:t xml:space="preserve">A diferencia de la competencia perfecta:</w:t>
      </w:r>
    </w:p>
    <w:p>
      <w:pPr>
        <w:numPr>
          <w:ilvl w:val="1"/>
          <w:numId w:val="1028"/>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8"/>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9"/>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keepLi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30"/>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30"/>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31"/>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32"/>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33"/>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33"/>
        </w:numPr>
      </w:pPr>
      <w:r>
        <w:t xml:space="preserve">El coste marginal mide el coste de oportunidad de producir.</w:t>
      </w:r>
    </w:p>
    <w:p>
      <w:pPr>
        <w:numPr>
          <w:ilvl w:val="0"/>
          <w:numId w:val="1033"/>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34"/>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5"/>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5"/>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34"/>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Gráfico 2.– El coste social del monopolio: transferencia, triángulo de Harberger, búsqueda de rentas e ineficiencia X"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6"/>
        </w:numPr>
      </w:pPr>
      <w:r>
        <w:rPr>
          <w:i/>
          <w:iCs/>
        </w:rPr>
        <w:t xml:space="preserve">Otras ineficiencias</w:t>
      </w:r>
      <w:r>
        <w:t xml:space="preserve">. El triángulo es solo la parte más visible del coste social del monopolio; hay otras 4, que pueden ser mayores:</w:t>
      </w:r>
    </w:p>
    <w:p>
      <w:pPr>
        <w:numPr>
          <w:ilvl w:val="1"/>
          <w:numId w:val="1037"/>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7"/>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7"/>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7"/>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8"/>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8"/>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9"/>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9"/>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9"/>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40"/>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40"/>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41"/>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41"/>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keepLines/>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42"/>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43"/>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1989</w:t>
        </w:r>
      </w:hyperlink>
      <w:r>
        <w:t xml:space="preserve">)</w:t>
      </w:r>
      <w:r>
        <w:t xml:space="preserve">.</w:t>
      </w:r>
    </w:p>
    <w:p>
      <w:pPr>
        <w:keepNext/>
        <w:numPr>
          <w:ilvl w:val="0"/>
          <w:numId w:val="1043"/>
        </w:numPr>
      </w:pPr>
      <w:r>
        <w:t xml:space="preserve">Requiere 3 condiciones:</w:t>
      </w:r>
    </w:p>
    <w:p>
      <w:pPr>
        <w:numPr>
          <w:ilvl w:val="1"/>
          <w:numId w:val="1044"/>
        </w:numPr>
      </w:pPr>
      <w:r>
        <w:rPr>
          <w:i/>
          <w:iCs/>
        </w:rPr>
        <w:t xml:space="preserve">poder de mercado</w:t>
      </w:r>
      <w:r>
        <w:t xml:space="preserve">: con demanda perfectamente elástica no hay excedente que extraer;</w:t>
      </w:r>
    </w:p>
    <w:p>
      <w:pPr>
        <w:numPr>
          <w:ilvl w:val="1"/>
          <w:numId w:val="1044"/>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44"/>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43"/>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w:t>
      </w:r>
    </w:p>
    <w:p>
      <w:pPr>
        <w:numPr>
          <w:ilvl w:val="1"/>
          <w:numId w:val="1045"/>
        </w:numPr>
      </w:pPr>
      <w:r>
        <w:t xml:space="preserve">en el primero, cada unidad se vende a su precio de demanda;</w:t>
      </w:r>
    </w:p>
    <w:p>
      <w:pPr>
        <w:numPr>
          <w:ilvl w:val="1"/>
          <w:numId w:val="1045"/>
        </w:numPr>
      </w:pPr>
      <w:r>
        <w:t xml:space="preserve">en el segundo, hay precios por tramos de cantidad;</w:t>
      </w:r>
    </w:p>
    <w:p>
      <w:pPr>
        <w:numPr>
          <w:ilvl w:val="1"/>
          <w:numId w:val="1045"/>
        </w:numPr>
      </w:pPr>
      <w:r>
        <w:t xml:space="preserve">en el tercero, precios distintos para grupos separados por alguna señal observable.</w:t>
      </w:r>
    </w:p>
    <w:p>
      <w:pPr>
        <w:keepNext/>
        <w:numPr>
          <w:ilvl w:val="0"/>
          <w:numId w:val="1043"/>
        </w:numPr>
      </w:pPr>
      <w:r>
        <w:t xml:space="preserve">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1988, cap. 3</w:t>
        </w:r>
      </w:hyperlink>
      <w:r>
        <w:t xml:space="preserve">)</w:t>
      </w:r>
      <w:r>
        <w:t xml:space="preserve">:</w:t>
      </w:r>
    </w:p>
    <w:p>
      <w:pPr>
        <w:numPr>
          <w:ilvl w:val="1"/>
          <w:numId w:val="1046"/>
        </w:numPr>
      </w:pPr>
      <w:r>
        <w:rPr>
          <w:b/>
          <w:bCs/>
        </w:rPr>
        <w:t xml:space="preserve">primer grado</w:t>
      </w:r>
      <w:r>
        <w:t xml:space="preserve"> </w:t>
      </w:r>
      <w:r>
        <w:t xml:space="preserve">(discriminación perfecta): observa la valoración de cada consumidor;</w:t>
      </w:r>
    </w:p>
    <w:p>
      <w:pPr>
        <w:numPr>
          <w:ilvl w:val="1"/>
          <w:numId w:val="1046"/>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6"/>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43"/>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7"/>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8"/>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9"/>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Gráfico 3.– Discriminación de primer grado: la demanda es el ingreso marginal y todo el excedente es del monopolista"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50"/>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50"/>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51"/>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52"/>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53"/>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w:t>
      </w:r>
    </w:p>
    <w:p>
      <w:pPr>
        <w:numPr>
          <w:ilvl w:val="0"/>
          <w:numId w:val="1053"/>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54"/>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que el monopolista conoce; no sabe de qué tipo es cada uno.</w:t>
      </w:r>
    </w:p>
    <w:p>
      <w:pPr>
        <w:numPr>
          <w:ilvl w:val="0"/>
          <w:numId w:val="1054"/>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54"/>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55"/>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ν</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55"/>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55"/>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ν</m:t>
                  </m:r>
                </m:num>
                <m:den>
                  <m:r>
                    <m:t>ν</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keepNext/>
        <w:numPr>
          <w:ilvl w:val="0"/>
          <w:numId w:val="1055"/>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w:t>
      </w:r>
    </w:p>
    <w:p>
      <w:pPr>
        <w:numPr>
          <w:ilvl w:val="1"/>
          <w:numId w:val="1056"/>
        </w:numPr>
      </w:pPr>
      <w:r>
        <w:t xml:space="preserve">el tipo alto compra donde su demanda corta a</w:t>
      </w:r>
      <w:r>
        <w:t xml:space="preserve"> </w:t>
      </w:r>
      <m:oMath>
        <m:r>
          <m:t>c</m:t>
        </m:r>
      </m:oMath>
      <w:r>
        <w:t xml:space="preserve">;</w:t>
      </w:r>
    </w:p>
    <w:p>
      <w:pPr>
        <w:numPr>
          <w:ilvl w:val="1"/>
          <w:numId w:val="1056"/>
        </w:numPr>
      </w:pPr>
      <w:r>
        <w:t xml:space="preserve">el tipo bajo, a la izquierda de ese punto;</w:t>
      </w:r>
    </w:p>
    <w:p>
      <w:pPr>
        <w:numPr>
          <w:ilvl w:val="1"/>
          <w:numId w:val="1056"/>
        </w:numPr>
      </w:pPr>
      <w:r>
        <w:t xml:space="preserve">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Gráfico 4.– Discriminación de segundo grado con 2 tipos: cantidad eficiente para el tipo alto, distorsión abajo y renta informativa"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7"/>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7"/>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ν</m:t>
            </m:r>
          </m:e>
        </m:d>
        <m:r>
          <m:rPr>
            <m:sty m:val="p"/>
          </m:rPr>
          <m:t>/</m:t>
        </m:r>
        <m:r>
          <m:t>ν</m:t>
        </m:r>
      </m:oMath>
      <w:r>
        <w:t xml:space="preserve"> </w:t>
      </w:r>
      <w:r>
        <w:t xml:space="preserve">grande) y más distintos sean, mayor es la distorsión; si</w:t>
      </w:r>
      <w:r>
        <w:t xml:space="preserve"> </w:t>
      </w:r>
      <m:oMath>
        <m:r>
          <m:t>ν</m:t>
        </m:r>
        <m:r>
          <m:t> </m:t>
        </m:r>
        <m:sSub>
          <m:e>
            <m:r>
              <m:t>t</m:t>
            </m:r>
          </m:e>
          <m:sub>
            <m:r>
              <m:t>1</m:t>
            </m:r>
          </m:sub>
        </m:sSub>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7"/>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7"/>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keepNext/>
        <w:numPr>
          <w:ilvl w:val="0"/>
          <w:numId w:val="1058"/>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Ejemplos:</w:t>
      </w:r>
    </w:p>
    <w:p>
      <w:pPr>
        <w:numPr>
          <w:ilvl w:val="1"/>
          <w:numId w:val="1059"/>
        </w:numPr>
      </w:pPr>
      <w:r>
        <w:t xml:space="preserve">la tapa dura y la tapa blanda de un libro;</w:t>
      </w:r>
    </w:p>
    <w:p>
      <w:pPr>
        <w:numPr>
          <w:ilvl w:val="1"/>
          <w:numId w:val="1059"/>
        </w:numPr>
      </w:pPr>
      <w:r>
        <w:t xml:space="preserve">la clase</w:t>
      </w:r>
      <w:r>
        <w:t xml:space="preserve"> </w:t>
      </w:r>
      <w:r>
        <w:rPr>
          <w:i/>
          <w:iCs/>
        </w:rPr>
        <w:t xml:space="preserve">business</w:t>
      </w:r>
      <w:r>
        <w:t xml:space="preserve"> </w:t>
      </w:r>
      <w:r>
        <w:t xml:space="preserve">y la turista;</w:t>
      </w:r>
    </w:p>
    <w:p>
      <w:pPr>
        <w:numPr>
          <w:ilvl w:val="1"/>
          <w:numId w:val="1059"/>
        </w:numPr>
      </w:pPr>
      <w:r>
        <w:t xml:space="preserve">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8"/>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60"/>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60"/>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60"/>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keepNext/>
        <w:numPr>
          <w:ilvl w:val="0"/>
          <w:numId w:val="1000"/>
        </w:numPr>
      </w:pPr>
      <w:r>
        <w:t xml:space="preserve">En el gráfico se ve también lo que el monopolista</w:t>
      </w:r>
      <w:r>
        <w:t xml:space="preserve"> </w:t>
      </w:r>
      <w:r>
        <w:rPr>
          <w:i/>
          <w:iCs/>
        </w:rPr>
        <w:t xml:space="preserve">no</w:t>
      </w:r>
      <w:r>
        <w:t xml:space="preserve"> </w:t>
      </w:r>
      <w:r>
        <w:t xml:space="preserve">se apropia:</w:t>
      </w:r>
    </w:p>
    <w:p>
      <w:pPr>
        <w:numPr>
          <w:ilvl w:val="1"/>
          <w:numId w:val="1061"/>
        </w:numPr>
      </w:pPr>
      <w:r>
        <w:t xml:space="preserve">nada en el caso i);</w:t>
      </w:r>
    </w:p>
    <w:p>
      <w:pPr>
        <w:numPr>
          <w:ilvl w:val="1"/>
          <w:numId w:val="1061"/>
        </w:numPr>
      </w:pPr>
      <w:r>
        <w:t xml:space="preserve">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w:t>
      </w:r>
    </w:p>
    <w:p>
      <w:pPr>
        <w:numPr>
          <w:ilvl w:val="1"/>
          <w:numId w:val="1061"/>
        </w:numPr>
      </w:pPr>
      <w:r>
        <w:t xml:space="preserve">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Gráfico 5.– Tarifa en dos partes con 2 tipos: con cuotas distintas, con una cuota común que no excluye y con una cuota que excluye al tipo bajo. En dorado, lo que se apropia el monopolista; en morado, lo que se queda el consumidor, y en rojo, la pérdida irrecuperable"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keepLi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62"/>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63"/>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64"/>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64"/>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65"/>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w:t>
      </w:r>
    </w:p>
    <w:p>
      <w:pPr>
        <w:numPr>
          <w:ilvl w:val="0"/>
          <w:numId w:val="1065"/>
        </w:numPr>
      </w:pPr>
      <w:r>
        <w:t xml:space="preserve">Precio lineal dentro de cada grupo.</w:t>
      </w:r>
    </w:p>
    <w:p>
      <w:pPr>
        <w:numPr>
          <w:ilvl w:val="0"/>
          <w:numId w:val="1065"/>
        </w:numPr>
      </w:pPr>
      <w:r>
        <w:t xml:space="preserve">Sin reventa entre grupos.</w:t>
      </w:r>
    </w:p>
    <w:p>
      <w:pPr>
        <w:numPr>
          <w:ilvl w:val="0"/>
          <w:numId w:val="1065"/>
        </w:numPr>
      </w:pPr>
      <w:r>
        <w:t xml:space="preserve">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66"/>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66"/>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66"/>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Gráfico 6.– Discriminación de tercer grado: precio más alto en el mercado de demanda menos elástica"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67"/>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67"/>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1981</w:t>
        </w:r>
      </w:hyperlink>
      <w:r>
        <w:t xml:space="preserve">;</w:t>
      </w:r>
      <w:r>
        <w:t xml:space="preserve"> </w:t>
      </w:r>
      <w:hyperlink w:anchor="ref_Varian1985Price">
        <w:r>
          <w:rPr>
            <w:rStyle w:val="Hyperlink"/>
            <w:smallCaps/>
          </w:rPr>
          <w:t xml:space="preserve">Varian</w:t>
        </w:r>
        <w:r>
          <w:rPr>
            <w:rStyle w:val="Hyperlink"/>
          </w:rPr>
          <w:t xml:space="preserve">, 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1933</w:t>
        </w:r>
      </w:hyperlink>
      <w:r>
        <w:t xml:space="preserve">)</w:t>
      </w:r>
      <w:r>
        <w:t xml:space="preserve">.</w:t>
      </w:r>
    </w:p>
    <w:p>
      <w:pPr>
        <w:numPr>
          <w:ilvl w:val="0"/>
          <w:numId w:val="1067"/>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keepNext/>
        <w:numPr>
          <w:ilvl w:val="0"/>
          <w:numId w:val="1068"/>
        </w:numPr>
      </w:pPr>
      <w:r>
        <w:t xml:space="preserve">Ejemplos:</w:t>
      </w:r>
    </w:p>
    <w:p>
      <w:pPr>
        <w:numPr>
          <w:ilvl w:val="1"/>
          <w:numId w:val="1069"/>
        </w:numPr>
      </w:pPr>
      <w:r>
        <w:t xml:space="preserve">los descuentos para jóvenes y mayores en el transporte;</w:t>
      </w:r>
    </w:p>
    <w:p>
      <w:pPr>
        <w:numPr>
          <w:ilvl w:val="1"/>
          <w:numId w:val="1069"/>
        </w:numPr>
      </w:pPr>
      <w:r>
        <w:t xml:space="preserve">las tarifas pensadas para quienes viajan por negocios;</w:t>
      </w:r>
    </w:p>
    <w:p>
      <w:pPr>
        <w:numPr>
          <w:ilvl w:val="1"/>
          <w:numId w:val="1069"/>
        </w:numPr>
      </w:pPr>
      <w:r>
        <w:t xml:space="preserve">los precios distintos por país de los medicamentos o de los libros de texto;</w:t>
      </w:r>
    </w:p>
    <w:p>
      <w:pPr>
        <w:numPr>
          <w:ilvl w:val="1"/>
          <w:numId w:val="1069"/>
        </w:numPr>
      </w:pPr>
      <w:r>
        <w:t xml:space="preserve">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7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7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72"/>
        </w:numPr>
      </w:pPr>
      <w:r>
        <w:t xml:space="preserve">El bien es duradero: quien compra hoy no vuelve a comprar mañana.</w:t>
      </w:r>
    </w:p>
    <w:p>
      <w:pPr>
        <w:numPr>
          <w:ilvl w:val="0"/>
          <w:numId w:val="1072"/>
        </w:numPr>
      </w:pPr>
      <w:r>
        <w:t xml:space="preserve">El monopolista puede revisar el precio con frecuencia y no puede comprometerse a mantenerlo.</w:t>
      </w:r>
    </w:p>
    <w:p>
      <w:pPr>
        <w:numPr>
          <w:ilvl w:val="0"/>
          <w:numId w:val="107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7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keepNext/>
        <w:numPr>
          <w:ilvl w:val="0"/>
          <w:numId w:val="1074"/>
        </w:numPr>
      </w:pPr>
      <w:r>
        <w:t xml:space="preserve">El monopolista gana si consigue comprometerse a no bajar el precio. Por eso:</w:t>
      </w:r>
    </w:p>
    <w:p>
      <w:pPr>
        <w:numPr>
          <w:ilvl w:val="1"/>
          <w:numId w:val="1075"/>
        </w:numPr>
      </w:pPr>
      <w:r>
        <w:t xml:space="preserve">alquila en lugar de vender (</w:t>
      </w:r>
      <w:r>
        <w:rPr>
          <w:i/>
          <w:iCs/>
        </w:rPr>
        <w:t xml:space="preserve">leasing</w:t>
      </w:r>
      <w:r>
        <w:t xml:space="preserve">);</w:t>
      </w:r>
    </w:p>
    <w:p>
      <w:pPr>
        <w:numPr>
          <w:ilvl w:val="1"/>
          <w:numId w:val="1075"/>
        </w:numPr>
      </w:pPr>
      <w:r>
        <w:t xml:space="preserve">limita la producción;</w:t>
      </w:r>
    </w:p>
    <w:p>
      <w:pPr>
        <w:numPr>
          <w:ilvl w:val="1"/>
          <w:numId w:val="1075"/>
        </w:numPr>
      </w:pPr>
      <w:r>
        <w:t xml:space="preserve">garantiza la devolución del dinero si el precio baja;</w:t>
      </w:r>
    </w:p>
    <w:p>
      <w:pPr>
        <w:numPr>
          <w:ilvl w:val="1"/>
          <w:numId w:val="1075"/>
        </w:numPr>
      </w:pPr>
      <w:r>
        <w:t xml:space="preserve">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76"/>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keepNext/>
        <w:numPr>
          <w:ilvl w:val="0"/>
          <w:numId w:val="1077"/>
        </w:numPr>
      </w:pPr>
      <w:r>
        <w:t xml:space="preserve">El juicio depende del grado:</w:t>
      </w:r>
    </w:p>
    <w:p>
      <w:pPr>
        <w:numPr>
          <w:ilvl w:val="1"/>
          <w:numId w:val="1078"/>
        </w:numPr>
      </w:pPr>
      <w:r>
        <w:t xml:space="preserve">el primero es eficiente pero deja a los consumidores sin excedente;</w:t>
      </w:r>
    </w:p>
    <w:p>
      <w:pPr>
        <w:numPr>
          <w:ilvl w:val="1"/>
          <w:numId w:val="1078"/>
        </w:numPr>
      </w:pPr>
      <w:r>
        <w:t xml:space="preserve">el segundo distorsiona la cantidad del tipo bajo;</w:t>
      </w:r>
    </w:p>
    <w:p>
      <w:pPr>
        <w:numPr>
          <w:ilvl w:val="1"/>
          <w:numId w:val="1078"/>
        </w:numPr>
      </w:pPr>
      <w:r>
        <w:t xml:space="preserve">el tercero solo mejora el excedente total si aumenta la cantidad.</w:t>
      </w:r>
    </w:p>
    <w:p>
      <w:pPr>
        <w:numPr>
          <w:ilvl w:val="0"/>
          <w:numId w:val="1077"/>
        </w:numPr>
      </w:pPr>
      <w:r>
        <w:t xml:space="preserve">La lección general: cuanta más información e instrumentos tiene el monopolista, más excedente extrae, y eso no siempre empeora la eficiencia.</w:t>
      </w:r>
    </w:p>
    <w:p>
      <w:pPr>
        <w:numPr>
          <w:ilvl w:val="0"/>
          <w:numId w:val="1077"/>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79"/>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80"/>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w:t>
      </w:r>
      <w:hyperlink r:id="rId24">
        <w:r>
          <w:rPr>
            <w:rStyle w:val="Referenciaatema"/>
          </w:rPr>
          <w:t xml:space="preserve">[ver tema 3.A.12]</w:t>
        </w:r>
      </w:hyperlink>
      <w:r>
        <w:t xml:space="preserve">.</w:t>
      </w:r>
    </w:p>
    <w:p>
      <w:pPr>
        <w:numPr>
          <w:ilvl w:val="0"/>
          <w:numId w:val="1080"/>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80"/>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80"/>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Gráfico 7.– Subaditividad y sostenibilidad del monopolio natural uniproducto"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81"/>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81"/>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82"/>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82"/>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82"/>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r>
        <w:rPr>
          <w:rStyle w:val="FootnoteReference"/>
        </w:rPr>
        <w:footnoteReference w:id="168"/>
      </w:r>
    </w:p>
    <w:p>
      <w:pPr>
        <w:numPr>
          <w:ilvl w:val="0"/>
          <w:numId w:val="1081"/>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83"/>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4">
        <w:r>
          <w:rPr>
            <w:rStyle w:val="Referenciaatema"/>
          </w:rPr>
          <w:t xml:space="preserve">[ver tema 3.A.12]</w:t>
        </w:r>
      </w:hyperlink>
      <w:r>
        <w:t xml:space="preserve">.</w:t>
      </w:r>
    </w:p>
    <w:p>
      <w:pPr>
        <w:keepNext/>
        <w:numPr>
          <w:ilvl w:val="0"/>
          <w:numId w:val="1083"/>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84"/>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84"/>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85"/>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86"/>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87"/>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88"/>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keepNext/>
        <w:numPr>
          <w:ilvl w:val="1"/>
          <w:numId w:val="1088"/>
        </w:numPr>
      </w:pPr>
      <w:r>
        <w:t xml:space="preserve">Problemas:</w:t>
      </w:r>
    </w:p>
    <w:p>
      <w:pPr>
        <w:numPr>
          <w:ilvl w:val="2"/>
          <w:numId w:val="1089"/>
        </w:numPr>
      </w:pPr>
      <w:r>
        <w:t xml:space="preserve">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w:t>
      </w:r>
    </w:p>
    <w:p>
      <w:pPr>
        <w:numPr>
          <w:ilvl w:val="2"/>
          <w:numId w:val="1089"/>
        </w:numPr>
      </w:pPr>
      <w:r>
        <w:t xml:space="preserve">la subvención garantizada quita incentivos a reducir costes;</w:t>
      </w:r>
    </w:p>
    <w:p>
      <w:pPr>
        <w:numPr>
          <w:ilvl w:val="2"/>
          <w:numId w:val="1089"/>
        </w:numPr>
      </w:pPr>
      <w:r>
        <w:t xml:space="preserve">redistribuye de los contribuyentes a los usuarios.</w:t>
      </w:r>
      <w:r>
        <w:rPr>
          <w:rStyle w:val="FootnoteReference"/>
        </w:rPr>
        <w:footnoteReference w:id="176"/>
      </w:r>
    </w:p>
    <w:p>
      <w:pPr>
        <w:numPr>
          <w:ilvl w:val="1"/>
          <w:numId w:val="1088"/>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87"/>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90"/>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90"/>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90"/>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90"/>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8.– Regulación del monopolio natural: pérdidas con p=CMg y beneficio nulo con p=CMe"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keepNext/>
        <w:numPr>
          <w:ilvl w:val="0"/>
          <w:numId w:val="1091"/>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w:t>
      </w:r>
    </w:p>
    <w:p>
      <w:pPr>
        <w:numPr>
          <w:ilvl w:val="1"/>
          <w:numId w:val="1092"/>
        </w:numPr>
      </w:pPr>
      <w:r>
        <w:t xml:space="preserve">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w:t>
      </w:r>
    </w:p>
    <w:p>
      <w:pPr>
        <w:numPr>
          <w:ilvl w:val="1"/>
          <w:numId w:val="1092"/>
        </w:numPr>
      </w:pPr>
      <w:r>
        <w:t xml:space="preserve">cuanto más aprieta (más coste fijo que cubrir), mayores son los márgenes;</w:t>
      </w:r>
    </w:p>
    <w:p>
      <w:pPr>
        <w:numPr>
          <w:ilvl w:val="1"/>
          <w:numId w:val="1092"/>
        </w:numPr>
      </w:pPr>
      <w:r>
        <w:t xml:space="preserve">si apretara sin límite (</w:t>
      </w:r>
      <m:oMath>
        <m:r>
          <m:t>λ</m:t>
        </m:r>
        <m:r>
          <m:rPr>
            <m:sty m:val="p"/>
          </m:rPr>
          <m:t>→</m:t>
        </m:r>
        <m:r>
          <m:rPr>
            <m:sty m:val="p"/>
          </m:rPr>
          <m:t>∞</m:t>
        </m:r>
      </m:oMath>
      <w:r>
        <w:t xml:space="preserve">), cada precio sería el de monopolio.</w:t>
      </w:r>
    </w:p>
    <w:p>
      <w:pPr>
        <w:numPr>
          <w:ilvl w:val="0"/>
          <w:numId w:val="1091"/>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91"/>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93"/>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93"/>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93"/>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94"/>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95"/>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96"/>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96"/>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97"/>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97"/>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96"/>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96"/>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95"/>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98"/>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98"/>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98"/>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99"/>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keepNext/>
        <w:numPr>
          <w:ilvl w:val="0"/>
          <w:numId w:val="1099"/>
        </w:numPr>
      </w:pPr>
      <w:r>
        <w:t xml:space="preserve">Son 2 decisiones:</w:t>
      </w:r>
    </w:p>
    <w:p>
      <w:pPr>
        <w:numPr>
          <w:ilvl w:val="1"/>
          <w:numId w:val="1100"/>
        </w:numPr>
      </w:pPr>
      <w:r>
        <w:rPr>
          <w:i/>
          <w:iCs/>
        </w:rPr>
        <w:t xml:space="preserve">cuánto</w:t>
      </w:r>
      <w:r>
        <w:t xml:space="preserve"> </w:t>
      </w:r>
      <w:r>
        <w:t xml:space="preserve">producir, igualando el IMg con el CMg de la empresa, que es la suma horizontal de los CMg de sus plantas;</w:t>
      </w:r>
    </w:p>
    <w:p>
      <w:pPr>
        <w:numPr>
          <w:ilvl w:val="1"/>
          <w:numId w:val="1100"/>
        </w:numPr>
      </w:pP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w:t>
      </w:r>
    </w:p>
    <w:p>
      <w:pPr>
        <w:numPr>
          <w:ilvl w:val="0"/>
          <w:numId w:val="1099"/>
        </w:numPr>
      </w:pPr>
      <w:r>
        <w:t xml:space="preserve">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101"/>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101"/>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keepLines/>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102"/>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103"/>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103"/>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104"/>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104"/>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105"/>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105"/>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keepLines/>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105"/>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105"/>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105"/>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105"/>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Gráfico 9.– Monopsonio en el mercado de trabajo: menos empleo y menos salario que en competencia"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shd w:val="clear" w:color="auto" w:fill="DDEBF7"/>
            <w:vAlign w:val="center"/>
          </w:tcPr>
          <w:p>
            <w:pPr>
              <w:pStyle w:val="Celdatceeazulpalido"/>
              <w:keepNext/>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rPr>
          <w:cantSplit/>
        </w:trP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shd w:val="clear" w:color="auto" w:fill="E2EFD9"/>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rPr>
          <w:cantSplit/>
        </w:trP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keepNext/>
        <w:numPr>
          <w:ilvl w:val="0"/>
          <w:numId w:val="1106"/>
        </w:numPr>
      </w:pPr>
      <w:r>
        <w:rPr>
          <w:i/>
          <w:iCs/>
        </w:rPr>
        <w:t xml:space="preserve">Lectura de la tabla</w:t>
      </w:r>
      <w:r>
        <w:t xml:space="preserve">:</w:t>
      </w:r>
    </w:p>
    <w:p>
      <w:pPr>
        <w:numPr>
          <w:ilvl w:val="1"/>
          <w:numId w:val="1107"/>
        </w:numPr>
      </w:pPr>
      <w:r>
        <w:t xml:space="preserve">con competencia en los 2 mercados (caso 1), el empleo y el salario son los más altos;</w:t>
      </w:r>
    </w:p>
    <w:p>
      <w:pPr>
        <w:numPr>
          <w:ilvl w:val="1"/>
          <w:numId w:val="1107"/>
        </w:numPr>
      </w:pPr>
      <w:r>
        <w:t xml:space="preserve">con poder en los 2 (caso 4), los más bajos;</w:t>
      </w:r>
    </w:p>
    <w:p>
      <w:pPr>
        <w:numPr>
          <w:ilvl w:val="1"/>
          <w:numId w:val="1107"/>
        </w:numPr>
      </w:pPr>
      <w:r>
        <w:t xml:space="preserve">con poder solo en uno (casos 2 y 3), quedan entre ambos, sin un orden claro entre ellos.</w:t>
      </w:r>
    </w:p>
    <w:p>
      <w:pPr>
        <w:numPr>
          <w:ilvl w:val="0"/>
          <w:numId w:val="1106"/>
        </w:numPr>
      </w:pPr>
      <w:r>
        <w:t xml:space="preserve">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108"/>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108"/>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108"/>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109"/>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109"/>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109"/>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Gráfico 10.– Salario mínimo con monopsonio: el empleo sube hasta wc y baja por encima"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110"/>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110"/>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111"/>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111"/>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111"/>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2026</w:t>
        </w:r>
      </w:hyperlink>
      <w:r>
        <w:t xml:space="preserve">)</w:t>
      </w:r>
      <w:r>
        <w:t xml:space="preserve">.</w:t>
      </w:r>
    </w:p>
    <w:bookmarkEnd w:id="217"/>
    <w:bookmarkStart w:id="218" w:name="e_valoraci__n_2"/>
    <w:p>
      <w:pPr>
        <w:pStyle w:val="Heading4"/>
      </w:pPr>
      <w:r>
        <w:t xml:space="preserve">e) Valoración</w:t>
      </w:r>
    </w:p>
    <w:p>
      <w:pPr>
        <w:numPr>
          <w:ilvl w:val="0"/>
          <w:numId w:val="1112"/>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113"/>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114"/>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114"/>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115"/>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115"/>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16"/>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17"/>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17"/>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16"/>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16"/>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16"/>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Gráfico 11.– Monopolio bilateral sobre el gráfico del monopsonio: los extremos wM y wS y la cantidad eficiente"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18"/>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18"/>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19"/>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19"/>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20"/>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21"/>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21"/>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22"/>
        </w:numPr>
      </w:pPr>
      <w:r>
        <w:rPr>
          <w:b/>
          <w:bCs/>
          <w:i/>
          <w:iCs/>
        </w:rPr>
        <w:t xml:space="preserve">Recapitulación (ideas clave)</w:t>
      </w:r>
      <w:r>
        <w:t xml:space="preserve">:</w:t>
      </w:r>
    </w:p>
    <w:p>
      <w:pPr>
        <w:numPr>
          <w:ilvl w:val="1"/>
          <w:numId w:val="1123"/>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keepNext/>
        <w:numPr>
          <w:ilvl w:val="1"/>
          <w:numId w:val="1123"/>
        </w:numPr>
      </w:pPr>
      <w:r>
        <w:t xml:space="preserve">Los desarrollos adaptan esa misma regla y pueden cambiar el juicio de bienestar (</w:t>
      </w:r>
      <w:hyperlink w:anchor="sec_desarrollos_teoria_monopolio">
        <w:r>
          <w:rPr>
            <w:rStyle w:val="Hyperlink"/>
          </w:rPr>
          <w:t xml:space="preserve">II</w:t>
        </w:r>
      </w:hyperlink>
      <w:r>
        <w:t xml:space="preserve">):</w:t>
      </w:r>
    </w:p>
    <w:p>
      <w:pPr>
        <w:numPr>
          <w:ilvl w:val="2"/>
          <w:numId w:val="1124"/>
        </w:numPr>
      </w:pPr>
      <w:r>
        <w:t xml:space="preserve">si discrimina, extrae más excedente (todo en el primer grado, con renta informativa y distorsión abajo en el segundo, con efectos ambiguos en el tercero);</w:t>
      </w:r>
    </w:p>
    <w:p>
      <w:pPr>
        <w:numPr>
          <w:ilvl w:val="2"/>
          <w:numId w:val="1124"/>
        </w:numPr>
      </w:pPr>
      <w:r>
        <w:t xml:space="preserve">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w:t>
      </w:r>
    </w:p>
    <w:p>
      <w:pPr>
        <w:numPr>
          <w:ilvl w:val="2"/>
          <w:numId w:val="1124"/>
        </w:numPr>
      </w:pPr>
      <w:r>
        <w:t xml:space="preserve">con varios bienes o plantas internaliza sus relaciones de demanda y de costes.</w:t>
      </w:r>
    </w:p>
    <w:p>
      <w:pPr>
        <w:numPr>
          <w:ilvl w:val="1"/>
          <w:numId w:val="1123"/>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22"/>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keepNext/>
        <w:numPr>
          <w:ilvl w:val="0"/>
          <w:numId w:val="1122"/>
        </w:numPr>
      </w:pPr>
      <w:r>
        <w:rPr>
          <w:b/>
          <w:bCs/>
          <w:i/>
          <w:iCs/>
        </w:rPr>
        <w:t xml:space="preserve">Extensiones y relación con otras partes del temario</w:t>
      </w:r>
      <w:r>
        <w:t xml:space="preserve">:</w:t>
      </w:r>
    </w:p>
    <w:p>
      <w:pPr>
        <w:numPr>
          <w:ilvl w:val="1"/>
          <w:numId w:val="1125"/>
        </w:numPr>
      </w:pPr>
      <w:r>
        <w:t xml:space="preserve">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w:t>
      </w:r>
    </w:p>
    <w:p>
      <w:pPr>
        <w:numPr>
          <w:ilvl w:val="1"/>
          <w:numId w:val="1125"/>
        </w:numPr>
      </w:pPr>
      <w:r>
        <w:t xml:space="preserve">las barreras de entrada y la amenaza de entrada, que puede disciplinar al monopolista, en la teoría de la empresa</w:t>
      </w:r>
      <w:r>
        <w:t xml:space="preserve"> </w:t>
      </w:r>
      <w:hyperlink r:id="rId25">
        <w:r>
          <w:rPr>
            <w:rStyle w:val="Referenciaatema"/>
          </w:rPr>
          <w:t xml:space="preserve">[ver tema 3.A.15]</w:t>
        </w:r>
      </w:hyperlink>
      <w:r>
        <w:t xml:space="preserve">;</w:t>
      </w:r>
    </w:p>
    <w:p>
      <w:pPr>
        <w:numPr>
          <w:ilvl w:val="1"/>
          <w:numId w:val="1125"/>
        </w:numPr>
      </w:pPr>
      <w:r>
        <w:t xml:space="preserve">la regulación con información asimétrica y la definición del mercado relevante</w:t>
      </w:r>
      <w:r>
        <w:t xml:space="preserve"> </w:t>
      </w:r>
      <w:hyperlink r:id="rId33">
        <w:r>
          <w:rPr>
            <w:rStyle w:val="Referenciaatema"/>
          </w:rPr>
          <w:t xml:space="preserve">[ver tema 3.A.20]</w:t>
        </w:r>
      </w:hyperlink>
      <w:r>
        <w:t xml:space="preserve">;</w:t>
      </w:r>
    </w:p>
    <w:p>
      <w:pPr>
        <w:numPr>
          <w:ilvl w:val="1"/>
          <w:numId w:val="1125"/>
        </w:numPr>
      </w:pPr>
      <w:r>
        <w:t xml:space="preserve">los fallos del sector público</w:t>
      </w:r>
      <w:r>
        <w:t xml:space="preserve"> </w:t>
      </w:r>
      <w:hyperlink r:id="rId97">
        <w:r>
          <w:rPr>
            <w:rStyle w:val="Referenciaatema"/>
          </w:rPr>
          <w:t xml:space="preserve">[ver tema 3.A.23]</w:t>
        </w:r>
      </w:hyperlink>
      <w:r>
        <w:t xml:space="preserve">;</w:t>
      </w:r>
    </w:p>
    <w:p>
      <w:pPr>
        <w:numPr>
          <w:ilvl w:val="1"/>
          <w:numId w:val="1125"/>
        </w:numPr>
      </w:pPr>
      <w:r>
        <w:t xml:space="preserve">la negociación, en la teoría de juegos</w:t>
      </w:r>
      <w:r>
        <w:t xml:space="preserve"> </w:t>
      </w:r>
      <w:hyperlink r:id="rId153">
        <w:r>
          <w:rPr>
            <w:rStyle w:val="Referenciaatema"/>
          </w:rPr>
          <w:t xml:space="preserve">[ver tema 3.A.14]</w:t>
        </w:r>
      </w:hyperlink>
      <w:r>
        <w:t xml:space="preserve">;</w:t>
      </w:r>
    </w:p>
    <w:p>
      <w:pPr>
        <w:numPr>
          <w:ilvl w:val="1"/>
          <w:numId w:val="1125"/>
        </w:numPr>
      </w:pPr>
      <w:r>
        <w:t xml:space="preserve">la negociación salarial</w:t>
      </w:r>
      <w:r>
        <w:t xml:space="preserve"> </w:t>
      </w:r>
      <w:hyperlink r:id="rId231">
        <w:r>
          <w:rPr>
            <w:rStyle w:val="Referenciaatema"/>
          </w:rPr>
          <w:t xml:space="preserve">[ver tema 3.A.27]</w:t>
        </w:r>
      </w:hyperlink>
      <w:r>
        <w:t xml:space="preserve">.</w:t>
      </w:r>
    </w:p>
    <w:p>
      <w:pPr>
        <w:keepNext/>
        <w:numPr>
          <w:ilvl w:val="0"/>
          <w:numId w:val="1122"/>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w:t>
      </w:r>
    </w:p>
    <w:p>
      <w:pPr>
        <w:numPr>
          <w:ilvl w:val="1"/>
          <w:numId w:val="1126"/>
        </w:numPr>
      </w:pPr>
      <w:r>
        <w:t xml:space="preserve">defensa de la competencia frente a las conductas;</w:t>
      </w:r>
    </w:p>
    <w:p>
      <w:pPr>
        <w:numPr>
          <w:ilvl w:val="1"/>
          <w:numId w:val="1126"/>
        </w:numPr>
      </w:pPr>
      <w:r>
        <w:t xml:space="preserve">regulación con incentivos frente a los monopolios naturales;</w:t>
      </w:r>
    </w:p>
    <w:p>
      <w:pPr>
        <w:numPr>
          <w:ilvl w:val="1"/>
          <w:numId w:val="1126"/>
        </w:numPr>
      </w:pPr>
      <w:r>
        <w:t xml:space="preserve">atención al poder de compra en el mercado de trabajo.</w:t>
      </w:r>
    </w:p>
    <w:p>
      <w:pPr>
        <w:numPr>
          <w:ilvl w:val="0"/>
          <w:numId w:val="1122"/>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300" w:name="anexo_regulacion"/>
    <w:p>
      <w:pPr>
        <w:pStyle w:val="Heading1"/>
      </w:pPr>
      <w:r>
        <w:t xml:space="preserve">A. Anexo: regulación y control del monopolio</w:t>
      </w:r>
    </w:p>
    <w:p>
      <w:pPr>
        <w:pStyle w:val="Notaalopositor"/>
        <w:keepLines/>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27"/>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27"/>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27"/>
        </w:numPr>
      </w:pPr>
      <w:r>
        <w:t xml:space="preserve">Los modelos de la teoría de la regulación pueden clasificarse así:</w:t>
      </w:r>
    </w:p>
    <w:p>
      <w:pPr>
        <w:numPr>
          <w:ilvl w:val="1"/>
          <w:numId w:val="1128"/>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28"/>
        </w:numPr>
      </w:pPr>
      <w:r>
        <w:rPr>
          <w:b/>
          <w:bCs/>
        </w:rPr>
        <w:t xml:space="preserve">nueva teoría de la regulación</w:t>
      </w:r>
      <w:r>
        <w:t xml:space="preserve">, que levanta esos supuestos por 2 vías:</w:t>
      </w:r>
    </w:p>
    <w:p>
      <w:pPr>
        <w:numPr>
          <w:ilvl w:val="2"/>
          <w:numId w:val="1129"/>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29"/>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30"/>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31"/>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Gráfico 12.– Esquema por etapas para la regulación del poder de mercado"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32"/>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33"/>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33"/>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p>
      <w:pPr>
        <w:numPr>
          <w:ilvl w:val="0"/>
          <w:numId w:val="1132"/>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32"/>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34"/>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34"/>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 </w:t>
      </w:r>
      <w:hyperlink r:id="rId153">
        <w:r>
          <w:rPr>
            <w:rStyle w:val="Referenciaatema"/>
          </w:rPr>
          <w:t xml:space="preserve">[ver tema 3.A.14]</w:t>
        </w:r>
      </w:hyperlink>
      <w:r>
        <w:t xml:space="preserve">.</w:t>
      </w:r>
      <w:r>
        <w:rPr>
          <w:rStyle w:val="FootnoteReference"/>
        </w:rPr>
        <w:footnoteReference w:id="249"/>
      </w:r>
      <w:r>
        <w:t xml:space="preserve"> </w:t>
      </w:r>
      <w:r>
        <w:t xml:space="preserve">Problemas:</w:t>
      </w:r>
    </w:p>
    <w:p>
      <w:pPr>
        <w:numPr>
          <w:ilvl w:val="1"/>
          <w:numId w:val="1135"/>
        </w:numPr>
      </w:pPr>
      <w:r>
        <w:t xml:space="preserve">la posible</w:t>
      </w:r>
      <w:r>
        <w:t xml:space="preserve"> </w:t>
      </w:r>
      <w:r>
        <w:rPr>
          <w:i/>
          <w:iCs/>
        </w:rPr>
        <w:t xml:space="preserve">colusión</w:t>
      </w:r>
      <w:r>
        <w:t xml:space="preserve"> </w:t>
      </w:r>
      <w:r>
        <w:t xml:space="preserve">entre los licitantes;</w:t>
      </w:r>
    </w:p>
    <w:p>
      <w:pPr>
        <w:numPr>
          <w:ilvl w:val="1"/>
          <w:numId w:val="1135"/>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35"/>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35"/>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36"/>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36"/>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Gráfico 13.– Precio igual al coste marginal en el tramo creciente del coste medio: beneficios que se pueden grava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37"/>
        </w:numPr>
      </w:pPr>
      <w:r>
        <w:rPr>
          <w:b/>
          <w:bCs/>
        </w:rPr>
        <w:t xml:space="preserve">Segundos óptimos</w:t>
      </w:r>
      <w:r>
        <w:t xml:space="preserve">. Ante la imposibilidad de asegurar la eficiencia asignativa sin subvención, buscan eliminar los beneficios extraordinarios:</w:t>
      </w:r>
    </w:p>
    <w:p>
      <w:pPr>
        <w:numPr>
          <w:ilvl w:val="1"/>
          <w:numId w:val="1138"/>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keepNext/>
        <w:numPr>
          <w:ilvl w:val="1"/>
          <w:numId w:val="1138"/>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w:t>
      </w:r>
    </w:p>
    <w:p>
      <w:pPr>
        <w:numPr>
          <w:ilvl w:val="2"/>
          <w:numId w:val="1139"/>
        </w:numPr>
      </w:pPr>
      <w:r>
        <w:t xml:space="preserve">supone que la demanda de acceso no depende de la cuota, cuando es previsible cierta sensibilidad;</w:t>
      </w:r>
    </w:p>
    <w:p>
      <w:pPr>
        <w:numPr>
          <w:ilvl w:val="2"/>
          <w:numId w:val="1139"/>
        </w:numPr>
      </w:pPr>
      <w:r>
        <w:t xml:space="preserve">si la cuota es alta, puede expulsar a los consumidores de menos renta.</w:t>
      </w:r>
    </w:p>
    <w:p>
      <w:pPr>
        <w:numPr>
          <w:ilvl w:val="1"/>
          <w:numId w:val="1000"/>
        </w:numPr>
      </w:pPr>
      <w:r>
        <w:t xml:space="preserve">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38"/>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38"/>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Gráfico 14.– Tarifas de punta y valle con punta firme"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4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3" w:name="anexo_nueva_teoria_regulacion"/>
    <w:p>
      <w:pPr>
        <w:pStyle w:val="Heading2"/>
      </w:pPr>
      <w:r>
        <w:t xml:space="preserve">A.3. Nueva teoría de la regulación: información asimétrica</w:t>
      </w:r>
    </w:p>
    <w:p>
      <w:pPr>
        <w:keepNext/>
        <w:numPr>
          <w:ilvl w:val="0"/>
          <w:numId w:val="114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w:t>
      </w:r>
      <w:r>
        <w:rPr>
          <w:rStyle w:val="FootnoteReference"/>
        </w:rPr>
        <w:footnoteReference w:id="266"/>
      </w:r>
      <w:r>
        <w:t xml:space="preserve"> </w:t>
      </w:r>
      <w:r>
        <w:t xml:space="preserve">Todos los esquemas anteriores tienen 2 problemas:</w:t>
      </w:r>
    </w:p>
    <w:p>
      <w:pPr>
        <w:numPr>
          <w:ilvl w:val="1"/>
          <w:numId w:val="1142"/>
        </w:numPr>
      </w:pPr>
      <w:r>
        <w:t xml:space="preserve">de</w:t>
      </w:r>
      <w:r>
        <w:t xml:space="preserve"> </w:t>
      </w:r>
      <w:r>
        <w:rPr>
          <w:i/>
          <w:iCs/>
        </w:rPr>
        <w:t xml:space="preserve">información</w:t>
      </w:r>
      <w:r>
        <w:t xml:space="preserve">, porque el regulador necesita conocer bien los costes, la demanda y las preferencias sociales;</w:t>
      </w:r>
    </w:p>
    <w:p>
      <w:pPr>
        <w:numPr>
          <w:ilvl w:val="1"/>
          <w:numId w:val="1142"/>
        </w:numPr>
      </w:pPr>
      <w:r>
        <w:t xml:space="preserve">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1"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43"/>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43"/>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43"/>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43"/>
        </w:numPr>
      </w:pPr>
      <w:r>
        <w:rPr>
          <w:i/>
          <w:iCs/>
        </w:rPr>
        <w:t xml:space="preserve">Ventaja</w:t>
      </w:r>
      <w:r>
        <w:t xml:space="preserve">: el beneficio y el capital invertido son datos contables que se observan y se auditan con facilidad.</w:t>
      </w:r>
    </w:p>
    <w:p>
      <w:pPr>
        <w:keepNext/>
        <w:numPr>
          <w:ilvl w:val="0"/>
          <w:numId w:val="1143"/>
        </w:numPr>
      </w:pPr>
      <w:r>
        <w:rPr>
          <w:i/>
          <w:iCs/>
        </w:rPr>
        <w:t xml:space="preserve">Inconvenientes</w:t>
      </w:r>
      <w:r>
        <w:t xml:space="preserve">:</w:t>
      </w:r>
    </w:p>
    <w:p>
      <w:pPr>
        <w:numPr>
          <w:ilvl w:val="1"/>
          <w:numId w:val="1144"/>
        </w:numPr>
      </w:pPr>
      <w:r>
        <w:t xml:space="preserve">la sobrecapitalización;</w:t>
      </w:r>
    </w:p>
    <w:p>
      <w:pPr>
        <w:numPr>
          <w:ilvl w:val="1"/>
          <w:numId w:val="1144"/>
        </w:numPr>
      </w:pPr>
      <w:r>
        <w:t xml:space="preserve">se regula como beneficio la remuneración contable del capital, que no es el beneficio económico;</w:t>
      </w:r>
    </w:p>
    <w:p>
      <w:pPr>
        <w:numPr>
          <w:ilvl w:val="1"/>
          <w:numId w:val="1144"/>
        </w:numPr>
      </w:pPr>
      <w:r>
        <w:t xml:space="preserve">no hay incentivos a reducir costes, porque lo que se ahorra se traslada al precio en la siguiente revisión.</w:t>
      </w:r>
    </w:p>
    <w:p>
      <w:pPr>
        <w:numPr>
          <w:ilvl w:val="0"/>
          <w:numId w:val="1143"/>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 una regulación por coste del servicio, emparentada con la de tasa de rentabilidad.</w:t>
      </w:r>
    </w:p>
    <w:bookmarkStart w:id="270"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15.– Regulación de la tasa de rentabilidad y efecto Averch-Johnson" title="" id="268" name="Picture"/>
            <a:graphic>
              <a:graphicData uri="http://schemas.openxmlformats.org/drawingml/2006/picture">
                <pic:pic>
                  <pic:nvPicPr>
                    <pic:cNvPr descr="C:\Users\vgutierrez\Documents\src\victorgutierrezmarcos.github.io-revision\oposicion\temario\fuentes\3A17\graficos/averch-johnson.png" id="269" name="Picture"/>
                    <pic:cNvPicPr>
                      <a:picLocks noChangeArrowheads="1" noChangeAspect="1"/>
                    </pic:cNvPicPr>
                  </pic:nvPicPr>
                  <pic:blipFill>
                    <a:blip r:embed="rId267"/>
                    <a:stretch>
                      <a:fillRect/>
                    </a:stretch>
                  </pic:blipFill>
                  <pic:spPr bwMode="auto">
                    <a:xfrm>
                      <a:off x="0" y="0"/>
                      <a:ext cx="2908342" cy="2119328"/>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1"/>
    <w:bookmarkStart w:id="273"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45"/>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46"/>
        </w:numPr>
      </w:pPr>
      <w:r>
        <w:t xml:space="preserve">el regulador fija un nivel inicial de ingresos que permite recuperar los «costes razonables» de la empresa;</w:t>
      </w:r>
    </w:p>
    <w:p>
      <w:pPr>
        <w:numPr>
          <w:ilvl w:val="1"/>
          <w:numId w:val="1146"/>
        </w:numPr>
      </w:pPr>
      <w:r>
        <w:t xml:space="preserve">a partir de esos ingresos, y para una demanda dada, se define un precio medio;</w:t>
      </w:r>
    </w:p>
    <w:p>
      <w:pPr>
        <w:numPr>
          <w:ilvl w:val="1"/>
          <w:numId w:val="1146"/>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2"/>
      </w:r>
    </w:p>
    <w:p>
      <w:pPr>
        <w:numPr>
          <w:ilvl w:val="0"/>
          <w:numId w:val="1145"/>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keepNext/>
        <w:numPr>
          <w:ilvl w:val="0"/>
          <w:numId w:val="1145"/>
        </w:numPr>
      </w:pPr>
      <w:r>
        <w:rPr>
          <w:i/>
          <w:iCs/>
        </w:rPr>
        <w:t xml:space="preserve">Ventajas</w:t>
      </w:r>
      <w:r>
        <w:t xml:space="preserve">:</w:t>
      </w:r>
    </w:p>
    <w:p>
      <w:pPr>
        <w:numPr>
          <w:ilvl w:val="1"/>
          <w:numId w:val="1147"/>
        </w:numPr>
      </w:pPr>
      <w:r>
        <w:t xml:space="preserve">incentiva la eficiencia productiva;</w:t>
      </w:r>
    </w:p>
    <w:p>
      <w:pPr>
        <w:numPr>
          <w:ilvl w:val="1"/>
          <w:numId w:val="1147"/>
        </w:numPr>
      </w:pPr>
      <w:r>
        <w:t xml:space="preserve">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w:t>
      </w:r>
    </w:p>
    <w:p>
      <w:pPr>
        <w:numPr>
          <w:ilvl w:val="1"/>
          <w:numId w:val="1147"/>
        </w:numPr>
      </w:pPr>
      <w:r>
        <w:t xml:space="preserve">es relativamente sencilla de administrar y facilita los reequilibrios tarifarios.</w:t>
      </w:r>
    </w:p>
    <w:p>
      <w:pPr>
        <w:keepNext/>
        <w:numPr>
          <w:ilvl w:val="0"/>
          <w:numId w:val="1145"/>
        </w:numPr>
      </w:pPr>
      <w:r>
        <w:rPr>
          <w:i/>
          <w:iCs/>
        </w:rPr>
        <w:t xml:space="preserve">Inconvenientes</w:t>
      </w:r>
      <w:r>
        <w:t xml:space="preserve">:</w:t>
      </w:r>
    </w:p>
    <w:p>
      <w:pPr>
        <w:numPr>
          <w:ilvl w:val="1"/>
          <w:numId w:val="1148"/>
        </w:numPr>
      </w:pPr>
      <w:r>
        <w:t xml:space="preserve">hace falta mucha información para fijar</w:t>
      </w:r>
      <w:r>
        <w:t xml:space="preserve"> </w:t>
      </w:r>
      <m:oMath>
        <m:r>
          <m:t>X</m:t>
        </m:r>
      </m:oMath>
      <w:r>
        <w:t xml:space="preserve"> </w:t>
      </w:r>
      <w:r>
        <w:t xml:space="preserve">y el precio inicial;</w:t>
      </w:r>
    </w:p>
    <w:p>
      <w:pPr>
        <w:numPr>
          <w:ilvl w:val="1"/>
          <w:numId w:val="1148"/>
        </w:numPr>
      </w:pPr>
      <w:r>
        <w:t xml:space="preserve">al acercarse el final del periodo, el interés por reducir costes disminuye, y la empresa puede retrasar mejoras hasta el comienzo del ciclo siguiente para disfrutarlas más tiempo;</w:t>
      </w:r>
    </w:p>
    <w:p>
      <w:pPr>
        <w:numPr>
          <w:ilvl w:val="1"/>
          <w:numId w:val="1148"/>
        </w:numPr>
      </w:pPr>
      <w:r>
        <w:t xml:space="preserve">la calidad puede deteriorarse para ahorrar costes.</w:t>
      </w:r>
    </w:p>
    <w:p>
      <w:pPr>
        <w:numPr>
          <w:ilvl w:val="0"/>
          <w:numId w:val="1145"/>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3"/>
    <w:bookmarkStart w:id="274"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49"/>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49"/>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w:t>
      </w:r>
      <w:r>
        <w:t xml:space="preserve"> </w:t>
      </w:r>
      <w:hyperlink r:id="rId153">
        <w:r>
          <w:rPr>
            <w:rStyle w:val="Referenciaatema"/>
          </w:rPr>
          <w:t xml:space="preserve">[ver tema 3.A.14]</w:t>
        </w:r>
      </w:hyperlink>
      <w:r>
        <w:t xml:space="preserve">, de modo que la puja devuelva la renta al Estado.</w:t>
      </w:r>
    </w:p>
    <w:bookmarkEnd w:id="274"/>
    <w:bookmarkStart w:id="282"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5" w:name="a_idea_9"/>
    <w:p>
      <w:pPr>
        <w:pStyle w:val="Heading4"/>
      </w:pPr>
      <w:r>
        <w:t xml:space="preserve">a) Idea</w:t>
      </w:r>
    </w:p>
    <w:p>
      <w:pPr>
        <w:numPr>
          <w:ilvl w:val="0"/>
          <w:numId w:val="1150"/>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bookmarkEnd w:id="275"/>
    <w:bookmarkStart w:id="281" w:name="b_modelo_9"/>
    <w:p>
      <w:pPr>
        <w:pStyle w:val="Heading4"/>
      </w:pPr>
      <w:r>
        <w:t xml:space="preserve">b) Modelo</w:t>
      </w:r>
    </w:p>
    <w:bookmarkStart w:id="277" w:name="i_supuestos_9"/>
    <w:p>
      <w:pPr>
        <w:pStyle w:val="Heading5"/>
      </w:pPr>
      <w:r>
        <w:t xml:space="preserve">i) Supuestos</w:t>
      </w:r>
    </w:p>
    <w:p>
      <w:pPr>
        <w:numPr>
          <w:ilvl w:val="0"/>
          <w:numId w:val="1151"/>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6"/>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7"/>
    <w:bookmarkStart w:id="278" w:name="ii_desarrollo_9"/>
    <w:p>
      <w:pPr>
        <w:pStyle w:val="Heading5"/>
      </w:pPr>
      <w:r>
        <w:t xml:space="preserve">ii) Desarrollo</w:t>
      </w:r>
    </w:p>
    <w:p>
      <w:pPr>
        <w:numPr>
          <w:ilvl w:val="0"/>
          <w:numId w:val="1152"/>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52"/>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52"/>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8"/>
    <w:bookmarkStart w:id="280" w:name="iii_implicaciones_9"/>
    <w:p>
      <w:pPr>
        <w:pStyle w:val="Heading5"/>
      </w:pPr>
      <w:r>
        <w:t xml:space="preserve">iii) Implicaciones</w:t>
      </w:r>
    </w:p>
    <w:p>
      <w:pPr>
        <w:numPr>
          <w:ilvl w:val="0"/>
          <w:numId w:val="1153"/>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keepNext/>
        <w:keepLi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keepNext/>
        <w:keepLines/>
      </w:pPr>
      <w:r>
        <w:t xml:space="preserve">Se puede representar con un precio lineal en el coste de la empresa,</w:t>
      </w:r>
      <w:r>
        <w:rPr>
          <w:rStyle w:val="FootnoteReference"/>
        </w:rPr>
        <w:footnoteReference w:id="279"/>
      </w:r>
    </w:p>
    <w:p>
      <w:pPr>
        <w:pStyle w:val="Cajadeanotaciones"/>
        <w:keepNext/>
        <w:keepLi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keepNext/>
        <w:keepLi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keepNext/>
        <w:keepLines/>
        <w:numPr>
          <w:ilvl w:val="0"/>
          <w:numId w:val="1154"/>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keepNext/>
        <w:keepLines/>
        <w:numPr>
          <w:ilvl w:val="0"/>
          <w:numId w:val="1154"/>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w:t>
      </w:r>
    </w:p>
    <w:p>
      <w:pPr>
        <w:pStyle w:val="Cajadeanotaciones"/>
        <w:keepNext/>
        <w:keepLines/>
        <w:numPr>
          <w:ilvl w:val="1"/>
          <w:numId w:val="1155"/>
        </w:numPr>
      </w:pPr>
      <w:r>
        <w:t xml:space="preserve">hace falta mucha información para fijar</w:t>
      </w:r>
      <w:r>
        <w:t xml:space="preserve"> </w:t>
      </w:r>
      <m:oMath>
        <m:r>
          <m:t>X</m:t>
        </m:r>
      </m:oMath>
      <w:r>
        <w:t xml:space="preserve"> </w:t>
      </w:r>
      <w:r>
        <w:t xml:space="preserve">y el precio inicial;</w:t>
      </w:r>
    </w:p>
    <w:p>
      <w:pPr>
        <w:pStyle w:val="Cajadeanotaciones"/>
        <w:keepNext/>
        <w:keepLines/>
        <w:numPr>
          <w:ilvl w:val="1"/>
          <w:numId w:val="1155"/>
        </w:numPr>
      </w:pPr>
      <w:r>
        <w:t xml:space="preserve">si este es muy bajo, la empresa tendrá dificultades y buscará renegociar;</w:t>
      </w:r>
    </w:p>
    <w:p>
      <w:pPr>
        <w:pStyle w:val="Cajadeanotaciones"/>
        <w:keepLines/>
        <w:numPr>
          <w:ilvl w:val="1"/>
          <w:numId w:val="1155"/>
        </w:numPr>
      </w:pPr>
      <w:r>
        <w:t xml:space="preserve">si es muy alto, tendrá beneficios elevados, y el regulador que quiera extraerlos antes de que venza el periodo pagará un coste de credibilidad.</w:t>
      </w:r>
    </w:p>
    <w:bookmarkEnd w:id="280"/>
    <w:bookmarkEnd w:id="281"/>
    <w:bookmarkEnd w:id="282"/>
    <w:bookmarkStart w:id="283" w:name="anexo_efecto_trinquete_desfase"/>
    <w:p>
      <w:pPr>
        <w:pStyle w:val="Heading3"/>
      </w:pPr>
      <w:r>
        <w:t xml:space="preserve">III.2.8.</w:t>
      </w:r>
      <w:r>
        <w:t xml:space="preserve"> </w:t>
      </w:r>
      <w:r>
        <w:t xml:space="preserve">Efecto trinquete y desfase regulatorio</w:t>
      </w:r>
    </w:p>
    <w:p>
      <w:pPr>
        <w:numPr>
          <w:ilvl w:val="0"/>
          <w:numId w:val="1156"/>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156"/>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bookmarkEnd w:id="283"/>
    <w:bookmarkStart w:id="291"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4" w:name="a_idea_10"/>
    <w:p>
      <w:pPr>
        <w:pStyle w:val="Heading4"/>
      </w:pPr>
      <w:r>
        <w:t xml:space="preserve">a) Idea</w:t>
      </w:r>
    </w:p>
    <w:p>
      <w:pPr>
        <w:numPr>
          <w:ilvl w:val="0"/>
          <w:numId w:val="1157"/>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bookmarkEnd w:id="284"/>
    <w:bookmarkStart w:id="288" w:name="b_modelo_10"/>
    <w:p>
      <w:pPr>
        <w:pStyle w:val="Heading4"/>
      </w:pPr>
      <w:r>
        <w:t xml:space="preserve">b) Modelo</w:t>
      </w:r>
    </w:p>
    <w:bookmarkStart w:id="285" w:name="i_supuestos_10"/>
    <w:p>
      <w:pPr>
        <w:pStyle w:val="Heading5"/>
      </w:pPr>
      <w:r>
        <w:t xml:space="preserve">i) Supuestos</w:t>
      </w:r>
    </w:p>
    <w:p>
      <w:pPr>
        <w:numPr>
          <w:ilvl w:val="0"/>
          <w:numId w:val="1158"/>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5"/>
    <w:bookmarkStart w:id="286" w:name="ii_desarrollo_10"/>
    <w:p>
      <w:pPr>
        <w:pStyle w:val="Heading5"/>
      </w:pPr>
      <w:r>
        <w:t xml:space="preserve">ii) Desarrollo</w:t>
      </w:r>
    </w:p>
    <w:p>
      <w:pPr>
        <w:numPr>
          <w:ilvl w:val="0"/>
          <w:numId w:val="1159"/>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6"/>
    <w:bookmarkStart w:id="287" w:name="iii_implicaciones_10"/>
    <w:p>
      <w:pPr>
        <w:pStyle w:val="Heading5"/>
      </w:pPr>
      <w:r>
        <w:t xml:space="preserve">iii) Implicaciones</w:t>
      </w:r>
    </w:p>
    <w:p>
      <w:pPr>
        <w:numPr>
          <w:ilvl w:val="0"/>
          <w:numId w:val="1160"/>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7"/>
    <w:bookmarkEnd w:id="288"/>
    <w:bookmarkStart w:id="289" w:name="c_evidencia_emp__rica_3"/>
    <w:p>
      <w:pPr>
        <w:pStyle w:val="Heading4"/>
      </w:pPr>
      <w:r>
        <w:t xml:space="preserve">c) Evidencia empírica</w:t>
      </w:r>
    </w:p>
    <w:p>
      <w:pPr>
        <w:numPr>
          <w:ilvl w:val="0"/>
          <w:numId w:val="1161"/>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9"/>
    <w:bookmarkStart w:id="290" w:name="d_valoraci__n_3"/>
    <w:p>
      <w:pPr>
        <w:pStyle w:val="Heading4"/>
      </w:pPr>
      <w:r>
        <w:t xml:space="preserve">d) Valoración</w:t>
      </w:r>
    </w:p>
    <w:p>
      <w:pPr>
        <w:numPr>
          <w:ilvl w:val="0"/>
          <w:numId w:val="1162"/>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w:t>
      </w:r>
    </w:p>
    <w:bookmarkEnd w:id="290"/>
    <w:bookmarkEnd w:id="291"/>
    <w:bookmarkStart w:id="292" w:name="anexo_evidencia_empirica_regulacion"/>
    <w:p>
      <w:pPr>
        <w:pStyle w:val="Heading3"/>
      </w:pPr>
      <w:r>
        <w:t xml:space="preserve">III.2.10.</w:t>
      </w:r>
      <w:r>
        <w:t xml:space="preserve"> </w:t>
      </w:r>
      <w:r>
        <w:t xml:space="preserve">Evidencia empírica sobre la regulación por incentivos</w:t>
      </w:r>
    </w:p>
    <w:p>
      <w:pPr>
        <w:numPr>
          <w:ilvl w:val="0"/>
          <w:numId w:val="1163"/>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2"/>
    <w:bookmarkEnd w:id="293"/>
    <w:bookmarkStart w:id="297" w:name="anexo_teoria_positiva_regulacion"/>
    <w:p>
      <w:pPr>
        <w:pStyle w:val="Heading2"/>
      </w:pPr>
      <w:r>
        <w:t xml:space="preserve">A.4. Teoría positiva de la regulación</w:t>
      </w:r>
    </w:p>
    <w:p>
      <w:pPr>
        <w:numPr>
          <w:ilvl w:val="0"/>
          <w:numId w:val="1164"/>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keepNext/>
        <w:numPr>
          <w:ilvl w:val="0"/>
          <w:numId w:val="1164"/>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4"/>
      </w:r>
      <w:r>
        <w:t xml:space="preserve"> </w:t>
      </w:r>
      <w:r>
        <w:t xml:space="preserve">Generan ineficiencias por 2 vías:</w:t>
      </w:r>
    </w:p>
    <w:p>
      <w:pPr>
        <w:numPr>
          <w:ilvl w:val="1"/>
          <w:numId w:val="1165"/>
        </w:numPr>
      </w:pPr>
      <w:r>
        <w:t xml:space="preserve">se dedican recursos a conseguir el favor de los poderes públicos en lugar de a producir;</w:t>
      </w:r>
    </w:p>
    <w:p>
      <w:pPr>
        <w:numPr>
          <w:ilvl w:val="1"/>
          <w:numId w:val="1165"/>
        </w:numPr>
      </w:pPr>
      <w:r>
        <w:t xml:space="preserve">se toman decisiones favorables a esos grupos que no coinciden con las de la colectividad.</w:t>
      </w:r>
    </w:p>
    <w:p>
      <w:pPr>
        <w:numPr>
          <w:ilvl w:val="0"/>
          <w:numId w:val="1164"/>
        </w:numPr>
      </w:pPr>
      <w:r>
        <w:t xml:space="preserve">Ejemplos de grupos de presión: sindicatos y organizaciones empresariales.</w:t>
      </w:r>
    </w:p>
    <w:p>
      <w:pPr>
        <w:numPr>
          <w:ilvl w:val="0"/>
          <w:numId w:val="1164"/>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64"/>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64"/>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keepNext/>
        <w:keepLines/>
      </w:pPr>
      <w:r>
        <w:rPr>
          <w:b/>
          <w:bCs/>
        </w:rPr>
        <w:t xml:space="preserve">Material complementario sobre la teoría de</w:t>
      </w:r>
      <w:r>
        <w:rPr>
          <w:b/>
          <w:bCs/>
        </w:rPr>
        <w:t xml:space="preserve"> </w:t>
      </w:r>
      <w:r>
        <w:rPr>
          <w:b/>
          <w:bCs/>
          <w:smallCaps/>
        </w:rPr>
        <w:t xml:space="preserve">Stigler</w:t>
      </w:r>
      <w:r>
        <w:t xml:space="preserve">:</w:t>
      </w:r>
    </w:p>
    <w:p>
      <w:pPr>
        <w:pStyle w:val="Cajadeanotaciones"/>
        <w:keepNext/>
        <w:keepLines/>
        <w:numPr>
          <w:ilvl w:val="0"/>
          <w:numId w:val="1166"/>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2021</w:t>
        </w:r>
      </w:hyperlink>
      <w:r>
        <w:t xml:space="preserve">)</w:t>
      </w:r>
      <w:r>
        <w:t xml:space="preserve">:</w:t>
      </w:r>
      <w:r>
        <w:t xml:space="preserve"> </w:t>
      </w:r>
      <w:hyperlink r:id="rId295">
        <w:r>
          <w:rPr>
            <w:rStyle w:val="Hyperlink"/>
          </w:rPr>
          <w:t xml:space="preserve">https://www.promarket.org/2021/07/27/assessing-george-stiglers-economic-theory-of-regulation/</w:t>
        </w:r>
      </w:hyperlink>
    </w:p>
    <w:p>
      <w:pPr>
        <w:pStyle w:val="Cajadeanotaciones"/>
        <w:keepLines/>
        <w:numPr>
          <w:ilvl w:val="0"/>
          <w:numId w:val="1166"/>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r>
        <w:t xml:space="preserve"> </w:t>
      </w:r>
      <w:hyperlink r:id="rId296">
        <w:r>
          <w:rPr>
            <w:rStyle w:val="Hyperlink"/>
          </w:rPr>
          <w:t xml:space="preserve">https://www.youtube.com/watch?v=lhD5s-4v3oM</w:t>
        </w:r>
      </w:hyperlink>
    </w:p>
    <w:bookmarkEnd w:id="297"/>
    <w:bookmarkStart w:id="298" w:name="anexo_instituciones_regulatorias"/>
    <w:p>
      <w:pPr>
        <w:pStyle w:val="Heading2"/>
      </w:pPr>
      <w:r>
        <w:t xml:space="preserve">A.5. Instituciones regulatorias</w:t>
      </w:r>
    </w:p>
    <w:p>
      <w:pPr>
        <w:keepNext/>
        <w:numPr>
          <w:ilvl w:val="0"/>
          <w:numId w:val="1167"/>
        </w:numPr>
      </w:pPr>
      <w:r>
        <w:t xml:space="preserve">Los Estados combinan varios instrumentos:</w:t>
      </w:r>
    </w:p>
    <w:p>
      <w:pPr>
        <w:numPr>
          <w:ilvl w:val="1"/>
          <w:numId w:val="1168"/>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68"/>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68"/>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68"/>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67"/>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2013</w:t>
        </w:r>
      </w:hyperlink>
      <w:r>
        <w:t xml:space="preserve">)</w:t>
      </w:r>
      <w:r>
        <w:t xml:space="preserve"> </w:t>
      </w:r>
      <w:hyperlink r:id="rId32">
        <w:r>
          <w:rPr>
            <w:rStyle w:val="Referenciaatema"/>
          </w:rPr>
          <w:t xml:space="preserve">[ver tema 3.B.39]</w:t>
        </w:r>
      </w:hyperlink>
      <w:r>
        <w:t xml:space="preserve">.</w:t>
      </w:r>
    </w:p>
    <w:bookmarkEnd w:id="298"/>
    <w:bookmarkStart w:id="299" w:name="anexo_valoracion_2"/>
    <w:p>
      <w:pPr>
        <w:pStyle w:val="Heading2"/>
      </w:pPr>
      <w:r>
        <w:t xml:space="preserve">A.6. Valoración</w:t>
      </w:r>
    </w:p>
    <w:p>
      <w:pPr>
        <w:numPr>
          <w:ilvl w:val="0"/>
          <w:numId w:val="1169"/>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9"/>
    <w:bookmarkEnd w:id="300"/>
    <w:bookmarkStart w:id="328" w:name="anexo_derivaciones"/>
    <w:p>
      <w:pPr>
        <w:pStyle w:val="Heading1"/>
      </w:pPr>
      <w:r>
        <w:t xml:space="preserve">B. Anexo: derivaciones</w:t>
      </w:r>
    </w:p>
    <w:bookmarkStart w:id="305" w:name="anexo_cso"/>
    <w:p>
      <w:pPr>
        <w:pStyle w:val="Heading2"/>
      </w:pPr>
      <w:r>
        <w:t xml:space="preserve">B.1. Condición de segundo orden del monopolista</w:t>
      </w:r>
    </w:p>
    <w:p>
      <w:pPr>
        <w:numPr>
          <w:ilvl w:val="0"/>
          <w:numId w:val="1170"/>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70"/>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70"/>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70"/>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única. ∎</w:t>
      </w:r>
    </w:p>
    <w:bookmarkStart w:id="304"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Gráfico 16.– Condición de segundo orden: CMg creciente (izquierda) y CMg decreciente que corta al IMg desde abajo (derecha)" title="" id="302" name="Picture"/>
            <a:graphic>
              <a:graphicData uri="http://schemas.openxmlformats.org/drawingml/2006/picture">
                <pic:pic>
                  <pic:nvPicPr>
                    <pic:cNvPr descr="C:\Users\vgutierrez\Documents\src\victorgutierrezmarcos.github.io-revision\oposicion\temario\fuentes\3A17\graficos/cso-monopolio.png" id="303" name="Picture"/>
                    <pic:cNvPicPr>
                      <a:picLocks noChangeArrowheads="1" noChangeAspect="1"/>
                    </pic:cNvPicPr>
                  </pic:nvPicPr>
                  <pic:blipFill>
                    <a:blip r:embed="rId301"/>
                    <a:stretch>
                      <a:fillRect/>
                    </a:stretch>
                  </pic:blipFill>
                  <pic:spPr bwMode="auto">
                    <a:xfrm>
                      <a:off x="0" y="0"/>
                      <a:ext cx="4951216" cy="2223307"/>
                    </a:xfrm>
                    <a:prstGeom prst="rect">
                      <a:avLst/>
                    </a:prstGeom>
                    <a:noFill/>
                    <a:ln w="9525">
                      <a:noFill/>
                      <a:headEnd/>
                      <a:tailEnd/>
                    </a:ln>
                  </pic:spPr>
                </pic:pic>
              </a:graphicData>
            </a:graphic>
          </wp:inline>
        </w:drawing>
      </w:r>
    </w:p>
    <w:bookmarkEnd w:id="30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5"/>
    <w:bookmarkStart w:id="310" w:name="anexo_viabilidad"/>
    <w:p>
      <w:pPr>
        <w:pStyle w:val="Heading2"/>
      </w:pPr>
      <w:r>
        <w:t xml:space="preserve">B.2. Condición de viabilidad a corto y largo plazo</w:t>
      </w:r>
    </w:p>
    <w:p>
      <w:pPr>
        <w:numPr>
          <w:ilvl w:val="0"/>
          <w:numId w:val="1171"/>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71"/>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71"/>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). ∎</w:t>
      </w:r>
    </w:p>
    <w:bookmarkStart w:id="309"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Gráfico 17.– Viabilidad del monopolista: la condición se evalúa en qM, no en el mínimo del coste medio" title="" id="307" name="Picture"/>
            <a:graphic>
              <a:graphicData uri="http://schemas.openxmlformats.org/drawingml/2006/picture">
                <pic:pic>
                  <pic:nvPicPr>
                    <pic:cNvPr descr="C:\Users\vgutierrez\Documents\src\victorgutierrezmarcos.github.io-revision\oposicion\temario\fuentes\3A17\graficos/viabilidad-monopolio.png" id="308" name="Picture"/>
                    <pic:cNvPicPr>
                      <a:picLocks noChangeArrowheads="1" noChangeAspect="1"/>
                    </pic:cNvPicPr>
                  </pic:nvPicPr>
                  <pic:blipFill>
                    <a:blip r:embed="rId306"/>
                    <a:stretch>
                      <a:fillRect/>
                    </a:stretch>
                  </pic:blipFill>
                  <pic:spPr bwMode="auto">
                    <a:xfrm>
                      <a:off x="0" y="0"/>
                      <a:ext cx="5073650" cy="2218904"/>
                    </a:xfrm>
                    <a:prstGeom prst="rect">
                      <a:avLst/>
                    </a:prstGeom>
                    <a:noFill/>
                    <a:ln w="9525">
                      <a:noFill/>
                      <a:headEnd/>
                      <a:tailEnd/>
                    </a:ln>
                  </pic:spPr>
                </pic:pic>
              </a:graphicData>
            </a:graphic>
          </wp:inline>
        </w:drawing>
      </w:r>
    </w:p>
    <w:bookmarkEnd w:id="309"/>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10"/>
    <w:bookmarkStart w:id="311" w:name="anexo_segundo_grado"/>
    <w:p>
      <w:pPr>
        <w:pStyle w:val="Heading2"/>
      </w:pPr>
      <w:r>
        <w:t xml:space="preserve">B.3. Discriminación de segundo grado con 2 tipos</w:t>
      </w:r>
    </w:p>
    <w:p>
      <w:pPr>
        <w:keepNext/>
        <w:numPr>
          <w:ilvl w:val="0"/>
          <w:numId w:val="1172"/>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73"/>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73"/>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73"/>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73"/>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72"/>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72"/>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ν</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72"/>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ν</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ν</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ν</m:t>
                  </m:r>
                </m:num>
                <m:den>
                  <m:r>
                    <m:t>ν</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72"/>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ν</m:t>
        </m:r>
        <m:r>
          <m:t> </m:t>
        </m:r>
        <m:sSub>
          <m:e>
            <m:r>
              <m:t>t</m:t>
            </m:r>
          </m:e>
          <m:sub>
            <m:r>
              <m:t>1</m:t>
            </m:r>
          </m:sub>
        </m:sSub>
        <m:r>
          <m:rPr>
            <m:sty m:val="p"/>
          </m:rPr>
          <m:t>≤</m:t>
        </m:r>
        <m:d>
          <m:dPr>
            <m:begChr m:val="("/>
            <m:sepChr m:val=""/>
            <m:endChr m:val=")"/>
            <m:grow/>
          </m:dPr>
          <m:e>
            <m:r>
              <m:t>1</m:t>
            </m:r>
            <m:r>
              <m:rPr>
                <m:sty m:val="p"/>
              </m:rPr>
              <m:t>−</m:t>
            </m:r>
            <m:r>
              <m:t>ν</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. ∎</w:t>
      </w:r>
    </w:p>
    <w:p>
      <w:pPr>
        <w:numPr>
          <w:ilvl w:val="0"/>
          <w:numId w:val="1172"/>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ν</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ν</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72"/>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ν</m:t>
                </m:r>
              </m:num>
              <m:den>
                <m:r>
                  <m:t>ν</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1"/>
    <w:bookmarkStart w:id="312"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74"/>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74"/>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74"/>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. ∎</w:t>
      </w:r>
    </w:p>
    <w:bookmarkEnd w:id="312"/>
    <w:bookmarkStart w:id="322" w:name="anexo_proporciones_fijas"/>
    <w:p>
      <w:pPr>
        <w:pStyle w:val="Heading2"/>
      </w:pPr>
      <w:r>
        <w:t xml:space="preserve">B.5. Producción conjunta en proporciones fijas</w:t>
      </w:r>
    </w:p>
    <w:bookmarkStart w:id="313" w:name="a_idea_11"/>
    <w:p>
      <w:pPr>
        <w:pStyle w:val="Heading4"/>
      </w:pPr>
      <w:r>
        <w:t xml:space="preserve">a) Idea</w:t>
      </w:r>
    </w:p>
    <w:p>
      <w:pPr>
        <w:numPr>
          <w:ilvl w:val="0"/>
          <w:numId w:val="1175"/>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3"/>
    <w:bookmarkStart w:id="321" w:name="b_modelo_11"/>
    <w:p>
      <w:pPr>
        <w:pStyle w:val="Heading4"/>
      </w:pPr>
      <w:r>
        <w:t xml:space="preserve">b) Modelo</w:t>
      </w:r>
    </w:p>
    <w:bookmarkStart w:id="314" w:name="i_supuestos_11"/>
    <w:p>
      <w:pPr>
        <w:pStyle w:val="Heading5"/>
      </w:pPr>
      <w:r>
        <w:t xml:space="preserve">i) Supuestos</w:t>
      </w:r>
    </w:p>
    <w:p>
      <w:pPr>
        <w:numPr>
          <w:ilvl w:val="0"/>
          <w:numId w:val="1176"/>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76"/>
        </w:numPr>
      </w:pPr>
      <w:r>
        <w:t xml:space="preserve">El monopolista puede desechar lo que sobre de cada bien.</w:t>
      </w:r>
    </w:p>
    <w:bookmarkEnd w:id="314"/>
    <w:bookmarkStart w:id="319" w:name="ii_desarrollo_11"/>
    <w:p>
      <w:pPr>
        <w:pStyle w:val="Heading5"/>
      </w:pPr>
      <w:r>
        <w:t xml:space="preserve">ii) Desarrollo</w:t>
      </w:r>
    </w:p>
    <w:p>
      <w:pPr>
        <w:numPr>
          <w:ilvl w:val="0"/>
          <w:numId w:val="1177"/>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77"/>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77"/>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8"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Gráfico 18.– Producción conjunta en proporciones fijas: suma vertical de los ingresos marginales" title="" id="316" name="Picture"/>
            <a:graphic>
              <a:graphicData uri="http://schemas.openxmlformats.org/drawingml/2006/picture">
                <pic:pic>
                  <pic:nvPicPr>
                    <pic:cNvPr descr="C:\Users\vgutierrez\Documents\src\victorgutierrezmarcos.github.io-revision\oposicion\temario\fuentes\3A17\graficos/produccion-conjunta.png" id="317" name="Picture"/>
                    <pic:cNvPicPr>
                      <a:picLocks noChangeArrowheads="1" noChangeAspect="1"/>
                    </pic:cNvPicPr>
                  </pic:nvPicPr>
                  <pic:blipFill>
                    <a:blip r:embed="rId315"/>
                    <a:stretch>
                      <a:fillRect/>
                    </a:stretch>
                  </pic:blipFill>
                  <pic:spPr bwMode="auto">
                    <a:xfrm>
                      <a:off x="0" y="0"/>
                      <a:ext cx="3293674" cy="2697327"/>
                    </a:xfrm>
                    <a:prstGeom prst="rect">
                      <a:avLst/>
                    </a:prstGeom>
                    <a:noFill/>
                    <a:ln w="9525">
                      <a:noFill/>
                      <a:headEnd/>
                      <a:tailEnd/>
                    </a:ln>
                  </pic:spPr>
                </pic:pic>
              </a:graphicData>
            </a:graphic>
          </wp:inline>
        </w:drawing>
      </w:r>
    </w:p>
    <w:bookmarkEnd w:id="318"/>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9"/>
    <w:bookmarkStart w:id="320" w:name="iii_implicaciones_11"/>
    <w:p>
      <w:pPr>
        <w:pStyle w:val="Heading5"/>
      </w:pPr>
      <w:r>
        <w:t xml:space="preserve">iii) Implicaciones</w:t>
      </w:r>
    </w:p>
    <w:p>
      <w:pPr>
        <w:numPr>
          <w:ilvl w:val="0"/>
          <w:numId w:val="1178"/>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20"/>
    <w:bookmarkEnd w:id="321"/>
    <w:bookmarkEnd w:id="322"/>
    <w:bookmarkStart w:id="323"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79"/>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79"/>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79"/>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 ∎</w:t>
      </w:r>
    </w:p>
    <w:p>
      <w:pPr>
        <w:numPr>
          <w:ilvl w:val="0"/>
          <w:numId w:val="1179"/>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3"/>
    <w:bookmarkStart w:id="324" w:name="anexo_sostenibilidad"/>
    <w:p>
      <w:pPr>
        <w:pStyle w:val="Heading2"/>
      </w:pPr>
      <w:r>
        <w:t xml:space="preserve">B.7. Sostenibilidad del monopolio natural con reacción del incumbente</w:t>
      </w:r>
    </w:p>
    <w:p>
      <w:pPr>
        <w:numPr>
          <w:ilvl w:val="0"/>
          <w:numId w:val="1180"/>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80"/>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80"/>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81"/>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81"/>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mayor. ∎</w:t>
      </w:r>
    </w:p>
    <w:p>
      <w:pPr>
        <w:numPr>
          <w:ilvl w:val="0"/>
          <w:numId w:val="1180"/>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4"/>
    <w:bookmarkStart w:id="325" w:name="anexo_cuatro_casos"/>
    <w:p>
      <w:pPr>
        <w:pStyle w:val="Heading2"/>
      </w:pPr>
      <w:r>
        <w:t xml:space="preserve">B.8. Poder de mercado en el bien y en el trabajo: los 4 casos y el sindicato</w:t>
      </w:r>
    </w:p>
    <w:p>
      <w:pPr>
        <w:numPr>
          <w:ilvl w:val="0"/>
          <w:numId w:val="1182"/>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82"/>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82"/>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contratada. ∎</w:t>
      </w:r>
    </w:p>
    <w:p>
      <w:pPr>
        <w:numPr>
          <w:ilvl w:val="0"/>
          <w:numId w:val="1182"/>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). ∎</w:t>
      </w:r>
    </w:p>
    <w:bookmarkEnd w:id="325"/>
    <w:bookmarkStart w:id="326"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83"/>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83"/>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83"/>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83"/>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. ∎</w:t>
      </w:r>
    </w:p>
    <w:bookmarkEnd w:id="326"/>
    <w:bookmarkStart w:id="327"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84"/>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84"/>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84"/>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84"/>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Sobrecapitaliza. ∎</w:t>
      </w:r>
    </w:p>
    <w:bookmarkEnd w:id="327"/>
    <w:bookmarkEnd w:id="328"/>
    <w:bookmarkStart w:id="331" w:name="anexo_test"/>
    <w:p>
      <w:pPr>
        <w:pStyle w:val="Heading1"/>
      </w:pPr>
      <w:r>
        <w:t xml:space="preserve">C. Anexo: aspectos para el test y preguntas del tribunal</w:t>
      </w:r>
    </w:p>
    <w:p>
      <w:pPr>
        <w:pStyle w:val="Cajadeanotaciones"/>
        <w:keepLines/>
      </w:pPr>
      <w:r>
        <w:t xml:space="preserve">Preguntas tipo test del primer ejercicio:</w:t>
      </w:r>
      <w:r>
        <w:t xml:space="preserve"> </w:t>
      </w:r>
      <w:hyperlink r:id="rId329">
        <w:r>
          <w:rPr>
            <w:rStyle w:val="Hyperlink"/>
          </w:rPr>
          <w:t xml:space="preserve">simulador de test</w:t>
        </w:r>
      </w:hyperlink>
      <w:r>
        <w:t xml:space="preserve">.</w:t>
      </w:r>
    </w:p>
    <w:p>
      <w:pPr>
        <w:numPr>
          <w:ilvl w:val="0"/>
          <w:numId w:val="1185"/>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85"/>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85"/>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85"/>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85"/>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keepNext/>
        <w:numPr>
          <w:ilvl w:val="0"/>
          <w:numId w:val="1185"/>
        </w:numPr>
      </w:pPr>
      <w:r>
        <w:rPr>
          <w:i/>
          <w:iCs/>
        </w:rPr>
        <w:t xml:space="preserve">Segundo grado con 2 tipos</w:t>
      </w:r>
      <w:r>
        <w:t xml:space="preserve">:</w:t>
      </w:r>
    </w:p>
    <w:p>
      <w:pPr>
        <w:numPr>
          <w:ilvl w:val="1"/>
          <w:numId w:val="1186"/>
        </w:numPr>
      </w:pPr>
      <w:r>
        <w:t xml:space="preserve">no hay distorsión arriba;</w:t>
      </w:r>
    </w:p>
    <w:p>
      <w:pPr>
        <w:numPr>
          <w:ilvl w:val="1"/>
          <w:numId w:val="1186"/>
        </w:numPr>
      </w:pPr>
      <w:r>
        <w:t xml:space="preserve">el tipo bajo compra menos de lo eficiente y no tiene excedente;</w:t>
      </w:r>
    </w:p>
    <w:p>
      <w:pPr>
        <w:numPr>
          <w:ilvl w:val="1"/>
          <w:numId w:val="1186"/>
        </w:numPr>
      </w:pPr>
      <w:r>
        <w:t xml:space="preserve">el alto se queda con una renta informativa.</w:t>
      </w:r>
    </w:p>
    <w:p>
      <w:pPr>
        <w:numPr>
          <w:ilvl w:val="0"/>
          <w:numId w:val="1185"/>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85"/>
        </w:numPr>
      </w:pPr>
      <w:r>
        <w:rPr>
          <w:i/>
          <w:iCs/>
        </w:rPr>
        <w:t xml:space="preserve">Primer grado</w:t>
      </w:r>
      <w:r>
        <w:t xml:space="preserve">: eficiente (la cantidad es la competitiva), excedente del consumidor nulo.</w:t>
      </w:r>
    </w:p>
    <w:p>
      <w:pPr>
        <w:keepNext/>
        <w:numPr>
          <w:ilvl w:val="0"/>
          <w:numId w:val="1185"/>
        </w:numPr>
      </w:pPr>
      <w:r>
        <w:rPr>
          <w:i/>
          <w:iCs/>
        </w:rPr>
        <w:t xml:space="preserve">Monopolio natural</w:t>
      </w:r>
      <w:r>
        <w:t xml:space="preserve">:</w:t>
      </w:r>
    </w:p>
    <w:p>
      <w:pPr>
        <w:numPr>
          <w:ilvl w:val="1"/>
          <w:numId w:val="1187"/>
        </w:numPr>
      </w:pPr>
      <w:r>
        <w:t xml:space="preserve">la subaditividad es la definición;</w:t>
      </w:r>
    </w:p>
    <w:p>
      <w:pPr>
        <w:numPr>
          <w:ilvl w:val="1"/>
          <w:numId w:val="1187"/>
        </w:numPr>
      </w:pPr>
      <w:r>
        <w:t xml:space="preserve">las economías de escala son suficientes pero no necesarias;</w:t>
      </w:r>
    </w:p>
    <w:p>
      <w:pPr>
        <w:numPr>
          <w:ilvl w:val="1"/>
          <w:numId w:val="1187"/>
        </w:numPr>
      </w:pPr>
      <w:r>
        <w:t xml:space="preserve">las economías de alcance, necesarias pero no suficientes en el multiproducto;</w:t>
      </w:r>
    </w:p>
    <w:p>
      <w:pPr>
        <w:numPr>
          <w:ilvl w:val="1"/>
          <w:numId w:val="1187"/>
        </w:numPr>
      </w:pPr>
      <w:r>
        <w:t xml:space="preserve">las pruebas de subsidios cruzados, necesarias para la sostenibilidad.</w:t>
      </w:r>
    </w:p>
    <w:p>
      <w:pPr>
        <w:numPr>
          <w:ilvl w:val="0"/>
          <w:numId w:val="1185"/>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85"/>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85"/>
        </w:numPr>
      </w:pPr>
      <w:r>
        <w:rPr>
          <w:i/>
          <w:iCs/>
        </w:rPr>
        <w:t xml:space="preserve">Doble marginalización</w:t>
      </w:r>
      <w:r>
        <w:t xml:space="preserve">: con demanda lineal, la cadena separada vende la mitad que la integrada.</w:t>
      </w:r>
    </w:p>
    <w:p>
      <w:pPr>
        <w:numPr>
          <w:ilvl w:val="0"/>
          <w:numId w:val="1185"/>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30" w:name="preguntas_probables_del_tribunal"/>
    <w:p>
      <w:pPr>
        <w:pStyle w:val="Heading4"/>
      </w:pPr>
      <w:r>
        <w:t xml:space="preserve">Preguntas probables del tribunal</w:t>
      </w:r>
    </w:p>
    <w:p>
      <w:pPr>
        <w:numPr>
          <w:ilvl w:val="0"/>
          <w:numId w:val="1188"/>
        </w:numPr>
      </w:pPr>
      <w:r>
        <w:t xml:space="preserve">¿Por qué el monopolista no tiene curva de oferta? ¿Por qué nunca produce en el tramo inelástico?</w:t>
      </w:r>
    </w:p>
    <w:p>
      <w:pPr>
        <w:numPr>
          <w:ilvl w:val="0"/>
          <w:numId w:val="1188"/>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88"/>
        </w:numPr>
      </w:pPr>
      <w:r>
        <w:t xml:space="preserve">¿Es eficiente la discriminación de primer grado? ¿Cuándo aumenta el excedente total la de tercer grado?</w:t>
      </w:r>
    </w:p>
    <w:p>
      <w:pPr>
        <w:numPr>
          <w:ilvl w:val="0"/>
          <w:numId w:val="1188"/>
        </w:numPr>
      </w:pPr>
      <w:r>
        <w:t xml:space="preserve">¿Por qué en la discriminación de segundo grado se distorsiona la cantidad del tipo bajo y no la del alto?</w:t>
      </w:r>
    </w:p>
    <w:p>
      <w:pPr>
        <w:numPr>
          <w:ilvl w:val="0"/>
          <w:numId w:val="1188"/>
        </w:numPr>
      </w:pPr>
      <w:r>
        <w:t xml:space="preserve">¿Son las economías de escala necesarias para que haya monopolio natural? ¿Y las de alcance en el multiproducto?</w:t>
      </w:r>
    </w:p>
    <w:p>
      <w:pPr>
        <w:numPr>
          <w:ilvl w:val="0"/>
          <w:numId w:val="1188"/>
        </w:numPr>
      </w:pPr>
      <w:r>
        <w:t xml:space="preserve">¿Qué dice la conjetura de</w:t>
      </w:r>
      <w:r>
        <w:t xml:space="preserve"> </w:t>
      </w:r>
      <w:r>
        <w:rPr>
          <w:smallCaps/>
        </w:rPr>
        <w:t xml:space="preserve">Coase</w:t>
      </w:r>
      <w:r>
        <w:t xml:space="preserve">?</w:t>
      </w:r>
    </w:p>
    <w:p>
      <w:pPr>
        <w:numPr>
          <w:ilvl w:val="0"/>
          <w:numId w:val="1188"/>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88"/>
        </w:numPr>
      </w:pPr>
      <w:r>
        <w:t xml:space="preserve">¿Hay paro involuntario con monopsonio? ¿Por qué un salario mínimo puede aumentar el empleo?</w:t>
      </w:r>
    </w:p>
    <w:p>
      <w:pPr>
        <w:numPr>
          <w:ilvl w:val="0"/>
          <w:numId w:val="1188"/>
        </w:numPr>
      </w:pPr>
      <w:r>
        <w:t xml:space="preserve">En el monopolio bilateral, ¿depende la cantidad del poder de negociación?</w:t>
      </w:r>
    </w:p>
    <w:p>
      <w:pPr>
        <w:numPr>
          <w:ilvl w:val="0"/>
          <w:numId w:val="1188"/>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30"/>
    <w:bookmarkEnd w:id="331"/>
    <w:bookmarkStart w:id="525" w:name="bibliografia"/>
    <w:p>
      <w:pPr>
        <w:pStyle w:val="Heading1"/>
      </w:pPr>
      <w:r>
        <w:t xml:space="preserve">Bibliografía</w:t>
      </w:r>
    </w:p>
    <w:bookmarkStart w:id="524" w:name="refs"/>
    <w:bookmarkStart w:id="333"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2">
        <w:r>
          <w:rPr>
            <w:rStyle w:val="Hyperlink"/>
          </w:rPr>
          <w:t xml:space="preserve">https://doi.org/10.2307/1886045</w:t>
        </w:r>
      </w:hyperlink>
      <w:r>
        <w:t xml:space="preserve">.</w:t>
      </w:r>
    </w:p>
    <w:bookmarkEnd w:id="333"/>
    <w:bookmarkStart w:id="335"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4">
        <w:r>
          <w:rPr>
            <w:rStyle w:val="Hyperlink"/>
          </w:rPr>
          <w:t xml:space="preserve">https://doi.org/10.1093/qje/120.2.701</w:t>
        </w:r>
      </w:hyperlink>
      <w:r>
        <w:t xml:space="preserve">.</w:t>
      </w:r>
    </w:p>
    <w:bookmarkEnd w:id="335"/>
    <w:bookmarkStart w:id="336"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6"/>
    <w:bookmarkStart w:id="337"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7"/>
    <w:bookmarkStart w:id="338"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8"/>
    <w:bookmarkStart w:id="339"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9"/>
    <w:bookmarkStart w:id="341"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40">
        <w:r>
          <w:rPr>
            <w:rStyle w:val="Hyperlink"/>
          </w:rPr>
          <w:t xml:space="preserve">https://ideas.repec.org/a/aea/aecrev/v72y1982i1p1-15.html</w:t>
        </w:r>
      </w:hyperlink>
      <w:r>
        <w:t xml:space="preserve">.</w:t>
      </w:r>
    </w:p>
    <w:bookmarkEnd w:id="341"/>
    <w:bookmarkStart w:id="342"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2"/>
    <w:bookmarkStart w:id="344"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3">
        <w:r>
          <w:rPr>
            <w:rStyle w:val="Hyperlink"/>
          </w:rPr>
          <w:t xml:space="preserve">https://doi.org/10.2307/3003181</w:t>
        </w:r>
      </w:hyperlink>
      <w:r>
        <w:t xml:space="preserve">.</w:t>
      </w:r>
    </w:p>
    <w:bookmarkEnd w:id="344"/>
    <w:bookmarkStart w:id="34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5"/>
    <w:bookmarkStart w:id="347"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6">
        <w:r>
          <w:rPr>
            <w:rStyle w:val="Hyperlink"/>
          </w:rPr>
          <w:t xml:space="preserve">https://doi.org/10.2307/1886017</w:t>
        </w:r>
      </w:hyperlink>
      <w:r>
        <w:t xml:space="preserve">.</w:t>
      </w:r>
    </w:p>
    <w:bookmarkEnd w:id="347"/>
    <w:bookmarkStart w:id="349"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8">
        <w:r>
          <w:rPr>
            <w:rStyle w:val="Hyperlink"/>
          </w:rPr>
          <w:t xml:space="preserve">https://doi.org/10.2307/2555382</w:t>
        </w:r>
      </w:hyperlink>
      <w:r>
        <w:t xml:space="preserve">.</w:t>
      </w:r>
    </w:p>
    <w:bookmarkEnd w:id="349"/>
    <w:bookmarkStart w:id="350"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50"/>
    <w:bookmarkStart w:id="352"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1">
        <w:r>
          <w:rPr>
            <w:rStyle w:val="Hyperlink"/>
          </w:rPr>
          <w:t xml:space="preserve">https://doi.org/10.2307/1905256</w:t>
        </w:r>
      </w:hyperlink>
      <w:r>
        <w:t xml:space="preserve">.</w:t>
      </w:r>
    </w:p>
    <w:bookmarkEnd w:id="352"/>
    <w:bookmarkStart w:id="354"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3">
        <w:r>
          <w:rPr>
            <w:rStyle w:val="Hyperlink"/>
          </w:rPr>
          <w:t xml:space="preserve">https://doi.org/10.2307/2224123</w:t>
        </w:r>
      </w:hyperlink>
      <w:r>
        <w:t xml:space="preserve">.</w:t>
      </w:r>
    </w:p>
    <w:bookmarkEnd w:id="354"/>
    <w:bookmarkStart w:id="356"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5">
        <w:r>
          <w:rPr>
            <w:rStyle w:val="Hyperlink"/>
          </w:rPr>
          <w:t xml:space="preserve">https://doi.org/10.1016/S1573-448X(89)02011-X</w:t>
        </w:r>
      </w:hyperlink>
      <w:r>
        <w:t xml:space="preserve">.</w:t>
      </w:r>
    </w:p>
    <w:bookmarkEnd w:id="356"/>
    <w:bookmarkStart w:id="358"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7">
        <w:r>
          <w:rPr>
            <w:rStyle w:val="Hyperlink"/>
          </w:rPr>
          <w:t xml:space="preserve">https://doi.org/10.1086/261058</w:t>
        </w:r>
      </w:hyperlink>
      <w:r>
        <w:t xml:space="preserve">.</w:t>
      </w:r>
    </w:p>
    <w:bookmarkEnd w:id="358"/>
    <w:bookmarkStart w:id="360"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9">
        <w:r>
          <w:rPr>
            <w:rStyle w:val="Hyperlink"/>
          </w:rPr>
          <w:t xml:space="preserve">https://doi.org/10.1086/261135</w:t>
        </w:r>
      </w:hyperlink>
      <w:r>
        <w:t xml:space="preserve">.</w:t>
      </w:r>
    </w:p>
    <w:bookmarkEnd w:id="360"/>
    <w:bookmarkStart w:id="362"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1">
        <w:r>
          <w:rPr>
            <w:rStyle w:val="Hyperlink"/>
          </w:rPr>
          <w:t xml:space="preserve">https://www.gesetze-im-internet.de/aregv/anlage_3.html</w:t>
        </w:r>
      </w:hyperlink>
      <w:r>
        <w:t xml:space="preserve">.</w:t>
      </w:r>
    </w:p>
    <w:bookmarkEnd w:id="362"/>
    <w:bookmarkStart w:id="364"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3">
        <w:r>
          <w:rPr>
            <w:rStyle w:val="Hyperlink"/>
          </w:rPr>
          <w:t xml:space="preserve">https://www.bundesnetzagentur.de/DE/Beschlusskammern/BK08/BK8_05_EOG/54_Effizienzvgl/start.html</w:t>
        </w:r>
      </w:hyperlink>
      <w:r>
        <w:t xml:space="preserve">.</w:t>
      </w:r>
    </w:p>
    <w:bookmarkEnd w:id="364"/>
    <w:bookmarkStart w:id="366"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5">
        <w:r>
          <w:rPr>
            <w:rStyle w:val="Hyperlink"/>
          </w:rPr>
          <w:t xml:space="preserve">https://ideas.repec.org/a/aea/aecrev/v84y1994i4p772-93.html</w:t>
        </w:r>
      </w:hyperlink>
      <w:r>
        <w:t xml:space="preserve">.</w:t>
      </w:r>
    </w:p>
    <w:bookmarkEnd w:id="366"/>
    <w:bookmarkStart w:id="368"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7">
        <w:r>
          <w:rPr>
            <w:rStyle w:val="Hyperlink"/>
          </w:rPr>
          <w:t xml:space="preserve">https://doi.org/10.2307/2549764</w:t>
        </w:r>
      </w:hyperlink>
      <w:r>
        <w:t xml:space="preserve">.</w:t>
      </w:r>
    </w:p>
    <w:bookmarkEnd w:id="368"/>
    <w:bookmarkStart w:id="370"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9">
        <w:r>
          <w:rPr>
            <w:rStyle w:val="Hyperlink"/>
          </w:rPr>
          <w:t xml:space="preserve">https://doi.org/10.1086/466731</w:t>
        </w:r>
      </w:hyperlink>
      <w:r>
        <w:t xml:space="preserve">.</w:t>
      </w:r>
    </w:p>
    <w:bookmarkEnd w:id="370"/>
    <w:bookmarkStart w:id="372"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1">
        <w:r>
          <w:rPr>
            <w:rStyle w:val="Hyperlink"/>
          </w:rPr>
          <w:t xml:space="preserve">https://www.cnmc.es/sites/default/files/1972516_6.pdf</w:t>
        </w:r>
      </w:hyperlink>
      <w:r>
        <w:t xml:space="preserve">.</w:t>
      </w:r>
    </w:p>
    <w:bookmarkEnd w:id="372"/>
    <w:bookmarkStart w:id="374"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3">
        <w:r>
          <w:rPr>
            <w:rStyle w:val="Hyperlink"/>
          </w:rPr>
          <w:t xml:space="preserve">https://www.cnmc.es/sites/default/files/2100627.pdf</w:t>
        </w:r>
      </w:hyperlink>
      <w:r>
        <w:t xml:space="preserve">.</w:t>
      </w:r>
    </w:p>
    <w:bookmarkEnd w:id="374"/>
    <w:bookmarkStart w:id="375"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5"/>
    <w:bookmarkStart w:id="377"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6">
        <w:r>
          <w:rPr>
            <w:rStyle w:val="Hyperlink"/>
          </w:rPr>
          <w:t xml:space="preserve">https://www.boe.es/buscar/act.php?id=BOE-A-2020-1066</w:t>
        </w:r>
      </w:hyperlink>
      <w:r>
        <w:t xml:space="preserve">.</w:t>
      </w:r>
    </w:p>
    <w:bookmarkEnd w:id="377"/>
    <w:bookmarkStart w:id="379"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8">
        <w:r>
          <w:rPr>
            <w:rStyle w:val="Hyperlink"/>
          </w:rPr>
          <w:t xml:space="preserve">https://eur-lex.europa.eu/eli/reg/2004/139/oj?locale=es</w:t>
        </w:r>
      </w:hyperlink>
      <w:r>
        <w:t xml:space="preserve">.</w:t>
      </w:r>
    </w:p>
    <w:bookmarkEnd w:id="379"/>
    <w:bookmarkStart w:id="380"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80"/>
    <w:bookmarkStart w:id="382"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1">
        <w:r>
          <w:rPr>
            <w:rStyle w:val="Hyperlink"/>
          </w:rPr>
          <w:t xml:space="preserve">https://doi.org/10.2307/2231975</w:t>
        </w:r>
      </w:hyperlink>
      <w:r>
        <w:t xml:space="preserve">.</w:t>
      </w:r>
    </w:p>
    <w:bookmarkEnd w:id="382"/>
    <w:bookmarkStart w:id="384"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3">
        <w:r>
          <w:rPr>
            <w:rStyle w:val="Hyperlink"/>
          </w:rPr>
          <w:t xml:space="preserve">https://doi.org/10.1093/qje/qjz041</w:t>
        </w:r>
      </w:hyperlink>
      <w:r>
        <w:t xml:space="preserve">.</w:t>
      </w:r>
    </w:p>
    <w:bookmarkEnd w:id="384"/>
    <w:bookmarkStart w:id="386"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5">
        <w:r>
          <w:rPr>
            <w:rStyle w:val="Hyperlink"/>
          </w:rPr>
          <w:t xml:space="preserve">https://doi.org/10.1093/jeea/jvac060</w:t>
        </w:r>
      </w:hyperlink>
      <w:r>
        <w:t xml:space="preserve">.</w:t>
      </w:r>
    </w:p>
    <w:bookmarkEnd w:id="386"/>
    <w:bookmarkStart w:id="388"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7">
        <w:r>
          <w:rPr>
            <w:rStyle w:val="Hyperlink"/>
          </w:rPr>
          <w:t xml:space="preserve">https://doi.org/10.1086/466643</w:t>
        </w:r>
      </w:hyperlink>
      <w:r>
        <w:t xml:space="preserve">.</w:t>
      </w:r>
    </w:p>
    <w:bookmarkEnd w:id="388"/>
    <w:bookmarkStart w:id="390"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9">
        <w:r>
          <w:rPr>
            <w:rStyle w:val="Hyperlink"/>
          </w:rPr>
          <w:t xml:space="preserve">https://doi.org/10.1111/j.1430-9134.1996.00149.x</w:t>
        </w:r>
      </w:hyperlink>
      <w:r>
        <w:t xml:space="preserve">.</w:t>
      </w:r>
    </w:p>
    <w:bookmarkEnd w:id="390"/>
    <w:bookmarkStart w:id="392"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1">
        <w:r>
          <w:rPr>
            <w:rStyle w:val="Hyperlink"/>
          </w:rPr>
          <w:t xml:space="preserve">https://www.boe.es/diario_boe/txt.php?id=BOE-A-2026-19507</w:t>
        </w:r>
      </w:hyperlink>
      <w:r>
        <w:t xml:space="preserve">.</w:t>
      </w:r>
    </w:p>
    <w:bookmarkEnd w:id="392"/>
    <w:bookmarkStart w:id="393"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3"/>
    <w:bookmarkStart w:id="394"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4"/>
    <w:bookmarkStart w:id="395" w:name="ref_Dupuit1849Peages"/>
    <w:p>
      <w:pPr>
        <w:pStyle w:val="Bibliography"/>
      </w:pPr>
      <w:r>
        <w:t xml:space="preserve">Dupuit, Jules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5"/>
    <w:bookmarkStart w:id="39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6"/>
    <w:bookmarkStart w:id="398"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7">
        <w:r>
          <w:rPr>
            <w:rStyle w:val="Hyperlink"/>
          </w:rPr>
          <w:t xml:space="preserve">https://doi.org/10.2307/1883013</w:t>
        </w:r>
      </w:hyperlink>
      <w:r>
        <w:t xml:space="preserve">.</w:t>
      </w:r>
    </w:p>
    <w:bookmarkEnd w:id="398"/>
    <w:bookmarkStart w:id="399"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9"/>
    <w:bookmarkStart w:id="401"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400">
        <w:r>
          <w:rPr>
            <w:rStyle w:val="Hyperlink"/>
          </w:rPr>
          <w:t xml:space="preserve">https://ideas.repec.org/a/aea/aecrev/v65y1975i5p966-77.html</w:t>
        </w:r>
      </w:hyperlink>
      <w:r>
        <w:t xml:space="preserve">.</w:t>
      </w:r>
    </w:p>
    <w:bookmarkEnd w:id="401"/>
    <w:bookmarkStart w:id="403"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2">
        <w:r>
          <w:rPr>
            <w:rStyle w:val="Hyperlink"/>
          </w:rPr>
          <w:t xml:space="preserve">https://doi.org/10.2307/1879566</w:t>
        </w:r>
      </w:hyperlink>
      <w:r>
        <w:t xml:space="preserve">.</w:t>
      </w:r>
    </w:p>
    <w:bookmarkEnd w:id="403"/>
    <w:bookmarkStart w:id="405"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4">
        <w:r>
          <w:rPr>
            <w:rStyle w:val="Hyperlink"/>
          </w:rPr>
          <w:t xml:space="preserve">https://doi.org/10.2307/2297615</w:t>
        </w:r>
      </w:hyperlink>
      <w:r>
        <w:t xml:space="preserve">.</w:t>
      </w:r>
    </w:p>
    <w:bookmarkEnd w:id="405"/>
    <w:bookmarkStart w:id="406"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6"/>
    <w:bookmarkStart w:id="408"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7">
        <w:r>
          <w:rPr>
            <w:rStyle w:val="Hyperlink"/>
          </w:rPr>
          <w:t xml:space="preserve">https://doi.org/10.1016/0022-0531(86)90024-4</w:t>
        </w:r>
      </w:hyperlink>
      <w:r>
        <w:t xml:space="preserve">.</w:t>
      </w:r>
    </w:p>
    <w:bookmarkEnd w:id="408"/>
    <w:bookmarkStart w:id="409"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9"/>
    <w:bookmarkStart w:id="411"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10">
        <w:r>
          <w:rPr>
            <w:rStyle w:val="Hyperlink"/>
          </w:rPr>
          <w:t xml:space="preserve">https://doi.org/10.2307/1907343</w:t>
        </w:r>
      </w:hyperlink>
      <w:r>
        <w:t xml:space="preserve">.</w:t>
      </w:r>
    </w:p>
    <w:bookmarkEnd w:id="411"/>
    <w:bookmarkStart w:id="413"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2">
        <w:r>
          <w:rPr>
            <w:rStyle w:val="Hyperlink"/>
          </w:rPr>
          <w:t xml:space="preserve">https://doi.org/10.2307/2224214</w:t>
        </w:r>
      </w:hyperlink>
      <w:r>
        <w:t xml:space="preserve">.</w:t>
      </w:r>
    </w:p>
    <w:bookmarkEnd w:id="413"/>
    <w:bookmarkStart w:id="415"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4">
        <w:r>
          <w:rPr>
            <w:rStyle w:val="Hyperlink"/>
          </w:rPr>
          <w:t xml:space="preserve">https://doi.org/10.2307/1907054</w:t>
        </w:r>
      </w:hyperlink>
      <w:r>
        <w:t xml:space="preserve">.</w:t>
      </w:r>
    </w:p>
    <w:bookmarkEnd w:id="415"/>
    <w:bookmarkStart w:id="416"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6"/>
    <w:bookmarkStart w:id="417"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7"/>
    <w:bookmarkStart w:id="419"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8">
        <w:r>
          <w:rPr>
            <w:rStyle w:val="Hyperlink"/>
          </w:rPr>
          <w:t xml:space="preserve">https://www.boe.es/eli/es/l/2013/06/04/3</w:t>
        </w:r>
      </w:hyperlink>
      <w:r>
        <w:t xml:space="preserve">.</w:t>
      </w:r>
    </w:p>
    <w:bookmarkEnd w:id="419"/>
    <w:bookmarkStart w:id="421" w:name="ref_BOE2015Desindexacion"/>
    <w:p>
      <w:pPr>
        <w:pStyle w:val="Bibliography"/>
      </w:pPr>
      <w:r>
        <w:t xml:space="preserve">Jefatura del Estado (2015).</w:t>
      </w:r>
      <w:r>
        <w:t xml:space="preserve"> </w:t>
      </w:r>
      <w:r>
        <w:t xml:space="preserve">«Ley 2/2015, de 30 de marzo, de desindexación de la economía española (BOE-A-2015-3443)»</w:t>
      </w:r>
      <w:r>
        <w:t xml:space="preserve">. 2015.</w:t>
      </w:r>
      <w:r>
        <w:t xml:space="preserve"> </w:t>
      </w:r>
      <w:hyperlink r:id="rId420">
        <w:r>
          <w:rPr>
            <w:rStyle w:val="Hyperlink"/>
          </w:rPr>
          <w:t xml:space="preserve">https://www.boe.es/buscar/act.php?id=BOE-A-2015-3443</w:t>
        </w:r>
      </w:hyperlink>
      <w:r>
        <w:t xml:space="preserve">.</w:t>
      </w:r>
    </w:p>
    <w:bookmarkEnd w:id="421"/>
    <w:bookmarkStart w:id="423"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2">
        <w:r>
          <w:rPr>
            <w:rStyle w:val="Hyperlink"/>
          </w:rPr>
          <w:t xml:space="preserve">https://doi.org/10.1086/466794</w:t>
        </w:r>
      </w:hyperlink>
      <w:r>
        <w:t xml:space="preserve">.</w:t>
      </w:r>
    </w:p>
    <w:bookmarkEnd w:id="423"/>
    <w:bookmarkStart w:id="424"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4"/>
    <w:bookmarkStart w:id="426"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425">
        <w:r>
          <w:rPr>
            <w:rStyle w:val="Hyperlink"/>
          </w:rPr>
          <w:t xml:space="preserve">https://doi.org/10.1257/0895330027166</w:t>
        </w:r>
      </w:hyperlink>
      <w:r>
        <w:t xml:space="preserve">.</w:t>
      </w:r>
    </w:p>
    <w:bookmarkEnd w:id="426"/>
    <w:bookmarkStart w:id="427"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7"/>
    <w:bookmarkStart w:id="429"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8">
        <w:r>
          <w:rPr>
            <w:rStyle w:val="Hyperlink"/>
          </w:rPr>
          <w:t xml:space="preserve">https://doi.org/10.1086/261392</w:t>
        </w:r>
      </w:hyperlink>
      <w:r>
        <w:t xml:space="preserve">.</w:t>
      </w:r>
    </w:p>
    <w:bookmarkEnd w:id="429"/>
    <w:bookmarkStart w:id="431"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30">
        <w:r>
          <w:rPr>
            <w:rStyle w:val="Hyperlink"/>
          </w:rPr>
          <w:t xml:space="preserve">https://doi.org/10.2307/1911362</w:t>
        </w:r>
      </w:hyperlink>
      <w:r>
        <w:t xml:space="preserve">.</w:t>
      </w:r>
    </w:p>
    <w:bookmarkEnd w:id="431"/>
    <w:bookmarkStart w:id="433"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32">
        <w:r>
          <w:rPr>
            <w:rStyle w:val="Hyperlink"/>
          </w:rPr>
          <w:t xml:space="preserve">https://doi.org/10.2307/2937958</w:t>
        </w:r>
      </w:hyperlink>
      <w:r>
        <w:t xml:space="preserve">.</w:t>
      </w:r>
    </w:p>
    <w:bookmarkEnd w:id="433"/>
    <w:bookmarkStart w:id="434"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34"/>
    <w:bookmarkStart w:id="436"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5">
        <w:r>
          <w:rPr>
            <w:rStyle w:val="Hyperlink"/>
          </w:rPr>
          <w:t xml:space="preserve">https://www.jstor.org/stable/1823775</w:t>
        </w:r>
      </w:hyperlink>
      <w:r>
        <w:t xml:space="preserve">.</w:t>
      </w:r>
    </w:p>
    <w:bookmarkEnd w:id="436"/>
    <w:bookmarkStart w:id="438"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7">
        <w:r>
          <w:rPr>
            <w:rStyle w:val="Hyperlink"/>
          </w:rPr>
          <w:t xml:space="preserve">https://doi.org/10.2307/2967480</w:t>
        </w:r>
      </w:hyperlink>
      <w:r>
        <w:t xml:space="preserve">.</w:t>
      </w:r>
    </w:p>
    <w:bookmarkEnd w:id="438"/>
    <w:bookmarkStart w:id="439"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9"/>
    <w:bookmarkStart w:id="441"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40">
        <w:r>
          <w:rPr>
            <w:rStyle w:val="Hyperlink"/>
          </w:rPr>
          <w:t xml:space="preserve">https://doi.org/10.1086/466949</w:t>
        </w:r>
      </w:hyperlink>
      <w:r>
        <w:t xml:space="preserve">.</w:t>
      </w:r>
    </w:p>
    <w:bookmarkEnd w:id="441"/>
    <w:bookmarkStart w:id="442"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42"/>
    <w:bookmarkStart w:id="444"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3">
        <w:r>
          <w:rPr>
            <w:rStyle w:val="Hyperlink"/>
          </w:rPr>
          <w:t xml:space="preserve">https://www.marxists.org/reference/subject/economics/marshall/bk1ch01.htm</w:t>
        </w:r>
      </w:hyperlink>
      <w:r>
        <w:t xml:space="preserve">.</w:t>
      </w:r>
    </w:p>
    <w:bookmarkEnd w:id="444"/>
    <w:bookmarkStart w:id="44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5">
        <w:r>
          <w:rPr>
            <w:rStyle w:val="Hyperlink"/>
          </w:rPr>
          <w:t xml:space="preserve">https://doi.org/10.2307/2555674</w:t>
        </w:r>
      </w:hyperlink>
      <w:r>
        <w:t xml:space="preserve">.</w:t>
      </w:r>
    </w:p>
    <w:bookmarkEnd w:id="446"/>
    <w:bookmarkStart w:id="448"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7">
        <w:r>
          <w:rPr>
            <w:rStyle w:val="Hyperlink"/>
          </w:rPr>
          <w:t xml:space="preserve">https://ideas.repec.org/a/aea/aecrev/v71y1981i5p896-908.html</w:t>
        </w:r>
      </w:hyperlink>
      <w:r>
        <w:t xml:space="preserve">.</w:t>
      </w:r>
    </w:p>
    <w:bookmarkEnd w:id="448"/>
    <w:bookmarkStart w:id="450"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9">
        <w:r>
          <w:rPr>
            <w:rStyle w:val="Hyperlink"/>
          </w:rPr>
          <w:t xml:space="preserve">https://www.gutenberg.org/cache/epub/30107/pg30107.txt</w:t>
        </w:r>
      </w:hyperlink>
      <w:r>
        <w:t xml:space="preserve">.</w:t>
      </w:r>
    </w:p>
    <w:bookmarkEnd w:id="450"/>
    <w:bookmarkStart w:id="452"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51">
        <w:r>
          <w:rPr>
            <w:rStyle w:val="Hyperlink"/>
          </w:rPr>
          <w:t xml:space="preserve">https://www.boe.es/eli/es/rd/2017/02/03/55</w:t>
        </w:r>
      </w:hyperlink>
      <w:r>
        <w:t xml:space="preserve">.</w:t>
      </w:r>
    </w:p>
    <w:bookmarkEnd w:id="452"/>
    <w:bookmarkStart w:id="454"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3">
        <w:r>
          <w:rPr>
            <w:rStyle w:val="Hyperlink"/>
          </w:rPr>
          <w:t xml:space="preserve">https://www.boe.es/diario_boe/txt.php?id=BOE-A-2026-3815</w:t>
        </w:r>
      </w:hyperlink>
      <w:r>
        <w:t xml:space="preserve">.</w:t>
      </w:r>
    </w:p>
    <w:bookmarkEnd w:id="454"/>
    <w:bookmarkStart w:id="456"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5">
        <w:r>
          <w:rPr>
            <w:rStyle w:val="Hyperlink"/>
          </w:rPr>
          <w:t xml:space="preserve">https://doi.org/10.1086/258035</w:t>
        </w:r>
      </w:hyperlink>
      <w:r>
        <w:t xml:space="preserve">.</w:t>
      </w:r>
    </w:p>
    <w:bookmarkEnd w:id="456"/>
    <w:bookmarkStart w:id="45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7">
        <w:r>
          <w:rPr>
            <w:rStyle w:val="Hyperlink"/>
          </w:rPr>
          <w:t xml:space="preserve">https://doi.org/10.1016/0022-0531(78)90085-6</w:t>
        </w:r>
      </w:hyperlink>
      <w:r>
        <w:t xml:space="preserve">.</w:t>
      </w:r>
    </w:p>
    <w:bookmarkEnd w:id="458"/>
    <w:bookmarkStart w:id="460"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9">
        <w:r>
          <w:rPr>
            <w:rStyle w:val="Hyperlink"/>
          </w:rPr>
          <w:t xml:space="preserve">https://doi.org/10.2307/1907266</w:t>
        </w:r>
      </w:hyperlink>
      <w:r>
        <w:t xml:space="preserve">.</w:t>
      </w:r>
    </w:p>
    <w:bookmarkEnd w:id="460"/>
    <w:bookmarkStart w:id="462"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61">
        <w:r>
          <w:rPr>
            <w:rStyle w:val="Hyperlink"/>
          </w:rPr>
          <w:t xml:space="preserve">https://doi.org/10.2307/1881841</w:t>
        </w:r>
      </w:hyperlink>
      <w:r>
        <w:t xml:space="preserve">.</w:t>
      </w:r>
    </w:p>
    <w:bookmarkEnd w:id="462"/>
    <w:bookmarkStart w:id="464"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3">
        <w:r>
          <w:rPr>
            <w:rStyle w:val="Hyperlink"/>
          </w:rPr>
          <w:t xml:space="preserve">https://doi.org/10.4159/9780674041660</w:t>
        </w:r>
      </w:hyperlink>
      <w:r>
        <w:t xml:space="preserve">.</w:t>
      </w:r>
    </w:p>
    <w:bookmarkEnd w:id="464"/>
    <w:bookmarkStart w:id="466"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5">
        <w:r>
          <w:rPr>
            <w:rStyle w:val="Hyperlink"/>
          </w:rPr>
          <w:t xml:space="preserve">https://doi.org/10.2307/3003484</w:t>
        </w:r>
      </w:hyperlink>
      <w:r>
        <w:t xml:space="preserve">.</w:t>
      </w:r>
    </w:p>
    <w:bookmarkEnd w:id="466"/>
    <w:bookmarkStart w:id="468"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7">
        <w:r>
          <w:rPr>
            <w:rStyle w:val="Hyperlink"/>
          </w:rPr>
          <w:t xml:space="preserve">https://doi.org/10.1086/466865</w:t>
        </w:r>
      </w:hyperlink>
      <w:r>
        <w:t xml:space="preserve">.</w:t>
      </w:r>
    </w:p>
    <w:bookmarkEnd w:id="468"/>
    <w:bookmarkStart w:id="470"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9">
        <w:r>
          <w:rPr>
            <w:rStyle w:val="Hyperlink"/>
          </w:rPr>
          <w:t xml:space="preserve">https://www.econlib.org/library/NPDBooks/Pigou/pgEW28.html</w:t>
        </w:r>
      </w:hyperlink>
      <w:r>
        <w:t xml:space="preserve">.</w:t>
      </w:r>
    </w:p>
    <w:bookmarkEnd w:id="470"/>
    <w:bookmarkStart w:id="472"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71">
        <w:r>
          <w:rPr>
            <w:rStyle w:val="Hyperlink"/>
          </w:rPr>
          <w:t xml:space="preserve">https://doi.org/10.1086/260357</w:t>
        </w:r>
      </w:hyperlink>
      <w:r>
        <w:t xml:space="preserve">.</w:t>
      </w:r>
    </w:p>
    <w:bookmarkEnd w:id="472"/>
    <w:bookmarkStart w:id="473"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5">
        <w:r>
          <w:rPr>
            <w:rStyle w:val="Hyperlink"/>
          </w:rPr>
          <w:t xml:space="preserve">https://www.promarket.org/2021/07/27/assessing-george-stiglers-economic-theory-of-regulation/</w:t>
        </w:r>
      </w:hyperlink>
      <w:r>
        <w:t xml:space="preserve">.</w:t>
      </w:r>
    </w:p>
    <w:bookmarkEnd w:id="473"/>
    <w:bookmarkStart w:id="475"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4">
        <w:r>
          <w:rPr>
            <w:rStyle w:val="Hyperlink"/>
          </w:rPr>
          <w:t xml:space="preserve">https://doi.org/10.2307/2222721</w:t>
        </w:r>
      </w:hyperlink>
      <w:r>
        <w:t xml:space="preserve">.</w:t>
      </w:r>
    </w:p>
    <w:bookmarkEnd w:id="475"/>
    <w:bookmarkStart w:id="477"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6">
        <w:r>
          <w:rPr>
            <w:rStyle w:val="Hyperlink"/>
          </w:rPr>
          <w:t xml:space="preserve">https://plato.stanford.edu/entries/ceteris-paribus/</w:t>
        </w:r>
      </w:hyperlink>
      <w:r>
        <w:t xml:space="preserve">.</w:t>
      </w:r>
    </w:p>
    <w:bookmarkEnd w:id="477"/>
    <w:bookmarkStart w:id="479"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8">
        <w:r>
          <w:rPr>
            <w:rStyle w:val="Hyperlink"/>
          </w:rPr>
          <w:t xml:space="preserve">https://www.gutenberg.org/cache/epub/33310/pg33310.txt</w:t>
        </w:r>
      </w:hyperlink>
      <w:r>
        <w:t xml:space="preserve">.</w:t>
      </w:r>
    </w:p>
    <w:bookmarkEnd w:id="479"/>
    <w:bookmarkStart w:id="480"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80"/>
    <w:bookmarkStart w:id="48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81">
        <w:r>
          <w:rPr>
            <w:rStyle w:val="Hyperlink"/>
          </w:rPr>
          <w:t xml:space="preserve">https://doi.org/10.2307/1912531</w:t>
        </w:r>
      </w:hyperlink>
      <w:r>
        <w:t xml:space="preserve">.</w:t>
      </w:r>
    </w:p>
    <w:bookmarkEnd w:id="482"/>
    <w:bookmarkStart w:id="484"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3">
        <w:r>
          <w:rPr>
            <w:rStyle w:val="Hyperlink"/>
          </w:rPr>
          <w:t xml:space="preserve">https://www.youtube.com/watch?v=TO4snWe61JE</w:t>
        </w:r>
      </w:hyperlink>
      <w:r>
        <w:t xml:space="preserve">.</w:t>
      </w:r>
    </w:p>
    <w:bookmarkEnd w:id="484"/>
    <w:bookmarkStart w:id="485"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5"/>
    <w:bookmarkStart w:id="487"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6">
        <w:r>
          <w:rPr>
            <w:rStyle w:val="Hyperlink"/>
          </w:rPr>
          <w:t xml:space="preserve">https://minneapolisfed.org/article/2012/new-and-larger-costs-of-monopoly-and-tariffs</w:t>
        </w:r>
      </w:hyperlink>
      <w:r>
        <w:t xml:space="preserve">.</w:t>
      </w:r>
    </w:p>
    <w:bookmarkEnd w:id="487"/>
    <w:bookmarkStart w:id="488"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8"/>
    <w:bookmarkStart w:id="489"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9"/>
    <w:bookmarkStart w:id="490"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90"/>
    <w:bookmarkStart w:id="492"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91">
        <w:r>
          <w:rPr>
            <w:rStyle w:val="Hyperlink"/>
          </w:rPr>
          <w:t xml:space="preserve">https://www.gutenberg.org/cache/epub/3300/pg3300.txt</w:t>
        </w:r>
      </w:hyperlink>
      <w:r>
        <w:t xml:space="preserve">.</w:t>
      </w:r>
    </w:p>
    <w:bookmarkEnd w:id="492"/>
    <w:bookmarkStart w:id="494"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3">
        <w:r>
          <w:rPr>
            <w:rStyle w:val="Hyperlink"/>
          </w:rPr>
          <w:t xml:space="preserve">https://doi.org/10.1086/256964</w:t>
        </w:r>
      </w:hyperlink>
      <w:r>
        <w:t xml:space="preserve">.</w:t>
      </w:r>
    </w:p>
    <w:bookmarkEnd w:id="494"/>
    <w:bookmarkStart w:id="496"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5">
        <w:r>
          <w:rPr>
            <w:rStyle w:val="Hyperlink"/>
          </w:rPr>
          <w:t xml:space="preserve">https://doi.org/10.2307/1885712</w:t>
        </w:r>
      </w:hyperlink>
      <w:r>
        <w:t xml:space="preserve">.</w:t>
      </w:r>
    </w:p>
    <w:bookmarkEnd w:id="496"/>
    <w:bookmarkStart w:id="497"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6">
        <w:r>
          <w:rPr>
            <w:rStyle w:val="Hyperlink"/>
          </w:rPr>
          <w:t xml:space="preserve">https://www.youtube.com/watch?v=lhD5s-4v3oM</w:t>
        </w:r>
      </w:hyperlink>
      <w:r>
        <w:t xml:space="preserve">.</w:t>
      </w:r>
    </w:p>
    <w:bookmarkEnd w:id="497"/>
    <w:bookmarkStart w:id="499"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8">
        <w:r>
          <w:rPr>
            <w:rStyle w:val="Hyperlink"/>
          </w:rPr>
          <w:t xml:space="preserve">https://doi.org/10.2307/3003160</w:t>
        </w:r>
      </w:hyperlink>
      <w:r>
        <w:t xml:space="preserve">.</w:t>
      </w:r>
    </w:p>
    <w:bookmarkEnd w:id="499"/>
    <w:bookmarkStart w:id="501"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500">
        <w:r>
          <w:rPr>
            <w:rStyle w:val="Hyperlink"/>
          </w:rPr>
          <w:t xml:space="preserve">https://www.nobelprize.org/prizes/economic-sciences/1982/summary/</w:t>
        </w:r>
      </w:hyperlink>
      <w:r>
        <w:t xml:space="preserve">.</w:t>
      </w:r>
    </w:p>
    <w:bookmarkEnd w:id="501"/>
    <w:bookmarkStart w:id="503"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502">
        <w:r>
          <w:rPr>
            <w:rStyle w:val="Hyperlink"/>
          </w:rPr>
          <w:t xml:space="preserve">https://www.nobelprize.org/prizes/economic-sciences/2014/summary/</w:t>
        </w:r>
      </w:hyperlink>
      <w:r>
        <w:t xml:space="preserve">.</w:t>
      </w:r>
    </w:p>
    <w:bookmarkEnd w:id="503"/>
    <w:bookmarkStart w:id="504"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4"/>
    <w:bookmarkStart w:id="506" w:name="ref_Nobel2014TiroleLecture"/>
    <w:p>
      <w:pPr>
        <w:pStyle w:val="Bibliography"/>
      </w:pPr>
      <w:r>
        <w:t xml:space="preserve">Tirole, Jean (2014).</w:t>
      </w:r>
      <w:r>
        <w:t xml:space="preserve"> </w:t>
      </w:r>
      <w:r>
        <w:t xml:space="preserve">«Market Failures and Public Policy (Prize Lecture)»</w:t>
      </w:r>
      <w:r>
        <w:t xml:space="preserve">. 2014.</w:t>
      </w:r>
      <w:r>
        <w:t xml:space="preserve"> </w:t>
      </w:r>
      <w:hyperlink r:id="rId505">
        <w:r>
          <w:rPr>
            <w:rStyle w:val="Hyperlink"/>
          </w:rPr>
          <w:t xml:space="preserve">https://www.nobelprize.org/prizes/economic-sciences/2014/tirole/lecture/</w:t>
        </w:r>
      </w:hyperlink>
      <w:r>
        <w:t xml:space="preserve">.</w:t>
      </w:r>
    </w:p>
    <w:bookmarkEnd w:id="506"/>
    <w:bookmarkStart w:id="507"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7"/>
    <w:bookmarkStart w:id="509"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8">
        <w:r>
          <w:rPr>
            <w:rStyle w:val="Hyperlink"/>
          </w:rPr>
          <w:t xml:space="preserve">https://www.boe.es/buscar/doc.php?id=DOUE-Z-2010-70002</w:t>
        </w:r>
      </w:hyperlink>
      <w:r>
        <w:t xml:space="preserve">.</w:t>
      </w:r>
    </w:p>
    <w:bookmarkEnd w:id="509"/>
    <w:bookmarkStart w:id="510"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10"/>
    <w:bookmarkStart w:id="511"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11"/>
    <w:bookmarkStart w:id="513" w:name="ref_Varian1989Price"/>
    <w:p>
      <w:pPr>
        <w:pStyle w:val="Bibliography"/>
      </w:pPr>
      <w:r>
        <w:t xml:space="preserve">Varian, Hal R.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12">
        <w:r>
          <w:rPr>
            <w:rStyle w:val="Hyperlink"/>
          </w:rPr>
          <w:t xml:space="preserve">https://doi.org/10.1016/S1573-448X(89)01013-7</w:t>
        </w:r>
      </w:hyperlink>
      <w:r>
        <w:t xml:space="preserve">.</w:t>
      </w:r>
    </w:p>
    <w:bookmarkEnd w:id="513"/>
    <w:bookmarkStart w:id="51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514"/>
    <w:bookmarkStart w:id="515"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5"/>
    <w:bookmarkStart w:id="517"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6">
        <w:r>
          <w:rPr>
            <w:rStyle w:val="Hyperlink"/>
          </w:rPr>
          <w:t xml:space="preserve">https://doi.org/10.2307/3003414</w:t>
        </w:r>
      </w:hyperlink>
      <w:r>
        <w:t xml:space="preserve">.</w:t>
      </w:r>
    </w:p>
    <w:bookmarkEnd w:id="517"/>
    <w:bookmarkStart w:id="519"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8">
        <w:r>
          <w:rPr>
            <w:rStyle w:val="Hyperlink"/>
          </w:rPr>
          <w:t xml:space="preserve">https://doi.org/10.2307/3003191</w:t>
        </w:r>
      </w:hyperlink>
      <w:r>
        <w:t xml:space="preserve">.</w:t>
      </w:r>
    </w:p>
    <w:bookmarkEnd w:id="519"/>
    <w:bookmarkStart w:id="521"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20">
        <w:r>
          <w:rPr>
            <w:rStyle w:val="Hyperlink"/>
          </w:rPr>
          <w:t xml:space="preserve">https://doi.org/10.2514/8.155</w:t>
        </w:r>
      </w:hyperlink>
      <w:r>
        <w:t xml:space="preserve">.</w:t>
      </w:r>
    </w:p>
    <w:bookmarkEnd w:id="521"/>
    <w:bookmarkStart w:id="523"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22">
        <w:r>
          <w:rPr>
            <w:rStyle w:val="Hyperlink"/>
          </w:rPr>
          <w:t xml:space="preserve">https://doi.org/10.1257/aer.20200025</w:t>
        </w:r>
      </w:hyperlink>
      <w:r>
        <w:t xml:space="preserve">.</w:t>
      </w:r>
    </w:p>
    <w:bookmarkEnd w:id="523"/>
    <w:bookmarkEnd w:id="524"/>
    <w:bookmarkEnd w:id="52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 Si hay muchos vendedores de variedades cercanas, es la competencia monopolística</w:t>
      </w:r>
      <w:r>
        <w:t xml:space="preserve"> </w:t>
      </w:r>
      <w:hyperlink r:id="rId27">
        <w:r>
          <w:rPr>
            <w:rStyle w:val="Referenciaatema"/>
          </w:rPr>
          <w:t xml:space="preserve">[ver tema 3.A.18]</w:t>
        </w:r>
      </w:hyperlink>
      <w:r>
        <w:t xml:space="preserve">.</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Gráfico de la nota: En el tramo inelástico el IMg es negativo"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Gráfico de la nota: Precisión sobre la condición de participación de (1)"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Gráfico de la nota: En el gráfico de la izquierda, IMg=CMg se cumple justo en el mínimo del CMe, con pleno aprovechamiento de la capacidad y de las economías de escala."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w:t>
      </w:r>
      <w:hyperlink r:id="rId153">
        <w:r>
          <w:rPr>
            <w:rStyle w:val="Referenciaatema"/>
          </w:rPr>
          <w:t xml:space="preserve">[ver tema 3.A.14]</w:t>
        </w:r>
      </w:hyperlink>
      <w:r>
        <w:t xml:space="preserve">.</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Es una tarifa de punta y valle: quien consume en punta paga la red que se dimensiona para la punta.</w:t>
      </w:r>
    </w:p>
  </w:footnote>
  <w:footnote w:id="266">
    <w:p>
      <w:pPr>
        <w:pStyle w:val="FootnoteText"/>
      </w:pPr>
      <w:r>
        <w:rPr>
          <w:rStyle w:val="FootnoteReference"/>
        </w:rPr>
        <w:footnoteRef/>
      </w:r>
      <w:r>
        <w:t xml:space="preserve"> </w:t>
      </w:r>
      <w:r>
        <w:t xml:space="preserve">En la teoría de los contratos, el mejor resultado posible con las restricciones de información se llama</w:t>
      </w:r>
      <w:r>
        <w:t xml:space="preserve"> </w:t>
      </w:r>
      <w:r>
        <w:rPr>
          <w:i/>
          <w:iCs/>
        </w:rPr>
        <w:t xml:space="preserve">óptimo restringido</w:t>
      </w:r>
      <w:r>
        <w:t xml:space="preserve"> </w:t>
      </w:r>
      <w:r>
        <w:t xml:space="preserve">(</w:t>
      </w:r>
      <w:r>
        <w:rPr>
          <w:i/>
          <w:iCs/>
        </w:rPr>
        <w:t xml:space="preserve">second best</w:t>
      </w:r>
      <w:r>
        <w:t xml:space="preserve">)</w:t>
      </w:r>
      <w:r>
        <w:t xml:space="preserve"> </w:t>
      </w:r>
      <w:hyperlink r:id="rId114">
        <w:r>
          <w:rPr>
            <w:rStyle w:val="Referenciaatema"/>
          </w:rPr>
          <w:t xml:space="preserve">[ver tema 3.A.13]</w:t>
        </w:r>
      </w:hyperlink>
      <w:r>
        <w:t xml:space="preserve">; aquí se habla de terceros óptimos porque los segundos son los de la regulación con información completa (</w:t>
      </w:r>
      <m:oMath>
        <m:r>
          <m:t>p</m:t>
        </m:r>
        <m:r>
          <m:rPr>
            <m:sty m:val="p"/>
          </m:rPr>
          <m:t>=</m:t>
        </m:r>
        <m:r>
          <m:rPr>
            <m:sty m:val="p"/>
          </m:rPr>
          <m:t>C</m:t>
        </m:r>
        <m:r>
          <m:rPr>
            <m:sty m:val="p"/>
          </m:rPr>
          <m:t>M</m:t>
        </m:r>
        <m:r>
          <m:rPr>
            <m:sty m:val="p"/>
          </m:rPr>
          <m:t>e</m:t>
        </m:r>
      </m:oMath>
      <w:r>
        <w:t xml:space="preserve">, tarifas en dos partes,</w:t>
      </w:r>
      <w:r>
        <w:t xml:space="preserve"> </w:t>
      </w:r>
      <w:r>
        <w:rPr>
          <w:smallCaps/>
        </w:rPr>
        <w:t xml:space="preserve">Ramsey</w:t>
      </w:r>
      <w:r>
        <w:t xml:space="preserve">-</w:t>
      </w:r>
      <w:r>
        <w:rPr>
          <w:smallCaps/>
        </w:rPr>
        <w:t xml:space="preserve">Boiteux</w:t>
      </w:r>
      <w:r>
        <w:t xml:space="preserve">).</w:t>
      </w:r>
    </w:p>
  </w:footnote>
  <w:footnote w:id="272">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6">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9">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4">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7" Target="media/rId267.png" /><Relationship Type="http://schemas.openxmlformats.org/officeDocument/2006/relationships/image" Id="rId85" Target="media/rId85.png" /><Relationship Type="http://schemas.openxmlformats.org/officeDocument/2006/relationships/image" Id="rId301" Target="media/rId30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5" Target="media/rId315.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6" Target="media/rId306.png" /><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Type="http://schemas.openxmlformats.org/officeDocument/2006/relationships/image" Id="rId71" Target="media/rId71.png" /><Relationship Type="http://schemas.openxmlformats.org/officeDocument/2006/relationships/image" Id="rId52" Target="media/rId52.png"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2026-10-21T22:34:16Z</dcterms:created>
  <dcterms:modified xsi:type="dcterms:W3CDTF">2026-10-21T22:34:16Z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37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cita">
    <vt:lpwstr>Análisis de mercados (II). Teoría del monopolio. Discriminación de precios. Monopolio natural. Producción conjunta. Análisis de eficiencia y bienestar. Monopsonio. Monopolio bilateral</vt:lpwstr>
  </property>
  <property fmtid="{D5CDD505-2E9C-101B-9397-08002B2CF9AE}" pid="25" name="titulo-seo">
    <vt:lpwstr>Monopolio, discriminación de precios y monopsonio</vt:lpwstr>
  </property>
</Properties>
</file>