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16/10/2026</w:t>
      </w:r>
    </w:p>
    <w:p>
      <w:pPr>
        <w:pStyle w:val="Paginasdeltema"/>
      </w:pPr>
      <w:r>
        <w:t xml:space="preserve">Tema: 44 págs. · Anexos: 17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«Sobre gustos no hay nada escrito», dice el refrán: lo que a cada uno le gusta es cosa suya, y nadie puede verlo desde fuera.</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w:t>
      </w:r>
      <w:hyperlink w:anchor="ref_INE2026CNTRDemanda">
        <w:r>
          <w:rPr>
            <w:rStyle w:val="Hyperlink"/>
            <w:smallCaps/>
          </w:rPr>
          <w:t xml:space="preserve">Instituto Nacional de Estadística</w:t>
        </w:r>
        <w:r>
          <w:rPr>
            <w:rStyle w:val="Hyperlink"/>
          </w:rPr>
          <w:t xml:space="preserve">, 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keepNext/>
        <w:numPr>
          <w:ilvl w:val="1"/>
          <w:numId w:val="1010"/>
        </w:numPr>
      </w:pPr>
      <w:r>
        <w:rPr>
          <w:i/>
          <w:iCs/>
        </w:rPr>
        <w:t xml:space="preserve">I. Fundamentos de la teoría de la elección racional</w:t>
      </w:r>
      <w:r>
        <w:t xml:space="preserve">:</w:t>
      </w:r>
    </w:p>
    <w:p>
      <w:pPr>
        <w:numPr>
          <w:ilvl w:val="2"/>
          <w:numId w:val="1011"/>
        </w:numPr>
      </w:pPr>
      <w:r>
        <w:t xml:space="preserve">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w:t>
      </w:r>
    </w:p>
    <w:p>
      <w:pPr>
        <w:numPr>
          <w:ilvl w:val="2"/>
          <w:numId w:val="1011"/>
        </w:numPr>
      </w:pPr>
      <w:r>
        <w:t xml:space="preserve">plantearemos el problema de maximización de la utilidad y su equilibrio, interior o de esquina (</w:t>
      </w:r>
      <w:hyperlink w:anchor="sec_problema_maximizacion_utilidad">
        <w:r>
          <w:rPr>
            <w:rStyle w:val="Hyperlink"/>
          </w:rPr>
          <w:t xml:space="preserve">I.2</w:t>
        </w:r>
      </w:hyperlink>
      <w:r>
        <w:t xml:space="preserve">);</w:t>
      </w:r>
    </w:p>
    <w:p>
      <w:pPr>
        <w:numPr>
          <w:ilvl w:val="2"/>
          <w:numId w:val="1011"/>
        </w:numPr>
      </w:pPr>
      <w:r>
        <w:t xml:space="preserve">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keepNext/>
        <w:numPr>
          <w:ilvl w:val="1"/>
          <w:numId w:val="1010"/>
        </w:numPr>
      </w:pPr>
      <w:r>
        <w:rPr>
          <w:i/>
          <w:iCs/>
        </w:rPr>
        <w:t xml:space="preserve">II. Estática comparativa</w:t>
      </w:r>
      <w:r>
        <w:t xml:space="preserve">, con análisis gráfico y de elasticidades:</w:t>
      </w:r>
    </w:p>
    <w:p>
      <w:pPr>
        <w:numPr>
          <w:ilvl w:val="2"/>
          <w:numId w:val="1012"/>
        </w:numPr>
      </w:pPr>
      <w:r>
        <w:t xml:space="preserve">estudiaremos cómo responde la demanda a las variaciones en la renta (</w:t>
      </w:r>
      <w:hyperlink w:anchor="sec_variaciones_renta">
        <w:r>
          <w:rPr>
            <w:rStyle w:val="Hyperlink"/>
          </w:rPr>
          <w:t xml:space="preserve">II.1</w:t>
        </w:r>
      </w:hyperlink>
      <w:r>
        <w:t xml:space="preserve">);</w:t>
      </w:r>
    </w:p>
    <w:p>
      <w:pPr>
        <w:numPr>
          <w:ilvl w:val="2"/>
          <w:numId w:val="1012"/>
        </w:numPr>
      </w:pPr>
      <w:r>
        <w:t xml:space="preserve">y a las variaciones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w:t>
      </w:r>
    </w:p>
    <w:p>
      <w:pPr>
        <w:numPr>
          <w:ilvl w:val="2"/>
          <w:numId w:val="1012"/>
        </w:numPr>
      </w:pPr>
      <w:r>
        <w:t xml:space="preserve">y valoraremos la teoría para enlazar con sus desarrollos (</w:t>
      </w:r>
      <w:hyperlink w:anchor="sec_valoracion">
        <w:r>
          <w:rPr>
            <w:rStyle w:val="Hyperlink"/>
          </w:rPr>
          <w:t xml:space="preserve">II.3</w:t>
        </w:r>
      </w:hyperlink>
      <w:r>
        <w:t xml:space="preserve">).</w:t>
      </w:r>
    </w:p>
    <w:p>
      <w:pPr>
        <w:keepNext/>
        <w:numPr>
          <w:ilvl w:val="1"/>
          <w:numId w:val="1010"/>
        </w:numPr>
      </w:pPr>
      <w:r>
        <w:rPr>
          <w:i/>
          <w:iCs/>
        </w:rPr>
        <w:t xml:space="preserve">III. Otros desarrollos</w:t>
      </w:r>
      <w:r>
        <w:t xml:space="preserve">:</w:t>
      </w:r>
    </w:p>
    <w:p>
      <w:pPr>
        <w:numPr>
          <w:ilvl w:val="2"/>
          <w:numId w:val="1013"/>
        </w:numPr>
      </w:pPr>
      <w:r>
        <w:t xml:space="preserve">la teoría de la preferencia revelada, que parte de la conducta observada y no de preferencias inobservables (</w:t>
      </w:r>
      <w:hyperlink w:anchor="sec_teoria_preferencia_revelada">
        <w:r>
          <w:rPr>
            <w:rStyle w:val="Hyperlink"/>
          </w:rPr>
          <w:t xml:space="preserve">III.1</w:t>
        </w:r>
      </w:hyperlink>
      <w:r>
        <w:t xml:space="preserve">);</w:t>
      </w:r>
    </w:p>
    <w:p>
      <w:pPr>
        <w:numPr>
          <w:ilvl w:val="2"/>
          <w:numId w:val="1013"/>
        </w:numPr>
      </w:pPr>
      <w:r>
        <w:t xml:space="preserve">la producción doméstica, que introduce el tiempo y la «tecnología del consumo» (</w:t>
      </w:r>
      <w:hyperlink w:anchor="sec_produccion_domestica">
        <w:r>
          <w:rPr>
            <w:rStyle w:val="Hyperlink"/>
          </w:rPr>
          <w:t xml:space="preserve">III.2</w:t>
        </w:r>
      </w:hyperlink>
      <w:r>
        <w:t xml:space="preserve">);</w:t>
      </w:r>
    </w:p>
    <w:p>
      <w:pPr>
        <w:numPr>
          <w:ilvl w:val="2"/>
          <w:numId w:val="1013"/>
        </w:numPr>
      </w:pPr>
      <w:r>
        <w:t xml:space="preserve">y los precios hedónicos, que valoran empíricamente los bienes por sus características (</w:t>
      </w:r>
      <w:hyperlink w:anchor="sec_precios_hedonicos">
        <w:r>
          <w:rPr>
            <w:rStyle w:val="Hyperlink"/>
          </w:rPr>
          <w:t xml:space="preserve">III.3</w:t>
        </w:r>
      </w:hyperlink>
      <w:r>
        <w:t xml:space="preserve">).</w:t>
      </w:r>
    </w:p>
    <w:p>
      <w:pPr>
        <w:pStyle w:val="Esquema"/>
        <w:keepLines/>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keepLines/>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4"/>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5"/>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Gráfico 1.– De las preferencias a la demanda de mercado"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6"/>
        </w:numPr>
      </w:pPr>
      <w:r>
        <w:t xml:space="preserve">El análisis se apoya en estos</w:t>
      </w:r>
      <w:r>
        <w:t xml:space="preserve"> </w:t>
      </w:r>
      <w:r>
        <w:rPr>
          <w:b/>
          <w:bCs/>
        </w:rPr>
        <w:t xml:space="preserve">supuestos</w:t>
      </w:r>
      <w:r>
        <w:t xml:space="preserve">:</w:t>
      </w:r>
    </w:p>
    <w:p>
      <w:pPr>
        <w:numPr>
          <w:ilvl w:val="1"/>
          <w:numId w:val="1017"/>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7"/>
        </w:numPr>
      </w:pPr>
      <w:r>
        <w:t xml:space="preserve">información perfecta sobre bienes y precios;</w:t>
      </w:r>
    </w:p>
    <w:p>
      <w:pPr>
        <w:numPr>
          <w:ilvl w:val="1"/>
          <w:numId w:val="1017"/>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7"/>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7"/>
        </w:numPr>
      </w:pPr>
      <w:r>
        <w:t xml:space="preserve">los bienes son homogéneos: la utilidad depende solo de las cantidades consumidas de cada bien.</w:t>
      </w:r>
    </w:p>
    <w:p>
      <w:pPr>
        <w:pStyle w:val="Notaalopositor"/>
        <w:keepLines/>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8"/>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9"/>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20"/>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20"/>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20"/>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20"/>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21"/>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22"/>
        </w:numPr>
      </w:pPr>
      <w:r>
        <w:t xml:space="preserve">De ella se derivan las otras dos:</w:t>
      </w:r>
    </w:p>
    <w:p>
      <w:pPr>
        <w:numPr>
          <w:ilvl w:val="2"/>
          <w:numId w:val="1023"/>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3"/>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22"/>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4"/>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4"/>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4"/>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4"/>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22"/>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5"/>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5"/>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5"/>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Gráfico 2.– La relación de preferencia: preferencia débil, indiferencia y preferencia estricta"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Gráfico 3.– Conjuntos «al menos tan bueno como» x0, «no mejor que» x0 e indiferencia: la curva de indiferencia es su frontera común"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6"/>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7"/>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7"/>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7"/>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7"/>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Gráfico 4.– Axiomas sobre las preferencias: qué garantiza cada uno y cómo se agrupan según su papel"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8"/>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8"/>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8"/>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30"/>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31"/>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31"/>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32"/>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3"/>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4"/>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3"/>
        </w:numPr>
      </w:pPr>
      <w:r>
        <w:rPr>
          <w:b/>
          <w:bCs/>
        </w:rPr>
        <w:t xml:space="preserve">Deseabilidad</w:t>
      </w:r>
      <w:r>
        <w:t xml:space="preserve">: expresa la preferencia del consumidor por la cantidad. Tiene varios grados; de más general a más exigente:</w:t>
      </w:r>
    </w:p>
    <w:p>
      <w:pPr>
        <w:numPr>
          <w:ilvl w:val="1"/>
          <w:numId w:val="1035"/>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5"/>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5"/>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5"/>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3"/>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3"/>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keepLines/>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Gráfico 5.– Lo que garantiza cada axioma sobre los conjuntos de indiferencia: los axiomas 1-4 bastan para que exista la función de utilidad; 5 y 6 le dan sus propiedades, y 6' y 7 simplifican"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6"/>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7"/>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8"/>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8"/>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7"/>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9"/>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9"/>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9"/>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Gráfico 6.– Superficie de utilidad U(x1,x2)=x1x2 cortada a los niveles U=1,2,3 y su proyección en el plano: el mapa de curvas de indiferencia"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40"/>
        </w:numPr>
      </w:pPr>
      <w:r>
        <w:t xml:space="preserve">Con preferencias regulares, la función de utilidad tiene estas</w:t>
      </w:r>
      <w:r>
        <w:t xml:space="preserve"> </w:t>
      </w:r>
      <w:r>
        <w:rPr>
          <w:b/>
          <w:bCs/>
        </w:rPr>
        <w:t xml:space="preserve">propiedades</w:t>
      </w:r>
      <w:r>
        <w:t xml:space="preserve">:</w:t>
      </w:r>
    </w:p>
    <w:p>
      <w:pPr>
        <w:numPr>
          <w:ilvl w:val="1"/>
          <w:numId w:val="1041"/>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41"/>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41"/>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41"/>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Gráfico 7.– Cuasiconcavidad: función cóncava, función cuasicóncava y función que no es cuasicóncava"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42"/>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42"/>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3"/>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3"/>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utilidad; ∎</w:t>
      </w:r>
    </w:p>
    <w:p>
      <w:pPr>
        <w:numPr>
          <w:ilvl w:val="1"/>
          <w:numId w:val="1043"/>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3"/>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3"/>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3"/>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3"/>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Gráfico 8.– Propiedades de las curvas de indiferencia y axioma que da cada una"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4"/>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5"/>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5"/>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6"/>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4"/>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7"/>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7"/>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7"/>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Gráfico 9.– Curvas de indiferencia de la función CES para distintos valores de σ"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8"/>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9"/>
        </w:numPr>
      </w:pPr>
      <w:r>
        <w:t xml:space="preserve">los bienes se intercambian en el mercado a precios positivos y conocidos por todos los consumidores;</w:t>
      </w:r>
    </w:p>
    <w:p>
      <w:pPr>
        <w:numPr>
          <w:ilvl w:val="1"/>
          <w:numId w:val="1049"/>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8"/>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50"/>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keepNext/>
        <w:numPr>
          <w:ilvl w:val="1"/>
          <w:numId w:val="1050"/>
        </w:numPr>
      </w:pPr>
      <w:r>
        <w:t xml:space="preserve">Sus</w:t>
      </w:r>
      <w:r>
        <w:t xml:space="preserve"> </w:t>
      </w:r>
      <w:r>
        <w:rPr>
          <w:i/>
          <w:iCs/>
        </w:rPr>
        <w:t xml:space="preserve">propiedades</w:t>
      </w:r>
      <w:r>
        <w:t xml:space="preserve">:</w:t>
      </w:r>
      <w:r>
        <w:rPr>
          <w:rStyle w:val="FootnoteReference"/>
        </w:rPr>
        <w:footnoteReference w:id="108"/>
      </w:r>
    </w:p>
    <w:p>
      <w:pPr>
        <w:numPr>
          <w:ilvl w:val="2"/>
          <w:numId w:val="1051"/>
        </w:numPr>
      </w:pPr>
      <w:r>
        <w:t xml:space="preserve">es</w:t>
      </w:r>
      <w:r>
        <w:t xml:space="preserve"> </w:t>
      </w:r>
      <w:r>
        <w:rPr>
          <w:i/>
          <w:iCs/>
        </w:rPr>
        <w:t xml:space="preserve">no vacío</w:t>
      </w:r>
      <w:r>
        <w:t xml:space="preserve">: siempre contiene la cesta nula;</w:t>
      </w:r>
    </w:p>
    <w:p>
      <w:pPr>
        <w:numPr>
          <w:ilvl w:val="2"/>
          <w:numId w:val="1051"/>
        </w:numPr>
      </w:pPr>
      <w:r>
        <w:t xml:space="preserve">es</w:t>
      </w:r>
      <w:r>
        <w:t xml:space="preserve"> </w:t>
      </w:r>
      <w:r>
        <w:rPr>
          <w:i/>
          <w:iCs/>
        </w:rPr>
        <w:t xml:space="preserve">cerrado</w:t>
      </w:r>
      <w:r>
        <w:t xml:space="preserve">;</w:t>
      </w:r>
    </w:p>
    <w:p>
      <w:pPr>
        <w:numPr>
          <w:ilvl w:val="2"/>
          <w:numId w:val="1051"/>
        </w:numPr>
      </w:pPr>
      <w:r>
        <w:t xml:space="preserve">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p>
    <w:p>
      <w:pPr>
        <w:numPr>
          <w:ilvl w:val="2"/>
          <w:numId w:val="1051"/>
        </w:numPr>
      </w:pPr>
      <w:r>
        <w:t xml:space="preserve">es</w:t>
      </w:r>
      <w:r>
        <w:t xml:space="preserve"> </w:t>
      </w:r>
      <w:r>
        <w:rPr>
          <w:i/>
          <w:iCs/>
        </w:rPr>
        <w:t xml:space="preserve">convexo</w:t>
      </w:r>
      <w:r>
        <w:t xml:space="preserve">: contiene toda combinación convexa de 2 de sus cestas.</w:t>
      </w:r>
    </w:p>
    <w:p>
      <w:pPr>
        <w:numPr>
          <w:ilvl w:val="0"/>
          <w:numId w:val="1048"/>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Gráfico 10.– Conjunto presupuestario walrasiano con S=R2+ y efecto de una subida del precio del bien 1"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52"/>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keepLines/>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53"/>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53"/>
        </w:numPr>
      </w:pPr>
      <w:r>
        <w:t xml:space="preserve">Con una utilidad continua y estrictamente cuasicóncava y un conjunto presupuestario no vacío, compacto y convexo, el óptimo existe, es global y es único.</w:t>
      </w:r>
    </w:p>
    <w:p>
      <w:pPr>
        <w:pStyle w:val="Cajadeanotaciones"/>
        <w:keepNext/>
        <w:keepLi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keepNext/>
        <w:keepLines/>
        <w:numPr>
          <w:ilvl w:val="0"/>
          <w:numId w:val="1054"/>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keepNext/>
        <w:keepLines/>
        <w:numPr>
          <w:ilvl w:val="0"/>
          <w:numId w:val="1054"/>
        </w:numPr>
      </w:pPr>
      <w:r>
        <w:rPr>
          <w:i/>
          <w:iCs/>
        </w:rPr>
        <w:t xml:space="preserve">Local-global</w:t>
      </w:r>
      <w:r>
        <w:t xml:space="preserve">: si la función objetivo es estrictamente cuasicóncava y el conjunto factible es convexo, todo máximo local es global.</w:t>
      </w:r>
    </w:p>
    <w:p>
      <w:pPr>
        <w:pStyle w:val="Cajadeanotaciones"/>
        <w:keepNext/>
        <w:keepLines/>
        <w:numPr>
          <w:ilvl w:val="0"/>
          <w:numId w:val="1054"/>
        </w:numPr>
      </w:pPr>
      <w:r>
        <w:rPr>
          <w:i/>
          <w:iCs/>
        </w:rPr>
        <w:t xml:space="preserve">Unicidad</w:t>
      </w:r>
      <w:r>
        <w:t xml:space="preserve">: en esas mismas condiciones (estricta cuasiconcavidad y conjunto convexo), el máximo es único.</w:t>
      </w:r>
    </w:p>
    <w:p>
      <w:pPr>
        <w:pStyle w:val="Cajadeanotaciones"/>
        <w:keepLines/>
        <w:numPr>
          <w:ilvl w:val="0"/>
          <w:numId w:val="1054"/>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5"/>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6"/>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5"/>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7"/>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7"/>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8"/>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8"/>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7"/>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7"/>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9"/>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w:t>
      </w:r>
      <w:hyperlink w:anchor="ley_gossen2">
        <w:r>
          <w:rPr>
            <w:rStyle w:val="Hyperlink"/>
          </w:rPr>
          <w:t xml:space="preserve">véase</w:t>
        </w:r>
      </w:hyperlink>
      <w:r>
        <w:t xml:space="preserve">).</w:t>
      </w:r>
    </w:p>
    <w:p>
      <w:pPr>
        <w:numPr>
          <w:ilvl w:val="1"/>
          <w:numId w:val="1060"/>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61"/>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Gráfico 11.– Solución interior (tangencia) y solución de esquina"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keepLines/>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62"/>
        </w:numPr>
      </w:pPr>
      <w:r>
        <w:t xml:space="preserve">Una vez planteado el problema y caracterizado su equilibrio, pasamos a estudiar su solución: la demanda marshalliana, la función indirecta de utilidad y, al agregar, la demanda de mercado.</w:t>
      </w:r>
    </w:p>
    <w:p>
      <w:pPr>
        <w:pStyle w:val="Notaalopositor"/>
        <w:keepLines/>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63"/>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keepLines/>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63"/>
        </w:numPr>
      </w:pPr>
      <w:r>
        <w:t xml:space="preserve">Sus</w:t>
      </w:r>
      <w:r>
        <w:t xml:space="preserve"> </w:t>
      </w:r>
      <w:r>
        <w:rPr>
          <w:i/>
          <w:iCs/>
        </w:rPr>
        <w:t xml:space="preserve">propiedades</w:t>
      </w:r>
      <w:r>
        <w:t xml:space="preserve">:</w:t>
      </w:r>
    </w:p>
    <w:p>
      <w:pPr>
        <w:numPr>
          <w:ilvl w:val="1"/>
          <w:numId w:val="1064"/>
        </w:numPr>
      </w:pPr>
      <w:r>
        <w:rPr>
          <w:i/>
          <w:iCs/>
        </w:rPr>
        <w:t xml:space="preserve">Existe y es única</w:t>
      </w:r>
      <w:r>
        <w:t xml:space="preserve">.</w:t>
      </w:r>
      <w:r>
        <w:rPr>
          <w:rStyle w:val="FootnoteReference"/>
        </w:rPr>
        <w:footnoteReference w:id="133"/>
      </w:r>
    </w:p>
    <w:p>
      <w:pPr>
        <w:numPr>
          <w:ilvl w:val="1"/>
          <w:numId w:val="106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4"/>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4"/>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4"/>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5"/>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5"/>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w:t>
      </w:r>
    </w:p>
    <w:p>
      <w:pPr>
        <w:numPr>
          <w:ilvl w:val="1"/>
          <w:numId w:val="1066"/>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6"/>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6"/>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6"/>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6"/>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5"/>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7"/>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7"/>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8"/>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4.B.1)</w:t>
      </w:r>
      <w:r>
        <w:t xml:space="preserve">.</w:t>
      </w:r>
    </w:p>
    <w:p>
      <w:pPr>
        <w:keepNext/>
        <w:numPr>
          <w:ilvl w:val="1"/>
          <w:numId w:val="1068"/>
        </w:numPr>
      </w:pPr>
      <w:r>
        <w:t xml:space="preserve">Casos particulares:</w:t>
      </w:r>
    </w:p>
    <w:p>
      <w:pPr>
        <w:numPr>
          <w:ilvl w:val="2"/>
          <w:numId w:val="1069"/>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9"/>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8"/>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Gráfico 12.– Forma polar de Gorman: curvas de Engel rectas y paralelas de 2 consumidores"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70"/>
        </w:numPr>
      </w:pPr>
      <w:r>
        <w:rPr>
          <w:i/>
          <w:iCs/>
        </w:rPr>
        <w:t xml:space="preserve">El efecto renta nulo</w:t>
      </w:r>
      <w:r>
        <w:t xml:space="preserve"> </w:t>
      </w:r>
      <w:r>
        <w:t xml:space="preserve">(preferencias cuasilineales) es el caso más usado en equilibrio parcial porque:</w:t>
      </w:r>
    </w:p>
    <w:p>
      <w:pPr>
        <w:numPr>
          <w:ilvl w:val="1"/>
          <w:numId w:val="1071"/>
        </w:numPr>
      </w:pPr>
      <w:r>
        <w:t xml:space="preserve">la demanda de cada bien depende solo de los precios, y la agregación es inmediata;</w:t>
      </w:r>
    </w:p>
    <w:p>
      <w:pPr>
        <w:numPr>
          <w:ilvl w:val="1"/>
          <w:numId w:val="1071"/>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70"/>
        </w:numPr>
      </w:pPr>
      <w:r>
        <w:rPr>
          <w:i/>
          <w:iCs/>
        </w:rPr>
        <w:t xml:space="preserve">Problemas del efecto renta nulo</w:t>
      </w:r>
      <w:r>
        <w:t xml:space="preserve">:</w:t>
      </w:r>
    </w:p>
    <w:p>
      <w:pPr>
        <w:numPr>
          <w:ilvl w:val="1"/>
          <w:numId w:val="1072"/>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72"/>
        </w:numPr>
      </w:pPr>
      <w:r>
        <w:t xml:space="preserve">exige que toda la renta adicional vaya al numerario, lo que solo es razonable para bienes que pesan poco en el gasto;</w:t>
      </w:r>
    </w:p>
    <w:p>
      <w:pPr>
        <w:numPr>
          <w:ilvl w:val="1"/>
          <w:numId w:val="1072"/>
        </w:numPr>
      </w:pPr>
      <w:r>
        <w:t xml:space="preserve">si la renta de algún consumidor es baja, aparecen soluciones de esquina en el numerario y la forma deja de valer;</w:t>
      </w:r>
    </w:p>
    <w:p>
      <w:pPr>
        <w:numPr>
          <w:ilvl w:val="1"/>
          <w:numId w:val="1072"/>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70"/>
        </w:numPr>
      </w:pPr>
      <w:r>
        <w:rPr>
          <w:i/>
          <w:iCs/>
        </w:rPr>
        <w:t xml:space="preserve">Segundo problema: ¿hereda la demanda agregada las propiedades de la individual?</w:t>
      </w:r>
      <w:r>
        <w:t xml:space="preserve"> </w:t>
      </w:r>
      <w:r>
        <w:t xml:space="preserve">Solo en parte:</w:t>
      </w:r>
    </w:p>
    <w:p>
      <w:pPr>
        <w:numPr>
          <w:ilvl w:val="1"/>
          <w:numId w:val="1073"/>
        </w:numPr>
      </w:pPr>
      <w:r>
        <w:t xml:space="preserve">se conservan la continuidad, la homogeneidad de grado cero y la ley de</w:t>
      </w:r>
      <w:r>
        <w:t xml:space="preserve"> </w:t>
      </w:r>
      <w:r>
        <w:rPr>
          <w:smallCaps/>
        </w:rPr>
        <w:t xml:space="preserve">Walras</w:t>
      </w:r>
      <w:r>
        <w:t xml:space="preserve">;</w:t>
      </w:r>
    </w:p>
    <w:p>
      <w:pPr>
        <w:numPr>
          <w:ilvl w:val="1"/>
          <w:numId w:val="1073"/>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73"/>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keepLines/>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4"/>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keepLines/>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5"/>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6"/>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6"/>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7"/>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8"/>
        </w:numPr>
      </w:pPr>
      <w:r>
        <w:t xml:space="preserve">Si los 2 bienes son normales, tiene pendiente positiva; en el tramo en que uno de ellos es inferior, la pendiente es negativa.</w:t>
      </w:r>
    </w:p>
    <w:p>
      <w:pPr>
        <w:numPr>
          <w:ilvl w:val="1"/>
          <w:numId w:val="1078"/>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7"/>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9"/>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9"/>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Gráfico 13.– Curva de renta-consumo y curva de Engel de un bien normal hasta cierto nivel de renta e inferior a partir de él"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80"/>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80"/>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81"/>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81"/>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81"/>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82"/>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82"/>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80"/>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83"/>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Gráfico 14.– Ley de Engel en España: peso de los alimentos y bebidas no alcohólicas en el gasto de los hogares, por quintiles de gasto (2025)"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4"/>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5"/>
        </w:numPr>
      </w:pPr>
      <w:r>
        <w:t xml:space="preserve">La media de las elasticidades-renta, ponderada por las participaciones en el gasto, es igual a uno: cuando aumenta la renta, el gasto total aumenta en la misma cuantía.</w:t>
      </w:r>
    </w:p>
    <w:p>
      <w:pPr>
        <w:numPr>
          <w:ilvl w:val="1"/>
          <w:numId w:val="1085"/>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6"/>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7"/>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7"/>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Gráfico 15.– Curva de precio-consumo (panel superior) y curva de demanda del bien 1 (panel inferio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8"/>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keepNext/>
        <w:numPr>
          <w:ilvl w:val="1"/>
          <w:numId w:val="1089"/>
        </w:numPr>
      </w:pPr>
      <w:r>
        <w:t xml:space="preserve">Según su signo:</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w:t>
      </w:r>
    </w:p>
    <w:p>
      <w:pPr>
        <w:numPr>
          <w:ilvl w:val="2"/>
          <w:numId w:val="109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9"/>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cantSplit/>
          <w:tblHeader w:val="on"/>
        </w:trPr>
        <w:tc>
          <w:tcPr/>
          <w:p>
            <w:pPr>
              <w:pStyle w:val="Compact"/>
              <w:keepNext/>
              <w:jc w:val="left"/>
            </w:pPr>
            <w:r>
              <w:rPr>
                <w:b/>
                <w:bCs/>
              </w:rPr>
              <w:t xml:space="preserve">Elasticidad</w:t>
            </w:r>
          </w:p>
        </w:tc>
        <w:tc>
          <w:tcPr/>
          <w:p>
            <w:pPr>
              <w:pStyle w:val="Compact"/>
              <w:keepNext/>
              <w:jc w:val="left"/>
            </w:pPr>
            <w:r>
              <w:rPr>
                <w:b/>
                <w:bCs/>
              </w:rPr>
              <w:t xml:space="preserve">Valor</w:t>
            </w:r>
          </w:p>
        </w:tc>
        <w:tc>
          <w:tcPr/>
          <w:p>
            <w:pPr>
              <w:pStyle w:val="Compact"/>
              <w:keepNext/>
              <w:jc w:val="left"/>
            </w:pPr>
            <w:r>
              <w:rPr>
                <w:b/>
                <w:bCs/>
              </w:rPr>
              <w:t xml:space="preserve">Tipo de bien</w:t>
            </w:r>
          </w:p>
        </w:tc>
      </w:tr>
      <w:tr>
        <w:trPr>
          <w:cantSplit/>
        </w:trP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rPr>
          <w:cantSplit/>
        </w:trP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rPr>
          <w:cantSplit/>
        </w:trP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rPr>
          <w:cantSplit/>
        </w:trP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rPr>
          <w:cantSplit/>
        </w:trP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rPr>
          <w:cantSplit/>
        </w:trP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91"/>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91"/>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91"/>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92"/>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92"/>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91"/>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93"/>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93"/>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shd w:val="clear" w:color="auto" w:fill="E2EFD9"/>
            <w:vAlign w:val="center"/>
          </w:tcPr>
          <w:p>
            <w:pPr>
              <w:pStyle w:val="Celdatceesalvia"/>
              <w:keepNext/>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Gráfico 16.– Clasificación de los bienes por la elasticidad-renta y por la elasticidad-precio propia, y relación entre ambas"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94"/>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5"/>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5"/>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94"/>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Gráfico 17.– Descomposición del efecto de una bajada del precio de un bien sobre su cantidad demandada: efecto sustitución (A B) y efecto renta (B C), y curvas de demanda marshalliana y hicksiana"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3.G</w:t>
        </w:r>
      </w:hyperlink>
      <w:r>
        <w:t xml:space="preserve">)</w:t>
      </w:r>
      <w:r>
        <w:t xml:space="preserve">.</w:t>
      </w:r>
    </w:p>
    <w:p>
      <w:pPr>
        <w:numPr>
          <w:ilvl w:val="0"/>
          <w:numId w:val="1096"/>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keepNext/>
        <w:keepLines/>
      </w:pPr>
      <w:r>
        <w:rPr>
          <w:b/>
          <w:bCs/>
        </w:rPr>
        <w:t xml:space="preserve">Para repasar</w:t>
      </w:r>
      <w:r>
        <w:t xml:space="preserve"> </w:t>
      </w:r>
      <w:r>
        <w:t xml:space="preserve">(vídeos de Policonomics):</w:t>
      </w:r>
    </w:p>
    <w:p>
      <w:pPr>
        <w:pStyle w:val="Cajadeanotaciones"/>
        <w:keepNext/>
        <w:keepLines/>
        <w:numPr>
          <w:ilvl w:val="0"/>
          <w:numId w:val="1097"/>
        </w:numPr>
      </w:pPr>
      <w:r>
        <w:t xml:space="preserve">«A.9 Efectos de renta y sustitución»:</w:t>
      </w:r>
      <w:r>
        <w:t xml:space="preserve"> </w:t>
      </w:r>
      <w:hyperlink r:id="rId195">
        <w:r>
          <w:rPr>
            <w:rStyle w:val="Hyperlink"/>
          </w:rPr>
          <w:t xml:space="preserve">https://www.youtube.com/watch?v=J0PSPX2B5FI</w:t>
        </w:r>
      </w:hyperlink>
    </w:p>
    <w:p>
      <w:pPr>
        <w:pStyle w:val="Cajadeanotaciones"/>
        <w:keepLines/>
        <w:numPr>
          <w:ilvl w:val="0"/>
          <w:numId w:val="1097"/>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8"/>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8"/>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100"/>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100"/>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101"/>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101"/>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2</w:t>
        </w:r>
      </w:hyperlink>
      <w:r>
        <w:t xml:space="preserve">)</w:t>
      </w:r>
      <w:r>
        <w:t xml:space="preserve">.</w:t>
      </w:r>
    </w:p>
    <w:p>
      <w:pPr>
        <w:numPr>
          <w:ilvl w:val="0"/>
          <w:numId w:val="1100"/>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shd w:val="clear" w:color="auto" w:fill="E2EFD9"/>
            <w:vAlign w:val="center"/>
          </w:tcPr>
          <w:p>
            <w:pPr>
              <w:pStyle w:val="Celdatceesalvia"/>
              <w:keepNext/>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rPr>
          <w:cantSplit/>
        </w:trPr>
        <w:tc>
          <w:tcPr>
            <w:shd w:val="clear" w:color="auto" w:fill="FBE4D5"/>
            <w:vAlign w:val="center"/>
          </w:tcPr>
          <w:p>
            <w:pPr>
              <w:pStyle w:val="Celdatceesalmon"/>
              <w:jc w:val="center"/>
            </w:pPr>
            <w:r>
              <w:rPr>
                <w:i/>
                <w:iCs/>
              </w:rPr>
              <w:t xml:space="preserve">Efecto sustitución cruzado</w:t>
            </w:r>
            <w:r>
              <w:br/>
            </w:r>
            <w:r>
              <w:t xml:space="preserve">(relación neta)</w:t>
            </w:r>
          </w:p>
        </w:tc>
        <w:tc>
          <w:tcPr>
            <w:shd w:val="clear" w:color="auto" w:fill="FBE4D5"/>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shd w:val="clear" w:color="auto" w:fill="FBE4D5"/>
            <w:vAlign w:val="center"/>
          </w:tcPr>
          <w:p>
            <w:pPr>
              <w:pStyle w:val="Celdatceesalmon"/>
              <w:jc w:val="center"/>
            </w:pPr>
            <w:r>
              <w:rPr>
                <w:i/>
                <w:iCs/>
              </w:rPr>
              <w:t xml:space="preserve">Efecto total cruzado</w:t>
            </w:r>
            <w:r>
              <w:br/>
            </w:r>
            <w:r>
              <w:t xml:space="preserve">(relación bruta)</w:t>
            </w:r>
          </w:p>
        </w:tc>
      </w:tr>
      <w:tr>
        <w:trPr>
          <w:cantSplit/>
        </w:trP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102"/>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103"/>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102"/>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keepLines/>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104"/>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5"/>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5"/>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5"/>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5"/>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keepLines/>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6"/>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7"/>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9"/>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10"/>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10"/>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Gráfico 18.– Axioma débil de la preferencia revelada y signo del efecto sustitución"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2.F</w:t>
        </w:r>
      </w:hyperlink>
      <w:r>
        <w:t xml:space="preserve">)</w:t>
      </w:r>
      <w:r>
        <w:t xml:space="preserve">.</w:t>
      </w:r>
    </w:p>
    <w:p>
      <w:pPr>
        <w:numPr>
          <w:ilvl w:val="0"/>
          <w:numId w:val="1111"/>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11"/>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Gráfico 19.– Axioma fuerte de la preferencia revelada: x0 se revela indirectamente preferida a x2"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12"/>
        </w:numPr>
      </w:pPr>
      <w:r>
        <w:t xml:space="preserve">Del ADPR se deducen las propiedades de la demanda sin hablar de utilidad:</w:t>
      </w:r>
    </w:p>
    <w:p>
      <w:pPr>
        <w:numPr>
          <w:ilvl w:val="1"/>
          <w:numId w:val="1113"/>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13"/>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13"/>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14"/>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1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Gráfico 20.– Obtención de una curva de indiferencia a partir de la preferencia revelada"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5"/>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5"/>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6"/>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7"/>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7"/>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7"/>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1973</w:t>
        </w:r>
      </w:hyperlink>
      <w:r>
        <w:t xml:space="preserve">)</w:t>
      </w:r>
      <w:r>
        <w:t xml:space="preserve">: si la elección depende del contexto, de normas o de compromisos, lo que se «revela» no es necesariamente el bienestar del consumidor;</w:t>
      </w:r>
    </w:p>
    <w:p>
      <w:pPr>
        <w:numPr>
          <w:ilvl w:val="0"/>
          <w:numId w:val="1117"/>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8"/>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9"/>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9"/>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20"/>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20"/>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21"/>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22"/>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23"/>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23"/>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24"/>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5"/>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5"/>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6"/>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7"/>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7"/>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keepNext/>
        <w:numPr>
          <w:ilvl w:val="1"/>
          <w:numId w:val="1127"/>
        </w:numPr>
      </w:pPr>
      <w:r>
        <w:t xml:space="preserve">Su historia tiene 3 pasos:</w:t>
      </w:r>
    </w:p>
    <w:p>
      <w:pPr>
        <w:numPr>
          <w:ilvl w:val="2"/>
          <w:numId w:val="1128"/>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1998</w:t>
        </w:r>
      </w:hyperlink>
      <w:r>
        <w:t xml:space="preserve">)</w:t>
      </w:r>
      <w:r>
        <w:t xml:space="preserve">;</w:t>
      </w:r>
    </w:p>
    <w:p>
      <w:pPr>
        <w:numPr>
          <w:ilvl w:val="2"/>
          <w:numId w:val="1128"/>
        </w:numPr>
      </w:pP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1971</w:t>
        </w:r>
      </w:hyperlink>
      <w:r>
        <w:t xml:space="preserve">)</w:t>
      </w:r>
      <w:r>
        <w:t xml:space="preserve">;</w:t>
      </w:r>
    </w:p>
    <w:p>
      <w:pPr>
        <w:numPr>
          <w:ilvl w:val="2"/>
          <w:numId w:val="1128"/>
        </w:numPr>
      </w:pPr>
      <w:r>
        <w:t xml:space="preserve">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9"/>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9"/>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30"/>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Gráfico 21.– La función hedónica como envolvente de curvas de puja y de oferta (Rosen, 1974)"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31"/>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32"/>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32"/>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32"/>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33"/>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33"/>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34"/>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34"/>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35"/>
        </w:numPr>
      </w:pPr>
      <w:r>
        <w:rPr>
          <w:i/>
          <w:iCs/>
        </w:rPr>
        <w:t xml:space="preserve">Estimación</w:t>
      </w:r>
      <w:r>
        <w:t xml:space="preserve">, en 2 etapas:</w:t>
      </w:r>
    </w:p>
    <w:p>
      <w:pPr>
        <w:numPr>
          <w:ilvl w:val="1"/>
          <w:numId w:val="1136"/>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6"/>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2004</w:t>
        </w:r>
      </w:hyperlink>
      <w:r>
        <w:t xml:space="preserve">)</w:t>
      </w:r>
      <w:r>
        <w:t xml:space="preserve">.</w:t>
      </w:r>
    </w:p>
    <w:p>
      <w:pPr>
        <w:keepNext/>
        <w:numPr>
          <w:ilvl w:val="0"/>
          <w:numId w:val="1135"/>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7"/>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2024</w:t>
        </w:r>
      </w:hyperlink>
      <w:r>
        <w:t xml:space="preserve">;</w:t>
      </w:r>
      <w:r>
        <w:t xml:space="preserve"> </w:t>
      </w:r>
      <w:hyperlink w:anchor="ref_Triplett2006Handbook">
        <w:r>
          <w:rPr>
            <w:rStyle w:val="Hyperlink"/>
            <w:smallCaps/>
          </w:rPr>
          <w:t xml:space="preserve">Triplett</w:t>
        </w:r>
        <w:r>
          <w:rPr>
            <w:rStyle w:val="Hyperlink"/>
          </w:rPr>
          <w:t xml:space="preserve">,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2026c, 40-41</w:t>
        </w:r>
      </w:hyperlink>
      <w:r>
        <w:t xml:space="preserve">)</w:t>
      </w:r>
      <w:r>
        <w:t xml:space="preserve">.</w:t>
      </w:r>
    </w:p>
    <w:p>
      <w:pPr>
        <w:numPr>
          <w:ilvl w:val="1"/>
          <w:numId w:val="113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2026d</w:t>
        </w:r>
      </w:hyperlink>
      <w:r>
        <w:t xml:space="preserve">)</w:t>
      </w:r>
      <w:r>
        <w:t xml:space="preserve">.</w:t>
      </w:r>
    </w:p>
    <w:bookmarkEnd w:id="266"/>
    <w:bookmarkStart w:id="267" w:name="e_valoraci__n_1"/>
    <w:p>
      <w:pPr>
        <w:pStyle w:val="Heading4"/>
      </w:pPr>
      <w:r>
        <w:t xml:space="preserve">e) Valoración</w:t>
      </w:r>
    </w:p>
    <w:p>
      <w:pPr>
        <w:numPr>
          <w:ilvl w:val="0"/>
          <w:numId w:val="1138"/>
        </w:numPr>
      </w:pPr>
      <w:r>
        <w:t xml:space="preserve">El resultado depende de la forma funcional y de las características que se incluyan (sesgo por variables omitidas, multicolinealidad entre características).</w:t>
      </w:r>
    </w:p>
    <w:p>
      <w:pPr>
        <w:numPr>
          <w:ilvl w:val="0"/>
          <w:numId w:val="1138"/>
        </w:numPr>
      </w:pPr>
      <w:r>
        <w:t xml:space="preserve">La segunda etapa está mal identificada.</w:t>
      </w:r>
    </w:p>
    <w:p>
      <w:pPr>
        <w:numPr>
          <w:ilvl w:val="0"/>
          <w:numId w:val="1138"/>
        </w:numPr>
      </w:pPr>
      <w:r>
        <w:t xml:space="preserve">Supone un mercado en equilibrio, competitivo y con información perfecta sobre las características, algo dudoso, por ejemplo, en la vivienda.</w:t>
      </w:r>
    </w:p>
    <w:p>
      <w:pPr>
        <w:numPr>
          <w:ilvl w:val="0"/>
          <w:numId w:val="1138"/>
        </w:numPr>
      </w:pPr>
      <w:r>
        <w:t xml:space="preserve">Los precios implícitos son marginales: no sirven para valorar cambios grandes.</w:t>
      </w:r>
    </w:p>
    <w:p>
      <w:pPr>
        <w:pStyle w:val="Ideaclave"/>
        <w:keepNext/>
        <w:keepLines/>
      </w:pPr>
      <w:r>
        <w:t xml:space="preserve">Los 3 desarrollos acercan la teoría a lo observable:</w:t>
      </w:r>
    </w:p>
    <w:p>
      <w:pPr>
        <w:pStyle w:val="Ideaclave"/>
        <w:keepNext/>
        <w:keepLines/>
        <w:numPr>
          <w:ilvl w:val="0"/>
          <w:numId w:val="1139"/>
        </w:numPr>
      </w:pPr>
      <w:r>
        <w:t xml:space="preserve">la preferencia revelada reconstruye las preferencias a partir de las elecciones y permite contrastarlas con datos (</w:t>
      </w:r>
      <w:r>
        <w:rPr>
          <w:smallCaps/>
        </w:rPr>
        <w:t xml:space="preserve">Afriat</w:t>
      </w:r>
      <w:r>
        <w:t xml:space="preserve">);</w:t>
      </w:r>
    </w:p>
    <w:p>
      <w:pPr>
        <w:pStyle w:val="Ideaclave"/>
        <w:keepNext/>
        <w:keepLines/>
        <w:numPr>
          <w:ilvl w:val="0"/>
          <w:numId w:val="1139"/>
        </w:numPr>
      </w:pPr>
      <w:r>
        <w:t xml:space="preserve">la producción doméstica introduce el coste del tiempo;</w:t>
      </w:r>
    </w:p>
    <w:p>
      <w:pPr>
        <w:pStyle w:val="Ideaclave"/>
        <w:keepLines/>
        <w:numPr>
          <w:ilvl w:val="0"/>
          <w:numId w:val="1139"/>
        </w:numPr>
      </w:pPr>
      <w:r>
        <w:t xml:space="preserve">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40"/>
        </w:numPr>
      </w:pPr>
      <w:r>
        <w:rPr>
          <w:b/>
          <w:bCs/>
          <w:i/>
          <w:iCs/>
        </w:rPr>
        <w:t xml:space="preserve">Recapitulación</w:t>
      </w:r>
      <w:r>
        <w:t xml:space="preserve">:</w:t>
      </w:r>
    </w:p>
    <w:p>
      <w:pPr>
        <w:numPr>
          <w:ilvl w:val="1"/>
          <w:numId w:val="1141"/>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41"/>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41"/>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40"/>
        </w:numPr>
      </w:pPr>
      <w:r>
        <w:rPr>
          <w:b/>
          <w:bCs/>
          <w:i/>
          <w:iCs/>
        </w:rPr>
        <w:t xml:space="preserve">Valoración</w:t>
      </w:r>
      <w:r>
        <w:t xml:space="preserve">:</w:t>
      </w:r>
    </w:p>
    <w:p>
      <w:pPr>
        <w:numPr>
          <w:ilvl w:val="1"/>
          <w:numId w:val="1142"/>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42"/>
        </w:numPr>
      </w:pPr>
      <w:r>
        <w:t xml:space="preserve">Su estatus empírico es más discutible:</w:t>
      </w:r>
    </w:p>
    <w:p>
      <w:pPr>
        <w:numPr>
          <w:ilvl w:val="2"/>
          <w:numId w:val="1143"/>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2"/>
          <w:numId w:val="1143"/>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43"/>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w:t>
      </w:r>
      <w:r>
        <w:t xml:space="preserve"> </w:t>
      </w:r>
      <w:hyperlink r:id="rId26">
        <w:r>
          <w:rPr>
            <w:rStyle w:val="Referenciaatema"/>
          </w:rPr>
          <w:t xml:space="preserve">[ver tema 3.A.10]</w:t>
        </w:r>
      </w:hyperlink>
      <w:r>
        <w:t xml:space="preserve">,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43"/>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keepNext/>
        <w:numPr>
          <w:ilvl w:val="1"/>
          <w:numId w:val="1142"/>
        </w:numPr>
      </w:pPr>
      <w:r>
        <w:t xml:space="preserve">Aun así, sigue siendo el punto de partida del análisis:</w:t>
      </w:r>
    </w:p>
    <w:p>
      <w:pPr>
        <w:numPr>
          <w:ilvl w:val="2"/>
          <w:numId w:val="1144"/>
        </w:numPr>
      </w:pPr>
      <w:r>
        <w:t xml:space="preserve">los desarrollos conductuales la amplían más que sustituirla;</w:t>
      </w:r>
    </w:p>
    <w:p>
      <w:pPr>
        <w:numPr>
          <w:ilvl w:val="2"/>
          <w:numId w:val="1144"/>
        </w:numPr>
      </w:pPr>
      <w:r>
        <w:t xml:space="preserve">el teorema de</w:t>
      </w:r>
      <w:r>
        <w:t xml:space="preserve"> </w:t>
      </w:r>
      <w:r>
        <w:rPr>
          <w:smallCaps/>
        </w:rPr>
        <w:t xml:space="preserve">Afriat</w:t>
      </w:r>
      <w:r>
        <w:t xml:space="preserve"> </w:t>
      </w:r>
      <w:r>
        <w:t xml:space="preserve">permite contrastarla con datos sin suponer formas funcionales;</w:t>
      </w:r>
    </w:p>
    <w:p>
      <w:pPr>
        <w:numPr>
          <w:ilvl w:val="2"/>
          <w:numId w:val="1144"/>
        </w:numPr>
      </w:pPr>
      <w:r>
        <w:t xml:space="preserve">y herramientas como los precios hedónicos la llevan a la medición de precios y del bienestar.</w:t>
      </w:r>
    </w:p>
    <w:p>
      <w:pPr>
        <w:keepNext/>
        <w:numPr>
          <w:ilvl w:val="0"/>
          <w:numId w:val="1140"/>
        </w:numPr>
      </w:pPr>
      <w:r>
        <w:rPr>
          <w:b/>
          <w:bCs/>
          <w:i/>
          <w:iCs/>
        </w:rPr>
        <w:t xml:space="preserve">Extensiones y relación con otras partes del temario</w:t>
      </w:r>
      <w:r>
        <w:t xml:space="preserve">:</w:t>
      </w:r>
    </w:p>
    <w:p>
      <w:pPr>
        <w:numPr>
          <w:ilvl w:val="1"/>
          <w:numId w:val="1145"/>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45"/>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keepNext/>
        <w:numPr>
          <w:ilvl w:val="1"/>
          <w:numId w:val="1145"/>
        </w:numPr>
      </w:pPr>
      <w:r>
        <w:t xml:space="preserve">Enlaces con otros temas:</w:t>
      </w:r>
    </w:p>
    <w:p>
      <w:pPr>
        <w:numPr>
          <w:ilvl w:val="2"/>
          <w:numId w:val="1146"/>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w:t>
      </w:r>
    </w:p>
    <w:p>
      <w:pPr>
        <w:numPr>
          <w:ilvl w:val="2"/>
          <w:numId w:val="1146"/>
        </w:numPr>
      </w:pPr>
      <w:r>
        <w:t xml:space="preserve">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w:t>
      </w:r>
    </w:p>
    <w:p>
      <w:pPr>
        <w:numPr>
          <w:ilvl w:val="2"/>
          <w:numId w:val="1146"/>
        </w:numPr>
      </w:pPr>
      <w:r>
        <w:t xml:space="preserve">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45"/>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40"/>
        </w:numPr>
      </w:pPr>
      <w:r>
        <w:rPr>
          <w:b/>
          <w:bCs/>
          <w:i/>
          <w:iCs/>
        </w:rPr>
        <w:t xml:space="preserve">Idea final</w:t>
      </w:r>
      <w:r>
        <w:t xml:space="preserve">: ¿puede, entonces, una teoría explicar lo que elegimos sin ver lo que queremos? Sí, con matices: sobre gustos no hay nada escrito, pero sobre cómo se elige, sí.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keepLines/>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47"/>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47"/>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47"/>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47"/>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Gráfico 22.– El problema de maximización de la utilidad en tres dimensiones: restricción no operativa (λ=0) y operativa (λ&gt;0)"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keepLines/>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48"/>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48"/>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 ∎</w:t>
      </w:r>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9"/>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9"/>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igual. ∎</w:t>
      </w:r>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50"/>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50"/>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50"/>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tema. ∎</w:t>
      </w:r>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51"/>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51"/>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 ∎</w:t>
      </w:r>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52"/>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52"/>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52"/>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). ∎</w:t>
      </w:r>
    </w:p>
    <w:p>
      <w:pPr>
        <w:numPr>
          <w:ilvl w:val="0"/>
          <w:numId w:val="1152"/>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 ∎</w:t>
      </w:r>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53"/>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53"/>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53"/>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propio. ∎</w:t>
      </w:r>
    </w:p>
    <w:p>
      <w:pPr>
        <w:numPr>
          <w:ilvl w:val="0"/>
          <w:numId w:val="1153"/>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netos. ∎</w:t>
      </w:r>
    </w:p>
    <w:bookmarkEnd w:id="284"/>
    <w:bookmarkStart w:id="285" w:name="der_adpr"/>
    <w:p>
      <w:pPr>
        <w:pStyle w:val="Heading2"/>
      </w:pPr>
      <w:r>
        <w:t xml:space="preserve">B.7. Ley de la demanda compensada a partir del axioma débil</w:t>
      </w:r>
    </w:p>
    <w:p>
      <w:pPr>
        <w:numPr>
          <w:ilvl w:val="0"/>
          <w:numId w:val="1154"/>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54"/>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54"/>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cambia. ∎</w:t>
      </w:r>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55"/>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55"/>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 ∎</w:t>
      </w:r>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56"/>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56"/>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w:t>
      </w:r>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57"/>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58"/>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58"/>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9"/>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9"/>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9"/>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60"/>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60"/>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60"/>
        </w:numPr>
      </w:pPr>
      <w:r>
        <w:t xml:space="preserve">su elasticidad de sustitución es constante e igual a uno;</w:t>
      </w:r>
    </w:p>
    <w:p>
      <w:pPr>
        <w:numPr>
          <w:ilvl w:val="3"/>
          <w:numId w:val="1160"/>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60"/>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58"/>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57"/>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57"/>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57"/>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61"/>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61"/>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61"/>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keepLines/>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keepNext/>
        <w:numPr>
          <w:ilvl w:val="0"/>
          <w:numId w:val="1162"/>
        </w:numPr>
      </w:pPr>
      <w:r>
        <w:t xml:space="preserve">Estimar a la vez las demandas de todos los bienes (o grupos de bienes) con una forma funcional que se derive de un problema de maximización de la utilidad. Permite</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w:t>
        </w:r>
      </w:hyperlink>
      <w:r>
        <w:t xml:space="preserve">)</w:t>
      </w:r>
      <w:r>
        <w:t xml:space="preserve">:</w:t>
      </w:r>
    </w:p>
    <w:p>
      <w:pPr>
        <w:numPr>
          <w:ilvl w:val="1"/>
          <w:numId w:val="1163"/>
        </w:numPr>
      </w:pPr>
      <w:r>
        <w:t xml:space="preserve">estudiar las pautas de consumo;</w:t>
      </w:r>
    </w:p>
    <w:p>
      <w:pPr>
        <w:numPr>
          <w:ilvl w:val="1"/>
          <w:numId w:val="1163"/>
        </w:numPr>
      </w:pPr>
      <w:r>
        <w:t xml:space="preserve">obtener las elasticidades-renta y precio, propias y cruzadas, que necesitan, por ejemplo, el diseño de la imposición indirecta o los índices de precios;</w:t>
      </w:r>
    </w:p>
    <w:p>
      <w:pPr>
        <w:numPr>
          <w:ilvl w:val="1"/>
          <w:numId w:val="1163"/>
        </w:numPr>
      </w:pPr>
      <w:r>
        <w:t xml:space="preserve">y contrastar las restricciones de la teoría.</w:t>
      </w:r>
    </w:p>
    <w:bookmarkEnd w:id="299"/>
    <w:bookmarkStart w:id="302" w:name="b_modelo_los_pasos_que_sigue_la_li_28866"/>
    <w:p>
      <w:pPr>
        <w:pStyle w:val="Heading4"/>
      </w:pPr>
      <w:r>
        <w:t xml:space="preserve">b) Modelo: los pasos que sigue la literatura</w:t>
      </w:r>
    </w:p>
    <w:p>
      <w:pPr>
        <w:keepNext/>
        <w:numPr>
          <w:ilvl w:val="0"/>
          <w:numId w:val="116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6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6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1974</w:t>
        </w:r>
      </w:hyperlink>
      <w:r>
        <w:t xml:space="preserve">)</w:t>
      </w:r>
      <w:r>
        <w:t xml:space="preserve">.</w:t>
      </w:r>
    </w:p>
    <w:p>
      <w:pPr>
        <w:numPr>
          <w:ilvl w:val="1"/>
          <w:numId w:val="116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1965</w:t>
        </w:r>
      </w:hyperlink>
      <w:r>
        <w:t xml:space="preserve">;</w:t>
      </w:r>
      <w:r>
        <w:t xml:space="preserve"> </w:t>
      </w:r>
      <w:hyperlink w:anchor="ref_Barten1967Slutsky">
        <w:r>
          <w:rPr>
            <w:rStyle w:val="Hyperlink"/>
            <w:smallCaps/>
          </w:rPr>
          <w:t xml:space="preserve">Barten</w:t>
        </w:r>
        <w:r>
          <w:rPr>
            <w:rStyle w:val="Hyperlink"/>
          </w:rPr>
          <w:t xml:space="preserve">,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6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6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6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5</w:t>
        </w:r>
      </w:hyperlink>
      <w:r>
        <w:t xml:space="preserve">)</w:t>
      </w:r>
      <w:r>
        <w:t xml:space="preserve">.</w:t>
      </w:r>
    </w:p>
    <w:p>
      <w:pPr>
        <w:numPr>
          <w:ilvl w:val="0"/>
          <w:numId w:val="116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6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16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keepLines/>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6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67"/>
        </w:numPr>
      </w:pPr>
      <w:r>
        <w:t xml:space="preserve">Sobre la función de utilidad:</w:t>
      </w:r>
    </w:p>
    <w:p>
      <w:pPr>
        <w:numPr>
          <w:ilvl w:val="1"/>
          <w:numId w:val="116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6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68"/>
        </w:numPr>
      </w:pPr>
      <w:r>
        <w:rPr>
          <w:i/>
          <w:iCs/>
        </w:rPr>
        <w:t xml:space="preserve">creciente</w:t>
      </w:r>
      <w:r>
        <w:t xml:space="preserve"> </w:t>
      </w:r>
      <w:r>
        <w:t xml:space="preserve">en cada bien y en el dinero;</w:t>
      </w:r>
    </w:p>
    <w:p>
      <w:pPr>
        <w:numPr>
          <w:ilvl w:val="1"/>
          <w:numId w:val="116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6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6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Gráfico 23.– Función de demanda en el enfoque cardinal: pi=ui'(xi)"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7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71"/>
        </w:numPr>
      </w:pPr>
      <w:r>
        <w:t xml:space="preserve">la utilidad cardinal exige más información de la necesaria: para derivar la demanda basta con ordenar las cestas;</w:t>
      </w:r>
    </w:p>
    <w:p>
      <w:pPr>
        <w:numPr>
          <w:ilvl w:val="0"/>
          <w:numId w:val="117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7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keepLi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keepLines/>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keepNext/>
        <w:numPr>
          <w:ilvl w:val="0"/>
          <w:numId w:val="117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w:t>
      </w:r>
    </w:p>
    <w:p>
      <w:pPr>
        <w:numPr>
          <w:ilvl w:val="1"/>
          <w:numId w:val="1173"/>
        </w:numPr>
      </w:pPr>
      <w:r>
        <w:t xml:space="preserve">la aparición de</w:t>
      </w:r>
      <w:r>
        <w:t xml:space="preserve"> </w:t>
      </w:r>
      <w:r>
        <w:rPr>
          <w:i/>
          <w:iCs/>
        </w:rPr>
        <w:t xml:space="preserve">bienes nuevos</w:t>
      </w:r>
      <w:r>
        <w:t xml:space="preserve"> </w:t>
      </w:r>
      <w:r>
        <w:t xml:space="preserve">(no hay que redefinir las preferencias, basta añadir un vector de características);</w:t>
      </w:r>
    </w:p>
    <w:p>
      <w:pPr>
        <w:numPr>
          <w:ilvl w:val="1"/>
          <w:numId w:val="1173"/>
        </w:numPr>
      </w:pPr>
      <w:r>
        <w:t xml:space="preserve">las diferencias de</w:t>
      </w:r>
      <w:r>
        <w:t xml:space="preserve"> </w:t>
      </w:r>
      <w:r>
        <w:rPr>
          <w:i/>
          <w:iCs/>
        </w:rPr>
        <w:t xml:space="preserve">calidad</w:t>
      </w:r>
      <w:r>
        <w:t xml:space="preserve">;</w:t>
      </w:r>
    </w:p>
    <w:p>
      <w:pPr>
        <w:numPr>
          <w:ilvl w:val="1"/>
          <w:numId w:val="1173"/>
        </w:numPr>
      </w:pP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74"/>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74"/>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74"/>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75"/>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75"/>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76"/>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76"/>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76"/>
        </w:numPr>
      </w:pPr>
      <w:r>
        <w:t xml:space="preserve">un bien nuevo es un rayo nuevo: tiene mercado si amplía la frontera de eficiencia;</w:t>
      </w:r>
    </w:p>
    <w:p>
      <w:pPr>
        <w:numPr>
          <w:ilvl w:val="0"/>
          <w:numId w:val="1176"/>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78"/>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78"/>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79"/>
        </w:numPr>
      </w:pPr>
      <w:r>
        <w:t xml:space="preserve">Extiende la teoría a los bienes diferenciados, a la calidad y a los bienes nuevos, y da fundamento a la medición hedónica.</w:t>
      </w:r>
    </w:p>
    <w:p>
      <w:pPr>
        <w:keepNext/>
        <w:numPr>
          <w:ilvl w:val="0"/>
          <w:numId w:val="1179"/>
        </w:numPr>
      </w:pPr>
      <w:r>
        <w:t xml:space="preserve">Sus límites</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w:t>
      </w:r>
    </w:p>
    <w:p>
      <w:pPr>
        <w:numPr>
          <w:ilvl w:val="1"/>
          <w:numId w:val="1180"/>
        </w:numPr>
      </w:pPr>
      <w:r>
        <w:t xml:space="preserve">supone características objetivas y medibles;</w:t>
      </w:r>
    </w:p>
    <w:p>
      <w:pPr>
        <w:numPr>
          <w:ilvl w:val="1"/>
          <w:numId w:val="1180"/>
        </w:numPr>
      </w:pPr>
      <w:r>
        <w:t xml:space="preserve">supone una tecnología lineal y aditiva (no siempre se pueden «mezclar» bienes para obtener combinaciones intermedias de características, como ocurre con los coches o las viviendas);</w:t>
      </w:r>
    </w:p>
    <w:p>
      <w:pPr>
        <w:numPr>
          <w:ilvl w:val="1"/>
          <w:numId w:val="1180"/>
        </w:numPr>
      </w:pPr>
      <w:r>
        <w:t xml:space="preserve">y deja fuera las características que el consumidor no percibe.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Gráfico 24.– Demanda de características: frontera de eficiencia, elección del consumidor y pérdida de eficiencia de un bien al subir su precio"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keepLines/>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81"/>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keepNext/>
        <w:numPr>
          <w:ilvl w:val="0"/>
          <w:numId w:val="1182"/>
        </w:numPr>
      </w:pPr>
      <w:r>
        <w:t xml:space="preserve">Frente al consumidor neoclásico, el de la economía conductual:</w:t>
      </w:r>
    </w:p>
    <w:p>
      <w:pPr>
        <w:numPr>
          <w:ilvl w:val="1"/>
          <w:numId w:val="1183"/>
        </w:numPr>
      </w:pPr>
      <w:r>
        <w:t xml:space="preserve">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w:t>
      </w:r>
    </w:p>
    <w:p>
      <w:pPr>
        <w:numPr>
          <w:ilvl w:val="1"/>
          <w:numId w:val="1183"/>
        </w:numPr>
      </w:pPr>
      <w:r>
        <w:t xml:space="preserve">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w:t>
      </w:r>
    </w:p>
    <w:p>
      <w:pPr>
        <w:numPr>
          <w:ilvl w:val="1"/>
          <w:numId w:val="1183"/>
        </w:numPr>
      </w:pPr>
      <w:r>
        <w:t xml:space="preserve">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84"/>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84"/>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6">
        <w:r>
          <w:rPr>
            <w:rStyle w:val="Referenciaatema"/>
          </w:rPr>
          <w:t xml:space="preserve">[ver tema 3.A.10]</w:t>
        </w:r>
      </w:hyperlink>
      <w:r>
        <w:t xml:space="preserve">. Contradice que las curvas de indiferencia no dependan de la dotación inicial.</w:t>
      </w:r>
    </w:p>
    <w:p>
      <w:pPr>
        <w:numPr>
          <w:ilvl w:val="0"/>
          <w:numId w:val="1184"/>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w:t>
      </w:r>
    </w:p>
    <w:bookmarkEnd w:id="335"/>
    <w:bookmarkStart w:id="336" w:name="iii_implicaciones_5"/>
    <w:p>
      <w:pPr>
        <w:pStyle w:val="Heading5"/>
      </w:pPr>
      <w:r>
        <w:t xml:space="preserve">iii) Implicaciones</w:t>
      </w:r>
    </w:p>
    <w:p>
      <w:pPr>
        <w:numPr>
          <w:ilvl w:val="0"/>
          <w:numId w:val="1185"/>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86"/>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87"/>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keepLi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cantSplit/>
          <w:tblHeader w:val="on"/>
        </w:trPr>
        <w:tc>
          <w:tcPr/>
          <w:p>
            <w:pPr>
              <w:pStyle w:val="Compact"/>
              <w:keepNext/>
              <w:jc w:val="left"/>
            </w:pPr>
            <w:r>
              <w:rPr>
                <w:b/>
                <w:bCs/>
              </w:rPr>
              <w:t xml:space="preserve">Utilidad marginal</w:t>
            </w:r>
          </w:p>
        </w:tc>
        <w:tc>
          <w:tcPr/>
          <w:p>
            <w:pPr>
              <w:pStyle w:val="Compact"/>
              <w:keepNext/>
              <w:jc w:val="left"/>
            </w:pPr>
            <w:r>
              <w:rPr>
                <w:b/>
                <w:bCs/>
              </w:rPr>
              <w:t xml:space="preserve">Tipo</w:t>
            </w:r>
          </w:p>
        </w:tc>
        <w:tc>
          <w:tcPr/>
          <w:p>
            <w:pPr>
              <w:pStyle w:val="Compact"/>
              <w:keepNext/>
              <w:jc w:val="left"/>
            </w:pPr>
            <w:r>
              <w:rPr>
                <w:b/>
                <w:bCs/>
              </w:rPr>
              <w:t xml:space="preserve">Curvas de indiferencia</w:t>
            </w:r>
          </w:p>
        </w:tc>
      </w:tr>
      <w:tr>
        <w:trPr>
          <w:cantSplit/>
        </w:trP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rPr>
          <w:cantSplit/>
        </w:trP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rPr>
          <w:cantSplit/>
        </w:trP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keepNext/>
        <w:numPr>
          <w:ilvl w:val="0"/>
          <w:numId w:val="1188"/>
        </w:numPr>
      </w:pPr>
      <w:r>
        <w:t xml:space="preserve">Según el tipo de los 2 bienes:</w:t>
      </w:r>
    </w:p>
    <w:p>
      <w:pPr>
        <w:numPr>
          <w:ilvl w:val="1"/>
          <w:numId w:val="1189"/>
        </w:numPr>
      </w:pPr>
      <w:r>
        <w:t xml:space="preserve">si los dos son bienes, las preferencias son monótonas (se prefiere más a menos) y las cestas preferidas están al nordeste;</w:t>
      </w:r>
    </w:p>
    <w:p>
      <w:pPr>
        <w:numPr>
          <w:ilvl w:val="1"/>
          <w:numId w:val="1189"/>
        </w:numPr>
      </w:pPr>
      <w:r>
        <w:t xml:space="preserve">si los dos son males, las curvas son decrecientes, pero la satisfacción aumenta hacia el origen;</w:t>
      </w:r>
    </w:p>
    <w:p>
      <w:pPr>
        <w:numPr>
          <w:ilvl w:val="1"/>
          <w:numId w:val="1189"/>
        </w:numPr>
      </w:pPr>
      <w:r>
        <w:t xml:space="preserve">si un bien es neutral, toda la renta se gasta en el otro.</w:t>
      </w:r>
    </w:p>
    <w:p>
      <w:pPr>
        <w:numPr>
          <w:ilvl w:val="0"/>
          <w:numId w:val="1188"/>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cantSplit/>
          <w:tblHeader w:val="on"/>
        </w:trPr>
        <w:tc>
          <w:tcPr/>
          <w:p>
            <w:pPr>
              <w:pStyle w:val="Compact"/>
              <w:keepNext/>
              <w:jc w:val="left"/>
            </w:pPr>
            <w:r>
              <w:rPr>
                <w:b/>
                <w:bCs/>
              </w:rPr>
              <w:t xml:space="preserve">Pendiente con signo,</w:t>
            </w:r>
            <w:r>
              <w:rPr>
                <w:b/>
                <w:bCs/>
              </w:rPr>
              <w:t xml:space="preserve"> </w:t>
            </w:r>
            <m:oMath>
              <m:r>
                <m:t>m</m:t>
              </m:r>
            </m:oMath>
          </w:p>
        </w:tc>
        <w:tc>
          <w:tcPr/>
          <w:p>
            <w:pPr>
              <w:pStyle w:val="Compact"/>
              <w:keepNext/>
              <w:jc w:val="left"/>
            </w:pPr>
            <w:r>
              <w:rPr>
                <w:b/>
                <w:bCs/>
              </w:rPr>
              <w:t xml:space="preserve">RMS en valor absoluto</w:t>
            </w:r>
          </w:p>
        </w:tc>
        <w:tc>
          <w:tcPr/>
          <w:p>
            <w:pPr>
              <w:pStyle w:val="Compact"/>
              <w:keepNext/>
              <w:jc w:val="left"/>
            </w:pPr>
            <w:r>
              <w:rPr>
                <w:b/>
                <w:bCs/>
              </w:rPr>
              <w:t xml:space="preserve">Curva de indiferencia</w:t>
            </w:r>
          </w:p>
        </w:tc>
      </w:tr>
      <w:tr>
        <w:trPr>
          <w:cantSplit/>
        </w:trP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rPr>
          <w:cantSplit/>
        </w:trP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rPr>
          <w:cantSplit/>
        </w:trP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keepNext/>
        <w:numPr>
          <w:ilvl w:val="0"/>
          <w:numId w:val="1190"/>
        </w:numPr>
      </w:pPr>
      <w:r>
        <w:t xml:space="preserve">Ejemplos rápidos:</w:t>
      </w:r>
    </w:p>
    <w:p>
      <w:pPr>
        <w:numPr>
          <w:ilvl w:val="1"/>
          <w:numId w:val="1191"/>
        </w:numPr>
      </w:pP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p>
    <w:p>
      <w:pPr>
        <w:numPr>
          <w:ilvl w:val="1"/>
          <w:numId w:val="1191"/>
        </w:numPr>
      </w:pP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p>
    <w:p>
      <w:pPr>
        <w:numPr>
          <w:ilvl w:val="1"/>
          <w:numId w:val="1191"/>
        </w:numPr>
      </w:pP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fia"/>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Fisher, Irving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Griliches, Zvi,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Instituto Nacional de Estadística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Instituto Nacional de Estadística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Instituto Nacional de Estadística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Instituto Nacional de Estadística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Instituto Nacional de Estadística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Kahneman, Daniel y Amos Tversky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King, Robert G., Charles I. Plosser y Sergio T. Rebelo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Rosen, Sherwin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The Nobel Prize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9"/>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9"/>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1984</w:t>
        </w:r>
      </w:hyperlink>
      <w:r>
        <w:t xml:space="preserve">)</w:t>
      </w:r>
      <w:r>
        <w:t xml:space="preserve">;</w:t>
      </w:r>
    </w:p>
    <w:p>
      <w:pPr>
        <w:pStyle w:val="FootnoteText"/>
        <w:numPr>
          <w:ilvl w:val="0"/>
          <w:numId w:val="1029"/>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ADPR. ∎</w:t>
      </w:r>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77"/>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77"/>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77"/>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2026-10-26T23:10:21Z</dcterms:created>
  <dcterms:modified xsi:type="dcterms:W3CDTF">2026-10-26T23:10:21Z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16/10/2026</vt:lpwstr>
  </property>
  <property fmtid="{D5CDD505-2E9C-101B-9397-08002B2CF9AE}" pid="12" name="ejercicio">
    <vt:lpwstr>Tercer ejercicio</vt:lpwstr>
  </property>
  <property fmtid="{D5CDD505-2E9C-101B-9397-08002B2CF9AE}" pid="13" name="etiqueta">
    <vt:lpwstr>Tema 3.A.8</vt:lpwstr>
  </property>
  <property fmtid="{D5CDD505-2E9C-101B-9397-08002B2CF9AE}" pid="14" name="exclusivo">
    <vt:lpwstr>True</vt:lpwstr>
  </property>
  <property fmtid="{D5CDD505-2E9C-101B-9397-08002B2CF9AE}" pid="15" name="fecha">
    <vt:lpwstr>16/10/2026</vt:lpwstr>
  </property>
  <property fmtid="{D5CDD505-2E9C-101B-9397-08002B2CF9AE}" pid="16" name="fecha-cita">
    <vt:lpwstr>2026/10/16</vt:lpwstr>
  </property>
  <property fmtid="{D5CDD505-2E9C-101B-9397-08002B2CF9AE}" pid="17" name="fecha-iso">
    <vt:lpwstr>2026-10-16</vt:lpwstr>
  </property>
  <property fmtid="{D5CDD505-2E9C-101B-9397-08002B2CF9AE}" pid="18" name="graficos-docx">
    <vt:lpwstr>C:\Users\vgutierrez\Documents\src\victorgutierrezmarcos.github.io-revision\oposicion\temario\fuentes\3A08\graficos</vt:lpwstr>
  </property>
  <property fmtid="{D5CDD505-2E9C-101B-9397-08002B2CF9AE}" pid="19" name="link-citations">
    <vt:lpwstr>True</vt:lpwstr>
  </property>
  <property fmtid="{D5CDD505-2E9C-101B-9397-08002B2CF9AE}" pid="20" name="materia">
    <vt:lpwstr>Microeconomía</vt:lpwstr>
  </property>
  <property fmtid="{D5CDD505-2E9C-101B-9397-08002B2CF9AE}" pid="21" name="paginas">
    <vt:lpwstr>Tema: 44 págs. · Anexos: 17 · Bibliografía: 6</vt:lpwstr>
  </property>
  <property fmtid="{D5CDD505-2E9C-101B-9397-08002B2CF9AE}" pid="22"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3" name="reference-section-title">
    <vt:lpwstr>Bibliografía</vt:lpwstr>
  </property>
  <property fmtid="{D5CDD505-2E9C-101B-9397-08002B2CF9AE}" pid="24" name="resumen">
    <vt:lpwstr>Axiomas de preferencias, función de utilidad, demanda marshalliana, ecuación de Slutsky, curvas de Engel, preferencia revelada y precios hedónicos.</vt:lpwstr>
  </property>
  <property fmtid="{D5CDD505-2E9C-101B-9397-08002B2CF9AE}" pid="25" name="titulo">
    <vt:lpwstr>Teoría de la demanda del consumidor (I). Axiomas sobre las preferencias, función de utilidad y función de demanda marshalliana. La teoría de la preferencia revelada. Precios hedónicos.</vt:lpwstr>
  </property>
  <property fmtid="{D5CDD505-2E9C-101B-9397-08002B2CF9AE}" pid="26" name="titulo-cita">
    <vt:lpwstr>Teoría de la demanda del consumidor (I). Axiomas sobre las preferencias, función de utilidad y función de demanda marshalliana. La teoría de la preferencia revelada. Precios hedónicos</vt:lpwstr>
  </property>
  <property fmtid="{D5CDD505-2E9C-101B-9397-08002B2CF9AE}" pid="27" name="titulo-seo">
    <vt:lpwstr>Teoría del consumidor: preferencias y demanda</vt:lpwstr>
  </property>
</Properties>
</file>