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17/10/2026</w:t>
      </w:r>
    </w:p>
    <w:p>
      <w:pPr>
        <w:pStyle w:val="Paginasdeltema"/>
      </w:pPr>
      <w:r>
        <w:t xml:space="preserve">Tema: 43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«A falta de pan, buenas son tortas», dice el refrán: cuando algo falta o se encarece, uno se apaña con otra cosa y puede quedar casi igual de bien.</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dualidad:</w:t>
      </w:r>
    </w:p>
    <w:p>
      <w:pPr>
        <w:numPr>
          <w:ilvl w:val="2"/>
          <w:numId w:val="1004"/>
        </w:numPr>
      </w:pPr>
      <w:r>
        <w:t xml:space="preserve">da rigor y sencillez a la teoría de la demanda (la ecuación de</w:t>
      </w:r>
      <w:r>
        <w:t xml:space="preserve"> </w:t>
      </w:r>
      <w:r>
        <w:rPr>
          <w:smallCaps/>
        </w:rPr>
        <w:t xml:space="preserve">Slutsky</w:t>
      </w:r>
      <w:r>
        <w:t xml:space="preserve"> </w:t>
      </w:r>
      <w:r>
        <w:t xml:space="preserve">se demuestra en dos líneas);</w:t>
      </w:r>
    </w:p>
    <w:p>
      <w:pPr>
        <w:numPr>
          <w:ilvl w:val="2"/>
          <w:numId w:val="1004"/>
        </w:numPr>
      </w:pPr>
      <w:r>
        <w:t xml:space="preserve">resuelve su principal limitación, que las preferencias no son observables;</w:t>
      </w:r>
    </w:p>
    <w:p>
      <w:pPr>
        <w:numPr>
          <w:ilvl w:val="2"/>
          <w:numId w:val="1004"/>
        </w:numPr>
      </w:pPr>
      <w:r>
        <w:t xml:space="preserve">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w:t>
      </w:r>
    </w:p>
    <w:p>
      <w:pPr>
        <w:numPr>
          <w:ilvl w:val="2"/>
          <w:numId w:val="1006"/>
        </w:numPr>
      </w:pPr>
      <w:r>
        <w:t xml:space="preserve">¿qué demandas observadas son compatibles con la maximización de unas preferencias?</w:t>
      </w:r>
    </w:p>
    <w:p>
      <w:pPr>
        <w:numPr>
          <w:ilvl w:val="2"/>
          <w:numId w:val="1006"/>
        </w:numPr>
      </w:pPr>
      <w:r>
        <w:t xml:space="preserve">¿son también suficientes las condiciones necesarias para esa compatibilidad?</w:t>
      </w:r>
    </w:p>
    <w:p>
      <w:pPr>
        <w:numPr>
          <w:ilvl w:val="2"/>
          <w:numId w:val="1006"/>
        </w:numPr>
      </w:pPr>
      <w:r>
        <w:t xml:space="preserve">¿qué tipo de preferencias genera una clase particular de demandas?</w:t>
      </w:r>
    </w:p>
    <w:p>
      <w:pPr>
        <w:numPr>
          <w:ilvl w:val="1"/>
          <w:numId w:val="1005"/>
        </w:numPr>
      </w:pPr>
      <w:r>
        <w:t xml:space="preserve">El análisis de dualidad ha sido determinante para responderlas.</w:t>
      </w:r>
    </w:p>
    <w:p>
      <w:pPr>
        <w:keepNext/>
        <w:numPr>
          <w:ilvl w:val="1"/>
          <w:numId w:val="1005"/>
        </w:numPr>
      </w:pPr>
      <w:r>
        <w:t xml:space="preserve">Esas preguntas se han abordado desde cuatro líneas de trabajo con un origen distinto:</w:t>
      </w:r>
    </w:p>
    <w:p>
      <w:pPr>
        <w:keepNext/>
        <w:numPr>
          <w:ilvl w:val="2"/>
          <w:numId w:val="1007"/>
        </w:numPr>
      </w:pPr>
      <w:r>
        <w:rPr>
          <w:b/>
          <w:bCs/>
        </w:rPr>
        <w:t xml:space="preserve">Dualidad</w:t>
      </w:r>
      <w:r>
        <w:t xml:space="preserve">:</w:t>
      </w:r>
    </w:p>
    <w:p>
      <w:pPr>
        <w:numPr>
          <w:ilvl w:val="3"/>
          <w:numId w:val="1008"/>
        </w:numPr>
      </w:pP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p>
    <w:p>
      <w:pPr>
        <w:numPr>
          <w:ilvl w:val="3"/>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p>
    <w:p>
      <w:pPr>
        <w:numPr>
          <w:ilvl w:val="3"/>
          <w:numId w:val="1008"/>
        </w:numPr>
      </w:pP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p>
    <w:p>
      <w:pPr>
        <w:numPr>
          <w:ilvl w:val="3"/>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w:t>
      </w:r>
    </w:p>
    <w:p>
      <w:pPr>
        <w:numPr>
          <w:ilvl w:val="3"/>
          <w:numId w:val="1008"/>
        </w:numPr>
      </w:pPr>
      <w:r>
        <w:t xml:space="preserve">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p>
    <w:p>
      <w:pPr>
        <w:numPr>
          <w:ilvl w:val="2"/>
          <w:numId w:val="1000"/>
        </w:numPr>
      </w:pP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7"/>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7"/>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7"/>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5"/>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9"/>
        </w:numPr>
      </w:pPr>
      <w:r>
        <w:t xml:space="preserve">¿Qué se gana al «dar la vuelta» al problema del consumidor y minimizar el gasto en lugar de maximizar la utilidad? ¿Se llega a la misma decisión?</w:t>
      </w:r>
    </w:p>
    <w:p>
      <w:pPr>
        <w:numPr>
          <w:ilvl w:val="1"/>
          <w:numId w:val="1009"/>
        </w:numPr>
      </w:pPr>
      <w:r>
        <w:t xml:space="preserve">¿Cómo se estiman en la práctica los sistemas de demanda?</w:t>
      </w:r>
    </w:p>
    <w:p>
      <w:pPr>
        <w:numPr>
          <w:ilvl w:val="1"/>
          <w:numId w:val="1009"/>
        </w:numPr>
      </w:pPr>
      <w:r>
        <w:t xml:space="preserve">¿Qué demandas observadas son compatibles con la maximización de unas preferencias y cómo pueden recuperarse estas a partir de aquellas?</w:t>
      </w:r>
    </w:p>
    <w:p>
      <w:pPr>
        <w:numPr>
          <w:ilvl w:val="1"/>
          <w:numId w:val="1009"/>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keepNext/>
        <w:numPr>
          <w:ilvl w:val="1"/>
          <w:numId w:val="1010"/>
        </w:numPr>
      </w:pPr>
      <w:r>
        <w:rPr>
          <w:b/>
          <w:bCs/>
        </w:rPr>
        <w:t xml:space="preserve">I. Análisis teórico de la dualidad</w:t>
      </w:r>
      <w:r>
        <w:t xml:space="preserve">:</w:t>
      </w:r>
    </w:p>
    <w:p>
      <w:pPr>
        <w:numPr>
          <w:ilvl w:val="2"/>
          <w:numId w:val="1011"/>
        </w:numPr>
      </w:pPr>
      <w:r>
        <w:t xml:space="preserve">partiremos de los ingredientes comunes a los dos enfoques (</w:t>
      </w:r>
      <w:hyperlink w:anchor="sec_ingredientes_comunes_problema">
        <w:r>
          <w:rPr>
            <w:rStyle w:val="Hyperlink"/>
          </w:rPr>
          <w:t xml:space="preserve">I.1</w:t>
        </w:r>
      </w:hyperlink>
      <w:r>
        <w:t xml:space="preserve">);</w:t>
      </w:r>
    </w:p>
    <w:p>
      <w:pPr>
        <w:numPr>
          <w:ilvl w:val="2"/>
          <w:numId w:val="1011"/>
        </w:numPr>
      </w:pPr>
      <w:r>
        <w:t xml:space="preserve">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1"/>
        </w:numPr>
      </w:pPr>
      <w:r>
        <w:t xml:space="preserve">y estableceremos las relaciones de dualidad entre ambos (</w:t>
      </w:r>
      <w:hyperlink w:anchor="sec_relaciones_dualidad">
        <w:r>
          <w:rPr>
            <w:rStyle w:val="Hyperlink"/>
          </w:rPr>
          <w:t xml:space="preserve">I.3</w:t>
        </w:r>
      </w:hyperlink>
      <w:r>
        <w:t xml:space="preserve">).</w:t>
      </w:r>
    </w:p>
    <w:p>
      <w:pPr>
        <w:keepNext/>
        <w:numPr>
          <w:ilvl w:val="1"/>
          <w:numId w:val="1010"/>
        </w:numPr>
      </w:pPr>
      <w:r>
        <w:rPr>
          <w:b/>
          <w:bCs/>
        </w:rPr>
        <w:t xml:space="preserve">II. Desarrollos empíricos</w:t>
      </w:r>
      <w:r>
        <w:t xml:space="preserve">:</w:t>
      </w:r>
    </w:p>
    <w:p>
      <w:pPr>
        <w:numPr>
          <w:ilvl w:val="2"/>
          <w:numId w:val="1012"/>
        </w:numPr>
      </w:pPr>
      <w:r>
        <w:t xml:space="preserve">veremos para qué se estiman los sistemas completos de demanda (</w:t>
      </w:r>
      <w:hyperlink w:anchor="sec_idea">
        <w:r>
          <w:rPr>
            <w:rStyle w:val="Hyperlink"/>
          </w:rPr>
          <w:t xml:space="preserve">II.1</w:t>
        </w:r>
      </w:hyperlink>
      <w:r>
        <w:t xml:space="preserve">);</w:t>
      </w:r>
    </w:p>
    <w:p>
      <w:pPr>
        <w:numPr>
          <w:ilvl w:val="2"/>
          <w:numId w:val="1012"/>
        </w:numPr>
      </w:pPr>
      <w:r>
        <w:t xml:space="preserve">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w:t>
      </w:r>
    </w:p>
    <w:p>
      <w:pPr>
        <w:numPr>
          <w:ilvl w:val="2"/>
          <w:numId w:val="1012"/>
        </w:numPr>
      </w:pPr>
      <w:r>
        <w:t xml:space="preserve">y los valoraremos (</w:t>
      </w:r>
      <w:hyperlink w:anchor="sec_valoracion">
        <w:r>
          <w:rPr>
            <w:rStyle w:val="Hyperlink"/>
          </w:rPr>
          <w:t xml:space="preserve">II.3</w:t>
        </w:r>
      </w:hyperlink>
      <w:r>
        <w:t xml:space="preserve">).</w:t>
      </w:r>
    </w:p>
    <w:p>
      <w:pPr>
        <w:keepNext/>
        <w:numPr>
          <w:ilvl w:val="1"/>
          <w:numId w:val="1010"/>
        </w:numPr>
      </w:pPr>
      <w:r>
        <w:rPr>
          <w:b/>
          <w:bCs/>
        </w:rPr>
        <w:t xml:space="preserve">III. Aplicaciones de la dualidad</w:t>
      </w:r>
      <w:r>
        <w:t xml:space="preserve">:</w:t>
      </w:r>
    </w:p>
    <w:p>
      <w:pPr>
        <w:numPr>
          <w:ilvl w:val="2"/>
          <w:numId w:val="1013"/>
        </w:numPr>
      </w:pPr>
      <w:r>
        <w:t xml:space="preserve">la integrabilidad de las preferencias, que pregunta cuándo un sistema de demandas procede de unas preferencias (</w:t>
      </w:r>
      <w:hyperlink w:anchor="sec_problema_integrabilidad_preferencias">
        <w:r>
          <w:rPr>
            <w:rStyle w:val="Hyperlink"/>
          </w:rPr>
          <w:t xml:space="preserve">III.1</w:t>
        </w:r>
      </w:hyperlink>
      <w:r>
        <w:t xml:space="preserve">);</w:t>
      </w:r>
    </w:p>
    <w:p>
      <w:pPr>
        <w:numPr>
          <w:ilvl w:val="2"/>
          <w:numId w:val="1013"/>
        </w:numPr>
      </w:pPr>
      <w:r>
        <w:t xml:space="preserve">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w:t>
      </w:r>
    </w:p>
    <w:p>
      <w:pPr>
        <w:numPr>
          <w:ilvl w:val="2"/>
          <w:numId w:val="1013"/>
        </w:numPr>
      </w:pPr>
      <w:r>
        <w:t xml:space="preserve">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keepLines/>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keepLines/>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keepLines/>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14"/>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15"/>
        </w:numPr>
      </w:pPr>
      <w:r>
        <w:t xml:space="preserve">Para modelizar al consumidor caben dos enfoques del mismo problema:</w:t>
      </w:r>
    </w:p>
    <w:p>
      <w:pPr>
        <w:numPr>
          <w:ilvl w:val="1"/>
          <w:numId w:val="1016"/>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6"/>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15"/>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7"/>
        </w:numPr>
      </w:pPr>
      <w:r>
        <w:t xml:space="preserve">Recorremos el esquema parte por parte:</w:t>
      </w:r>
    </w:p>
    <w:p>
      <w:pPr>
        <w:numPr>
          <w:ilvl w:val="1"/>
          <w:numId w:val="1018"/>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8"/>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9"/>
        </w:numPr>
      </w:pPr>
      <w:r>
        <w:rPr>
          <w:i/>
          <w:iCs/>
        </w:rPr>
        <w:t xml:space="preserve">completitud</w:t>
      </w:r>
      <w:r>
        <w:t xml:space="preserve">: dos cestas cualesquiera pueden compararse;</w:t>
      </w:r>
    </w:p>
    <w:p>
      <w:pPr>
        <w:numPr>
          <w:ilvl w:val="2"/>
          <w:numId w:val="1019"/>
        </w:numPr>
      </w:pPr>
      <w:r>
        <w:rPr>
          <w:i/>
          <w:iCs/>
        </w:rPr>
        <w:t xml:space="preserve">reflexividad</w:t>
      </w:r>
      <w:r>
        <w:t xml:space="preserve">: cada cesta es al menos tan buena como sí misma;</w:t>
      </w:r>
    </w:p>
    <w:p>
      <w:pPr>
        <w:numPr>
          <w:ilvl w:val="2"/>
          <w:numId w:val="1019"/>
        </w:numPr>
      </w:pPr>
      <w:r>
        <w:rPr>
          <w:i/>
          <w:iCs/>
        </w:rPr>
        <w:t xml:space="preserve">transitividad</w:t>
      </w:r>
      <w:r>
        <w:t xml:space="preserve">: las comparaciones son coherentes entre sí;</w:t>
      </w:r>
    </w:p>
    <w:p>
      <w:pPr>
        <w:numPr>
          <w:ilvl w:val="2"/>
          <w:numId w:val="1019"/>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9"/>
        </w:numPr>
      </w:pPr>
      <w:r>
        <w:rPr>
          <w:i/>
          <w:iCs/>
        </w:rPr>
        <w:t xml:space="preserve">insaciabilidad local</w:t>
      </w:r>
      <w:r>
        <w:t xml:space="preserve">: cerca de cada cesta hay otra preferida (la monotonía estricta, más fuerte, también la garantiza);</w:t>
      </w:r>
    </w:p>
    <w:p>
      <w:pPr>
        <w:numPr>
          <w:ilvl w:val="2"/>
          <w:numId w:val="1019"/>
        </w:numPr>
      </w:pPr>
      <w:r>
        <w:rPr>
          <w:i/>
          <w:iCs/>
        </w:rPr>
        <w:t xml:space="preserve">convexidad estricta</w:t>
      </w:r>
      <w:r>
        <w:t xml:space="preserve">: las combinaciones de cestas indiferentes se prefieren a los extremos;</w:t>
      </w:r>
    </w:p>
    <w:p>
      <w:pPr>
        <w:numPr>
          <w:ilvl w:val="2"/>
          <w:numId w:val="1019"/>
        </w:numPr>
      </w:pPr>
      <w:r>
        <w:rPr>
          <w:i/>
          <w:iCs/>
        </w:rPr>
        <w:t xml:space="preserve">diferenciabilidad</w:t>
      </w:r>
      <w:r>
        <w:t xml:space="preserve">: que la función de utilidad tenga derivadas, para poder usar el cálculo diferencial.</w:t>
      </w:r>
    </w:p>
    <w:p>
      <w:pPr>
        <w:keepNext/>
        <w:numPr>
          <w:ilvl w:val="1"/>
          <w:numId w:val="1018"/>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20"/>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20"/>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8"/>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21"/>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21"/>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8"/>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7"/>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Problema primal</w:t>
            </w:r>
          </w:p>
        </w:tc>
        <w:tc>
          <w:tcPr>
            <w:shd w:val="clear" w:color="auto" w:fill="DDEBF7"/>
          </w:tcPr>
          <w:tcPr/>
          <w:p>
            <w:pPr>
              <w:pStyle w:val="Celdatceeazulpalido"/>
              <w:keepNext/>
              <w:jc w:val="left"/>
            </w:pPr>
            <w:r>
              <w:rPr>
                <w:b/>
                <w:bCs/>
              </w:rPr>
              <w:t xml:space="preserve">Problema dual</w:t>
            </w:r>
          </w:p>
        </w:tc>
      </w:tr>
      <w:tr>
        <w:trPr>
          <w:cantSplit/>
        </w:trP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rPr>
          <w:cantSplit/>
        </w:trP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22"/>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23"/>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24"/>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25"/>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6"/>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6"/>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6"/>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25"/>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7"/>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8"/>
        </w:numPr>
      </w:pPr>
      <w:r>
        <w:rPr>
          <w:i/>
          <w:iCs/>
        </w:rPr>
        <w:t xml:space="preserve">existe, es global y es única</w:t>
      </w:r>
      <w:r>
        <w:t xml:space="preserve">, por los teoremas de la optimización condicionada que acabamos de ver;</w:t>
      </w:r>
    </w:p>
    <w:p>
      <w:pPr>
        <w:numPr>
          <w:ilvl w:val="1"/>
          <w:numId w:val="102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8"/>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keepNext/>
        <w:numPr>
          <w:ilvl w:val="1"/>
          <w:numId w:val="1028"/>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2"/>
          <w:numId w:val="1029"/>
        </w:numPr>
      </w:pPr>
      <w:r>
        <w:t xml:space="preserve">que</w:t>
      </w:r>
      <w:r>
        <w:t xml:space="preserve"> </w:t>
      </w:r>
      <m:oMath>
        <m:r>
          <m:t>U</m:t>
        </m:r>
      </m:oMath>
      <w:r>
        <w:t xml:space="preserve"> </w:t>
      </w:r>
      <w:r>
        <w:t xml:space="preserve">sea dos veces diferenciable;</w:t>
      </w:r>
    </w:p>
    <w:p>
      <w:pPr>
        <w:numPr>
          <w:ilvl w:val="2"/>
          <w:numId w:val="1029"/>
        </w:numPr>
      </w:pPr>
      <w:r>
        <w:t xml:space="preserve">que alguna utilidad marginal sea positiva;</w:t>
      </w:r>
    </w:p>
    <w:p>
      <w:pPr>
        <w:numPr>
          <w:ilvl w:val="2"/>
          <w:numId w:val="1029"/>
        </w:numPr>
      </w:pPr>
      <w:r>
        <w:t xml:space="preserve">y que el determinante del hessiano orlado sea distinto de cero en el óptimo.</w:t>
      </w:r>
    </w:p>
    <w:p>
      <w:pPr>
        <w:numPr>
          <w:ilvl w:val="0"/>
          <w:numId w:val="1027"/>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30"/>
        </w:numPr>
      </w:pPr>
      <w:r>
        <w:rPr>
          <w:i/>
          <w:iCs/>
        </w:rPr>
        <w:t xml:space="preserve">existe</w:t>
      </w:r>
      <w:r>
        <w:t xml:space="preserve">, porque existe la demanda;</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3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30"/>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30"/>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3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31"/>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31"/>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31"/>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31"/>
        </w:numPr>
      </w:pPr>
      <w:r>
        <w:t xml:space="preserve">No depende de la convexidad de las preferencias;</w:t>
      </w:r>
    </w:p>
    <w:p>
      <w:pPr>
        <w:numPr>
          <w:ilvl w:val="1"/>
          <w:numId w:val="1030"/>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32"/>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33"/>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34"/>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35"/>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36"/>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6"/>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36"/>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36"/>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36"/>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36"/>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keepNext/>
        <w:numPr>
          <w:ilvl w:val="0"/>
          <w:numId w:val="1035"/>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w:t>
      </w:r>
    </w:p>
    <w:p>
      <w:pPr>
        <w:numPr>
          <w:ilvl w:val="1"/>
          <w:numId w:val="1037"/>
        </w:numPr>
      </w:pPr>
      <w:r>
        <w:t xml:space="preserve">Se dibuja la curva de indiferencia del nivel exigido,</w:t>
      </w:r>
      <w:r>
        <w:t xml:space="preserve"> </w:t>
      </w:r>
      <m:oMath>
        <m:bar>
          <m:barPr>
            <m:pos m:val="top"/>
          </m:barPr>
          <m:e>
            <m:r>
              <m:t>U</m:t>
            </m:r>
          </m:e>
        </m:bar>
      </m:oMath>
      <w:r>
        <w:t xml:space="preserve">, que queda fija.</w:t>
      </w:r>
    </w:p>
    <w:p>
      <w:pPr>
        <w:numPr>
          <w:ilvl w:val="1"/>
          <w:numId w:val="1037"/>
        </w:numPr>
      </w:pPr>
      <w:r>
        <w:t xml:space="preserve">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w:t>
      </w:r>
    </w:p>
    <w:p>
      <w:pPr>
        <w:numPr>
          <w:ilvl w:val="1"/>
          <w:numId w:val="1037"/>
        </w:numPr>
      </w:pPr>
      <w:r>
        <w:t xml:space="preserve">Se desplazan hacia el origen hasta la más baja que toca la curva.</w:t>
      </w:r>
    </w:p>
    <w:p>
      <w:pPr>
        <w:numPr>
          <w:ilvl w:val="0"/>
          <w:numId w:val="1035"/>
        </w:numPr>
      </w:pPr>
      <w:r>
        <w:t xml:space="preserve">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8"/>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8"/>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9"/>
        </w:numPr>
      </w:pPr>
      <w:r>
        <w:rPr>
          <w:i/>
          <w:iCs/>
        </w:rPr>
        <w:t xml:space="preserve">existe, es global y es única</w:t>
      </w:r>
      <w:r>
        <w:t xml:space="preserve">, con preferencias estrictamente convexas;</w:t>
      </w:r>
    </w:p>
    <w:p>
      <w:pPr>
        <w:numPr>
          <w:ilvl w:val="1"/>
          <w:numId w:val="103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9"/>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9"/>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9"/>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8"/>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8"/>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keepLines/>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40"/>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40"/>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40"/>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40"/>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40"/>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41"/>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41"/>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40"/>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0"/>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42"/>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42"/>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42"/>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43"/>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cantSplit/>
          <w:tblHeader w:val="on"/>
        </w:trPr>
        <w:tc>
          <w:tcPr>
            <w:shd w:val="clear" w:color="auto" w:fill="DDEBF7"/>
          </w:tcPr>
          <w:tcPr/>
          <w:p>
            <w:pPr>
              <w:pStyle w:val="Celdatceeazulpalido"/>
              <w:keepNext/>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shd w:val="clear" w:color="auto" w:fill="DDEBF7"/>
          </w:tcPr>
          <w:tcPr/>
          <w:p>
            <w:pPr>
              <w:pStyle w:val="Celdatceeazulpalido"/>
              <w:keepNext/>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rPr>
          <w:cantSplit/>
        </w:trP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rPr>
          <w:cantSplit/>
        </w:trP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rPr>
          <w:cantSplit/>
        </w:trP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rPr>
          <w:cantSplit/>
        </w:trP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rPr>
          <w:cantSplit/>
        </w:trP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44"/>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45"/>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46"/>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47"/>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47"/>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46"/>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W=E* y 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8"/>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9"/>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50"/>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50"/>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9"/>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51"/>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keepNext/>
        <w:keepLines/>
      </w:pPr>
      <w:r>
        <w:t xml:space="preserve">Maximizar la utilidad con una renta y minimizar el gasto con una utilidad son el mismo problema visto desde dos lados. Su valor está en las funciones que produce:</w:t>
      </w:r>
    </w:p>
    <w:p>
      <w:pPr>
        <w:pStyle w:val="Ideaclave"/>
        <w:keepNext/>
        <w:keepLines/>
        <w:numPr>
          <w:ilvl w:val="0"/>
          <w:numId w:val="1052"/>
        </w:numPr>
      </w:pPr>
      <w:r>
        <w:t xml:space="preserve">la función de gasto mide la utilidad en dinero;</w:t>
      </w:r>
    </w:p>
    <w:p>
      <w:pPr>
        <w:pStyle w:val="Ideaclave"/>
        <w:keepNext/>
        <w:keepLines/>
        <w:numPr>
          <w:ilvl w:val="0"/>
          <w:numId w:val="1052"/>
        </w:numPr>
      </w:pPr>
      <w:r>
        <w:t xml:space="preserve">sus derivadas son las demandas compensadas (</w:t>
      </w:r>
      <w:r>
        <w:rPr>
          <w:smallCaps/>
        </w:rPr>
        <w:t xml:space="preserve">Shephard</w:t>
      </w:r>
      <w:r>
        <w:t xml:space="preserve">);</w:t>
      </w:r>
    </w:p>
    <w:p>
      <w:pPr>
        <w:pStyle w:val="Ideaclave"/>
        <w:keepLines/>
        <w:numPr>
          <w:ilvl w:val="0"/>
          <w:numId w:val="1052"/>
        </w:numPr>
      </w:pPr>
      <w:r>
        <w:t xml:space="preserve">y su concavidad da la ley de la demanda compensada.</w:t>
      </w:r>
    </w:p>
    <w:p>
      <w:pPr>
        <w:keepNext/>
        <w:numPr>
          <w:ilvl w:val="0"/>
          <w:numId w:val="1053"/>
        </w:numPr>
      </w:pPr>
      <w:r>
        <w:rPr>
          <w:i/>
          <w:iCs/>
        </w:rPr>
        <w:t xml:space="preserve">Recapitulación</w:t>
      </w:r>
      <w:r>
        <w:t xml:space="preserve">: basta resolver uno de los dos problemas para obtener las cuatro funciones. Las flechas del esquema son, además, las herramientas del resto de la exposición:</w:t>
      </w:r>
    </w:p>
    <w:p>
      <w:pPr>
        <w:numPr>
          <w:ilvl w:val="1"/>
          <w:numId w:val="1054"/>
        </w:numPr>
      </w:pPr>
      <w:r>
        <w:t xml:space="preserve">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w:t>
      </w:r>
    </w:p>
    <w:p>
      <w:pPr>
        <w:numPr>
          <w:ilvl w:val="1"/>
          <w:numId w:val="1054"/>
        </w:numPr>
      </w:pPr>
      <w:r>
        <w:t xml:space="preserve">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w:t>
      </w:r>
    </w:p>
    <w:p>
      <w:pPr>
        <w:numPr>
          <w:ilvl w:val="1"/>
          <w:numId w:val="1054"/>
        </w:numPr>
      </w:pPr>
      <w:r>
        <w:t xml:space="preserve">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w:t>
      </w:r>
    </w:p>
    <w:p>
      <w:pPr>
        <w:numPr>
          <w:ilvl w:val="0"/>
          <w:numId w:val="1053"/>
        </w:numPr>
      </w:pPr>
      <w:r>
        <w:t xml:space="preserve">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keepLines/>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5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5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5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5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5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5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5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58"/>
        </w:numPr>
      </w:pPr>
      <w:r>
        <w:rPr>
          <w:i/>
          <w:iCs/>
        </w:rPr>
        <w:t xml:space="preserve">coherencia con la teoría</w:t>
      </w:r>
      <w:r>
        <w:t xml:space="preserve">: poder imponer o contrastar sus restricciones;</w:t>
      </w:r>
    </w:p>
    <w:p>
      <w:pPr>
        <w:numPr>
          <w:ilvl w:val="1"/>
          <w:numId w:val="1058"/>
        </w:numPr>
      </w:pPr>
      <w:r>
        <w:rPr>
          <w:i/>
          <w:iCs/>
        </w:rPr>
        <w:t xml:space="preserve">flexibilidad</w:t>
      </w:r>
      <w:r>
        <w:t xml:space="preserve">: no fijar de antemano las elasticidades (formalmente, aproximar en primer orden cualquier sistema de demanda);</w:t>
      </w:r>
    </w:p>
    <w:p>
      <w:pPr>
        <w:numPr>
          <w:ilvl w:val="1"/>
          <w:numId w:val="105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5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keepNext/>
        <w:numPr>
          <w:ilvl w:val="0"/>
          <w:numId w:val="1059"/>
        </w:numPr>
      </w:pPr>
      <w:r>
        <w:t xml:space="preserve">Visto para qué se estiman los sistemas de demanda, pasamos a cómo se estiman. La estimación sigue cinco pasos, que reproducen el camino de la teoría, de las preferencias a la demanda ordinaria:</w:t>
      </w:r>
    </w:p>
    <w:p>
      <w:pPr>
        <w:numPr>
          <w:ilvl w:val="1"/>
          <w:numId w:val="1060"/>
        </w:numPr>
      </w:pPr>
      <w:r>
        <w:t xml:space="preserve">elegir una forma funcional;</w:t>
      </w:r>
    </w:p>
    <w:p>
      <w:pPr>
        <w:numPr>
          <w:ilvl w:val="1"/>
          <w:numId w:val="1060"/>
        </w:numPr>
      </w:pPr>
      <w:r>
        <w:t xml:space="preserve">especificar un sistema completo;</w:t>
      </w:r>
    </w:p>
    <w:p>
      <w:pPr>
        <w:numPr>
          <w:ilvl w:val="1"/>
          <w:numId w:val="1060"/>
        </w:numPr>
      </w:pPr>
      <w:r>
        <w:t xml:space="preserve">reunir los datos;</w:t>
      </w:r>
    </w:p>
    <w:p>
      <w:pPr>
        <w:numPr>
          <w:ilvl w:val="1"/>
          <w:numId w:val="1060"/>
        </w:numPr>
      </w:pPr>
      <w:r>
        <w:t xml:space="preserve">especificar el modelo econométrico;</w:t>
      </w:r>
    </w:p>
    <w:p>
      <w:pPr>
        <w:numPr>
          <w:ilvl w:val="1"/>
          <w:numId w:val="1060"/>
        </w:numPr>
      </w:pPr>
      <w:r>
        <w:t xml:space="preserve">y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61"/>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61"/>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62"/>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63"/>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64"/>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65"/>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66"/>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67"/>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68"/>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69"/>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keepNext/>
        <w:numPr>
          <w:ilvl w:val="0"/>
          <w:numId w:val="1071"/>
        </w:numPr>
      </w:pPr>
      <w:r>
        <w:t xml:space="preserve">La teoría se traduce en restricciones lineales sobre los parámetros, que se imponen o contrastan directamente:</w:t>
      </w:r>
    </w:p>
    <w:p>
      <w:pPr>
        <w:numPr>
          <w:ilvl w:val="1"/>
          <w:numId w:val="1072"/>
        </w:numPr>
      </w:pP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p>
    <w:p>
      <w:pPr>
        <w:numPr>
          <w:ilvl w:val="1"/>
          <w:numId w:val="1072"/>
        </w:numPr>
      </w:pP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p>
    <w:p>
      <w:pPr>
        <w:numPr>
          <w:ilvl w:val="1"/>
          <w:numId w:val="1072"/>
        </w:numPr>
      </w:pPr>
      <m:oMath>
        <m:sSub>
          <m:e>
            <m:r>
              <m:t>c</m:t>
            </m:r>
          </m:e>
          <m:sub>
            <m:r>
              <m:t>i</m:t>
            </m:r>
            <m:r>
              <m:t>j</m:t>
            </m:r>
          </m:sub>
        </m:sSub>
        <m:r>
          <m:rPr>
            <m:sty m:val="p"/>
          </m:rPr>
          <m:t>=</m:t>
        </m:r>
        <m:sSub>
          <m:e>
            <m:r>
              <m:t>c</m:t>
            </m:r>
          </m:e>
          <m:sub>
            <m:r>
              <m:t>j</m:t>
            </m:r>
            <m:r>
              <m:t>i</m:t>
            </m:r>
          </m:sub>
        </m:sSub>
      </m:oMath>
      <w:r>
        <w:t xml:space="preserve"> </w:t>
      </w:r>
      <w:r>
        <w:t xml:space="preserve">(simetría);</w:t>
      </w:r>
    </w:p>
    <w:p>
      <w:pPr>
        <w:numPr>
          <w:ilvl w:val="1"/>
          <w:numId w:val="1072"/>
        </w:numPr>
      </w:pPr>
      <w:r>
        <w:t xml:space="preserve">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73"/>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74"/>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75"/>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76"/>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77"/>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78"/>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7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keepNext/>
        <w:numPr>
          <w:ilvl w:val="0"/>
          <w:numId w:val="1080"/>
        </w:numPr>
      </w:pPr>
      <w:r>
        <w:t xml:space="preserve">Sus límites:</w:t>
      </w:r>
    </w:p>
    <w:p>
      <w:pPr>
        <w:numPr>
          <w:ilvl w:val="1"/>
          <w:numId w:val="1081"/>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w:t>
      </w:r>
    </w:p>
    <w:p>
      <w:pPr>
        <w:numPr>
          <w:ilvl w:val="1"/>
          <w:numId w:val="1081"/>
        </w:numPr>
      </w:pPr>
      <w:r>
        <w:t xml:space="preserve">no agrega bien;</w:t>
      </w:r>
    </w:p>
    <w:p>
      <w:pPr>
        <w:numPr>
          <w:ilvl w:val="1"/>
          <w:numId w:val="1081"/>
        </w:numPr>
      </w:pPr>
      <w:r>
        <w:t xml:space="preserve">y la concavidad no está garantizada lejos del punto de aproximación.</w:t>
      </w:r>
    </w:p>
    <w:p>
      <w:pPr>
        <w:numPr>
          <w:ilvl w:val="0"/>
          <w:numId w:val="1080"/>
        </w:numPr>
      </w:pPr>
      <w:r>
        <w:t xml:space="preserve">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82"/>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83"/>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84"/>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keepNext/>
        <w:numPr>
          <w:ilvl w:val="0"/>
          <w:numId w:val="1085"/>
        </w:numPr>
      </w:pPr>
      <w:r>
        <w:rPr>
          <w:i/>
          <w:iCs/>
        </w:rPr>
        <w:t xml:space="preserve">restricciones</w:t>
      </w:r>
      <w:r>
        <w:t xml:space="preserve">:</w:t>
      </w:r>
    </w:p>
    <w:p>
      <w:pPr>
        <w:numPr>
          <w:ilvl w:val="1"/>
          <w:numId w:val="1086"/>
        </w:numPr>
      </w:pPr>
      <w:r>
        <w:t xml:space="preserve">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w:t>
      </w:r>
    </w:p>
    <w:p>
      <w:pPr>
        <w:numPr>
          <w:ilvl w:val="1"/>
          <w:numId w:val="1086"/>
        </w:numPr>
      </w:pPr>
      <w:r>
        <w:t xml:space="preserve">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w:t>
      </w:r>
    </w:p>
    <w:p>
      <w:pPr>
        <w:numPr>
          <w:ilvl w:val="1"/>
          <w:numId w:val="1086"/>
        </w:numPr>
      </w:pPr>
      <w:r>
        <w:t xml:space="preserve">simetría,</w:t>
      </w:r>
      <w:r>
        <w:t xml:space="preserve"> </w:t>
      </w:r>
      <m:oMath>
        <m:sSub>
          <m:e>
            <m:r>
              <m:t>γ</m:t>
            </m:r>
          </m:e>
          <m:sub>
            <m:r>
              <m:t>i</m:t>
            </m:r>
            <m:r>
              <m:t>j</m:t>
            </m:r>
          </m:sub>
        </m:sSub>
        <m:r>
          <m:rPr>
            <m:sty m:val="p"/>
          </m:rPr>
          <m:t>=</m:t>
        </m:r>
        <m:sSub>
          <m:e>
            <m:r>
              <m:t>γ</m:t>
            </m:r>
          </m:e>
          <m:sub>
            <m:r>
              <m:t>j</m:t>
            </m:r>
            <m:r>
              <m:t>i</m:t>
            </m:r>
          </m:sub>
        </m:sSub>
      </m:oMath>
      <w:r>
        <w:t xml:space="preserve">.</w:t>
      </w:r>
    </w:p>
    <w:p>
      <w:pPr>
        <w:numPr>
          <w:ilvl w:val="0"/>
          <w:numId w:val="1000"/>
        </w:numPr>
      </w:pPr>
      <w:r>
        <w:t xml:space="preserve">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85"/>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85"/>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85"/>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87"/>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88"/>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keepNext/>
        <w:numPr>
          <w:ilvl w:val="0"/>
          <w:numId w:val="1089"/>
        </w:numPr>
      </w:pPr>
      <w:r>
        <w:t xml:space="preserve">Su nombre resume sus virtudes:</w:t>
      </w:r>
    </w:p>
    <w:p>
      <w:pPr>
        <w:numPr>
          <w:ilvl w:val="1"/>
          <w:numId w:val="1090"/>
        </w:numPr>
      </w:pPr>
      <w:r>
        <w:t xml:space="preserve">aproxima en primer orden cualquier sistema de demanda;</w:t>
      </w:r>
    </w:p>
    <w:p>
      <w:pPr>
        <w:numPr>
          <w:ilvl w:val="1"/>
          <w:numId w:val="1090"/>
        </w:numPr>
      </w:pPr>
      <w:r>
        <w:t xml:space="preserve">es coherente con la teoría y con la restricción presupuestaria;</w:t>
      </w:r>
    </w:p>
    <w:p>
      <w:pPr>
        <w:numPr>
          <w:ilvl w:val="1"/>
          <w:numId w:val="1090"/>
        </w:numPr>
      </w:pPr>
      <w:r>
        <w:t xml:space="preserve">agrega exactamente;</w:t>
      </w:r>
    </w:p>
    <w:p>
      <w:pPr>
        <w:numPr>
          <w:ilvl w:val="1"/>
          <w:numId w:val="1090"/>
        </w:numPr>
      </w:pPr>
      <w:r>
        <w:t xml:space="preserve">y se estima con facilidad.</w:t>
      </w:r>
    </w:p>
    <w:p>
      <w:pPr>
        <w:numPr>
          <w:ilvl w:val="0"/>
          <w:numId w:val="1089"/>
        </w:numPr>
      </w:pPr>
      <w:r>
        <w:t xml:space="preserve">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91"/>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92"/>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93"/>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rPr>
                <w:i/>
                <w:iCs/>
              </w:rPr>
              <w:t xml:space="preserve">Sistema</w:t>
            </w:r>
          </w:p>
        </w:tc>
        <w:tc>
          <w:tcPr>
            <w:shd w:val="clear" w:color="auto" w:fill="DDEBF7"/>
            <w:vAlign w:val="center"/>
          </w:tcPr>
          <w:p>
            <w:pPr>
              <w:pStyle w:val="Celdatceeazulpalido"/>
              <w:keepNext/>
              <w:jc w:val="left"/>
            </w:pPr>
            <w:r>
              <w:rPr>
                <w:i/>
                <w:iCs/>
              </w:rPr>
              <w:t xml:space="preserve">Punto de partida</w:t>
            </w:r>
          </w:p>
        </w:tc>
        <w:tc>
          <w:tcPr>
            <w:shd w:val="clear" w:color="auto" w:fill="DDEBF7"/>
            <w:vAlign w:val="center"/>
          </w:tcPr>
          <w:p>
            <w:pPr>
              <w:pStyle w:val="Celdatceeazulpalido"/>
              <w:keepNext/>
              <w:jc w:val="center"/>
            </w:pPr>
            <w:r>
              <w:rPr>
                <w:i/>
                <w:iCs/>
              </w:rPr>
              <w:t xml:space="preserve">Flexible</w:t>
            </w:r>
          </w:p>
        </w:tc>
        <w:tc>
          <w:tcPr>
            <w:shd w:val="clear" w:color="auto" w:fill="DDEBF7"/>
            <w:vAlign w:val="center"/>
          </w:tcPr>
          <w:p>
            <w:pPr>
              <w:pStyle w:val="Celdatceeazulpalido"/>
              <w:keepNext/>
              <w:jc w:val="center"/>
            </w:pPr>
            <w:r>
              <w:rPr>
                <w:i/>
                <w:iCs/>
              </w:rPr>
              <w:t xml:space="preserve">Agregación</w:t>
            </w:r>
          </w:p>
        </w:tc>
        <w:tc>
          <w:tcPr>
            <w:shd w:val="clear" w:color="auto" w:fill="DDEBF7"/>
            <w:vAlign w:val="center"/>
          </w:tcPr>
          <w:p>
            <w:pPr>
              <w:pStyle w:val="Celdatceeazulpalido"/>
              <w:keepNext/>
              <w:jc w:val="center"/>
            </w:pPr>
            <w:r>
              <w:rPr>
                <w:i/>
                <w:iCs/>
              </w:rPr>
              <w:t xml:space="preserve">Lineal en los parámetros</w:t>
            </w:r>
          </w:p>
        </w:tc>
        <w:tc>
          <w:tcPr>
            <w:shd w:val="clear" w:color="auto" w:fill="DDEBF7"/>
            <w:vAlign w:val="center"/>
          </w:tcPr>
          <w:p>
            <w:pPr>
              <w:pStyle w:val="Celdatceeazulpalido"/>
              <w:keepNext/>
              <w:jc w:val="left"/>
            </w:pPr>
            <w:r>
              <w:rPr>
                <w:i/>
                <w:iCs/>
              </w:rPr>
              <w:t xml:space="preserve">Límite principal</w:t>
            </w:r>
          </w:p>
        </w:tc>
      </w:tr>
      <w:tr>
        <w:trPr>
          <w:cantSplit/>
        </w:trP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rPr>
          <w:cantSplit/>
        </w:trP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rPr>
          <w:cantSplit/>
        </w:trP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rPr>
          <w:cantSplit/>
        </w:trP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rPr>
          <w:cantSplit/>
        </w:trPr>
        <w:tc>
          <w:tcPr>
            <w:shd w:val="clear" w:color="auto" w:fill="E2EFD9"/>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shd w:val="clear" w:color="auto" w:fill="E2EFD9"/>
            <w:vAlign w:val="center"/>
          </w:tcPr>
          <w:p>
            <w:pPr>
              <w:pStyle w:val="Celdatceesalvia"/>
              <w:jc w:val="left"/>
            </w:pPr>
            <w:r>
              <w:t xml:space="preserve">función de gasto PIGLOG</w:t>
            </w:r>
          </w:p>
        </w:tc>
        <w:tc>
          <w:tcPr>
            <w:shd w:val="clear" w:color="auto" w:fill="E2EFD9"/>
            <w:vAlign w:val="center"/>
          </w:tcPr>
          <w:p>
            <w:pPr>
              <w:pStyle w:val="Celdatceesalvia"/>
              <w:jc w:val="center"/>
            </w:pPr>
            <w:r>
              <w:t xml:space="preserve">sí</w:t>
            </w:r>
          </w:p>
        </w:tc>
        <w:tc>
          <w:tcPr>
            <w:shd w:val="clear" w:color="auto" w:fill="E2EFD9"/>
            <w:vAlign w:val="center"/>
          </w:tcPr>
          <w:p>
            <w:pPr>
              <w:pStyle w:val="Celdatceesalvia"/>
              <w:jc w:val="center"/>
            </w:pPr>
            <w:r>
              <w:t xml:space="preserve">sí (exacta)</w:t>
            </w:r>
          </w:p>
        </w:tc>
        <w:tc>
          <w:tcPr>
            <w:shd w:val="clear" w:color="auto" w:fill="E2EFD9"/>
            <w:vAlign w:val="center"/>
          </w:tcPr>
          <w:p>
            <w:pPr>
              <w:pStyle w:val="Celdatceesalvia"/>
              <w:jc w:val="center"/>
            </w:pPr>
            <w:r>
              <w:t xml:space="preserve">sí (LA-AIDS)</w:t>
            </w:r>
          </w:p>
        </w:tc>
        <w:tc>
          <w:tcPr>
            <w:shd w:val="clear" w:color="auto" w:fill="E2EFD9"/>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rPr>
          <w:cantSplit/>
        </w:trP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94"/>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94"/>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95"/>
        </w:numPr>
      </w:pPr>
      <w:r>
        <w:rPr>
          <w:i/>
          <w:iCs/>
        </w:rPr>
        <w:t xml:space="preserve">separabilidad débil</w:t>
      </w:r>
      <w:r>
        <w:t xml:space="preserve">: la RMS entre dos bienes de un grupo no depende de las cantidades de los bienes de otros grupos;</w:t>
      </w:r>
    </w:p>
    <w:p>
      <w:pPr>
        <w:numPr>
          <w:ilvl w:val="1"/>
          <w:numId w:val="1095"/>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95"/>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94"/>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96"/>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97"/>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keepNext/>
        <w:numPr>
          <w:ilvl w:val="0"/>
          <w:numId w:val="1097"/>
        </w:numPr>
      </w:pPr>
      <w:r>
        <w:t xml:space="preserve">Otros problemas habituales:</w:t>
      </w:r>
    </w:p>
    <w:p>
      <w:pPr>
        <w:numPr>
          <w:ilvl w:val="1"/>
          <w:numId w:val="1098"/>
        </w:numPr>
      </w:pPr>
      <w:r>
        <w:t xml:space="preserve">el gasto total es endógeno (se instrumenta con la renta);</w:t>
      </w:r>
    </w:p>
    <w:p>
      <w:pPr>
        <w:numPr>
          <w:ilvl w:val="1"/>
          <w:numId w:val="1098"/>
        </w:numPr>
      </w:pPr>
      <w:r>
        <w:t xml:space="preserve">hay gastos nulos (censura) en los bienes que el hogar no compra durante el periodo de la encuesta;</w:t>
      </w:r>
    </w:p>
    <w:p>
      <w:pPr>
        <w:numPr>
          <w:ilvl w:val="1"/>
          <w:numId w:val="1098"/>
        </w:numPr>
      </w:pPr>
      <w:r>
        <w:t xml:space="preserve">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99"/>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99"/>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keepNext/>
        <w:numPr>
          <w:ilvl w:val="1"/>
          <w:numId w:val="1100"/>
        </w:numPr>
      </w:pPr>
      <w:r>
        <w:t xml:space="preserve">con datos agregados de series temporales, las restricciones se rechazaron con frecuencia, sobre todo la homogeneidad:</w:t>
      </w:r>
    </w:p>
    <w:p>
      <w:pPr>
        <w:numPr>
          <w:ilvl w:val="2"/>
          <w:numId w:val="110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p>
    <w:p>
      <w:pPr>
        <w:numPr>
          <w:ilvl w:val="2"/>
          <w:numId w:val="1101"/>
        </w:numPr>
      </w:pP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w:t>
      </w:r>
    </w:p>
    <w:p>
      <w:pPr>
        <w:numPr>
          <w:ilvl w:val="2"/>
          <w:numId w:val="1101"/>
        </w:numPr>
      </w:pPr>
      <w:r>
        <w:t xml:space="preserve">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100"/>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100"/>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keepNext/>
        <w:numPr>
          <w:ilvl w:val="0"/>
          <w:numId w:val="1099"/>
        </w:numPr>
      </w:pPr>
      <w:r>
        <w:rPr>
          <w:i/>
          <w:iCs/>
        </w:rPr>
        <w:t xml:space="preserve">Usos</w:t>
      </w:r>
      <w:r>
        <w:t xml:space="preserve">:</w:t>
      </w:r>
    </w:p>
    <w:p>
      <w:pPr>
        <w:numPr>
          <w:ilvl w:val="1"/>
          <w:numId w:val="1102"/>
        </w:numPr>
      </w:pPr>
      <w:r>
        <w:t xml:space="preserve">la imposición indirecta óptima y la reforma del IVA, que requieren elasticidades compensadas cruzadas</w:t>
      </w:r>
      <w:r>
        <w:t xml:space="preserve"> </w:t>
      </w:r>
      <w:hyperlink r:id="rId20">
        <w:r>
          <w:rPr>
            <w:rStyle w:val="Referenciaatema"/>
          </w:rPr>
          <w:t xml:space="preserve">[ver tema 4.B.11]</w:t>
        </w:r>
      </w:hyperlink>
      <w:r>
        <w:t xml:space="preserve">;</w:t>
      </w:r>
    </w:p>
    <w:p>
      <w:pPr>
        <w:numPr>
          <w:ilvl w:val="1"/>
          <w:numId w:val="1102"/>
        </w:numPr>
      </w:pPr>
      <w:r>
        <w:t xml:space="preserve">la incidencia distributiva de los cambios de precios por tramos de renta;</w:t>
      </w:r>
    </w:p>
    <w:p>
      <w:pPr>
        <w:numPr>
          <w:ilvl w:val="1"/>
          <w:numId w:val="1102"/>
        </w:numPr>
      </w:pPr>
      <w:r>
        <w:t xml:space="preserve">los índices de coste de la vida para cada tipo de hogar (</w:t>
      </w:r>
      <w:hyperlink w:anchor="sec_analisis_bienestar_consumidor">
        <w:r>
          <w:rPr>
            <w:rStyle w:val="Hyperlink"/>
          </w:rPr>
          <w:t xml:space="preserve">III.3</w:t>
        </w:r>
      </w:hyperlink>
      <w:r>
        <w:t xml:space="preserve">);</w:t>
      </w:r>
    </w:p>
    <w:p>
      <w:pPr>
        <w:numPr>
          <w:ilvl w:val="1"/>
          <w:numId w:val="1102"/>
        </w:numPr>
      </w:pPr>
      <w:r>
        <w:t xml:space="preserve">y las escalas de equivalencia y la medición de la pobreza.</w:t>
      </w:r>
    </w:p>
    <w:p>
      <w:pPr>
        <w:numPr>
          <w:ilvl w:val="0"/>
          <w:numId w:val="1099"/>
        </w:numPr>
      </w:pPr>
      <w:r>
        <w:t xml:space="preserve">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99"/>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103"/>
        </w:numPr>
      </w:pPr>
      <w:r>
        <w:rPr>
          <w:i/>
          <w:iCs/>
        </w:rPr>
        <w:t xml:space="preserve">Aportaciones</w:t>
      </w:r>
      <w:r>
        <w:t xml:space="preserve">:</w:t>
      </w:r>
    </w:p>
    <w:p>
      <w:pPr>
        <w:numPr>
          <w:ilvl w:val="1"/>
          <w:numId w:val="1104"/>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104"/>
        </w:numPr>
      </w:pPr>
      <w:r>
        <w:t xml:space="preserve">las restricciones de la teoría pasan a ser hipótesis contrastables;</w:t>
      </w:r>
    </w:p>
    <w:p>
      <w:pPr>
        <w:numPr>
          <w:ilvl w:val="1"/>
          <w:numId w:val="1104"/>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103"/>
        </w:numPr>
      </w:pPr>
      <w:r>
        <w:rPr>
          <w:i/>
          <w:iCs/>
        </w:rPr>
        <w:t xml:space="preserve">Limitaciones</w:t>
      </w:r>
      <w:r>
        <w:t xml:space="preserve">:</w:t>
      </w:r>
    </w:p>
    <w:p>
      <w:pPr>
        <w:numPr>
          <w:ilvl w:val="1"/>
          <w:numId w:val="1105"/>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105"/>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105"/>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103"/>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103"/>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keepLines/>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keepNext/>
        <w:numPr>
          <w:ilvl w:val="0"/>
          <w:numId w:val="1106"/>
        </w:numPr>
      </w:pPr>
      <w:r>
        <w:t xml:space="preserve">Una vez vistos la teoría de la dualidad y su uso empírico, pasamos a analizar sus aplicaciones. Este bloque responde a la tercera y la cuarta preguntas. Su conclusión anticipada: la dualidad tiene una aplicación teórica y dos prácticas:</w:t>
      </w:r>
    </w:p>
    <w:p>
      <w:pPr>
        <w:numPr>
          <w:ilvl w:val="1"/>
          <w:numId w:val="1107"/>
        </w:numPr>
      </w:pPr>
      <w:r>
        <w:t xml:space="preserve">la</w:t>
      </w:r>
      <w:r>
        <w:t xml:space="preserve"> </w:t>
      </w:r>
      <w:r>
        <w:rPr>
          <w:i/>
          <w:iCs/>
        </w:rPr>
        <w:t xml:space="preserve">integrabilidad</w:t>
      </w:r>
      <w:r>
        <w:t xml:space="preserve">, teórica, que recorre el esquema de dualidad al revés, de la demanda a las preferencias (</w:t>
      </w:r>
      <w:hyperlink w:anchor="sec_problema_integrabilidad_preferencias">
        <w:r>
          <w:rPr>
            <w:rStyle w:val="Hyperlink"/>
          </w:rPr>
          <w:t xml:space="preserve">III.1</w:t>
        </w:r>
      </w:hyperlink>
      <w:r>
        <w:t xml:space="preserve">);</w:t>
      </w:r>
    </w:p>
    <w:p>
      <w:pPr>
        <w:numPr>
          <w:ilvl w:val="1"/>
          <w:numId w:val="1107"/>
        </w:numPr>
      </w:pPr>
      <w:r>
        <w:t xml:space="preserve">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w:t>
      </w:r>
    </w:p>
    <w:p>
      <w:pPr>
        <w:numPr>
          <w:ilvl w:val="1"/>
          <w:numId w:val="1107"/>
        </w:numPr>
      </w:pPr>
      <w:r>
        <w:t xml:space="preserve">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108"/>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108"/>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109"/>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109"/>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109"/>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108"/>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110"/>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3.H</w:t>
        </w:r>
      </w:hyperlink>
      <w:r>
        <w:t xml:space="preserve">)</w:t>
      </w:r>
      <w:r>
        <w:t xml:space="preserve">.</w:t>
      </w:r>
    </w:p>
    <w:p>
      <w:pPr>
        <w:numPr>
          <w:ilvl w:val="1"/>
          <w:numId w:val="1110"/>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110"/>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3.H</w:t>
        </w:r>
      </w:hyperlink>
      <w:r>
        <w:t xml:space="preserve">)</w:t>
      </w:r>
      <w:r>
        <w:t xml:space="preserve">.</w:t>
      </w:r>
    </w:p>
    <w:p>
      <w:pPr>
        <w:keepNext/>
        <w:numPr>
          <w:ilvl w:val="0"/>
          <w:numId w:val="1111"/>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w:t>
      </w:r>
    </w:p>
    <w:p>
      <w:pPr>
        <w:numPr>
          <w:ilvl w:val="1"/>
          <w:numId w:val="1112"/>
        </w:numPr>
      </w:pPr>
      <w:r>
        <w:t xml:space="preserve">El axioma débil implica que</w:t>
      </w:r>
      <w:r>
        <w:t xml:space="preserve"> </w:t>
      </w:r>
      <m:oMath>
        <m:r>
          <m:t>S</m:t>
        </m:r>
      </m:oMath>
      <w:r>
        <w:t xml:space="preserve"> </w:t>
      </w:r>
      <w:r>
        <w:t xml:space="preserve">es semidefinida negativa, pero no que sea simétrica, y por eso con más de dos bienes no basta.</w:t>
      </w:r>
    </w:p>
    <w:p>
      <w:pPr>
        <w:numPr>
          <w:ilvl w:val="1"/>
          <w:numId w:val="1112"/>
        </w:numPr>
      </w:pPr>
      <w:r>
        <w:t xml:space="preserve">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w:t>
      </w:r>
    </w:p>
    <w:p>
      <w:pPr>
        <w:numPr>
          <w:ilvl w:val="1"/>
          <w:numId w:val="1112"/>
        </w:numPr>
      </w:pP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w:t>
      </w:r>
    </w:p>
    <w:p>
      <w:pPr>
        <w:numPr>
          <w:ilvl w:val="0"/>
          <w:numId w:val="1111"/>
        </w:numPr>
      </w:pPr>
      <w:r>
        <w:t xml:space="preserve">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111"/>
        </w:numPr>
      </w:pPr>
      <w:r>
        <w:rPr>
          <w:i/>
          <w:iCs/>
        </w:rPr>
        <w:t xml:space="preserve">Relevancia</w:t>
      </w:r>
      <w:r>
        <w:t xml:space="preserve">:</w:t>
      </w:r>
    </w:p>
    <w:p>
      <w:pPr>
        <w:numPr>
          <w:ilvl w:val="1"/>
          <w:numId w:val="111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11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11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111"/>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114"/>
        </w:numPr>
      </w:pPr>
      <w:r>
        <w:t xml:space="preserve">La integrabilidad nos ha llevado de la demanda a las preferencias; la segunda aplicación usa la dualidad entre demandas para descomponer el efecto de un cambio de precio.</w:t>
      </w:r>
    </w:p>
    <w:p>
      <w:pPr>
        <w:numPr>
          <w:ilvl w:val="0"/>
          <w:numId w:val="111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11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11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keepLines/>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11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11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11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11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11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11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11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11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11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11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11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11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shd w:val="clear" w:color="auto" w:fill="E2EFD9"/>
            <w:vAlign w:val="center"/>
          </w:tcPr>
          <w:p>
            <w:pPr>
              <w:pStyle w:val="Celdatceesalvia"/>
              <w:keepNext/>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11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11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shd w:val="clear" w:color="auto" w:fill="E2EFD9"/>
            <w:vAlign w:val="center"/>
          </w:tcPr>
          <w:p>
            <w:pPr>
              <w:pStyle w:val="Celdatceesalvia"/>
              <w:keepNext/>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rPr>
          <w:cantSplit/>
        </w:trPr>
        <w:tc>
          <w:tcPr>
            <w:shd w:val="clear" w:color="auto" w:fill="FBE4D5"/>
            <w:vAlign w:val="center"/>
          </w:tcPr>
          <w:p>
            <w:pPr>
              <w:pStyle w:val="Celdatceesalmon"/>
              <w:jc w:val="center"/>
            </w:pPr>
            <w:r>
              <w:rPr>
                <w:i/>
                <w:iCs/>
              </w:rPr>
              <w:t xml:space="preserve">Efecto sustitución cruzado</w:t>
            </w:r>
          </w:p>
        </w:tc>
        <w:tc>
          <w:tcPr>
            <w:shd w:val="clear" w:color="auto" w:fill="FBE4D5"/>
            <w:vAlign w:val="center"/>
          </w:tcPr>
          <w:p>
            <w:pPr>
              <w:pStyle w:val="Celdatceesalmon"/>
              <w:jc w:val="center"/>
            </w:pPr>
            <w:r>
              <w:rPr>
                <w:i/>
                <w:iCs/>
              </w:rPr>
              <w:t xml:space="preserve">Efecto renta cruzado</w:t>
            </w:r>
          </w:p>
        </w:tc>
        <w:tc>
          <w:tcPr>
            <w:shd w:val="clear" w:color="auto" w:fill="FBE4D5"/>
            <w:vAlign w:val="center"/>
          </w:tcPr>
          <w:p>
            <w:pPr>
              <w:pStyle w:val="Celdatceesalmon"/>
              <w:jc w:val="center"/>
            </w:pPr>
            <w:r>
              <w:rPr>
                <w:i/>
                <w:iCs/>
              </w:rPr>
              <w:t xml:space="preserve">Efecto total cruzado</w:t>
            </w:r>
          </w:p>
        </w:tc>
      </w:tr>
      <w:tr>
        <w:trPr>
          <w:cantSplit/>
        </w:trP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keepNext/>
        <w:numPr>
          <w:ilvl w:val="0"/>
          <w:numId w:val="112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p>
    <w:p>
      <w:pPr>
        <w:numPr>
          <w:ilvl w:val="1"/>
          <w:numId w:val="1121"/>
        </w:numPr>
      </w:pPr>
      <w:r>
        <w:t xml:space="preserve">para un bien</w:t>
      </w:r>
      <w:r>
        <w:t xml:space="preserve"> </w:t>
      </w:r>
      <w:r>
        <w:rPr>
          <w:i/>
          <w:iCs/>
        </w:rPr>
        <w:t xml:space="preserve">normal</w:t>
      </w:r>
      <w:r>
        <w:t xml:space="preserve">, la marshalliana es más plana (más elástica) que la hicksiana;</w:t>
      </w:r>
    </w:p>
    <w:p>
      <w:pPr>
        <w:numPr>
          <w:ilvl w:val="1"/>
          <w:numId w:val="1121"/>
        </w:numPr>
      </w:pPr>
      <w:r>
        <w:t xml:space="preserve">para uno</w:t>
      </w:r>
      <w:r>
        <w:t xml:space="preserve"> </w:t>
      </w:r>
      <w:r>
        <w:rPr>
          <w:i/>
          <w:iCs/>
        </w:rPr>
        <w:t xml:space="preserve">inferior</w:t>
      </w:r>
      <w:r>
        <w:t xml:space="preserve">, más inclinada;</w:t>
      </w:r>
    </w:p>
    <w:p>
      <w:pPr>
        <w:numPr>
          <w:ilvl w:val="1"/>
          <w:numId w:val="1121"/>
        </w:numPr>
      </w:pPr>
      <w:r>
        <w:t xml:space="preserve">y sin efecto renta coinciden</w:t>
      </w:r>
      <w:r>
        <w:t xml:space="preserve"> </w:t>
      </w:r>
      <w:hyperlink r:id="rId24">
        <w:r>
          <w:rPr>
            <w:rStyle w:val="Referenciaatema"/>
          </w:rPr>
          <w:t xml:space="preserve">[ver tema 3.A.8]</w:t>
        </w:r>
      </w:hyperlink>
      <w:r>
        <w:t xml:space="preserve">.</w:t>
      </w:r>
    </w:p>
    <w:p>
      <w:pPr>
        <w:numPr>
          <w:ilvl w:val="0"/>
          <w:numId w:val="1120"/>
        </w:numPr>
      </w:pPr>
      <w:r>
        <w:t xml:space="preserve">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keepNext/>
        <w:numPr>
          <w:ilvl w:val="0"/>
          <w:numId w:val="1120"/>
        </w:numPr>
      </w:pPr>
      <w:r>
        <w:rPr>
          <w:i/>
          <w:iCs/>
        </w:rPr>
        <w:t xml:space="preserve">Recapitulación</w:t>
      </w:r>
      <w:r>
        <w:t xml:space="preserve">: la dualidad:</w:t>
      </w:r>
    </w:p>
    <w:p>
      <w:pPr>
        <w:numPr>
          <w:ilvl w:val="1"/>
          <w:numId w:val="1122"/>
        </w:numPr>
      </w:pPr>
      <w:r>
        <w:t xml:space="preserve">demuestra la ecuación de</w:t>
      </w:r>
      <w:r>
        <w:t xml:space="preserve"> </w:t>
      </w:r>
      <w:r>
        <w:rPr>
          <w:smallCaps/>
        </w:rPr>
        <w:t xml:space="preserve">Slutsky</w:t>
      </w:r>
      <w:r>
        <w:t xml:space="preserve">;</w:t>
      </w:r>
    </w:p>
    <w:p>
      <w:pPr>
        <w:numPr>
          <w:ilvl w:val="1"/>
          <w:numId w:val="1122"/>
        </w:numPr>
      </w:pPr>
      <w:r>
        <w:t xml:space="preserve">convierte la matriz de sustitución en algo calculable con datos;</w:t>
      </w:r>
    </w:p>
    <w:p>
      <w:pPr>
        <w:numPr>
          <w:ilvl w:val="1"/>
          <w:numId w:val="1122"/>
        </w:numPr>
      </w:pPr>
      <w:r>
        <w:t xml:space="preserve">y explica por qué las relaciones netas son simétricas y las brutas no.</w:t>
      </w:r>
    </w:p>
    <w:p>
      <w:pPr>
        <w:numPr>
          <w:ilvl w:val="0"/>
          <w:numId w:val="1120"/>
        </w:numPr>
      </w:pPr>
      <w:r>
        <w:t xml:space="preserve">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23"/>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23"/>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23"/>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23"/>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24"/>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25"/>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25"/>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keepNext/>
        <w:numPr>
          <w:ilvl w:val="0"/>
          <w:numId w:val="1126"/>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27"/>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27"/>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26"/>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28"/>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28"/>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29"/>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1: a los precios finales, la renta que devuelve al consumidor a 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1: a los precios iniciales, la renta que lleva al consumidor a 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1"/>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31"/>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2"/>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32"/>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32"/>
        </w:numPr>
      </w:pPr>
      <w:r>
        <w:t xml:space="preserve">¿</w:t>
      </w:r>
      <w:r>
        <w:rPr>
          <w:i/>
          <w:iCs/>
        </w:rPr>
        <w:t xml:space="preserve">Cuál usar</w:t>
      </w:r>
      <w:r>
        <w:t xml:space="preserve">? Depende de la pregunta:</w:t>
      </w:r>
    </w:p>
    <w:p>
      <w:pPr>
        <w:numPr>
          <w:ilvl w:val="1"/>
          <w:numId w:val="1133"/>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3.I</w:t>
        </w:r>
      </w:hyperlink>
      <w:r>
        <w:t xml:space="preserve">)</w:t>
      </w:r>
      <w:r>
        <w:t xml:space="preserve">;</w:t>
      </w:r>
    </w:p>
    <w:p>
      <w:pPr>
        <w:numPr>
          <w:ilvl w:val="1"/>
          <w:numId w:val="1133"/>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keepLines/>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34"/>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34"/>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35"/>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35"/>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35"/>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36"/>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36"/>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36"/>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7"/>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37"/>
        </w:numPr>
      </w:pPr>
      <w:r>
        <w:rPr>
          <w:i/>
          <w:iCs/>
        </w:rPr>
        <w:t xml:space="preserve">Magnitud del sesgo de sustitución</w:t>
      </w:r>
      <w:r>
        <w:t xml:space="preserve">:</w:t>
      </w:r>
    </w:p>
    <w:p>
      <w:pPr>
        <w:numPr>
          <w:ilvl w:val="1"/>
          <w:numId w:val="1138"/>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38"/>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38"/>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keepNext/>
        <w:keepLines/>
      </w:pPr>
      <w:r>
        <w:t xml:space="preserve">La función de gasto traduce la utilidad a euros:</w:t>
      </w:r>
    </w:p>
    <w:p>
      <w:pPr>
        <w:pStyle w:val="Ideaclave"/>
        <w:keepNext/>
        <w:keepLines/>
        <w:numPr>
          <w:ilvl w:val="0"/>
          <w:numId w:val="1139"/>
        </w:numPr>
      </w:pPr>
      <w:r>
        <w:t xml:space="preserve">la VC y la VE miden exactamente el cambio de bienestar;</w:t>
      </w:r>
    </w:p>
    <w:p>
      <w:pPr>
        <w:pStyle w:val="Ideaclave"/>
        <w:keepNext/>
        <w:keepLines/>
        <w:numPr>
          <w:ilvl w:val="0"/>
          <w:numId w:val="1139"/>
        </w:numPr>
      </w:pPr>
      <w:r>
        <w:t xml:space="preserve">el excedente marshalliano las aproxima tanto mejor cuanto menor es el efecto renta (</w:t>
      </w:r>
      <w:r>
        <w:rPr>
          <w:smallCaps/>
        </w:rPr>
        <w:t xml:space="preserve">Willig</w:t>
      </w:r>
      <w:r>
        <w:t xml:space="preserve">);</w:t>
      </w:r>
    </w:p>
    <w:p>
      <w:pPr>
        <w:pStyle w:val="Ideaclave"/>
        <w:keepLines/>
        <w:numPr>
          <w:ilvl w:val="0"/>
          <w:numId w:val="1139"/>
        </w:numPr>
      </w:pPr>
      <w:r>
        <w:t xml:space="preserve">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40"/>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41"/>
        </w:numPr>
      </w:pPr>
      <w:r>
        <w:rPr>
          <w:b/>
          <w:bCs/>
          <w:i/>
          <w:iCs/>
        </w:rPr>
        <w:t xml:space="preserve">Recapitulación</w:t>
      </w:r>
      <w:r>
        <w:t xml:space="preserve">:</w:t>
      </w:r>
    </w:p>
    <w:p>
      <w:pPr>
        <w:numPr>
          <w:ilvl w:val="1"/>
          <w:numId w:val="1142"/>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42"/>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keepNext/>
        <w:numPr>
          <w:ilvl w:val="1"/>
          <w:numId w:val="1142"/>
        </w:numPr>
      </w:pPr>
      <w:r>
        <w:t xml:space="preserve">Y tienen tres aplicaciones (</w:t>
      </w:r>
      <w:hyperlink w:anchor="sec_aplicaciones_dualidad">
        <w:r>
          <w:rPr>
            <w:rStyle w:val="Hyperlink"/>
          </w:rPr>
          <w:t xml:space="preserve">III</w:t>
        </w:r>
      </w:hyperlink>
      <w:r>
        <w:t xml:space="preserve">):</w:t>
      </w:r>
    </w:p>
    <w:p>
      <w:pPr>
        <w:numPr>
          <w:ilvl w:val="2"/>
          <w:numId w:val="1143"/>
        </w:numPr>
      </w:pPr>
      <w:r>
        <w:t xml:space="preserve">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w:t>
      </w:r>
    </w:p>
    <w:p>
      <w:pPr>
        <w:numPr>
          <w:ilvl w:val="2"/>
          <w:numId w:val="1143"/>
        </w:numPr>
      </w:pPr>
      <w:r>
        <w:t xml:space="preserve">la demostración de la ecuación de</w:t>
      </w:r>
      <w:r>
        <w:t xml:space="preserve"> </w:t>
      </w:r>
      <w:r>
        <w:rPr>
          <w:smallCaps/>
        </w:rPr>
        <w:t xml:space="preserve">Slutsky</w:t>
      </w:r>
      <w:r>
        <w:t xml:space="preserve">, con la distinción entre relaciones netas y brutas;</w:t>
      </w:r>
    </w:p>
    <w:p>
      <w:pPr>
        <w:numPr>
          <w:ilvl w:val="2"/>
          <w:numId w:val="1143"/>
        </w:numPr>
      </w:pPr>
      <w:r>
        <w:t xml:space="preserve">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w:t>
      </w:r>
    </w:p>
    <w:p>
      <w:pPr>
        <w:numPr>
          <w:ilvl w:val="0"/>
          <w:numId w:val="1141"/>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41"/>
        </w:numPr>
      </w:pPr>
      <w:r>
        <w:rPr>
          <w:b/>
          <w:bCs/>
          <w:i/>
          <w:iCs/>
        </w:rPr>
        <w:t xml:space="preserve">Extensiones y relación con otras partes del temario</w:t>
      </w:r>
      <w:r>
        <w:t xml:space="preserve">:</w:t>
      </w:r>
    </w:p>
    <w:p>
      <w:pPr>
        <w:numPr>
          <w:ilvl w:val="1"/>
          <w:numId w:val="1144"/>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44"/>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44"/>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44"/>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41"/>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41"/>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a falta de pan, buenas son tortas;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keepNext/>
        <w:keepLines/>
      </w:pPr>
      <w:r>
        <w:rPr>
          <w:b/>
          <w:bCs/>
        </w:rPr>
        <w:t xml:space="preserve">Lecturas complementarias</w:t>
      </w:r>
    </w:p>
    <w:p>
      <w:pPr>
        <w:pStyle w:val="Cajadeanotaciones"/>
        <w:keepNext/>
        <w:keepLines/>
        <w:numPr>
          <w:ilvl w:val="0"/>
          <w:numId w:val="1145"/>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keepNext/>
        <w:keepLines/>
        <w:numPr>
          <w:ilvl w:val="0"/>
          <w:numId w:val="1145"/>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keepNext/>
        <w:keepLines/>
        <w:numPr>
          <w:ilvl w:val="0"/>
          <w:numId w:val="1145"/>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keepLines/>
        <w:numPr>
          <w:ilvl w:val="0"/>
          <w:numId w:val="1145"/>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46"/>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shd w:val="clear" w:color="auto" w:fill="DDEBF7"/>
            <w:vAlign w:val="center"/>
          </w:tcPr>
          <w:p>
            <w:pPr>
              <w:pStyle w:val="Celdatceeazulpalido"/>
              <w:keepNext/>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3.D</w:t>
        </w:r>
      </w:hyperlink>
      <w:r>
        <w:rPr>
          <w:i/>
          <w:iCs/>
        </w:rPr>
        <w:t xml:space="preserve"> </w:t>
      </w:r>
      <w:r>
        <w:rPr>
          <w:i/>
          <w:iCs/>
        </w:rPr>
        <w:t xml:space="preserve">y 3.E)</w:t>
      </w:r>
      <w:r>
        <w:rPr>
          <w:i/>
          <w:iCs/>
        </w:rPr>
        <w:t xml:space="preserve">.</w:t>
      </w:r>
    </w:p>
    <w:p>
      <w:pPr>
        <w:numPr>
          <w:ilvl w:val="0"/>
          <w:numId w:val="1147"/>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47"/>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47"/>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48"/>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48"/>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48"/>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48"/>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48"/>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49"/>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50"/>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50"/>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51"/>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51"/>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51"/>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52"/>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52"/>
        </w:numPr>
      </w:pPr>
      <w:r>
        <w:rPr>
          <w:b/>
          <w:bCs/>
        </w:rPr>
        <w:t xml:space="preserve">Concavidad y convexidad</w:t>
      </w:r>
      <w:r>
        <w:t xml:space="preserve">:</w:t>
      </w:r>
    </w:p>
    <w:p>
      <w:pPr>
        <w:numPr>
          <w:ilvl w:val="1"/>
          <w:numId w:val="1153"/>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53"/>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52"/>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52"/>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keepNext/>
        <w:numPr>
          <w:ilvl w:val="0"/>
          <w:numId w:val="1152"/>
        </w:numPr>
      </w:pPr>
      <w:r>
        <w:rPr>
          <w:i/>
          <w:iCs/>
        </w:rPr>
        <w:t xml:space="preserve">Uso en la teoría de la demanda</w:t>
      </w:r>
      <w:r>
        <w:t xml:space="preserve">:</w:t>
      </w:r>
    </w:p>
    <w:p>
      <w:pPr>
        <w:numPr>
          <w:ilvl w:val="1"/>
          <w:numId w:val="1154"/>
        </w:numPr>
      </w:pPr>
      <w:r>
        <w:t xml:space="preserve">la concavidad de la función de gasto equivale a que la matriz de</w:t>
      </w:r>
      <w:r>
        <w:t xml:space="preserve"> </w:t>
      </w:r>
      <w:r>
        <w:rPr>
          <w:smallCaps/>
        </w:rPr>
        <w:t xml:space="preserve">Slutsky</w:t>
      </w:r>
      <w:r>
        <w:t xml:space="preserve"> </w:t>
      </w:r>
      <w:r>
        <w:t xml:space="preserve">sea semidefinida negativa;</w:t>
      </w:r>
    </w:p>
    <w:p>
      <w:pPr>
        <w:numPr>
          <w:ilvl w:val="1"/>
          <w:numId w:val="1154"/>
        </w:numPr>
      </w:pPr>
      <w:r>
        <w:t xml:space="preserve">la cuasiconcavidad de la utilidad, a la convexidad de las preferencias;</w:t>
      </w:r>
    </w:p>
    <w:p>
      <w:pPr>
        <w:numPr>
          <w:ilvl w:val="1"/>
          <w:numId w:val="1154"/>
        </w:numPr>
      </w:pPr>
      <w:r>
        <w:t xml:space="preserve">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w:t>
      </w:r>
    </w:p>
    <w:p>
      <w:pPr>
        <w:numPr>
          <w:ilvl w:val="0"/>
          <w:numId w:val="1152"/>
        </w:numPr>
      </w:pPr>
      <w:r>
        <w:t xml:space="preserve">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55"/>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55"/>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55"/>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55"/>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55"/>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55"/>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cantSplit/>
          <w:tblHeader w:val="on"/>
        </w:trPr>
        <w:tc>
          <w:tcPr>
            <w:shd w:val="clear" w:color="auto" w:fill="DDEBF7"/>
            <w:vAlign w:val="center"/>
          </w:tcPr>
          <w:p>
            <w:pPr>
              <w:pStyle w:val="Celdatceeazulpalido"/>
              <w:keepNext/>
              <w:jc w:val="center"/>
            </w:pPr>
            <w:r>
              <w:rPr>
                <w:i/>
                <w:iCs/>
              </w:rPr>
              <w:t xml:space="preserve">Tipo de bien</w:t>
            </w:r>
          </w:p>
        </w:tc>
        <w:tc>
          <w:tcPr>
            <w:shd w:val="clear" w:color="auto" w:fill="DDEBF7"/>
            <w:vAlign w:val="center"/>
          </w:tcPr>
          <w:p>
            <w:pPr>
              <w:pStyle w:val="Celdatceeazulpalido"/>
              <w:keepNext/>
              <w:jc w:val="center"/>
            </w:pPr>
            <w:r>
              <w:rPr>
                <w:i/>
                <w:iCs/>
              </w:rPr>
              <w:t xml:space="preserve">Ordenación (con signo)</w:t>
            </w:r>
          </w:p>
        </w:tc>
        <w:tc>
          <w:tcPr>
            <w:shd w:val="clear" w:color="auto" w:fill="DDEBF7"/>
            <w:vAlign w:val="center"/>
          </w:tcPr>
          <w:p>
            <w:pPr>
              <w:pStyle w:val="Celdatceeazulpalido"/>
              <w:keepNext/>
              <w:jc w:val="center"/>
            </w:pPr>
            <w:r>
              <w:rPr>
                <w:i/>
                <w:iCs/>
              </w:rPr>
              <w:t xml:space="preserve">Por qué</w:t>
            </w:r>
          </w:p>
        </w:tc>
      </w:tr>
      <w:tr>
        <w:trPr>
          <w:cantSplit/>
        </w:trPr>
        <w:tc>
          <w:tcPr>
            <w:vAlign w:val="center"/>
          </w:tcPr>
          <w:p>
            <w:pPr>
              <w:pStyle w:val="Compact"/>
              <w:jc w:val="center"/>
            </w:pPr>
            <w:r>
              <w:rPr>
                <w:rStyle w:val="Textoverde"/>
              </w:rPr>
              <w:t xml:space="preserve">Normal</w:t>
            </w:r>
          </w:p>
        </w:tc>
        <w:tc>
          <w:tcPr>
            <w:shd w:val="clear" w:color="auto" w:fill="E2EFD9"/>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rPr>
          <w:cantSplit/>
        </w:trP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56"/>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56"/>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56"/>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56"/>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keepLines/>
      </w:pPr>
      <w:r>
        <w:t xml:space="preserve">Preguntas tipo test:</w:t>
      </w:r>
      <w:r>
        <w:t xml:space="preserve"> </w:t>
      </w:r>
      <w:hyperlink r:id="rId234">
        <w:r>
          <w:rPr>
            <w:rStyle w:val="Hyperlink"/>
          </w:rPr>
          <w:t xml:space="preserve">simulador de test</w:t>
        </w:r>
      </w:hyperlink>
      <w:r>
        <w:t xml:space="preserve">.</w:t>
      </w:r>
    </w:p>
    <w:p>
      <w:pPr>
        <w:keepNext/>
        <w:numPr>
          <w:ilvl w:val="0"/>
          <w:numId w:val="1157"/>
        </w:numPr>
      </w:pPr>
      <w:r>
        <w:t xml:space="preserve">Homogeneidad:</w:t>
      </w:r>
    </w:p>
    <w:p>
      <w:pPr>
        <w:numPr>
          <w:ilvl w:val="1"/>
          <w:numId w:val="1158"/>
        </w:numPr>
      </w:pP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p>
    <w:p>
      <w:pPr>
        <w:numPr>
          <w:ilvl w:val="1"/>
          <w:numId w:val="1158"/>
        </w:numPr>
      </w:pP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p>
    <w:p>
      <w:pPr>
        <w:numPr>
          <w:ilvl w:val="1"/>
          <w:numId w:val="1158"/>
        </w:numPr>
      </w:pP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57"/>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57"/>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57"/>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57"/>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57"/>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57"/>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57"/>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2026-10-26T23:13:50Z</dcterms:created>
  <dcterms:modified xsi:type="dcterms:W3CDTF">2026-10-26T23:13:50Z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17/10/2026</vt:lpwstr>
  </property>
  <property fmtid="{D5CDD505-2E9C-101B-9397-08002B2CF9AE}" pid="12" name="ejercicio">
    <vt:lpwstr>Tercer ejercicio</vt:lpwstr>
  </property>
  <property fmtid="{D5CDD505-2E9C-101B-9397-08002B2CF9AE}" pid="13" name="etiqueta">
    <vt:lpwstr>Tema 3.A.9</vt:lpwstr>
  </property>
  <property fmtid="{D5CDD505-2E9C-101B-9397-08002B2CF9AE}" pid="14" name="exclusivo">
    <vt:lpwstr>True</vt:lpwstr>
  </property>
  <property fmtid="{D5CDD505-2E9C-101B-9397-08002B2CF9AE}" pid="15" name="fecha">
    <vt:lpwstr>17/10/2026</vt:lpwstr>
  </property>
  <property fmtid="{D5CDD505-2E9C-101B-9397-08002B2CF9AE}" pid="16" name="fecha-cita">
    <vt:lpwstr>2026/10/17</vt:lpwstr>
  </property>
  <property fmtid="{D5CDD505-2E9C-101B-9397-08002B2CF9AE}" pid="17" name="fecha-iso">
    <vt:lpwstr>2026-10-17</vt:lpwstr>
  </property>
  <property fmtid="{D5CDD505-2E9C-101B-9397-08002B2CF9AE}" pid="18" name="fecha-publicada">
    <vt:lpwstr>2026-10-17</vt:lpwstr>
  </property>
  <property fmtid="{D5CDD505-2E9C-101B-9397-08002B2CF9AE}" pid="19" name="fecha-publicada-cita">
    <vt:lpwstr>2026/10/17</vt:lpwstr>
  </property>
  <property fmtid="{D5CDD505-2E9C-101B-9397-08002B2CF9AE}" pid="20" name="graficos-docx">
    <vt:lpwstr>C:\Users\vgutierrez\Documents\src\victorgutierrezmarcos.github.io-revision\oposicion\temario\fuentes\3A09\graficos</vt:lpwstr>
  </property>
  <property fmtid="{D5CDD505-2E9C-101B-9397-08002B2CF9AE}" pid="21" name="link-citations">
    <vt:lpwstr>True</vt:lpwstr>
  </property>
  <property fmtid="{D5CDD505-2E9C-101B-9397-08002B2CF9AE}" pid="22" name="materia">
    <vt:lpwstr>Microeconomía</vt:lpwstr>
  </property>
  <property fmtid="{D5CDD505-2E9C-101B-9397-08002B2CF9AE}" pid="23" name="paginas">
    <vt:lpwstr>Tema: 43 págs. · Anexos: 5 · Bibliografía: 4</vt:lpwstr>
  </property>
  <property fmtid="{D5CDD505-2E9C-101B-9397-08002B2CF9AE}" pid="24"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5" name="reference-section-title">
    <vt:lpwstr>Bibliografía</vt:lpwstr>
  </property>
  <property fmtid="{D5CDD505-2E9C-101B-9397-08002B2CF9AE}" pid="26" name="resumen">
    <vt:lpwstr>Demanda hicksiana, función de gasto, lema de Shephard e identidad de Roy, integrabilidad, sistemas de demanda (AIDS, Rotterdam) y variación compensatoria.</vt:lpwstr>
  </property>
  <property fmtid="{D5CDD505-2E9C-101B-9397-08002B2CF9AE}" pid="27" name="titulo">
    <vt:lpwstr>Teoría de la demanda del consumidor (II). Dualidad e integrabilidad de las preferencias. Sistemas de demanda utilizados en estudios empíricos. Medidas de cambio en el bienestar.</vt:lpwstr>
  </property>
  <property fmtid="{D5CDD505-2E9C-101B-9397-08002B2CF9AE}" pid="28" name="titulo-cita">
    <vt:lpwstr>Teoría de la demanda del consumidor (II). Dualidad e integrabilidad de las preferencias. Sistemas de demanda utilizados en estudios empíricos. Medidas de cambio en el bienestar</vt:lpwstr>
  </property>
  <property fmtid="{D5CDD505-2E9C-101B-9397-08002B2CF9AE}" pid="29" name="titulo-seo">
    <vt:lpwstr>Dualidad del consumidor y medidas de bienestar</vt:lpwstr>
  </property>
</Properties>
</file>