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16/10/2026</w:t>
      </w:r>
    </w:p>
    <w:p>
      <w:pPr>
        <w:pStyle w:val="Paginasdeltema"/>
      </w:pPr>
      <w:r>
        <w:t xml:space="preserve">Tema: 48 págs. · Anexos: 10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práctica hace al maestro», dice el refrán, y pocas industrias lo demuestran mejor que la fotovoltaica.</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keepNext/>
        <w:numPr>
          <w:ilvl w:val="1"/>
          <w:numId w:val="1002"/>
        </w:numPr>
      </w:pPr>
      <w:r>
        <w:t xml:space="preserve">Dos definiciones básicas:</w:t>
      </w:r>
    </w:p>
    <w:p>
      <w:pPr>
        <w:numPr>
          <w:ilvl w:val="2"/>
          <w:numId w:val="1004"/>
        </w:numPr>
      </w:pPr>
      <w:r>
        <w:t xml:space="preserve">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w:t>
      </w:r>
    </w:p>
    <w:p>
      <w:pPr>
        <w:numPr>
          <w:ilvl w:val="2"/>
          <w:numId w:val="1004"/>
        </w:numPr>
      </w:pPr>
      <w:r>
        <w:t xml:space="preserve">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5"/>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keepNext/>
        <w:numPr>
          <w:ilvl w:val="1"/>
          <w:numId w:val="1005"/>
        </w:numPr>
      </w:pPr>
      <w:r>
        <w:rPr>
          <w:i/>
          <w:iCs/>
        </w:rPr>
        <w:t xml:space="preserve">De política económica</w:t>
      </w:r>
      <w:r>
        <w:t xml:space="preserve">:</w:t>
      </w:r>
    </w:p>
    <w:p>
      <w:pPr>
        <w:numPr>
          <w:ilvl w:val="2"/>
          <w:numId w:val="1006"/>
        </w:numPr>
      </w:pPr>
      <w:r>
        <w:t xml:space="preserve">los reguladores de redes fijan los ingresos permitidos comparando la eficiencia en costes de las empresas</w:t>
      </w:r>
      <w:r>
        <w:t xml:space="preserve"> </w:t>
      </w:r>
      <w:hyperlink r:id="rId27">
        <w:r>
          <w:rPr>
            <w:rStyle w:val="Referenciaatema"/>
          </w:rPr>
          <w:t xml:space="preserve">[ver tema 3.A.20]</w:t>
        </w:r>
      </w:hyperlink>
      <w:r>
        <w:t xml:space="preserve">;</w:t>
      </w:r>
    </w:p>
    <w:p>
      <w:pPr>
        <w:numPr>
          <w:ilvl w:val="2"/>
          <w:numId w:val="1006"/>
        </w:numPr>
      </w:pPr>
      <w:r>
        <w:t xml:space="preserve">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2"/>
          <w:numId w:val="1006"/>
        </w:numPr>
      </w:pPr>
      <w:r>
        <w:t xml:space="preserve">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7"/>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keepNext/>
        <w:numPr>
          <w:ilvl w:val="1"/>
          <w:numId w:val="1007"/>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w:t>
      </w:r>
    </w:p>
    <w:p>
      <w:pPr>
        <w:numPr>
          <w:ilvl w:val="2"/>
          <w:numId w:val="1008"/>
        </w:numPr>
      </w:pP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p>
    <w:p>
      <w:pPr>
        <w:numPr>
          <w:ilvl w:val="2"/>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w:t>
      </w:r>
    </w:p>
    <w:p>
      <w:pPr>
        <w:numPr>
          <w:ilvl w:val="2"/>
          <w:numId w:val="1008"/>
        </w:numPr>
      </w:pPr>
      <w:r>
        <w:t xml:space="preserve">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keepNext/>
        <w:numPr>
          <w:ilvl w:val="1"/>
          <w:numId w:val="1007"/>
        </w:numPr>
      </w:pPr>
      <w:r>
        <w:t xml:space="preserve">La dualidad abre la puerta a la estimación:</w:t>
      </w:r>
    </w:p>
    <w:p>
      <w:pPr>
        <w:numPr>
          <w:ilvl w:val="2"/>
          <w:numId w:val="1009"/>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p>
    <w:p>
      <w:pPr>
        <w:numPr>
          <w:ilvl w:val="2"/>
          <w:numId w:val="100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w:t>
      </w:r>
    </w:p>
    <w:p>
      <w:pPr>
        <w:numPr>
          <w:ilvl w:val="2"/>
          <w:numId w:val="1009"/>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w:t>
      </w:r>
    </w:p>
    <w:p>
      <w:pPr>
        <w:numPr>
          <w:ilvl w:val="1"/>
          <w:numId w:val="1007"/>
        </w:numPr>
      </w:pPr>
      <w:r>
        <w:t xml:space="preserve">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7"/>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7"/>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10"/>
        </w:numPr>
      </w:pPr>
      <w:r>
        <w:t xml:space="preserve">¿Cómo elige la empresa la forma más barata de producir y qué información contiene la función de costes que resulta?</w:t>
      </w:r>
    </w:p>
    <w:p>
      <w:pPr>
        <w:numPr>
          <w:ilvl w:val="1"/>
          <w:numId w:val="1010"/>
        </w:numPr>
      </w:pPr>
      <w:r>
        <w:t xml:space="preserve">¿Qué relación hay entre maximizar el beneficio, minimizar el coste y la tecnología? ¿En qué sentido son «duales»? ¿Basta conocer los costes para conocer la tecnología?</w:t>
      </w:r>
    </w:p>
    <w:p>
      <w:pPr>
        <w:numPr>
          <w:ilvl w:val="1"/>
          <w:numId w:val="1010"/>
        </w:numPr>
      </w:pPr>
      <w:r>
        <w:t xml:space="preserve">¿Cómo responden los costes y la demanda de factores a la producción, a los precios de los factores y al plazo?</w:t>
      </w:r>
    </w:p>
    <w:p>
      <w:pPr>
        <w:numPr>
          <w:ilvl w:val="1"/>
          <w:numId w:val="1010"/>
        </w:numPr>
      </w:pPr>
      <w:r>
        <w:t xml:space="preserve">¿Cómo se estiman los costes y se mide la eficiencia con datos?</w:t>
      </w:r>
    </w:p>
    <w:p>
      <w:pPr>
        <w:numPr>
          <w:ilvl w:val="1"/>
          <w:numId w:val="1010"/>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11"/>
        </w:numPr>
      </w:pPr>
      <w:r>
        <w:rPr>
          <w:b/>
          <w:bCs/>
        </w:rPr>
        <w:t xml:space="preserve">I. «Dualidad» entre maximización del beneficio y minimización del coste</w:t>
      </w:r>
      <w:r>
        <w:t xml:space="preserve">:</w:t>
      </w:r>
    </w:p>
    <w:p>
      <w:pPr>
        <w:numPr>
          <w:ilvl w:val="2"/>
          <w:numId w:val="1012"/>
        </w:numPr>
      </w:pPr>
      <w:r>
        <w:t xml:space="preserve">partiremos de los ingredientes comunes (</w:t>
      </w:r>
      <w:hyperlink w:anchor="sec_ingredientes_comunes_problema">
        <w:r>
          <w:rPr>
            <w:rStyle w:val="Hyperlink"/>
          </w:rPr>
          <w:t xml:space="preserve">I.1</w:t>
        </w:r>
      </w:hyperlink>
      <w:r>
        <w:t xml:space="preserve">);</w:t>
      </w:r>
    </w:p>
    <w:p>
      <w:pPr>
        <w:numPr>
          <w:ilvl w:val="2"/>
          <w:numId w:val="1012"/>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2"/>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11"/>
        </w:numPr>
      </w:pPr>
      <w:r>
        <w:rPr>
          <w:b/>
          <w:bCs/>
        </w:rPr>
        <w:t xml:space="preserve">II. Análisis de los costes: estática comparativa, plazos y aplicaciones empíricas</w:t>
      </w:r>
      <w:r>
        <w:t xml:space="preserve">:</w:t>
      </w:r>
    </w:p>
    <w:p>
      <w:pPr>
        <w:numPr>
          <w:ilvl w:val="2"/>
          <w:numId w:val="1013"/>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13"/>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keepNext/>
        <w:numPr>
          <w:ilvl w:val="1"/>
          <w:numId w:val="1011"/>
        </w:numPr>
      </w:pPr>
      <w:r>
        <w:rPr>
          <w:b/>
          <w:bCs/>
        </w:rPr>
        <w:t xml:space="preserve">III. Extensiones y críticas</w:t>
      </w:r>
      <w:r>
        <w:t xml:space="preserve">:</w:t>
      </w:r>
    </w:p>
    <w:p>
      <w:pPr>
        <w:numPr>
          <w:ilvl w:val="2"/>
          <w:numId w:val="1014"/>
        </w:numPr>
      </w:pPr>
      <w:r>
        <w:t xml:space="preserve">qué implica la forma de los costes para la estructura del mercado (</w:t>
      </w:r>
      <w:hyperlink w:anchor="sec_implicaciones_estructura_mercado">
        <w:r>
          <w:rPr>
            <w:rStyle w:val="Hyperlink"/>
          </w:rPr>
          <w:t xml:space="preserve">III.1</w:t>
        </w:r>
      </w:hyperlink>
      <w:r>
        <w:t xml:space="preserve">);</w:t>
      </w:r>
    </w:p>
    <w:p>
      <w:pPr>
        <w:numPr>
          <w:ilvl w:val="2"/>
          <w:numId w:val="1014"/>
        </w:numPr>
      </w:pPr>
      <w:r>
        <w:t xml:space="preserve">las economías externas (</w:t>
      </w:r>
      <w:hyperlink w:anchor="sec_economias_escala">
        <w:r>
          <w:rPr>
            <w:rStyle w:val="Hyperlink"/>
          </w:rPr>
          <w:t xml:space="preserve">III.2</w:t>
        </w:r>
      </w:hyperlink>
      <w:r>
        <w:t xml:space="preserve">);</w:t>
      </w:r>
    </w:p>
    <w:p>
      <w:pPr>
        <w:numPr>
          <w:ilvl w:val="2"/>
          <w:numId w:val="1014"/>
        </w:numPr>
      </w:pPr>
      <w:r>
        <w:t xml:space="preserve">las críticas de la organización industrial a sus supuestos (</w:t>
      </w:r>
      <w:hyperlink w:anchor="sec_criticas_extensiones_teoria">
        <w:r>
          <w:rPr>
            <w:rStyle w:val="Hyperlink"/>
          </w:rPr>
          <w:t xml:space="preserve">III.3</w:t>
        </w:r>
      </w:hyperlink>
      <w:r>
        <w:t xml:space="preserve">);</w:t>
      </w:r>
    </w:p>
    <w:p>
      <w:pPr>
        <w:numPr>
          <w:ilvl w:val="2"/>
          <w:numId w:val="1014"/>
        </w:numPr>
      </w:pPr>
      <w:r>
        <w:t xml:space="preserve">otras extensiones (</w:t>
      </w:r>
      <w:hyperlink w:anchor="sec_otras_extensiones_teoria">
        <w:r>
          <w:rPr>
            <w:rStyle w:val="Hyperlink"/>
          </w:rPr>
          <w:t xml:space="preserve">III.4</w:t>
        </w:r>
      </w:hyperlink>
      <w:r>
        <w:t xml:space="preserve">).</w:t>
      </w:r>
    </w:p>
    <w:p>
      <w:pPr>
        <w:keepNext/>
        <w:numPr>
          <w:ilvl w:val="1"/>
          <w:numId w:val="1011"/>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w:t>
      </w:r>
    </w:p>
    <w:p>
      <w:pPr>
        <w:numPr>
          <w:ilvl w:val="2"/>
          <w:numId w:val="1015"/>
        </w:numPr>
      </w:pPr>
      <w:r>
        <w:t xml:space="preserve">su elasticidad respecto a la producción (las economías de escala);</w:t>
      </w:r>
    </w:p>
    <w:p>
      <w:pPr>
        <w:numPr>
          <w:ilvl w:val="2"/>
          <w:numId w:val="1015"/>
        </w:numPr>
      </w:pPr>
      <w:r>
        <w:t xml:space="preserve">sus derivadas respecto a los precios de los factores (las participaciones y la sustitución);</w:t>
      </w:r>
    </w:p>
    <w:p>
      <w:pPr>
        <w:numPr>
          <w:ilvl w:val="2"/>
          <w:numId w:val="1015"/>
        </w:numPr>
      </w:pPr>
      <w:r>
        <w:t xml:space="preserve">la distancia entre el coste observado y el mínimo (la eficiencia).</w:t>
      </w:r>
    </w:p>
    <w:p>
      <w:pPr>
        <w:numPr>
          <w:ilvl w:val="1"/>
          <w:numId w:val="1011"/>
        </w:numPr>
      </w:pPr>
      <w:r>
        <w:t xml:space="preserve">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keepLines/>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keepLines/>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keepLines/>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6"/>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7"/>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7"/>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8"/>
        </w:numPr>
      </w:pPr>
      <w:r>
        <w:t xml:space="preserve">Recorremos el esquema parte por parte:</w:t>
      </w:r>
    </w:p>
    <w:p>
      <w:pPr>
        <w:numPr>
          <w:ilvl w:val="1"/>
          <w:numId w:val="1019"/>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9"/>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20"/>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20"/>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20"/>
        </w:numPr>
      </w:pPr>
      <w:r>
        <w:t xml:space="preserve">es</w:t>
      </w:r>
      <w:r>
        <w:t xml:space="preserve"> </w:t>
      </w:r>
      <w:r>
        <w:rPr>
          <w:i/>
          <w:iCs/>
        </w:rPr>
        <w:t xml:space="preserve">no decreciente</w:t>
      </w:r>
      <w:r>
        <w:t xml:space="preserve"> </w:t>
      </w:r>
      <w:r>
        <w:t xml:space="preserve">en los factores, por la eliminación gratuita;</w:t>
      </w:r>
    </w:p>
    <w:p>
      <w:pPr>
        <w:numPr>
          <w:ilvl w:val="2"/>
          <w:numId w:val="1020"/>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20"/>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9"/>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8"/>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Maximización del beneficio</w:t>
            </w:r>
          </w:p>
        </w:tc>
        <w:tc>
          <w:tcPr>
            <w:shd w:val="clear" w:color="auto" w:fill="DDEBF7"/>
          </w:tcPr>
          <w:tcPr/>
          <w:p>
            <w:pPr>
              <w:pStyle w:val="Celdatceeazulpalido"/>
              <w:keepNext/>
              <w:jc w:val="left"/>
            </w:pPr>
            <w:r>
              <w:rPr>
                <w:b/>
                <w:bCs/>
              </w:rPr>
              <w:t xml:space="preserve">Minimización del coste</w:t>
            </w:r>
          </w:p>
        </w:tc>
      </w:tr>
      <w:tr>
        <w:trPr>
          <w:cantSplit/>
        </w:trP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rPr>
          <w:cantSplit/>
        </w:trP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rPr>
          <w:cantSplit/>
        </w:trP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rPr>
          <w:cantSplit/>
        </w:trP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rPr>
          <w:cantSplit/>
        </w:trP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21"/>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22"/>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23"/>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24"/>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25"/>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6"/>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6"/>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6"/>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La maximización del beneficio de una empresa precio-aceptante exige, por tanto, rendimientos decrecientes, al menos a partir de cierta escala.</w:t>
      </w:r>
    </w:p>
    <w:p>
      <w:pPr>
        <w:numPr>
          <w:ilvl w:val="0"/>
          <w:numId w:val="1025"/>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keepNext/>
        <w:keepLi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w:t>
      </w:r>
    </w:p>
    <w:p>
      <w:pPr>
        <w:pStyle w:val="Cajadeanotaciones"/>
        <w:keepNext/>
        <w:keepLines/>
        <w:numPr>
          <w:ilvl w:val="0"/>
          <w:numId w:val="1027"/>
        </w:numPr>
      </w:pPr>
      <w:r>
        <w:t xml:space="preserve">la demanda del factor</w:t>
      </w:r>
      <w:r>
        <w:t xml:space="preserve"> </w:t>
      </w:r>
      <m:oMath>
        <m:r>
          <m:t>z</m:t>
        </m:r>
        <m:d>
          <m:dPr>
            <m:begChr m:val="("/>
            <m:sepChr m:val=""/>
            <m:endChr m:val=")"/>
            <m:grow/>
          </m:dPr>
          <m:e>
            <m:r>
              <m:t>p</m:t>
            </m:r>
            <m:r>
              <m:rPr>
                <m:sty m:val="p"/>
              </m:rPr>
              <m:t>,</m:t>
            </m:r>
            <m:r>
              <m:t>w</m:t>
            </m:r>
          </m:e>
        </m:d>
      </m:oMath>
      <w:r>
        <w:t xml:space="preserve">;</w:t>
      </w:r>
    </w:p>
    <w:p>
      <w:pPr>
        <w:pStyle w:val="Cajadeanotaciones"/>
        <w:keepNext/>
        <w:keepLines/>
        <w:numPr>
          <w:ilvl w:val="0"/>
          <w:numId w:val="1027"/>
        </w:numPr>
      </w:pPr>
      <w:r>
        <w:t xml:space="preserve">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w:t>
      </w:r>
    </w:p>
    <w:p>
      <w:pPr>
        <w:pStyle w:val="Cajadeanotaciones"/>
        <w:keepLines/>
        <w:numPr>
          <w:ilvl w:val="0"/>
          <w:numId w:val="1027"/>
        </w:numPr>
      </w:pPr>
      <w:r>
        <w:t xml:space="preserve">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8"/>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9"/>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9"/>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9"/>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8"/>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keepLines/>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30"/>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30"/>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30"/>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31"/>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31"/>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33"/>
        </w:numPr>
      </w:pPr>
      <w:r>
        <w:t xml:space="preserve">la oferta nunca tiene pendiente negativa (</w:t>
      </w:r>
      <w:r>
        <w:rPr>
          <w:i/>
          <w:iCs/>
        </w:rPr>
        <w:t xml:space="preserve">ley de la oferta</w:t>
      </w:r>
      <w:r>
        <w:t xml:space="preserve">);</w:t>
      </w:r>
    </w:p>
    <w:p>
      <w:pPr>
        <w:numPr>
          <w:ilvl w:val="3"/>
          <w:numId w:val="1033"/>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34"/>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35"/>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36"/>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7"/>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8"/>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8"/>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8"/>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8"/>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7"/>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9"/>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40"/>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40"/>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40"/>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40"/>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40"/>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9"/>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keepLines/>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4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41"/>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41"/>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41"/>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41"/>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4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keepLines/>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1"/>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42"/>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42"/>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42"/>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keepNext/>
        <w:numPr>
          <w:ilvl w:val="0"/>
          <w:numId w:val="1039"/>
        </w:numPr>
      </w:pPr>
      <w:r>
        <w:rPr>
          <w:i/>
          <w:iCs/>
        </w:rPr>
        <w:t xml:space="preserve">Ejemplos</w:t>
      </w:r>
      <w:r>
        <w:t xml:space="preserve"> </w:t>
      </w:r>
      <w:hyperlink r:id="rId23">
        <w:r>
          <w:rPr>
            <w:rStyle w:val="Referenciaatema"/>
          </w:rPr>
          <w:t xml:space="preserve">[ver tema 3.A.11]</w:t>
        </w:r>
      </w:hyperlink>
      <w:r>
        <w:t xml:space="preserve">:</w:t>
      </w:r>
    </w:p>
    <w:p>
      <w:pPr>
        <w:numPr>
          <w:ilvl w:val="1"/>
          <w:numId w:val="1043"/>
        </w:numPr>
      </w:pPr>
      <w:r>
        <w:t xml:space="preserve">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w:t>
      </w:r>
    </w:p>
    <w:p>
      <w:pPr>
        <w:numPr>
          <w:ilvl w:val="1"/>
          <w:numId w:val="1043"/>
        </w:numPr>
      </w:pPr>
      <w:r>
        <w:t xml:space="preserve">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1"/>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w:t>
      </w:r>
    </w:p>
    <w:p>
      <w:pPr>
        <w:numPr>
          <w:ilvl w:val="1"/>
          <w:numId w:val="1043"/>
        </w:numPr>
      </w:pPr>
      <w:r>
        <w:t xml:space="preserve">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p>
      <w:pPr>
        <w:numPr>
          <w:ilvl w:val="0"/>
          <w:numId w:val="1044"/>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cantSplit/>
          <w:tblHeader w:val="on"/>
        </w:trPr>
        <w:tc>
          <w:tcPr>
            <w:shd w:val="clear" w:color="auto" w:fill="DDEBF7"/>
          </w:tcPr>
          <w:tcPr/>
          <w:p>
            <w:pPr>
              <w:pStyle w:val="Celdatceeazulpalido"/>
              <w:keepNext/>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shd w:val="clear" w:color="auto" w:fill="DDEBF7"/>
          </w:tcPr>
          <w:tcPr/>
          <w:p>
            <w:pPr>
              <w:pStyle w:val="Celdatceeazulpalido"/>
              <w:keepNext/>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rPr>
          <w:cantSplit/>
        </w:trP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rPr>
          <w:cantSplit/>
        </w:trP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rPr>
          <w:cantSplit/>
        </w:trP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rPr>
          <w:cantSplit/>
        </w:trP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rPr>
          <w:cantSplit/>
        </w:trP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rPr>
          <w:cantSplit/>
        </w:trP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45"/>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46"/>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46"/>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47"/>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47"/>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46"/>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8"/>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8"/>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46"/>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 </w:t>
      </w:r>
      <w:r>
        <w:t xml:space="preserve">y 5.D)</w:t>
      </w:r>
      <w:r>
        <w:t xml:space="preserve">.</w:t>
      </w:r>
    </w:p>
    <w:p>
      <w:pPr>
        <w:numPr>
          <w:ilvl w:val="0"/>
          <w:numId w:val="1049"/>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9"/>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keepNext/>
        <w:numPr>
          <w:ilvl w:val="0"/>
          <w:numId w:val="1049"/>
        </w:numPr>
      </w:pPr>
      <w:r>
        <w:rPr>
          <w:i/>
          <w:iCs/>
        </w:rPr>
        <w:t xml:space="preserve">Esquema</w:t>
      </w:r>
      <w:r>
        <w:t xml:space="preserve">: todas estas relaciones se resumen en el gráfico </w:t>
      </w:r>
      <w:hyperlink w:anchor="fig_esquema_dualidad">
        <w:r>
          <w:rPr>
            <w:rStyle w:val="Hyperlink"/>
          </w:rPr>
          <w:t xml:space="preserve">6</w:t>
        </w:r>
      </w:hyperlink>
      <w:r>
        <w:t xml:space="preserve">:</w:t>
      </w:r>
    </w:p>
    <w:p>
      <w:pPr>
        <w:numPr>
          <w:ilvl w:val="1"/>
          <w:numId w:val="1050"/>
        </w:numPr>
      </w:pPr>
      <w:r>
        <w:t xml:space="preserve">la maximización del beneficio en una etapa, a la izquierda;</w:t>
      </w:r>
    </w:p>
    <w:p>
      <w:pPr>
        <w:numPr>
          <w:ilvl w:val="1"/>
          <w:numId w:val="1050"/>
        </w:numPr>
      </w:pPr>
      <w:r>
        <w:t xml:space="preserve">la minimización del coste, a la derecha;</w:t>
      </w:r>
    </w:p>
    <w:p>
      <w:pPr>
        <w:numPr>
          <w:ilvl w:val="1"/>
          <w:numId w:val="1050"/>
        </w:numPr>
      </w:pPr>
      <w:r>
        <w:t xml:space="preserve">la maximización en dos etapas que las une;</w:t>
      </w:r>
    </w:p>
    <w:p>
      <w:pPr>
        <w:numPr>
          <w:ilvl w:val="1"/>
          <w:numId w:val="1050"/>
        </w:numPr>
      </w:pPr>
      <w:r>
        <w:t xml:space="preserve">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5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5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52"/>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w:t>
      </w:r>
    </w:p>
    <w:p>
      <w:pPr>
        <w:numPr>
          <w:ilvl w:val="0"/>
          <w:numId w:val="105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51"/>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keepLi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5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53"/>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5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p>
      <w:pPr>
        <w:pStyle w:val="Ideaclave"/>
        <w:keepLines/>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5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keepLines/>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55"/>
        </w:numPr>
      </w:pPr>
      <w:r>
        <w:t xml:space="preserve">Una vez obtenida la función de costes y sus propiedades, pasamos a analizar cómo cambia y cómo se mide. Este bloque responde a la tercera y a la cuarta preguntas. Su conclusión anticipada:</w:t>
      </w:r>
    </w:p>
    <w:p>
      <w:pPr>
        <w:numPr>
          <w:ilvl w:val="1"/>
          <w:numId w:val="1056"/>
        </w:numPr>
      </w:pPr>
      <w:r>
        <w:t xml:space="preserve">la demanda condicionada de un factor nunca crece con su precio;</w:t>
      </w:r>
    </w:p>
    <w:p>
      <w:pPr>
        <w:numPr>
          <w:ilvl w:val="1"/>
          <w:numId w:val="1056"/>
        </w:numPr>
      </w:pPr>
      <w:r>
        <w:t xml:space="preserve">a largo plazo, la forma de los costes refleja los rendimientos a escala de la tecnología y, a corto, los rendimientos del factor variable, y a largo plazo la empresa responde más que a corto;</w:t>
      </w:r>
    </w:p>
    <w:p>
      <w:pPr>
        <w:numPr>
          <w:ilvl w:val="1"/>
          <w:numId w:val="1056"/>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55"/>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55"/>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5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5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5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6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6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6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9"/>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6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6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6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6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6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6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keepLines/>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6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64"/>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64"/>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64"/>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64"/>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Rendimientos a escala</w:t>
            </w:r>
          </w:p>
        </w:tc>
        <w:tc>
          <w:tcPr>
            <w:shd w:val="clear" w:color="auto" w:fill="DDEBF7"/>
            <w:vAlign w:val="center"/>
          </w:tcPr>
          <w:p>
            <w:pPr>
              <w:pStyle w:val="Celdatceeazulpalido"/>
              <w:keepNext/>
              <w:jc w:val="center"/>
            </w:pPr>
            <w:r>
              <w:rPr>
                <w:b/>
                <w:bCs/>
              </w:rPr>
              <w:t xml:space="preserve">Locales, en la combinación de mínimo coste</w:t>
            </w:r>
          </w:p>
        </w:tc>
        <w:tc>
          <w:tcPr>
            <w:shd w:val="clear" w:color="auto" w:fill="DDEBF7"/>
            <w:vAlign w:val="center"/>
          </w:tcPr>
          <w:p>
            <w:pPr>
              <w:pStyle w:val="Celdatceeazulpalido"/>
              <w:keepNext/>
              <w:jc w:val="center"/>
            </w:pPr>
            <w:r>
              <w:rPr>
                <w:b/>
                <w:bCs/>
              </w:rPr>
              <w:t xml:space="preserve">Globales (en todo punto)</w:t>
            </w:r>
          </w:p>
        </w:tc>
      </w:tr>
      <w:tr>
        <w:trPr>
          <w:cantSplit/>
        </w:trPr>
        <w:tc>
          <w:tcPr>
            <w:gridSpan w:val="3"/>
            <w:shd w:val="clear" w:color="auto" w:fill="E2EFD9"/>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rPr>
          <w:cantSplit/>
        </w:trP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rPr>
          <w:cantSplit/>
        </w:trP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rPr>
          <w:cantSplit/>
        </w:trP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6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keepNext/>
        <w:numPr>
          <w:ilvl w:val="0"/>
          <w:numId w:val="106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w:t>
      </w:r>
    </w:p>
    <w:p>
      <w:pPr>
        <w:numPr>
          <w:ilvl w:val="1"/>
          <w:numId w:val="1066"/>
        </w:numPr>
      </w:pPr>
      <w:r>
        <w:t xml:space="preserve">decreciente si</w:t>
      </w:r>
      <w:r>
        <w:t xml:space="preserve"> </w:t>
      </w:r>
      <m:oMath>
        <m:r>
          <m:t>k</m:t>
        </m:r>
        <m:r>
          <m:rPr>
            <m:sty m:val="p"/>
          </m:rPr>
          <m:t>&gt;</m:t>
        </m:r>
        <m:r>
          <m:t>1</m:t>
        </m:r>
      </m:oMath>
      <w:r>
        <w:t xml:space="preserve">;</w:t>
      </w:r>
    </w:p>
    <w:p>
      <w:pPr>
        <w:numPr>
          <w:ilvl w:val="1"/>
          <w:numId w:val="1066"/>
        </w:numPr>
      </w:pPr>
      <w:r>
        <w:t xml:space="preserve">constante si</w:t>
      </w:r>
      <w:r>
        <w:t xml:space="preserve"> </w:t>
      </w:r>
      <m:oMath>
        <m:r>
          <m:t>k</m:t>
        </m:r>
        <m:r>
          <m:rPr>
            <m:sty m:val="p"/>
          </m:rPr>
          <m:t>=</m:t>
        </m:r>
        <m:r>
          <m:t>1</m:t>
        </m:r>
      </m:oMath>
      <w:r>
        <w:t xml:space="preserve">;</w:t>
      </w:r>
    </w:p>
    <w:p>
      <w:pPr>
        <w:numPr>
          <w:ilvl w:val="1"/>
          <w:numId w:val="1066"/>
        </w:numPr>
      </w:pPr>
      <w:r>
        <w:t xml:space="preserve">creciente si</w:t>
      </w:r>
      <w:r>
        <w:t xml:space="preserve"> </w:t>
      </w:r>
      <m:oMath>
        <m:r>
          <m:t>k</m:t>
        </m:r>
        <m:r>
          <m:rPr>
            <m:sty m:val="p"/>
          </m:rPr>
          <m:t>&lt;</m:t>
        </m:r>
        <m:r>
          <m:t>1</m:t>
        </m:r>
      </m:oMath>
      <w:r>
        <w:t xml:space="preserve">.</w:t>
      </w:r>
    </w:p>
    <w:p>
      <w:pPr>
        <w:numPr>
          <w:ilvl w:val="0"/>
          <w:numId w:val="1065"/>
        </w:numPr>
      </w:pPr>
      <w:r>
        <w:t xml:space="preserve">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keepLi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6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6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6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6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6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6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6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keepLines/>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7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7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7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72"/>
        </w:numPr>
      </w:pPr>
      <w:r>
        <w:rPr>
          <w:b/>
          <w:bCs/>
        </w:rPr>
        <w:t xml:space="preserve">corto plazo</w:t>
      </w:r>
      <w:r>
        <w:t xml:space="preserve">: algún factor es fijo (normalmente el capital, el tamaño de la planta);</w:t>
      </w:r>
    </w:p>
    <w:p>
      <w:pPr>
        <w:numPr>
          <w:ilvl w:val="1"/>
          <w:numId w:val="107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7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7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7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7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7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7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7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7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7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7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w:t>
      </w:r>
    </w:p>
    <w:p>
      <w:pPr>
        <w:numPr>
          <w:ilvl w:val="1"/>
          <w:numId w:val="1077"/>
        </w:numPr>
      </w:pPr>
      <w:r>
        <w:t xml:space="preserve">primero crecen cada vez más despacio;</w:t>
      </w:r>
    </w:p>
    <w:p>
      <w:pPr>
        <w:numPr>
          <w:ilvl w:val="1"/>
          <w:numId w:val="1077"/>
        </w:numPr>
      </w:pPr>
      <w:r>
        <w:t xml:space="preserve">alcanzan un punto de inflexión (el mínimo del CMg);</w:t>
      </w:r>
    </w:p>
    <w:p>
      <w:pPr>
        <w:numPr>
          <w:ilvl w:val="1"/>
          <w:numId w:val="1077"/>
        </w:numPr>
      </w:pPr>
      <w:r>
        <w:t xml:space="preserve">después crecen cada vez más deprisa.</w:t>
      </w:r>
    </w:p>
    <w:p>
      <w:pPr>
        <w:numPr>
          <w:ilvl w:val="0"/>
          <w:numId w:val="1075"/>
        </w:numPr>
      </w:pPr>
      <w:r>
        <w:t xml:space="preserve">El CMg corta al CVMe y al CMe en sus mínimos.</w:t>
      </w:r>
    </w:p>
    <w:p>
      <w:pPr>
        <w:keepNext/>
        <w:numPr>
          <w:ilvl w:val="0"/>
          <w:numId w:val="1075"/>
        </w:numPr>
      </w:pPr>
      <w:r>
        <w:rPr>
          <w:i/>
          <w:iCs/>
        </w:rPr>
        <w:t xml:space="preserve">Coste medio</w:t>
      </w:r>
      <w:r>
        <w:t xml:space="preserve">: el CMe a corto plazo baja al principio por dos razones:</w:t>
      </w:r>
    </w:p>
    <w:p>
      <w:pPr>
        <w:numPr>
          <w:ilvl w:val="1"/>
          <w:numId w:val="1078"/>
        </w:numPr>
      </w:pPr>
      <w:r>
        <w:t xml:space="preserve">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w:t>
      </w:r>
    </w:p>
    <w:p>
      <w:pPr>
        <w:numPr>
          <w:ilvl w:val="1"/>
          <w:numId w:val="1078"/>
        </w:numPr>
      </w:pPr>
      <w:r>
        <w:t xml:space="preserve">la productividad creciente del trabajo.</w:t>
      </w:r>
    </w:p>
    <w:p>
      <w:pPr>
        <w:numPr>
          <w:ilvl w:val="0"/>
          <w:numId w:val="1075"/>
        </w:numPr>
      </w:pPr>
      <w:r>
        <w:t xml:space="preserve">El CMe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7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79"/>
        </w:numPr>
      </w:pPr>
      <w:r>
        <w:t xml:space="preserve">el mínimo del CVMe (</w:t>
      </w:r>
      <w:r>
        <w:rPr>
          <w:i/>
          <w:iCs/>
        </w:rPr>
        <w:t xml:space="preserve">mínimo de explotación</w:t>
      </w:r>
      <w:r>
        <w:t xml:space="preserve">): por debajo de ese precio, la empresa competitiva cierra a corto plazo;</w:t>
      </w:r>
    </w:p>
    <w:p>
      <w:pPr>
        <w:numPr>
          <w:ilvl w:val="1"/>
          <w:numId w:val="1079"/>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80"/>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81"/>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81"/>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81"/>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81"/>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80"/>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rPr>
                <w:i/>
                <w:iCs/>
              </w:rPr>
              <w:t xml:space="preserve">Tramo</w:t>
            </w:r>
          </w:p>
        </w:tc>
        <w:tc>
          <w:tcPr>
            <w:shd w:val="clear" w:color="auto" w:fill="DDEBF7"/>
            <w:vAlign w:val="center"/>
          </w:tcPr>
          <w:p>
            <w:pPr>
              <w:pStyle w:val="Celdatceeazulpalido"/>
              <w:keepNext/>
              <w:jc w:val="center"/>
            </w:pPr>
            <w:r>
              <w:rPr>
                <w:i/>
                <w:iCs/>
              </w:rPr>
              <w:t xml:space="preserve">Productividades</w:t>
            </w:r>
          </w:p>
        </w:tc>
        <w:tc>
          <w:tcPr>
            <w:shd w:val="clear" w:color="auto" w:fill="DDEBF7"/>
            <w:vAlign w:val="center"/>
          </w:tcPr>
          <w:p>
            <w:pPr>
              <w:pStyle w:val="Celdatceeazulpalido"/>
              <w:keepNext/>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keepNext/>
              <w:jc w:val="center"/>
            </w:pPr>
            <w:r>
              <w:rPr>
                <w:i/>
                <w:iCs/>
              </w:rPr>
              <w:t xml:space="preserve">Costes</w:t>
            </w:r>
          </w:p>
        </w:tc>
        <w:tc>
          <w:tcPr>
            <w:shd w:val="clear" w:color="auto" w:fill="DDEBF7"/>
            <w:vAlign w:val="center"/>
          </w:tcPr>
          <w:p>
            <w:pPr>
              <w:pStyle w:val="Celdatceeazulpalido"/>
              <w:keepNext/>
              <w:jc w:val="center"/>
            </w:pPr>
            <m:oMath>
              <m:sSub>
                <m:e>
                  <m:r>
                    <m:t>ε</m:t>
                  </m:r>
                </m:e>
                <m:sub>
                  <m:r>
                    <m:rPr>
                      <m:sty m:val="p"/>
                    </m:rPr>
                    <m:t>C</m:t>
                  </m:r>
                  <m:r>
                    <m:rPr>
                      <m:sty m:val="p"/>
                    </m:rPr>
                    <m:t>V</m:t>
                  </m:r>
                  <m:r>
                    <m:rPr>
                      <m:sty m:val="p"/>
                    </m:rPr>
                    <m:t>,</m:t>
                  </m:r>
                  <m:r>
                    <m:t>q</m:t>
                  </m:r>
                </m:sub>
              </m:sSub>
            </m:oMath>
          </w:p>
        </w:tc>
        <w:tc>
          <w:tcPr>
            <w:shd w:val="clear" w:color="auto" w:fill="DDEBF7"/>
            <w:vAlign w:val="center"/>
          </w:tcPr>
          <w:p>
            <w:pPr>
              <w:pStyle w:val="Celdatceeazulpalido"/>
              <w:keepNext/>
              <w:jc w:val="center"/>
            </w:pPr>
            <w:r>
              <w:rPr>
                <w:i/>
                <w:iCs/>
              </w:rPr>
              <w:t xml:space="preserve">Producción</w:t>
            </w:r>
          </w:p>
        </w:tc>
      </w:tr>
      <w:tr>
        <w:trPr>
          <w:cantSplit/>
        </w:trPr>
        <w:tc>
          <w:tcPr>
            <w:gridSpan w:val="6"/>
            <w:shd w:val="clear" w:color="auto" w:fill="E2EFD9"/>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82"/>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83"/>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83"/>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83"/>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84"/>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84"/>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keepLines/>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keepNext/>
        <w:numPr>
          <w:ilvl w:val="0"/>
          <w:numId w:val="1085"/>
        </w:numPr>
      </w:pPr>
      <w:r>
        <w:t xml:space="preserve">Recapitulando lo visto hasta aquí:</w:t>
      </w:r>
    </w:p>
    <w:p>
      <w:pPr>
        <w:numPr>
          <w:ilvl w:val="1"/>
          <w:numId w:val="1086"/>
        </w:numPr>
      </w:pPr>
      <w:r>
        <w:t xml:space="preserve">la demanda condicionada de un factor nunca crece con su precio, y la no condicionada responde todavía más;</w:t>
      </w:r>
    </w:p>
    <w:p>
      <w:pPr>
        <w:numPr>
          <w:ilvl w:val="1"/>
          <w:numId w:val="1086"/>
        </w:numPr>
      </w:pPr>
      <w:r>
        <w:t xml:space="preserve">los costes medios a largo plazo son en U si la tecnología tiene rendimientos a escala primero crecientes y después decrecientes;</w:t>
      </w:r>
    </w:p>
    <w:p>
      <w:pPr>
        <w:numPr>
          <w:ilvl w:val="1"/>
          <w:numId w:val="1086"/>
        </w:numPr>
      </w:pPr>
      <w:r>
        <w:t xml:space="preserve">los de corto plazo, por la ley de proporciones variables.</w:t>
      </w:r>
    </w:p>
    <w:p>
      <w:pPr>
        <w:numPr>
          <w:ilvl w:val="0"/>
          <w:numId w:val="1085"/>
        </w:numPr>
      </w:pPr>
      <w:r>
        <w:t xml:space="preserve">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87"/>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88"/>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89"/>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89"/>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90"/>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90"/>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90"/>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keepNext/>
        <w:numPr>
          <w:ilvl w:val="1"/>
          <w:numId w:val="1090"/>
        </w:numPr>
      </w:pPr>
      <w:r>
        <w:rPr>
          <w:i/>
          <w:iCs/>
        </w:rPr>
        <w:t xml:space="preserve">Casos anidados</w:t>
      </w:r>
      <w:r>
        <w:t xml:space="preserve">:</w:t>
      </w:r>
    </w:p>
    <w:p>
      <w:pPr>
        <w:numPr>
          <w:ilvl w:val="2"/>
          <w:numId w:val="1091"/>
        </w:numPr>
      </w:pPr>
      <w:r>
        <w:t xml:space="preserve">con todos los</w:t>
      </w:r>
      <w:r>
        <w:t xml:space="preserve"> </w:t>
      </w:r>
      <m:oMath>
        <m:r>
          <m:t>β</m:t>
        </m:r>
        <m:r>
          <m:rPr>
            <m:sty m:val="p"/>
          </m:rPr>
          <m:t>=</m:t>
        </m:r>
        <m:r>
          <m:t>0</m:t>
        </m:r>
      </m:oMath>
      <w:r>
        <w:t xml:space="preserve"> </w:t>
      </w:r>
      <w:r>
        <w:t xml:space="preserve">es la Cobb-Douglas;</w:t>
      </w:r>
    </w:p>
    <w:p>
      <w:pPr>
        <w:numPr>
          <w:ilvl w:val="2"/>
          <w:numId w:val="1091"/>
        </w:numPr>
      </w:pPr>
      <w:r>
        <w:t xml:space="preserve">con</w:t>
      </w:r>
      <w:r>
        <w:t xml:space="preserve"> </w:t>
      </w:r>
      <m:oMath>
        <m:sSub>
          <m:e>
            <m:r>
              <m:t>β</m:t>
            </m:r>
          </m:e>
          <m:sub>
            <m:r>
              <m:t>i</m:t>
            </m:r>
            <m:r>
              <m:t>q</m:t>
            </m:r>
          </m:sub>
        </m:sSub>
        <m:r>
          <m:rPr>
            <m:sty m:val="p"/>
          </m:rPr>
          <m:t>=</m:t>
        </m:r>
        <m:r>
          <m:t>0</m:t>
        </m:r>
      </m:oMath>
      <w:r>
        <w:t xml:space="preserve">, homotética;</w:t>
      </w:r>
    </w:p>
    <w:p>
      <w:pPr>
        <w:numPr>
          <w:ilvl w:val="2"/>
          <w:numId w:val="1091"/>
        </w:numPr>
      </w:pPr>
      <w:r>
        <w:t xml:space="preserve">con además</w:t>
      </w:r>
      <w:r>
        <w:t xml:space="preserve"> </w:t>
      </w:r>
      <m:oMath>
        <m:sSub>
          <m:e>
            <m:r>
              <m:t>β</m:t>
            </m:r>
          </m:e>
          <m:sub>
            <m:r>
              <m:t>q</m:t>
            </m:r>
            <m:r>
              <m:t>q</m:t>
            </m:r>
          </m:sub>
        </m:sSub>
        <m:r>
          <m:rPr>
            <m:sty m:val="p"/>
          </m:rPr>
          <m:t>=</m:t>
        </m:r>
        <m:r>
          <m:t>0</m:t>
        </m:r>
      </m:oMath>
      <w:r>
        <w:t xml:space="preserve">, homogénea.</w:t>
      </w:r>
    </w:p>
    <w:p>
      <w:pPr>
        <w:numPr>
          <w:ilvl w:val="0"/>
          <w:numId w:val="1089"/>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92"/>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93"/>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94"/>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95"/>
        </w:numPr>
      </w:pPr>
      <w:r>
        <w:t xml:space="preserve">Planteado el método de estimación, veamos qué dicen los datos sobre la forma de los costes.</w:t>
      </w:r>
    </w:p>
    <w:p>
      <w:pPr>
        <w:keepNext/>
        <w:numPr>
          <w:ilvl w:val="0"/>
          <w:numId w:val="1095"/>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96"/>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96"/>
        </w:numPr>
      </w:pPr>
      <w:r>
        <w:rPr>
          <w:i/>
          <w:iCs/>
        </w:rPr>
        <w:t xml:space="preserve">de ingeniería</w:t>
      </w:r>
      <w:r>
        <w:t xml:space="preserve">: calcular, con los datos técnicos de los procesos, el coste de plantas de distinto tamaño;</w:t>
      </w:r>
    </w:p>
    <w:p>
      <w:pPr>
        <w:numPr>
          <w:ilvl w:val="1"/>
          <w:numId w:val="1096"/>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95"/>
        </w:numPr>
      </w:pPr>
      <w:r>
        <w:rPr>
          <w:i/>
          <w:iCs/>
        </w:rPr>
        <w:t xml:space="preserve">Resultados</w:t>
      </w:r>
      <w:r>
        <w:t xml:space="preserve">:</w:t>
      </w:r>
    </w:p>
    <w:p>
      <w:pPr>
        <w:numPr>
          <w:ilvl w:val="1"/>
          <w:numId w:val="1097"/>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97"/>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97"/>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97"/>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97"/>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98"/>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99"/>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99"/>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99"/>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98"/>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100"/>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101"/>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Frontera estocástica (SFA)</w:t>
            </w:r>
          </w:p>
        </w:tc>
        <w:tc>
          <w:tcPr>
            <w:shd w:val="clear" w:color="auto" w:fill="DDEBF7"/>
          </w:tcPr>
          <w:tcPr/>
          <w:p>
            <w:pPr>
              <w:pStyle w:val="Celdatceeazulpalido"/>
              <w:keepNext/>
              <w:jc w:val="left"/>
            </w:pPr>
            <w:r>
              <w:rPr>
                <w:b/>
                <w:bCs/>
              </w:rPr>
              <w:t xml:space="preserve">Análisis envolvente de datos (DEA)</w:t>
            </w:r>
          </w:p>
        </w:tc>
      </w:tr>
      <w:tr>
        <w:trPr>
          <w:cantSplit/>
        </w:trP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rPr>
          <w:cantSplit/>
        </w:trP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rPr>
          <w:cantSplit/>
        </w:trP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rPr>
          <w:cantSplit/>
        </w:trP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rPr>
          <w:cantSplit/>
        </w:trP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rPr>
          <w:cantSplit/>
        </w:trP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102"/>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103"/>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103"/>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103"/>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keepNext/>
        <w:numPr>
          <w:ilvl w:val="0"/>
          <w:numId w:val="1103"/>
        </w:numPr>
      </w:pPr>
      <w:r>
        <w:rPr>
          <w:i/>
          <w:iCs/>
        </w:rPr>
        <w:t xml:space="preserve">Sector público</w:t>
      </w:r>
      <w:r>
        <w:t xml:space="preserve">. La Comisión Europea aplica frontera estocástica y DEA al gasto en educación y sanidad de los Estados miembros (2000-2022)</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w:t>
      </w:r>
    </w:p>
    <w:p>
      <w:pPr>
        <w:numPr>
          <w:ilvl w:val="1"/>
          <w:numId w:val="1104"/>
        </w:numPr>
      </w:pPr>
      <w:r>
        <w:t xml:space="preserve">casi todos están cerca de la frontera en los indicadores de cantidad y lejos en los de calidad;</w:t>
      </w:r>
    </w:p>
    <w:p>
      <w:pPr>
        <w:numPr>
          <w:ilvl w:val="1"/>
          <w:numId w:val="1104"/>
        </w:numPr>
      </w:pPr>
      <w:r>
        <w:t xml:space="preserve">el gasto muestra rendimientos decrecientes a escala;</w:t>
      </w:r>
    </w:p>
    <w:p>
      <w:pPr>
        <w:numPr>
          <w:ilvl w:val="1"/>
          <w:numId w:val="1104"/>
        </w:numPr>
      </w:pPr>
      <w:r>
        <w:t xml:space="preserve">España está entre los más eficientes en la proporción de titulados superiores.</w:t>
      </w:r>
    </w:p>
    <w:p>
      <w:pPr>
        <w:numPr>
          <w:ilvl w:val="0"/>
          <w:numId w:val="1103"/>
        </w:numPr>
      </w:pPr>
      <w:r>
        <w:t xml:space="preserve">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105"/>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Sector</w:t>
            </w:r>
          </w:p>
        </w:tc>
        <w:tc>
          <w:tcPr>
            <w:shd w:val="clear" w:color="auto" w:fill="DDEBF7"/>
          </w:tcPr>
          <w:tcPr/>
          <w:p>
            <w:pPr>
              <w:pStyle w:val="Celdatceeazulpalido"/>
              <w:keepNext/>
              <w:jc w:val="left"/>
            </w:pPr>
            <w:r>
              <w:rPr>
                <w:b/>
                <w:bCs/>
              </w:rPr>
              <w:t xml:space="preserve">Pregunta</w:t>
            </w:r>
          </w:p>
        </w:tc>
        <w:tc>
          <w:tcPr>
            <w:shd w:val="clear" w:color="auto" w:fill="DDEBF7"/>
          </w:tcPr>
          <w:tcPr/>
          <w:p>
            <w:pPr>
              <w:pStyle w:val="Celdatceeazulpalido"/>
              <w:keepNext/>
              <w:jc w:val="left"/>
            </w:pPr>
            <w:r>
              <w:rPr>
                <w:b/>
                <w:bCs/>
              </w:rPr>
              <w:t xml:space="preserve">Método</w:t>
            </w:r>
          </w:p>
        </w:tc>
        <w:tc>
          <w:tcPr>
            <w:shd w:val="clear" w:color="auto" w:fill="DDEBF7"/>
          </w:tcPr>
          <w:tcPr/>
          <w:p>
            <w:pPr>
              <w:pStyle w:val="Celdatceeazulpalido"/>
              <w:keepNext/>
              <w:jc w:val="left"/>
            </w:pPr>
            <w:r>
              <w:rPr>
                <w:b/>
                <w:bCs/>
              </w:rPr>
              <w:t xml:space="preserve">Resultado</w:t>
            </w:r>
          </w:p>
        </w:tc>
      </w:tr>
      <w:tr>
        <w:trPr>
          <w:cantSplit/>
        </w:trP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rPr>
          <w:cantSplit/>
        </w:trP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rPr>
          <w:cantSplit/>
        </w:trP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rPr>
          <w:cantSplit/>
        </w:trP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rPr>
          <w:cantSplit/>
        </w:trP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rPr>
          <w:cantSplit/>
        </w:trP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rPr>
          <w:cantSplit/>
        </w:trP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keepLines/>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106"/>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w:t>
      </w:r>
    </w:p>
    <w:p>
      <w:pPr>
        <w:keepNext/>
        <w:numPr>
          <w:ilvl w:val="0"/>
          <w:numId w:val="1106"/>
        </w:numPr>
      </w:pPr>
      <w:r>
        <w:t xml:space="preserve">Los datos muestran:</w:t>
      </w:r>
    </w:p>
    <w:p>
      <w:pPr>
        <w:numPr>
          <w:ilvl w:val="1"/>
          <w:numId w:val="1107"/>
        </w:numPr>
      </w:pPr>
      <w:r>
        <w:t xml:space="preserve">costes medios en L más que en U;</w:t>
      </w:r>
    </w:p>
    <w:p>
      <w:pPr>
        <w:numPr>
          <w:ilvl w:val="1"/>
          <w:numId w:val="1107"/>
        </w:numPr>
      </w:pPr>
      <w:r>
        <w:t xml:space="preserve">economías de escala que se agotan pronto en muchos sectores;</w:t>
      </w:r>
    </w:p>
    <w:p>
      <w:pPr>
        <w:numPr>
          <w:ilvl w:val="1"/>
          <w:numId w:val="1107"/>
        </w:numPr>
      </w:pPr>
      <w:r>
        <w:t xml:space="preserve">diferencias de eficiencia grandes y persistentes, menores con más competencia.</w:t>
      </w:r>
    </w:p>
    <w:p>
      <w:pPr>
        <w:numPr>
          <w:ilvl w:val="0"/>
          <w:numId w:val="1106"/>
        </w:numPr>
      </w:pPr>
      <w:r>
        <w:t xml:space="preserve">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keepLines/>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keepNext/>
        <w:numPr>
          <w:ilvl w:val="0"/>
          <w:numId w:val="1108"/>
        </w:numPr>
      </w:pPr>
      <w:r>
        <w:t xml:space="preserve">Una vez analizados los costes y lo que dicen los datos, pasamos a sus extensiones y a sus críticas. Este bloque responde a la última pregunta. Su conclusión anticipada:</w:t>
      </w:r>
    </w:p>
    <w:p>
      <w:pPr>
        <w:numPr>
          <w:ilvl w:val="1"/>
          <w:numId w:val="1109"/>
        </w:numPr>
      </w:pPr>
      <w:r>
        <w:t xml:space="preserve">la forma de los costes condiciona la estructura del mercado y el tamaño de la empresa;</w:t>
      </w:r>
    </w:p>
    <w:p>
      <w:pPr>
        <w:numPr>
          <w:ilvl w:val="1"/>
          <w:numId w:val="1109"/>
        </w:numPr>
      </w:pPr>
      <w:r>
        <w:t xml:space="preserve">la teoría se extiende a las economías externas, a varias plantas o productos y al aprendizaje;</w:t>
      </w:r>
    </w:p>
    <w:p>
      <w:pPr>
        <w:numPr>
          <w:ilvl w:val="1"/>
          <w:numId w:val="1109"/>
        </w:numPr>
      </w:pPr>
      <w:r>
        <w:t xml:space="preserve">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110"/>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111"/>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112"/>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112"/>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113"/>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114"/>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keepNext/>
        <w:numPr>
          <w:ilvl w:val="0"/>
          <w:numId w:val="1114"/>
        </w:numPr>
      </w:pPr>
      <w:r>
        <w:t xml:space="preserve">Sus fuentes son las de la aglomeración que describe</w:t>
      </w:r>
      <w:r>
        <w:t xml:space="preserve"> </w:t>
      </w:r>
      <w:r>
        <w:rPr>
          <w:smallCaps/>
        </w:rPr>
        <w:t xml:space="preserve">Marshall</w:t>
      </w:r>
      <w:r>
        <w:t xml:space="preserve">:</w:t>
      </w:r>
    </w:p>
    <w:p>
      <w:pPr>
        <w:numPr>
          <w:ilvl w:val="1"/>
          <w:numId w:val="1115"/>
        </w:numPr>
      </w:pPr>
      <w:r>
        <w:t xml:space="preserve">un mercado de trabajo especializado;</w:t>
      </w:r>
    </w:p>
    <w:p>
      <w:pPr>
        <w:numPr>
          <w:ilvl w:val="1"/>
          <w:numId w:val="1115"/>
        </w:numPr>
      </w:pPr>
      <w:r>
        <w:t xml:space="preserve">proveedores de factores especializados;</w:t>
      </w:r>
    </w:p>
    <w:p>
      <w:pPr>
        <w:numPr>
          <w:ilvl w:val="1"/>
          <w:numId w:val="1115"/>
        </w:numPr>
      </w:pPr>
      <w:r>
        <w:t xml:space="preserve">la difusión de conocimientos entre empresas cercanas (</w:t>
      </w:r>
      <w:r>
        <w:rPr>
          <w:i/>
          <w:iCs/>
        </w:rPr>
        <w:t xml:space="preserve">clusters</w:t>
      </w:r>
      <w:r>
        <w:t xml:space="preserve"> </w:t>
      </w:r>
      <w:r>
        <w:t xml:space="preserve">industriales).</w:t>
      </w:r>
    </w:p>
    <w:p>
      <w:pPr>
        <w:numPr>
          <w:ilvl w:val="0"/>
          <w:numId w:val="1114"/>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114"/>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116"/>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117"/>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18"/>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18"/>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19"/>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20"/>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21"/>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22"/>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23"/>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24"/>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24"/>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24"/>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25"/>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26"/>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26"/>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27"/>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28"/>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29"/>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30"/>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31"/>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32"/>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32"/>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32"/>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31"/>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33"/>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33"/>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w:t>
      </w:r>
    </w:p>
    <w:p>
      <w:pPr>
        <w:keepNext/>
        <w:numPr>
          <w:ilvl w:val="0"/>
          <w:numId w:val="1133"/>
        </w:numPr>
      </w:pPr>
      <w:r>
        <w:t xml:space="preserve">Las economías de aprendizaje:</w:t>
      </w:r>
    </w:p>
    <w:p>
      <w:pPr>
        <w:numPr>
          <w:ilvl w:val="1"/>
          <w:numId w:val="1134"/>
        </w:numPr>
      </w:pPr>
      <w:r>
        <w:t xml:space="preserve">dan ventaja a quien entra primero;</w:t>
      </w:r>
    </w:p>
    <w:p>
      <w:pPr>
        <w:numPr>
          <w:ilvl w:val="1"/>
          <w:numId w:val="1134"/>
        </w:numPr>
      </w:pPr>
      <w:r>
        <w:t xml:space="preserve">pueden justificar precios iniciales por debajo del coste para aprender antes;</w:t>
      </w:r>
    </w:p>
    <w:p>
      <w:pPr>
        <w:numPr>
          <w:ilvl w:val="1"/>
          <w:numId w:val="1134"/>
        </w:numPr>
      </w:pPr>
      <w:r>
        <w:t xml:space="preserve">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35"/>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36"/>
        </w:numPr>
      </w:pPr>
      <w:r>
        <w:rPr>
          <w:b/>
          <w:bCs/>
          <w:i/>
          <w:iCs/>
        </w:rPr>
        <w:t xml:space="preserve">Recapitulación (ideas clave)</w:t>
      </w:r>
      <w:r>
        <w:t xml:space="preserve">:</w:t>
      </w:r>
    </w:p>
    <w:p>
      <w:pPr>
        <w:numPr>
          <w:ilvl w:val="1"/>
          <w:numId w:val="1137"/>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keepNext/>
        <w:numPr>
          <w:ilvl w:val="1"/>
          <w:numId w:val="1137"/>
        </w:numPr>
      </w:pPr>
      <w:r>
        <w:t xml:space="preserve">Su forma depende del plazo:</w:t>
      </w:r>
    </w:p>
    <w:p>
      <w:pPr>
        <w:numPr>
          <w:ilvl w:val="2"/>
          <w:numId w:val="1138"/>
        </w:numPr>
      </w:pPr>
      <w:r>
        <w:t xml:space="preserve">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w:t>
      </w:r>
    </w:p>
    <w:p>
      <w:pPr>
        <w:numPr>
          <w:ilvl w:val="2"/>
          <w:numId w:val="1138"/>
        </w:numPr>
      </w:pPr>
      <w:r>
        <w:t xml:space="preserve">a corto, de la productividad del factor variable;</w:t>
      </w:r>
    </w:p>
    <w:p>
      <w:pPr>
        <w:numPr>
          <w:ilvl w:val="2"/>
          <w:numId w:val="1138"/>
        </w:numPr>
      </w:pPr>
      <w:r>
        <w:t xml:space="preserve">la curva de largo plazo envuelve a las de corto.</w:t>
      </w:r>
    </w:p>
    <w:p>
      <w:pPr>
        <w:numPr>
          <w:ilvl w:val="1"/>
          <w:numId w:val="1137"/>
        </w:numPr>
      </w:pPr>
      <w:r>
        <w:t xml:space="preserve">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keepNext/>
        <w:numPr>
          <w:ilvl w:val="1"/>
          <w:numId w:val="1137"/>
        </w:numPr>
      </w:pPr>
      <w:r>
        <w:t xml:space="preserve">Más allá del análisis (</w:t>
      </w:r>
      <w:hyperlink w:anchor="sec_extensiones_criticas_teoria">
        <w:r>
          <w:rPr>
            <w:rStyle w:val="Hyperlink"/>
          </w:rPr>
          <w:t xml:space="preserve">III</w:t>
        </w:r>
      </w:hyperlink>
      <w:r>
        <w:t xml:space="preserve">):</w:t>
      </w:r>
    </w:p>
    <w:p>
      <w:pPr>
        <w:numPr>
          <w:ilvl w:val="2"/>
          <w:numId w:val="1139"/>
        </w:numPr>
      </w:pPr>
      <w:r>
        <w:t xml:space="preserve">la forma de los costes decide la estructura del mercado;</w:t>
      </w:r>
    </w:p>
    <w:p>
      <w:pPr>
        <w:numPr>
          <w:ilvl w:val="2"/>
          <w:numId w:val="1139"/>
        </w:numPr>
      </w:pPr>
      <w:r>
        <w:t xml:space="preserve">la teoría se extiende a las economías externas, a varias plantas o productos y al aprendizaje;</w:t>
      </w:r>
    </w:p>
    <w:p>
      <w:pPr>
        <w:numPr>
          <w:ilvl w:val="2"/>
          <w:numId w:val="1139"/>
        </w:numPr>
      </w:pP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w:t>
      </w:r>
    </w:p>
    <w:p>
      <w:pPr>
        <w:numPr>
          <w:ilvl w:val="0"/>
          <w:numId w:val="1136"/>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36"/>
        </w:numPr>
      </w:pPr>
      <w:r>
        <w:rPr>
          <w:b/>
          <w:bCs/>
          <w:i/>
          <w:iCs/>
        </w:rPr>
        <w:t xml:space="preserve">Extensiones y relación con otras partes del temario</w:t>
      </w:r>
      <w:r>
        <w:t xml:space="preserve">:</w:t>
      </w:r>
    </w:p>
    <w:p>
      <w:pPr>
        <w:numPr>
          <w:ilvl w:val="1"/>
          <w:numId w:val="1140"/>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40"/>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40"/>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40"/>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36"/>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36"/>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(la práctica hace al maestro),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keepNext/>
        <w:keepLines/>
      </w:pPr>
      <w:r>
        <w:rPr>
          <w:b/>
          <w:bCs/>
        </w:rPr>
        <w:t xml:space="preserve">Lecturas complementarias</w:t>
      </w:r>
    </w:p>
    <w:p>
      <w:pPr>
        <w:pStyle w:val="Cajadeanotaciones"/>
        <w:keepNext/>
        <w:keepLines/>
        <w:numPr>
          <w:ilvl w:val="0"/>
          <w:numId w:val="114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keepNext/>
        <w:keepLines/>
        <w:numPr>
          <w:ilvl w:val="0"/>
          <w:numId w:val="1141"/>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keepNext/>
        <w:keepLines/>
        <w:numPr>
          <w:ilvl w:val="0"/>
          <w:numId w:val="1141"/>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keepLines/>
        <w:numPr>
          <w:ilvl w:val="0"/>
          <w:numId w:val="1141"/>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42"/>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shd w:val="clear" w:color="auto" w:fill="DDEBF7"/>
            <w:vAlign w:val="center"/>
          </w:tcPr>
          <w:p>
            <w:pPr>
              <w:pStyle w:val="Celdatceeazulpalido"/>
              <w:keepNext/>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rPr>
          <w:cantSplit/>
        </w:trP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5.C</w:t>
        </w:r>
      </w:hyperlink>
      <w:r>
        <w:rPr>
          <w:i/>
          <w:iCs/>
        </w:rPr>
        <w:t xml:space="preserve">)</w:t>
      </w:r>
      <w:r>
        <w:rPr>
          <w:i/>
          <w:iCs/>
        </w:rPr>
        <w:t xml:space="preserve">.</w:t>
      </w:r>
    </w:p>
    <w:p>
      <w:pPr>
        <w:numPr>
          <w:ilvl w:val="0"/>
          <w:numId w:val="1143"/>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43"/>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43"/>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44"/>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44"/>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44"/>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45"/>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46"/>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46"/>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47"/>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47"/>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47"/>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4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48"/>
        </w:numPr>
      </w:pPr>
      <w:r>
        <w:rPr>
          <w:b/>
          <w:bCs/>
        </w:rPr>
        <w:t xml:space="preserve">Concavidad y convexidad</w:t>
      </w:r>
      <w:r>
        <w:t xml:space="preserve">:</w:t>
      </w:r>
    </w:p>
    <w:p>
      <w:pPr>
        <w:numPr>
          <w:ilvl w:val="1"/>
          <w:numId w:val="114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4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4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4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48"/>
        </w:numPr>
      </w:pPr>
      <w:r>
        <w:rPr>
          <w:b/>
          <w:bCs/>
        </w:rPr>
        <w:t xml:space="preserve">Uso en la teoría de la empresa</w:t>
      </w:r>
      <w:r>
        <w:t xml:space="preserve">:</w:t>
      </w:r>
    </w:p>
    <w:p>
      <w:pPr>
        <w:numPr>
          <w:ilvl w:val="1"/>
          <w:numId w:val="1150"/>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50"/>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50"/>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50"/>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51"/>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51"/>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51"/>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keepNext/>
        <w:numPr>
          <w:ilvl w:val="0"/>
          <w:numId w:val="1151"/>
        </w:numPr>
      </w:pPr>
      <w:r>
        <w:t xml:space="preserve">Es correcto, pero poco habitual:</w:t>
      </w:r>
    </w:p>
    <w:p>
      <w:pPr>
        <w:numPr>
          <w:ilvl w:val="1"/>
          <w:numId w:val="1152"/>
        </w:numPr>
      </w:pPr>
      <w:r>
        <w:t xml:space="preserve">la empresa no tiene un presupuesto fijo que la obligue a producir lo máximo posible con él;</w:t>
      </w:r>
    </w:p>
    <w:p>
      <w:pPr>
        <w:numPr>
          <w:ilvl w:val="1"/>
          <w:numId w:val="1152"/>
        </w:numPr>
      </w:pPr>
      <w:r>
        <w:t xml:space="preserve">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w:t>
      </w:r>
    </w:p>
    <w:p>
      <w:pPr>
        <w:numPr>
          <w:ilvl w:val="1"/>
          <w:numId w:val="1152"/>
        </w:numPr>
      </w:pPr>
      <w:r>
        <w:t xml:space="preserve">no hay una restricción presupuestaria que dé un efecto renta.</w:t>
      </w:r>
    </w:p>
    <w:p>
      <w:pPr>
        <w:numPr>
          <w:ilvl w:val="0"/>
          <w:numId w:val="1151"/>
        </w:numPr>
      </w:pPr>
      <w:r>
        <w:t xml:space="preserve">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51"/>
        </w:numPr>
      </w:pPr>
      <w:r>
        <w:t xml:space="preserve">El gráfico </w:t>
      </w:r>
      <w:hyperlink w:anchor="fig_esquema_dualidad_segura">
        <w:r>
          <w:rPr>
            <w:rStyle w:val="Hyperlink"/>
          </w:rPr>
          <w:t xml:space="preserve">24</w:t>
        </w:r>
      </w:hyperlink>
      <w:r>
        <w:t xml:space="preserve"> </w:t>
      </w:r>
      <w:r>
        <w:t xml:space="preserve">reúne los tres problemas:</w:t>
      </w:r>
    </w:p>
    <w:p>
      <w:pPr>
        <w:numPr>
          <w:ilvl w:val="1"/>
          <w:numId w:val="1153"/>
        </w:numPr>
      </w:pPr>
      <w:r>
        <w:t xml:space="preserve">el primal de</w:t>
      </w:r>
      <w:r>
        <w:t xml:space="preserve"> </w:t>
      </w:r>
      <w:r>
        <w:rPr>
          <w:smallCaps/>
        </w:rPr>
        <w:t xml:space="preserve">Segura</w:t>
      </w:r>
      <w:r>
        <w:t xml:space="preserve"> </w:t>
      </w:r>
      <w:r>
        <w:t xml:space="preserve">(en azul);</w:t>
      </w:r>
    </w:p>
    <w:p>
      <w:pPr>
        <w:numPr>
          <w:ilvl w:val="1"/>
          <w:numId w:val="1153"/>
        </w:numPr>
      </w:pPr>
      <w:r>
        <w:t xml:space="preserve">la minimización del coste (en verde);</w:t>
      </w:r>
    </w:p>
    <w:p>
      <w:pPr>
        <w:numPr>
          <w:ilvl w:val="1"/>
          <w:numId w:val="1153"/>
        </w:numPr>
      </w:pPr>
      <w:r>
        <w:t xml:space="preserve">la maximización del beneficio en dos etapas y en una (a la derecha);</w:t>
      </w:r>
    </w:p>
    <w:p>
      <w:pPr>
        <w:numPr>
          <w:ilvl w:val="1"/>
          <w:numId w:val="1153"/>
        </w:numPr>
      </w:pPr>
      <w:r>
        <w:t xml:space="preserve">en la franja central, las relaciones entre los dos primeros.</w:t>
      </w:r>
    </w:p>
    <w:p>
      <w:pPr>
        <w:keepNext/>
        <w:numPr>
          <w:ilvl w:val="0"/>
          <w:numId w:val="1151"/>
        </w:numPr>
      </w:pPr>
      <w:r>
        <w:t xml:space="preserve">Respecto al cuadro de la versión anterior de este tema, del que parte, se corrigen cuatro erratas:</w:t>
      </w:r>
    </w:p>
    <w:p>
      <w:pPr>
        <w:numPr>
          <w:ilvl w:val="1"/>
          <w:numId w:val="1154"/>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54"/>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54"/>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54"/>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55"/>
        </w:numPr>
      </w:pPr>
      <w:r>
        <w:rPr>
          <w:b/>
          <w:bCs/>
        </w:rPr>
        <w:t xml:space="preserve">Elasticidades de las demandas condicionadas</w:t>
      </w:r>
      <w:r>
        <w:t xml:space="preserve">:</w:t>
      </w:r>
    </w:p>
    <w:p>
      <w:pPr>
        <w:numPr>
          <w:ilvl w:val="1"/>
          <w:numId w:val="1156"/>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56"/>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55"/>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55"/>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55"/>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55"/>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57"/>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57"/>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58"/>
        </w:numPr>
      </w:pPr>
      <w:r>
        <w:rPr>
          <w:i/>
          <w:iCs/>
        </w:rPr>
        <w:t xml:space="preserve">Costes estrictamente convexos</w:t>
      </w:r>
      <w:r>
        <w:t xml:space="preserve"> </w:t>
      </w:r>
      <w:r>
        <w:t xml:space="preserve">(rendimientos decrecientes): la oferta es toda la curva de CMg.</w:t>
      </w:r>
    </w:p>
    <w:p>
      <w:pPr>
        <w:keepNext/>
        <w:numPr>
          <w:ilvl w:val="0"/>
          <w:numId w:val="1158"/>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w:t>
      </w:r>
    </w:p>
    <w:p>
      <w:pPr>
        <w:numPr>
          <w:ilvl w:val="1"/>
          <w:numId w:val="1159"/>
        </w:numPr>
      </w:pPr>
      <w:r>
        <w:t xml:space="preserve">con</w:t>
      </w:r>
      <w:r>
        <w:t xml:space="preserve"> </w:t>
      </w:r>
      <m:oMath>
        <m:r>
          <m:t>p</m:t>
        </m:r>
        <m:r>
          <m:rPr>
            <m:sty m:val="p"/>
          </m:rPr>
          <m:t>&lt;</m:t>
        </m:r>
        <m:r>
          <m:t>c</m:t>
        </m:r>
      </m:oMath>
      <w:r>
        <w:t xml:space="preserve"> </w:t>
      </w:r>
      <w:r>
        <w:t xml:space="preserve">no se produce;</w:t>
      </w:r>
    </w:p>
    <w:p>
      <w:pPr>
        <w:numPr>
          <w:ilvl w:val="1"/>
          <w:numId w:val="1159"/>
        </w:numPr>
      </w:pPr>
      <w:r>
        <w:t xml:space="preserve">con</w:t>
      </w:r>
      <w:r>
        <w:t xml:space="preserve"> </w:t>
      </w:r>
      <m:oMath>
        <m:r>
          <m:t>p</m:t>
        </m:r>
        <m:r>
          <m:rPr>
            <m:sty m:val="p"/>
          </m:rPr>
          <m:t>=</m:t>
        </m:r>
        <m:r>
          <m:t>c</m:t>
        </m:r>
      </m:oMath>
      <w:r>
        <w:t xml:space="preserve">, cualquier cantidad (tamaño indeterminado);</w:t>
      </w:r>
    </w:p>
    <w:p>
      <w:pPr>
        <w:numPr>
          <w:ilvl w:val="1"/>
          <w:numId w:val="1159"/>
        </w:numPr>
      </w:pPr>
      <w:r>
        <w:t xml:space="preserve">con</w:t>
      </w:r>
      <w:r>
        <w:t xml:space="preserve"> </w:t>
      </w:r>
      <m:oMath>
        <m:r>
          <m:t>p</m:t>
        </m:r>
        <m:r>
          <m:rPr>
            <m:sty m:val="p"/>
          </m:rPr>
          <m:t>&gt;</m:t>
        </m:r>
        <m:r>
          <m:t>c</m:t>
        </m:r>
      </m:oMath>
      <w:r>
        <w:t xml:space="preserve">, el problema no tiene solución.</w:t>
      </w:r>
    </w:p>
    <w:p>
      <w:pPr>
        <w:numPr>
          <w:ilvl w:val="0"/>
          <w:numId w:val="1158"/>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58"/>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58"/>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58"/>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cantSplit/>
          <w:tblHeader w:val="on"/>
        </w:trPr>
        <w:tc>
          <w:tcPr/>
          <w:p>
            <w:pPr>
              <w:pStyle w:val="Compact"/>
              <w:keepNext/>
              <w:jc w:val="left"/>
            </w:pPr>
            <w:r>
              <w:rPr>
                <w:b/>
                <w:bCs/>
              </w:rPr>
              <w:t xml:space="preserve">Tecnología</w:t>
            </w:r>
          </w:p>
        </w:tc>
        <w:tc>
          <w:tcPr/>
          <w:p>
            <w:pPr>
              <w:pStyle w:val="Compact"/>
              <w:keepNext/>
              <w:jc w:val="left"/>
            </w:pPr>
            <w:r>
              <w:rPr>
                <w:b/>
                <w:bCs/>
              </w:rPr>
              <w:t xml:space="preserve">Producción</w:t>
            </w:r>
          </w:p>
        </w:tc>
        <w:tc>
          <w:tcPr/>
          <w:p>
            <w:pPr>
              <w:pStyle w:val="Compact"/>
              <w:keepNext/>
              <w:jc w:val="left"/>
            </w:pPr>
            <w:r>
              <w:rPr>
                <w:b/>
                <w:bCs/>
              </w:rPr>
              <w:t xml:space="preserve">Función de costes</w:t>
            </w:r>
          </w:p>
        </w:tc>
        <w:tc>
          <w:tcPr/>
          <w:p>
            <w:pPr>
              <w:pStyle w:val="Compact"/>
              <w:keepNext/>
              <w:jc w:val="left"/>
            </w:pPr>
            <w:r>
              <w:rPr>
                <w:b/>
                <w:bCs/>
              </w:rPr>
              <w:t xml:space="preserve">CMe a largo plazo</w:t>
            </w:r>
          </w:p>
        </w:tc>
      </w:tr>
      <w:tr>
        <w:trPr>
          <w:cantSplit/>
        </w:trP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rPr>
          <w:cantSplit/>
        </w:trP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rPr>
          <w:cantSplit/>
        </w:trP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rPr>
          <w:cantSplit/>
        </w:trP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rPr>
          <w:cantSplit/>
        </w:trP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keepLines/>
      </w:pPr>
      <w:r>
        <w:t xml:space="preserve">Preguntas tipo test:</w:t>
      </w:r>
      <w:r>
        <w:t xml:space="preserve"> </w:t>
      </w:r>
      <w:hyperlink r:id="rId294">
        <w:r>
          <w:rPr>
            <w:rStyle w:val="Hyperlink"/>
          </w:rPr>
          <w:t xml:space="preserve">simulador de test</w:t>
        </w:r>
      </w:hyperlink>
      <w:r>
        <w:t xml:space="preserve">.</w:t>
      </w:r>
    </w:p>
    <w:p>
      <w:pPr>
        <w:keepNext/>
        <w:numPr>
          <w:ilvl w:val="0"/>
          <w:numId w:val="1160"/>
        </w:numPr>
      </w:pPr>
      <w:r>
        <w:t xml:space="preserve">Homogeneidad:</w:t>
      </w:r>
    </w:p>
    <w:p>
      <w:pPr>
        <w:numPr>
          <w:ilvl w:val="1"/>
          <w:numId w:val="1161"/>
        </w:numPr>
      </w:pP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60"/>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60"/>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60"/>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60"/>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60"/>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60"/>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60"/>
        </w:numPr>
      </w:pPr>
      <w:r>
        <w:t xml:space="preserve">A corto plazo no hay economías de escala: la U del CMe a corto se debe a la ley de proporciones variables; la del CMe a largo, a los rendimientos a escala variables.</w:t>
      </w:r>
    </w:p>
    <w:p>
      <w:pPr>
        <w:keepNext/>
        <w:numPr>
          <w:ilvl w:val="0"/>
          <w:numId w:val="1160"/>
        </w:numPr>
      </w:pPr>
      <w:r>
        <w:t xml:space="preserve">Monopolio natural:</w:t>
      </w:r>
    </w:p>
    <w:p>
      <w:pPr>
        <w:numPr>
          <w:ilvl w:val="1"/>
          <w:numId w:val="1162"/>
        </w:numPr>
      </w:pPr>
      <w:r>
        <w:t xml:space="preserve">se define por la subaditividad;</w:t>
      </w:r>
    </w:p>
    <w:p>
      <w:pPr>
        <w:numPr>
          <w:ilvl w:val="1"/>
          <w:numId w:val="1162"/>
        </w:numPr>
      </w:pPr>
      <w:r>
        <w:t xml:space="preserve">las economías de escala son suficientes, no necesarias;</w:t>
      </w:r>
    </w:p>
    <w:p>
      <w:pPr>
        <w:numPr>
          <w:ilvl w:val="1"/>
          <w:numId w:val="1162"/>
        </w:numPr>
      </w:pPr>
      <w:r>
        <w:t xml:space="preserve">las de alcance, necesarias, no suficientes, con varios productos.</w:t>
      </w:r>
    </w:p>
    <w:p>
      <w:pPr>
        <w:numPr>
          <w:ilvl w:val="0"/>
          <w:numId w:val="1160"/>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Gráfico de la nota: En la producción en la que el coste total a corto plazo es tangente al coste total a largo plazo, la curva de coste medio a corto plazo es tangente a la de…"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 Target="https://www.victorgutierrezmarcos.es/oposicion/temario/tercer-ejercicio/3A20.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 Target="https://www.victorgutierrezmarcos.es/oposicion/temario/tercer-ejercicio/3A20.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2026-10-26T23:23:33Z</dcterms:created>
  <dcterms:modified xsi:type="dcterms:W3CDTF">2026-10-26T23:23:33Z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16/10/2026</vt:lpwstr>
  </property>
  <property fmtid="{D5CDD505-2E9C-101B-9397-08002B2CF9AE}" pid="12" name="ejercicio">
    <vt:lpwstr>Tercer ejercicio</vt:lpwstr>
  </property>
  <property fmtid="{D5CDD505-2E9C-101B-9397-08002B2CF9AE}" pid="13" name="etiqueta">
    <vt:lpwstr>Tema 3.A.12</vt:lpwstr>
  </property>
  <property fmtid="{D5CDD505-2E9C-101B-9397-08002B2CF9AE}" pid="14" name="exclusivo">
    <vt:lpwstr>True</vt:lpwstr>
  </property>
  <property fmtid="{D5CDD505-2E9C-101B-9397-08002B2CF9AE}" pid="15" name="fecha">
    <vt:lpwstr>16/10/2026</vt:lpwstr>
  </property>
  <property fmtid="{D5CDD505-2E9C-101B-9397-08002B2CF9AE}" pid="16" name="fecha-cita">
    <vt:lpwstr>2026/10/16</vt:lpwstr>
  </property>
  <property fmtid="{D5CDD505-2E9C-101B-9397-08002B2CF9AE}" pid="17" name="fecha-iso">
    <vt:lpwstr>2026-10-16</vt:lpwstr>
  </property>
  <property fmtid="{D5CDD505-2E9C-101B-9397-08002B2CF9AE}" pid="18" name="graficos-docx">
    <vt:lpwstr>C:\Users\vgutierrez\Documents\src\victorgutierrezmarcos.github.io-revision\oposicion\temario\fuentes\3A12\graficos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48 págs. · Anexos: 10 · Bibliografía: 5</vt:lpwstr>
  </property>
  <property fmtid="{D5CDD505-2E9C-101B-9397-08002B2CF9AE}" pid="22"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3" name="reference-section-title">
    <vt:lpwstr>Bibliografía</vt:lpwstr>
  </property>
  <property fmtid="{D5CDD505-2E9C-101B-9397-08002B2CF9AE}" pid="24" name="resumen">
    <vt:lpwstr>Función de costes, dualidad entre beneficio y coste, lemas de Shephard y Hotelling, economías de escala y de alcance, translog, fronteras y DEA.</vt:lpwstr>
  </property>
  <property fmtid="{D5CDD505-2E9C-101B-9397-08002B2CF9AE}" pid="25" name="titulo">
    <vt:lpwstr>Teoría de los costes. Análisis de dualidad en el ámbito de la empresa. Aplicaciones empíricas.</vt:lpwstr>
  </property>
  <property fmtid="{D5CDD505-2E9C-101B-9397-08002B2CF9AE}" pid="26" name="titulo-cita">
    <vt:lpwstr>Teoría de los costes. Análisis de dualidad en el ámbito de la empresa. Aplicaciones empíricas</vt:lpwstr>
  </property>
  <property fmtid="{D5CDD505-2E9C-101B-9397-08002B2CF9AE}" pid="27" name="titulo-seo">
    <vt:lpwstr>Teoría de los costes y dualidad en la empresa</vt:lpwstr>
  </property>
</Properties>
</file>