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87.png" ContentType="image/png"/>
  <Override PartName="/word/media/rId156.png" ContentType="image/png"/>
  <Override PartName="/word/media/rId160.png" ContentType="image/png"/>
  <Override PartName="/word/media/rId213.png" ContentType="image/png"/>
  <Override PartName="/word/media/rId134.png" ContentType="image/png"/>
  <Override PartName="/word/media/rId207.png" ContentType="image/png"/>
  <Override PartName="/word/media/rId194.png" ContentType="image/png"/>
  <Override PartName="/word/media/rId61.png" ContentType="image/png"/>
  <Override PartName="/word/media/rId96.png" ContentType="image/png"/>
  <Override PartName="/word/media/rId39.png" ContentType="image/png"/>
  <Override PartName="/word/media/rId141.png" ContentType="image/png"/>
  <Override PartName="/word/media/rId114.png" ContentType="image/png"/>
  <Override PartName="/word/media/rId107.png" ContentType="image/png"/>
  <Override PartName="/word/media/rId176.png" ContentType="image/png"/>
  <Override PartName="/word/media/rId200.png" ContentType="image/png"/>
  <Override PartName="/word/media/rId76.png" ContentType="image/png"/>
  <Override PartName="/word/media/rId50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spacing w:before="0" w:after="200"/>
      </w:pPr>
      <w:r>
        <w:rPr>
          <w:b/>
          <w:smallCaps/>
          <w:color w:val="5F2987"/>
          <w:sz w:val="16"/>
        </w:rPr>
        <w:t xml:space="preserve">Exclusivo · uso personal. </w:t>
      </w:r>
      <w:r>
        <w:rPr>
          <w:i/>
          <w:color w:val="767171"/>
          <w:sz w:val="16"/>
        </w:rPr>
        <w:t xml:space="preserve">Material exclusivo de victorgutierrezmarcos.es y la app Oposición TCEE · DCE. Puedes usarlo libremente para tu estudio personal. No se autoriza su incorporación a otras plataformas, aplicaciones o servicios. Condiciones: https://www.victorgutierrezmarcos.es/condiciones-materiales.html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36 págs. · Anexos: 8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«Entre bomberos no se pisan la manguera», dice el refrán: entre los que se dedican a lo mismo, nadie le hace la competencia a nadie.</w:t>
      </w:r>
    </w:p>
    <w:p>
      <w:pPr>
        <w:numPr>
          <w:ilvl w:val="1"/>
          <w:numId w:val="1002"/>
        </w:numPr>
      </w:pPr>
      <w:r>
        <w:t xml:space="preserve">Ya 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¿Por qué unas veces los bomberos no se pisan la manguera durante 14 años y otras uno de ellos la pisa y denuncia a los demás?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keepNext/>
        <w:numPr>
          <w:ilvl w:val="2"/>
          <w:numId w:val="1005"/>
        </w:numPr>
      </w:pPr>
      <w:r>
        <w:t xml:space="preserve">Los primeros modelos de oligopolio son anteriores a la teoría de juegos:</w:t>
      </w:r>
    </w:p>
    <w:p>
      <w:pPr>
        <w:numPr>
          <w:ilvl w:val="3"/>
          <w:numId w:val="1006"/>
        </w:numPr>
      </w:pPr>
      <w:r>
        <w:t xml:space="preserve">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keepNext/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cooperativos, y después llegan:</w:t>
      </w:r>
    </w:p>
    <w:p>
      <w:pPr>
        <w:numPr>
          <w:ilvl w:val="3"/>
          <w:numId w:val="1007"/>
        </w:numPr>
      </w:pPr>
      <w:r>
        <w:t xml:space="preserve">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7"/>
        </w:numPr>
      </w:pPr>
      <w:r>
        <w:t xml:space="preserve">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7"/>
        </w:numPr>
      </w:pPr>
      <w:r>
        <w:t xml:space="preserve">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oligopolio;</w:t>
      </w:r>
    </w:p>
    <w:p>
      <w:pPr>
        <w:numPr>
          <w:ilvl w:val="3"/>
          <w:numId w:val="1007"/>
        </w:numPr>
      </w:pPr>
      <w:r>
        <w:t xml:space="preserve">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8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8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keepNext/>
        <w:numPr>
          <w:ilvl w:val="1"/>
          <w:numId w:val="1004"/>
        </w:numPr>
      </w:pPr>
      <w:r>
        <w:t xml:space="preserve">Las 2 cosas no coinciden:</w:t>
      </w:r>
    </w:p>
    <w:p>
      <w:pPr>
        <w:numPr>
          <w:ilvl w:val="2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</w:t>
      </w:r>
    </w:p>
    <w:p>
      <w:pPr>
        <w:numPr>
          <w:ilvl w:val="2"/>
          <w:numId w:val="10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1"/>
          <w:numId w:val="1004"/>
        </w:numPr>
      </w:pPr>
      <w:r>
        <w:t xml:space="preserve">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10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10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10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10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I. Las soluciones no cooperativas: competencia en una sola vez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(juegos estáticos) o por turnos (juegos dinámicos secuenciales):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II. La competencia repetida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  <w:keepLines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competencia en una sola vez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Competencia repetida: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introducción, 2′30″;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I, 11′ (I.1, 1′; I.2, 3′30″; I.3, 1′30″; I.4, 3′30″; I.5, 1′30″);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II, 7′ (II.1, 1′; II.2, 6′);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III, 8′30″ (III.1, 3′; III.2, 3′; III.3, 2′30″);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conclusión, 1′.</w:t>
      </w:r>
    </w:p>
    <w:p>
      <w:pPr>
        <w:pStyle w:val="Notaalopositor"/>
        <w:keepNext/>
        <w:keepLines/>
      </w:pPr>
      <w:r>
        <w:t xml:space="preserve">Los gráficos imprescindibles son: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 senda de beneficios del gatillo;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 columna de cantidades de la tabla comparativa.</w:t>
      </w:r>
    </w:p>
    <w:p>
      <w:pPr>
        <w:pStyle w:val="Notaalopositor"/>
        <w:keepLines/>
      </w:pPr>
      <w:r>
        <w:t xml:space="preserve">El panel a del reparto del cártel 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) se dibuja si hay tiempo.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21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competencia en una sola vez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t xml:space="preserve">los supuestos en una frase, con la tabla como apoyo, y la rejilla de los 4 modelos (1′);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con su propio gráfico, que parte del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restricción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(1′30″);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Bertrand</w:t>
      </w:r>
      <w:r>
        <w:t xml:space="preserve">, la paradoja y sus salidas, cada una con el supuesto que levanta (3′30″);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t xml:space="preserve">el liderazgo en precios de palabra y la tabla comparativa como cierre (1′30″).</w:t>
      </w:r>
    </w:p>
    <w:p>
      <w:pPr>
        <w:pStyle w:val="Notaalopositor"/>
        <w:keepLines/>
      </w:pPr>
      <w:r>
        <w:t xml:space="preserve">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Empezamos por la situación más sencilla: las empresas se encuentran</w:t>
      </w:r>
      <w:r>
        <w:t xml:space="preserve"> </w:t>
      </w:r>
      <w:r>
        <w:rPr>
          <w:i/>
          <w:iCs/>
        </w:rPr>
        <w:t xml:space="preserve">una sola vez</w:t>
      </w:r>
      <w:r>
        <w:t xml:space="preserve"> </w:t>
      </w:r>
      <w:r>
        <w:t xml:space="preserve">en el mercado y no pueden firmar acuerdos que las obliguen.</w:t>
      </w:r>
    </w:p>
    <w:p>
      <w:pPr>
        <w:keepNext/>
        <w:numPr>
          <w:ilvl w:val="0"/>
          <w:numId w:val="1015"/>
        </w:numPr>
      </w:pPr>
      <w:r>
        <w:t xml:space="preserve">Seguimos la nomenclatura de los manuales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16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estáticos</w:t>
      </w:r>
      <w:r>
        <w:t xml:space="preserve">, en los que las empresas deciden a la vez: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Bertrand</w:t>
      </w:r>
      <w:r>
        <w:t xml:space="preserve">;</w:t>
      </w:r>
    </w:p>
    <w:p>
      <w:pPr>
        <w:keepNext/>
        <w:numPr>
          <w:ilvl w:val="1"/>
          <w:numId w:val="1016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dinámicos</w:t>
      </w:r>
      <w:r>
        <w:t xml:space="preserve">, en los que el tiempo importa: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secuenciales</w:t>
      </w:r>
      <w:r>
        <w:t xml:space="preserve">: las empresas deciden por turnos y se resuelven por inducción hacia atrás (ENPS):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precios;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repetidos</w:t>
      </w:r>
      <w:r>
        <w:t xml:space="preserve">: el mismo juego se juega muchas veces; son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</w:t>
      </w:r>
    </w:p>
    <w:p>
      <w:pPr>
        <w:keepNext/>
        <w:numPr>
          <w:ilvl w:val="0"/>
          <w:numId w:val="1015"/>
        </w:numPr>
      </w:pPr>
      <w:r>
        <w:rPr>
          <w:i/>
          <w:iCs/>
        </w:rPr>
        <w:t xml:space="preserve">Conclusión anticipada</w:t>
      </w:r>
      <w:r>
        <w:t xml:space="preserve"> </w:t>
      </w:r>
      <w:r>
        <w:t xml:space="preserve">(gráfico </w:t>
      </w:r>
      <w:hyperlink w:anchor="fig_escala_precios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1"/>
          <w:numId w:val="1018"/>
        </w:numPr>
      </w:pPr>
      <w:r>
        <w:t xml:space="preserve">el precio queda entre el de la competencia perfecta y el del monopolio;</w:t>
      </w:r>
    </w:p>
    <w:p>
      <w:pPr>
        <w:keepNext/>
        <w:numPr>
          <w:ilvl w:val="1"/>
          <w:numId w:val="1018"/>
        </w:numPr>
      </w:pPr>
      <w:r>
        <w:t xml:space="preserve">dónde exactamente depende de 2 cosas:</w:t>
      </w:r>
    </w:p>
    <w:p>
      <w:pPr>
        <w:numPr>
          <w:ilvl w:val="2"/>
          <w:numId w:val="1019"/>
        </w:numPr>
      </w:pPr>
      <w:r>
        <w:t xml:space="preserve">la</w:t>
      </w:r>
      <w:r>
        <w:t xml:space="preserve"> </w:t>
      </w:r>
      <w:r>
        <w:rPr>
          <w:i/>
          <w:iCs/>
        </w:rPr>
        <w:t xml:space="preserve">variable</w:t>
      </w:r>
      <w:r>
        <w:t xml:space="preserve"> </w:t>
      </w:r>
      <w:r>
        <w:t xml:space="preserve">con la que compiten: con precios (</w:t>
      </w:r>
      <w:r>
        <w:rPr>
          <w:smallCaps/>
        </w:rPr>
        <w:t xml:space="preserve">Bertrand</w:t>
      </w:r>
      <w:r>
        <w:t xml:space="preserve">) se llega al coste marginal; con cantidades (</w:t>
      </w:r>
      <w:r>
        <w:rPr>
          <w:smallCaps/>
        </w:rPr>
        <w:t xml:space="preserve">Cournot</w:t>
      </w:r>
      <w:r>
        <w:t xml:space="preserve">), no;</w:t>
      </w:r>
    </w:p>
    <w:p>
      <w:pPr>
        <w:numPr>
          <w:ilvl w:val="2"/>
          <w:numId w:val="1019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orden</w:t>
      </w:r>
      <w:r>
        <w:t xml:space="preserve"> </w:t>
      </w:r>
      <w:r>
        <w:t xml:space="preserve">en que deciden: a la vez o una detrás de otra (</w:t>
      </w:r>
      <w:r>
        <w:rPr>
          <w:smallCaps/>
        </w:rPr>
        <w:t xml:space="preserve">Stackelberg</w:t>
      </w:r>
      <w:r>
        <w:t xml:space="preserve">,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);</w:t>
      </w:r>
    </w:p>
    <w:p>
      <w:pPr>
        <w:numPr>
          <w:ilvl w:val="1"/>
          <w:numId w:val="1018"/>
        </w:numPr>
      </w:pPr>
      <w:r>
        <w:t xml:space="preserve">en todos los casos las empresas ganarían más si produjeran menos juntas: el cártel lleva el precio al de monopolio, y la repetición puede sostener cualquier precio intermedio.</w:t>
      </w:r>
    </w:p>
    <w:bookmarkStart w:id="42" w:name="fig_escala_precios"/>
    <w:p>
      <w:pPr>
        <w:pStyle w:val="ImageCaption"/>
      </w:pPr>
      <w:r>
        <w:t xml:space="preserve">Gráfico 1.–</w:t>
      </w:r>
      <w:r>
        <w:t xml:space="preserve"> </w:t>
      </w:r>
      <w:r>
        <w:t xml:space="preserve">Dónde queda el precio de cada modelo, entre la competencia perfecta y el monopolio (duopolio con demanda lineal y costes iguales)</w:t>
      </w:r>
    </w:p>
    <w:p>
      <w:pPr>
        <w:pStyle w:val="CaptionedFigure"/>
      </w:pPr>
      <w:r>
        <w:drawing>
          <wp:inline>
            <wp:extent cx="5073650" cy="1438506"/>
            <wp:effectExtent b="0" l="0" r="0" t="0"/>
            <wp:docPr descr="Gráfico 1.– Dónde queda el precio de cada modelo, entre la competencia perfecta y el monopolio (duopolio con demanda lineal y costes iguales)" title="" id="4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cala-precio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438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p>
      <w:pPr>
        <w:pStyle w:val="Piedeimagen"/>
      </w:pPr>
      <w:r>
        <w:t xml:space="preserve">Fuente: elaboración propia.</w:t>
      </w:r>
    </w:p>
    <w:p>
      <w:pPr>
        <w:pStyle w:val="Cajadeanotaciones"/>
        <w:keepNext/>
        <w:keepLines/>
      </w:pPr>
      <w:r>
        <w:rPr>
          <w:b/>
          <w:bCs/>
        </w:rPr>
        <w:t xml:space="preserve">Otra forma de verlo</w:t>
      </w:r>
      <w:r>
        <w:t xml:space="preserve">. En parte de la organización industrial y en muchos temarios de la oposición se llama «análisis estático» a todo lo que ocurre una sola vez, incluidos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precios, y «dinámico» solo a la repetición.</w:t>
      </w:r>
    </w:p>
    <w:p>
      <w:pPr>
        <w:pStyle w:val="Cajadeanotaciones"/>
        <w:keepNext/>
        <w:keepLines/>
        <w:numPr>
          <w:ilvl w:val="0"/>
          <w:numId w:val="1020"/>
        </w:numPr>
      </w:pPr>
      <w:r>
        <w:rPr>
          <w:i/>
          <w:iCs/>
        </w:rPr>
        <w:t xml:space="preserve">Justificación</w:t>
      </w:r>
      <w:r>
        <w:t xml:space="preserve">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equivale a una empresa que maximiza en una sola etapa con una variación conjetural igual a la pendiente de la función de reacción de la seguidora,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(variaciones conjeturales, en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).</w:t>
      </w:r>
    </w:p>
    <w:p>
      <w:pPr>
        <w:pStyle w:val="Cajadeanotaciones"/>
        <w:keepNext/>
        <w:keepLines/>
        <w:numPr>
          <w:ilvl w:val="0"/>
          <w:numId w:val="1020"/>
        </w:numPr>
      </w:pPr>
      <w:r>
        <w:rPr>
          <w:i/>
          <w:iCs/>
        </w:rPr>
        <w:t xml:space="preserve">Límite</w:t>
      </w:r>
      <w:r>
        <w:t xml:space="preserve">: en un juego simultáneo de una sola vez nadie puede reaccionar, así que una conjetura distinta de cero no es coherente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; el ENPS existe precisamente porque importa el orden. Por eso seguimos a los manuales.</w:t>
      </w:r>
    </w:p>
    <w:p>
      <w:pPr>
        <w:pStyle w:val="Cajadeanotaciones"/>
        <w:keepLines/>
        <w:numPr>
          <w:ilvl w:val="0"/>
          <w:numId w:val="1020"/>
        </w:numPr>
      </w:pPr>
      <w:r>
        <w:rPr>
          <w:i/>
          <w:iCs/>
        </w:rPr>
        <w:t xml:space="preserve">Si pregunta el tribunal</w:t>
      </w:r>
      <w:r>
        <w:t xml:space="preserve">: es una cuestión de nombres. Lo importante es distinguir el orden de las jugadas (simultáneo o secuencial) y el número de encuentros (una vez o repetido). El desarrollo está en el tema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Start w:id="54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21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43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rPr>
          <w:cantSplit/>
        </w:trPr>
        <w:tc>
          <w:tcPr>
            <w:shd w:val="clear" w:color="auto" w:fill="FBE4D5"/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rPr>
          <w:cantSplit/>
        </w:trPr>
        <w:tc>
          <w:tcPr>
            <w:shd w:val="clear" w:color="auto" w:fill="FBE4D5"/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43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22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5"/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6"/>
      </w:r>
    </w:p>
    <w:p>
      <w:pPr>
        <w:keepNext/>
        <w:numPr>
          <w:ilvl w:val="1"/>
          <w:numId w:val="1023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8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22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25"/>
        </w:numPr>
      </w:pPr>
      <w:r>
        <w:t xml:space="preserve">los</w:t>
      </w:r>
      <w:r>
        <w:t xml:space="preserve"> </w:t>
      </w:r>
      <w:r>
        <w:rPr>
          <w:i/>
          <w:iCs/>
        </w:rPr>
        <w:t xml:space="preserve">jugadores</w:t>
      </w:r>
      <w:r>
        <w:t xml:space="preserve"> </w:t>
      </w:r>
      <w:r>
        <w:t xml:space="preserve">son las empresas;</w:t>
      </w:r>
    </w:p>
    <w:p>
      <w:pPr>
        <w:numPr>
          <w:ilvl w:val="1"/>
          <w:numId w:val="1025"/>
        </w:numPr>
      </w:pPr>
      <w:r>
        <w:t xml:space="preserve">las</w:t>
      </w:r>
      <w:r>
        <w:t xml:space="preserve"> </w:t>
      </w:r>
      <w:r>
        <w:rPr>
          <w:i/>
          <w:iCs/>
        </w:rPr>
        <w:t xml:space="preserve">estrategias</w:t>
      </w:r>
      <w:r>
        <w:t xml:space="preserve">, la cantidad o el precio;</w:t>
      </w:r>
    </w:p>
    <w:p>
      <w:pPr>
        <w:numPr>
          <w:ilvl w:val="1"/>
          <w:numId w:val="1025"/>
        </w:numPr>
      </w:pPr>
      <w:r>
        <w:t xml:space="preserve">los</w:t>
      </w:r>
      <w:r>
        <w:t xml:space="preserve"> </w:t>
      </w:r>
      <w:r>
        <w:rPr>
          <w:i/>
          <w:iCs/>
        </w:rPr>
        <w:t xml:space="preserve">pagos</w:t>
      </w:r>
      <w:r>
        <w:t xml:space="preserve">, los beneficios;</w:t>
      </w:r>
    </w:p>
    <w:p>
      <w:pPr>
        <w:numPr>
          <w:ilvl w:val="1"/>
          <w:numId w:val="102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2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25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22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9"/>
      </w:r>
    </w:p>
    <w:p>
      <w:pPr>
        <w:numPr>
          <w:ilvl w:val="0"/>
          <w:numId w:val="1022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53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t/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Decisiones simultáneas (EN)</w:t>
            </w:r>
            <w:r>
              <w:br/>
            </w:r>
            <w:r>
              <w:t xml:space="preserve">(juegos estáticos)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Decisiones secuenciales (ENPS)</w:t>
            </w:r>
            <w:r>
              <w:br/>
            </w:r>
            <w:r>
              <w:t xml:space="preserve">(juegos dinámicos)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4"/>
    <w:bookmarkStart w:id="73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27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6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28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5"/>
      </w:r>
    </w:p>
    <w:bookmarkEnd w:id="56"/>
    <w:bookmarkStart w:id="69" w:name="b_modelo"/>
    <w:p>
      <w:pPr>
        <w:pStyle w:val="Heading4"/>
      </w:pPr>
      <w:r>
        <w:t xml:space="preserve">b) Modelo</w:t>
      </w:r>
    </w:p>
    <w:bookmarkStart w:id="57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29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29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29"/>
        </w:numPr>
      </w:pPr>
      <w:r>
        <w:t xml:space="preserve">El precio se ajusta hasta vaciar el mercado.</w:t>
      </w:r>
    </w:p>
    <w:bookmarkEnd w:id="57"/>
    <w:bookmarkStart w:id="65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30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8"/>
      </w:r>
      <w:r>
        <w:t xml:space="preserve"> </w:t>
      </w:r>
      <w:bookmarkStart w:id="59" w:name="eq_cpo_cournot"/>
      <w:bookmarkEnd w:id="59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30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30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31"/>
        </w:numPr>
      </w:pPr>
      <w:r>
        <w:t xml:space="preserve">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: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estratégicos);</w:t>
      </w:r>
    </w:p>
    <w:p>
      <w:pPr>
        <w:numPr>
          <w:ilvl w:val="1"/>
          <w:numId w:val="1031"/>
        </w:numPr>
      </w:pPr>
      <w:r>
        <w:t xml:space="preserve">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: la demanda corta a la curva de coste marginal desde arriba.</w:t>
      </w:r>
    </w:p>
    <w:p>
      <w:pPr>
        <w:numPr>
          <w:ilvl w:val="0"/>
          <w:numId w:val="1030"/>
        </w:numPr>
      </w:pPr>
      <w:r>
        <w:t xml:space="preserve">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3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30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">
        <w:r>
          <w:rPr>
            <w:rStyle w:val="Hyperlink"/>
          </w:rPr>
          <w:t xml:space="preserve">2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  <w:r>
        <w:rPr>
          <w:rStyle w:val="FootnoteReference"/>
        </w:rPr>
        <w:footnoteReference w:id="60"/>
      </w:r>
    </w:p>
    <w:bookmarkStart w:id="64" w:name="fig_cournot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2.– Equilibrio de Cournot (C): funciones de reacción e isobeneficios" title="" id="6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  <w:keepNext/>
        <w:keepLines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keepLines/>
        <w:numPr>
          <w:ilvl w:val="0"/>
          <w:numId w:val="1032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§ 1.2.A</w:t>
        </w:r>
      </w:hyperlink>
      <w:r>
        <w:t xml:space="preserve">)</w:t>
      </w:r>
      <w:r>
        <w:t xml:space="preserve">; con 3 o más empresas, no.</w:t>
      </w:r>
    </w:p>
    <w:bookmarkEnd w:id="65"/>
    <w:bookmarkStart w:id="68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6"/>
      </w:r>
    </w:p>
    <w:bookmarkStart w:id="67" w:name="eq_lerner_cournot"/>
    <w:bookmarkEnd w:id="67"/>
    <w:p>
      <w:pPr>
        <w:pStyle w:val="Funcionclave"/>
        <w:keepLines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r>
                <m:t>10.000</m:t>
              </m:r>
              <m:r>
                <m:t> 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100</m:t>
                      </m:r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;</m:t>
          </m:r>
          <m:r>
            <m:t> </m:t>
          </m:r>
          <m:r>
            <m:t>10.000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(HHI en inglés), que vale 10.000 en el monopolio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2.770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33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34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34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8"/>
    <w:bookmarkEnd w:id="69"/>
    <w:bookmarkStart w:id="70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35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keepNext/>
        <w:numPr>
          <w:ilvl w:val="1"/>
          <w:numId w:val="1036"/>
        </w:numPr>
      </w:pPr>
      <w:r>
        <w:t xml:space="preserve">Según la conjetura:</w:t>
      </w:r>
    </w:p>
    <w:p>
      <w:pPr>
        <w:numPr>
          <w:ilvl w:val="2"/>
          <w:numId w:val="1037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</w:t>
      </w:r>
    </w:p>
    <w:p>
      <w:pPr>
        <w:numPr>
          <w:ilvl w:val="2"/>
          <w:numId w:val="1037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</w:t>
      </w:r>
    </w:p>
    <w:p>
      <w:pPr>
        <w:numPr>
          <w:ilvl w:val="2"/>
          <w:numId w:val="1037"/>
        </w:numPr>
      </w:pPr>
      <w:r>
        <w:t xml:space="preserve">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colusión;</w:t>
      </w:r>
    </w:p>
    <w:p>
      <w:pPr>
        <w:numPr>
          <w:ilvl w:val="2"/>
          <w:numId w:val="1037"/>
        </w:numPr>
      </w:pPr>
      <w:r>
        <w:t xml:space="preserve">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36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dinámico: el orden de las jugadas 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 o la repetición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35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§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38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35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70"/>
    <w:bookmarkStart w:id="71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39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71"/>
    <w:bookmarkStart w:id="72" w:name="e_valoraci__n"/>
    <w:p>
      <w:pPr>
        <w:pStyle w:val="Heading4"/>
      </w:pPr>
      <w:r>
        <w:t xml:space="preserve">e) Valoración</w:t>
      </w:r>
    </w:p>
    <w:p>
      <w:pPr>
        <w:keepNext/>
        <w:numPr>
          <w:ilvl w:val="0"/>
          <w:numId w:val="1040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</w:t>
      </w:r>
    </w:p>
    <w:p>
      <w:pPr>
        <w:numPr>
          <w:ilvl w:val="1"/>
          <w:numId w:val="1041"/>
        </w:numPr>
      </w:pPr>
      <w:r>
        <w:t xml:space="preserve">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);</w:t>
      </w:r>
    </w:p>
    <w:p>
      <w:pPr>
        <w:numPr>
          <w:ilvl w:val="1"/>
          <w:numId w:val="1041"/>
        </w:numPr>
      </w:pPr>
      <w:r>
        <w:t xml:space="preserve">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72"/>
    <w:bookmarkEnd w:id="73"/>
    <w:bookmarkStart w:id="84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42"/>
        </w:numPr>
      </w:pPr>
      <w:r>
        <w:t xml:space="preserve">Mantenemos las cantidades y cambiamos el orden: ¿qué pasa si una empresa decide antes que la otra?</w:t>
      </w:r>
    </w:p>
    <w:bookmarkStart w:id="74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43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74"/>
    <w:bookmarkStart w:id="82" w:name="b_modelo_1"/>
    <w:p>
      <w:pPr>
        <w:pStyle w:val="Heading4"/>
      </w:pPr>
      <w:r>
        <w:t xml:space="preserve">b) Modelo</w:t>
      </w:r>
    </w:p>
    <w:bookmarkStart w:id="75" w:name="i_supuestos_1"/>
    <w:p>
      <w:pPr>
        <w:pStyle w:val="Heading5"/>
      </w:pPr>
      <w:r>
        <w:t xml:space="preserve">i) Supuestos</w:t>
      </w:r>
    </w:p>
    <w:p>
      <w:pPr>
        <w:keepNext/>
        <w:numPr>
          <w:ilvl w:val="0"/>
          <w:numId w:val="1044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</w:t>
      </w:r>
    </w:p>
    <w:p>
      <w:pPr>
        <w:numPr>
          <w:ilvl w:val="1"/>
          <w:numId w:val="1045"/>
        </w:numPr>
      </w:pPr>
      <w:r>
        <w:t xml:space="preserve">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numPr>
          <w:ilvl w:val="1"/>
          <w:numId w:val="1045"/>
        </w:numPr>
      </w:pPr>
      <w:r>
        <w:t xml:space="preserve">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44"/>
        </w:numPr>
      </w:pPr>
      <w:r>
        <w:t xml:space="preserve">Es un juego dinámico secuencial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5"/>
    <w:bookmarkStart w:id="80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Primera etapa</w:t>
      </w:r>
      <w:r>
        <w:t xml:space="preserve">: la líder resuelve el mismo problema que en</w:t>
      </w:r>
      <w:r>
        <w:t xml:space="preserve"> </w:t>
      </w:r>
      <w:r>
        <w:rPr>
          <w:smallCaps/>
        </w:rPr>
        <w:t xml:space="preserve">Cournot</w:t>
      </w:r>
      <w:r>
        <w:t xml:space="preserve">, con una</w:t>
      </w:r>
      <w:r>
        <w:t xml:space="preserve"> </w:t>
      </w:r>
      <w:r>
        <w:rPr>
          <w:i/>
          <w:iCs/>
        </w:rPr>
        <w:t xml:space="preserve">restricción adicional</w:t>
      </w:r>
      <w:r>
        <w:t xml:space="preserve">: la respuesta de la seguidora, que anticipa,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la empresa 1 toma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como dada; aquí sabe que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depende de lo que ella haga. Sustituyendo la restricción en el objetivo, la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keepNext/>
        <w:numPr>
          <w:ilvl w:val="0"/>
          <w:numId w:val="1046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</w:p>
    <w:p>
      <w:pPr>
        <w:numPr>
          <w:ilvl w:val="1"/>
          <w:numId w:val="1047"/>
        </w:numPr>
      </w:pPr>
      <w:r>
        <w:t xml:space="preserve">la líder produce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monopolio, y la seguidora,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el precio es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), sobre el de</w:t>
      </w:r>
      <w:r>
        <w:t xml:space="preserve"> </w:t>
      </w:r>
      <w:r>
        <w:rPr>
          <w:smallCaps/>
        </w:rPr>
        <w:t xml:space="preserve">Cournot</w:t>
      </w:r>
      <w:r>
        <w:t xml:space="preserve">: la restricción es la función de reacción de la seguidora, y la líder elige sobre ella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Start w:id="79" w:name="fig_stackelberg"/>
    <w:p>
      <w:pPr>
        <w:pStyle w:val="ImageCaption"/>
      </w:pPr>
      <w:r>
        <w:t xml:space="preserve">Gráfico 3.–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la líder elige sobre la función de reacción de la seguidora el punto de su isobeneficio más bajo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3.– Equilibrio de Stackelberg (S): la líder elige sobre la función de reacción de la seguidora el punto de su isobeneficio más bajo" title="" id="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tackelber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80"/>
    <w:bookmarkStart w:id="81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81"/>
    <w:bookmarkEnd w:id="82"/>
    <w:bookmarkStart w:id="83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49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83"/>
    <w:bookmarkEnd w:id="84"/>
    <w:bookmarkStart w:id="104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50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85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51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85"/>
    <w:bookmarkStart w:id="94" w:name="b_modelo_2"/>
    <w:p>
      <w:pPr>
        <w:pStyle w:val="Heading4"/>
      </w:pPr>
      <w:r>
        <w:t xml:space="preserve">b) Modelo</w:t>
      </w:r>
    </w:p>
    <w:bookmarkStart w:id="86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52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52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86"/>
    <w:bookmarkStart w:id="91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53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keepNext/>
        <w:numPr>
          <w:ilvl w:val="0"/>
          <w:numId w:val="1053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§ 12.C</w:t>
        </w:r>
      </w:hyperlink>
      <w:r>
        <w:t xml:space="preserve">)</w:t>
      </w:r>
      <w:r>
        <w:t xml:space="preserve">. Ningún otro par de precios lo es:</w:t>
      </w:r>
    </w:p>
    <w:p>
      <w:pPr>
        <w:numPr>
          <w:ilvl w:val="1"/>
          <w:numId w:val="1055"/>
        </w:numPr>
      </w:pPr>
      <w:r>
        <w:t xml:space="preserve">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</w:t>
      </w:r>
    </w:p>
    <w:p>
      <w:pPr>
        <w:numPr>
          <w:ilvl w:val="1"/>
          <w:numId w:val="1055"/>
        </w:numPr>
      </w:pPr>
      <w:r>
        <w:t xml:space="preserve">si uno cobra más que el otro y el más barato gana algo, a este le conviene subir hasta justo por debajo del otro;</w:t>
      </w:r>
    </w:p>
    <w:p>
      <w:pPr>
        <w:numPr>
          <w:ilvl w:val="1"/>
          <w:numId w:val="1055"/>
        </w:numPr>
      </w:pPr>
      <w:r>
        <w:t xml:space="preserve">nadie cobra por debajo de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53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4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90" w:name="fig_bertrand"/>
    <w:p>
      <w:pPr>
        <w:pStyle w:val="ImageCaption"/>
      </w:pPr>
      <w:r>
        <w:t xml:space="preserve">Gráfico 4.–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4.– Equilibrio de Bertrand con producto homogéneo: funciones de reacción en precios" title="" id="8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p>
      <w:pPr>
        <w:pStyle w:val="Piedeimagen"/>
      </w:pPr>
      <w:r>
        <w:t xml:space="preserve">Fuente: elaboración propia.</w:t>
      </w:r>
    </w:p>
    <w:bookmarkEnd w:id="91"/>
    <w:bookmarkStart w:id="93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keepNext/>
        <w:numPr>
          <w:ilvl w:val="0"/>
          <w:numId w:val="1056"/>
        </w:numPr>
      </w:pPr>
      <w:r>
        <w:t xml:space="preserve">La paradoja descansa en 5 supuestos, y 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:</w:t>
      </w:r>
      <w:r>
        <w:rPr>
          <w:rStyle w:val="FootnoteReference"/>
        </w:rPr>
        <w:footnoteReference w:id="92"/>
      </w:r>
    </w:p>
    <w:p>
      <w:pPr>
        <w:numPr>
          <w:ilvl w:val="1"/>
          <w:numId w:val="1057"/>
        </w:numPr>
      </w:pPr>
      <w:r>
        <w:t xml:space="preserve">costes marginales iguales;</w:t>
      </w:r>
    </w:p>
    <w:p>
      <w:pPr>
        <w:numPr>
          <w:ilvl w:val="1"/>
          <w:numId w:val="1057"/>
        </w:numPr>
      </w:pPr>
      <w:r>
        <w:t xml:space="preserve">producto homogéneo;</w:t>
      </w:r>
    </w:p>
    <w:p>
      <w:pPr>
        <w:numPr>
          <w:ilvl w:val="1"/>
          <w:numId w:val="1057"/>
        </w:numPr>
      </w:pPr>
      <w:r>
        <w:t xml:space="preserve">sin restricciones de capacidad;</w:t>
      </w:r>
    </w:p>
    <w:p>
      <w:pPr>
        <w:numPr>
          <w:ilvl w:val="1"/>
          <w:numId w:val="1057"/>
        </w:numPr>
      </w:pPr>
      <w:r>
        <w:t xml:space="preserve">un contexto estático (una sola vez);</w:t>
      </w:r>
    </w:p>
    <w:p>
      <w:pPr>
        <w:numPr>
          <w:ilvl w:val="1"/>
          <w:numId w:val="1057"/>
        </w:numPr>
      </w:pPr>
      <w:r>
        <w:t xml:space="preserve">sin cooperación entre las empresas.</w:t>
      </w:r>
    </w:p>
    <w:bookmarkEnd w:id="93"/>
    <w:bookmarkEnd w:id="94"/>
    <w:bookmarkStart w:id="101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58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60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5</w:t>
        </w:r>
      </w:hyperlink>
      <w:r>
        <w:t xml:space="preserve">):</w:t>
      </w:r>
    </w:p>
    <w:p>
      <w:pPr>
        <w:numPr>
          <w:ilvl w:val="2"/>
          <w:numId w:val="1061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61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61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61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9" w:name="fig_edgeworth"/>
    <w:p>
      <w:pPr>
        <w:pStyle w:val="ImageCaption"/>
      </w:pPr>
      <w:r>
        <w:t xml:space="preserve">Gráfico 5.–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5.– Capacidad limitada: demanda residual y ciclo de precios de Edgeworth" title="" id="9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  <w:keepLines/>
      </w:pPr>
      <w:r>
        <w:t xml:space="preserve">Vídeo de repaso, en inglés: «Duopoly Models: Bertrand and Edgeworth»,</w:t>
      </w:r>
      <w:r>
        <w:t xml:space="preserve"> </w:t>
      </w:r>
      <w:hyperlink r:id="rId100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keepNext/>
        <w:numPr>
          <w:ilvl w:val="0"/>
          <w:numId w:val="1062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</w:p>
    <w:p>
      <w:pPr>
        <w:keepNext/>
        <w:numPr>
          <w:ilvl w:val="1"/>
          <w:numId w:val="1063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</w:t>
      </w:r>
    </w:p>
    <w:p>
      <w:pPr>
        <w:numPr>
          <w:ilvl w:val="2"/>
          <w:numId w:val="1064"/>
        </w:numPr>
      </w:pPr>
      <w:r>
        <w:t xml:space="preserve">cada empresa elige su capacidad, con un coste por unidad;</w:t>
      </w:r>
    </w:p>
    <w:p>
      <w:pPr>
        <w:numPr>
          <w:ilvl w:val="2"/>
          <w:numId w:val="1064"/>
        </w:numPr>
      </w:pPr>
      <w:r>
        <w:t xml:space="preserve">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</w:t>
      </w:r>
    </w:p>
    <w:p>
      <w:pPr>
        <w:numPr>
          <w:ilvl w:val="1"/>
          <w:numId w:val="1063"/>
        </w:numPr>
      </w:pPr>
      <w:r>
        <w:t xml:space="preserve">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Contexto dinámico, con repetición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101"/>
    <w:bookmarkStart w:id="103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65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102"/>
      </w:r>
    </w:p>
    <w:p>
      <w:pPr>
        <w:numPr>
          <w:ilvl w:val="1"/>
          <w:numId w:val="1066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66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65"/>
        </w:numPr>
      </w:pPr>
      <w:r>
        <w:t xml:space="preserve">Queda una pregunta: ¿qué pasa si una empresa fija el precio antes que las demás?</w:t>
      </w:r>
    </w:p>
    <w:bookmarkEnd w:id="103"/>
    <w:bookmarkEnd w:id="104"/>
    <w:bookmarkStart w:id="120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67"/>
        </w:numPr>
      </w:pPr>
      <w:r>
        <w:t xml:space="preserve">La última casilla de la tabla: precios y decisiones por turnos.</w:t>
      </w:r>
    </w:p>
    <w:bookmarkStart w:id="105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68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105"/>
    <w:bookmarkStart w:id="113" w:name="b_modelo_3"/>
    <w:p>
      <w:pPr>
        <w:pStyle w:val="Heading4"/>
      </w:pPr>
      <w:r>
        <w:t xml:space="preserve">b) Modelo</w:t>
      </w:r>
    </w:p>
    <w:bookmarkStart w:id="106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69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69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69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106"/>
    <w:bookmarkStart w:id="111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70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70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10" w:name="fig_liderazgo"/>
    <w:p>
      <w:pPr>
        <w:pStyle w:val="ImageCaption"/>
      </w:pPr>
      <w:r>
        <w:t xml:space="preserve">Gráfico 6.–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6.– Liderazgo en precios: la empresa dominante y la franja competitiva" title="" id="1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p>
      <w:pPr>
        <w:pStyle w:val="Piedeimagen"/>
      </w:pPr>
      <w:r>
        <w:t xml:space="preserve">Fuente: elaboración propia.</w:t>
      </w:r>
    </w:p>
    <w:bookmarkEnd w:id="111"/>
    <w:bookmarkStart w:id="112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71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71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12"/>
    <w:bookmarkEnd w:id="113"/>
    <w:bookmarkStart w:id="119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72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  <w:keepNext/>
        <w:keepLines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(PIE; gráfico </w:t>
      </w:r>
      <w:hyperlink w:anchor="fig_ineficiencia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;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t xml:space="preserve">el monopolio, o el cártel, es el peor.</w:t>
      </w:r>
    </w:p>
    <w:p>
      <w:pPr>
        <w:pStyle w:val="Cajadeanotaciones"/>
        <w:keepLines/>
      </w:pPr>
      <w:r>
        <w:t xml:space="preserve">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17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7.–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7.– Producción y pérdida de eficiencia de cada estructura" title="" id="11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18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18"/>
    <w:p>
      <w:pPr>
        <w:pStyle w:val="Cajadeanotaciones"/>
        <w:keepLines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9"/>
    <w:bookmarkEnd w:id="120"/>
    <w:bookmarkEnd w:id="121"/>
    <w:bookmarkStart w:id="152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Competencia repetida: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t xml:space="preserve">el horizonte finito en una frase (1′);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t xml:space="preserve">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</w:t>
      </w:r>
    </w:p>
    <w:p>
      <w:pPr>
        <w:pStyle w:val="Notaalopositor"/>
        <w:keepLines/>
      </w:pPr>
      <w:r>
        <w:t xml:space="preserve">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76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28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22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77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22"/>
    <w:bookmarkStart w:id="127" w:name="b_modelo_4"/>
    <w:p>
      <w:pPr>
        <w:pStyle w:val="Heading4"/>
      </w:pPr>
      <w:r>
        <w:t xml:space="preserve">b) Modelo</w:t>
      </w:r>
    </w:p>
    <w:bookmarkStart w:id="123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78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78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78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23"/>
    <w:bookmarkStart w:id="124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79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24"/>
    <w:bookmarkStart w:id="126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80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25"/>
      </w:r>
    </w:p>
    <w:bookmarkEnd w:id="126"/>
    <w:bookmarkEnd w:id="127"/>
    <w:bookmarkEnd w:id="128"/>
    <w:bookmarkStart w:id="151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9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81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9"/>
    <w:bookmarkStart w:id="146" w:name="b_modelo_5"/>
    <w:p>
      <w:pPr>
        <w:pStyle w:val="Heading4"/>
      </w:pPr>
      <w:r>
        <w:t xml:space="preserve">b) Modelo</w:t>
      </w:r>
    </w:p>
    <w:bookmarkStart w:id="131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82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30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31"/>
    <w:bookmarkStart w:id="138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Estrategia incondicionada</w:t>
      </w:r>
      <w:r>
        <w:t xml:space="preserve"> </w:t>
      </w:r>
      <w:r>
        <w:t xml:space="preserve">(gráfico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, panel a):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(panel b):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83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32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33" w:name="eq_colusion"/>
    <w:bookmarkEnd w:id="133"/>
    <w:p>
      <w:pPr>
        <w:pStyle w:val="Funcionclave"/>
        <w:keepLines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keepNext/>
        <w:numPr>
          <w:ilvl w:val="0"/>
          <w:numId w:val="1083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, los 3 beneficios son:</w:t>
      </w:r>
    </w:p>
    <w:p>
      <w:pPr>
        <w:numPr>
          <w:ilvl w:val="1"/>
          <w:numId w:val="1084"/>
        </w:numPr>
      </w:pPr>
      <w:r>
        <w:t xml:space="preserve">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</w:t>
      </w:r>
    </w:p>
    <w:p>
      <w:pPr>
        <w:numPr>
          <w:ilvl w:val="1"/>
          <w:numId w:val="1084"/>
        </w:numPr>
      </w:pPr>
      <w:r>
        <w:t xml:space="preserve">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</w:t>
      </w:r>
    </w:p>
    <w:p>
      <w:pPr>
        <w:numPr>
          <w:ilvl w:val="1"/>
          <w:numId w:val="1084"/>
        </w:numPr>
      </w:pPr>
      <w:r>
        <w:t xml:space="preserve">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83"/>
        </w:numPr>
      </w:pPr>
      <w:r>
        <w:t xml:space="preserve">Por tanto, 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la colusión exige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8</w:t>
        </w:r>
      </w:hyperlink>
      <w:r>
        <w:t xml:space="preserve">), con los beneficios ya descontados,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r>
          <m:t>B</m:t>
        </m:r>
      </m:oMath>
      <w:r>
        <w:t xml:space="preserve">, se comparan directamente 2 áreas: la ganancia de desviarse hasta que las demás reaccionan (en rojo) y la pérdida por el castigo desde entonces (en azul). La colusión aguanta si la segunda es mayor; y la roja crece si se tarda más en reaccionar, y la azul, si las empresas son más pacientes.</w:t>
      </w:r>
    </w:p>
    <w:bookmarkStart w:id="137" w:name="fig_colusion_tiempo"/>
    <w:p>
      <w:pPr>
        <w:pStyle w:val="ImageCaption"/>
      </w:pPr>
      <w:r>
        <w:t xml:space="preserve">Gráfico 8.–</w:t>
      </w:r>
      <w:r>
        <w:t xml:space="preserve"> </w:t>
      </w:r>
      <w:r>
        <w:t xml:space="preserve">Valor descontado del beneficio de cada periodo, coludiendo siempre o desviándose hoy: la ganancia hasta que las demás reaccionan y la pérdida por el castigo</w:t>
      </w:r>
    </w:p>
    <w:p>
      <w:pPr>
        <w:pStyle w:val="CaptionedFigure"/>
      </w:pPr>
      <w:r>
        <w:drawing>
          <wp:inline>
            <wp:extent cx="4178300" cy="1766781"/>
            <wp:effectExtent b="0" l="0" r="0" t="0"/>
            <wp:docPr descr="Gráfico 8.– Valor descontado del beneficio de cada periodo, coludiendo siempre o desviándose hoy: la ganancia hasta que las demás reaccionan y la pérdida por el castigo" title="" id="13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66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p>
      <w:pPr>
        <w:pStyle w:val="Piedeimagen"/>
      </w:pPr>
      <w:r>
        <w:t xml:space="preserve">Fuente: elaboración propia.</w:t>
      </w:r>
    </w:p>
    <w:bookmarkEnd w:id="138"/>
    <w:bookmarkStart w:id="145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85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85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y 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9"/>
      </w:r>
    </w:p>
    <w:bookmarkStart w:id="140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«Si gano, repito; si pierdo, cambio»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40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Start w:id="144" w:name="fig_estrategias_automatas"/>
    <w:p>
      <w:pPr>
        <w:pStyle w:val="ImageCaption"/>
      </w:pPr>
      <w:r>
        <w:t xml:space="preserve">Gráfico 9.–</w:t>
      </w:r>
      <w:r>
        <w:t xml:space="preserve"> </w:t>
      </w:r>
      <w:r>
        <w:t xml:space="preserve">Las estrategias del juego repetido como autómatas: cada círculo es lo que la empresa juega este periodo (C, coludir; D, desviarse) y cada flecha, adónde pasa según lo que hizo la rival el periodo anterior; la flecha suelta marca por dónde empieza</w:t>
      </w:r>
    </w:p>
    <w:p>
      <w:pPr>
        <w:pStyle w:val="CaptionedFigure"/>
      </w:pPr>
      <w:r>
        <w:drawing>
          <wp:inline>
            <wp:extent cx="5670550" cy="2393893"/>
            <wp:effectExtent b="0" l="0" r="0" t="0"/>
            <wp:docPr descr="Gráfico 9.– Las estrategias del juego repetido como autómatas: cada círculo es lo que la empresa juega este periodo (C, coludir; D, desviarse) y cada flecha, adónde pasa según lo que hizo la rival el periodo anterior; la flecha suelta marca por dónde empieza" title="" id="14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trategias-automata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3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Nowak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Sigmund</w:t>
      </w:r>
      <w:r>
        <w:t xml:space="preserve"> </w:t>
      </w:r>
      <w:r>
        <w:t xml:space="preserve">(</w:t>
      </w:r>
      <w:hyperlink w:anchor="ref_NowakSigmund1993Strategy">
        <w:r>
          <w:rPr>
            <w:rStyle w:val="Hyperlink"/>
          </w:rPr>
          <w:t xml:space="preserve">1993</w:t>
        </w:r>
      </w:hyperlink>
      <w:r>
        <w:t xml:space="preserve">)</w:t>
      </w:r>
      <w:r>
        <w:t xml:space="preserve">.</w:t>
      </w:r>
    </w:p>
    <w:bookmarkEnd w:id="145"/>
    <w:bookmarkEnd w:id="146"/>
    <w:bookmarkStart w:id="147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47"/>
    <w:bookmarkStart w:id="148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87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7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7"/>
        </w:numPr>
      </w:pPr>
      <w:r>
        <w:t xml:space="preserve">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48"/>
    <w:bookmarkStart w:id="150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88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49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7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</w:t>
            </w:r>
            <w:r>
              <w:t xml:space="preserve"> </w:t>
            </w:r>
            <w:r>
              <w:t xml:space="preserve">(</w:t>
            </w:r>
            <w:hyperlink w:anchor="ref_Ross1992Cartel">
              <w:r>
                <w:rPr>
                  <w:rStyle w:val="Hyperlink"/>
                  <w:smallCaps/>
                </w:rPr>
                <w:t xml:space="preserve">Ross</w:t>
              </w:r>
              <w:r>
                <w:rPr>
                  <w:rStyle w:val="Hyperlink"/>
                </w:rPr>
                <w:t xml:space="preserve">, 1992</w:t>
              </w:r>
            </w:hyperlink>
            <w:r>
              <w:t xml:space="preserve">)</w:t>
            </w:r>
            <w:r>
              <w:t xml:space="preserve">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49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89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50"/>
    <w:bookmarkEnd w:id="151"/>
    <w:bookmarkEnd w:id="152"/>
    <w:bookmarkStart w:id="191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sobre el panel a del gráfico del reparto, y los 3 valores de la función característica, con sus 2 conclusiones (núcleo no vacío; ventaja de quedarse fuera); el panel b es de apoyo (3′);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</w:t>
      </w:r>
    </w:p>
    <w:p>
      <w:pPr>
        <w:pStyle w:val="Notaalopositor"/>
        <w:keepLines/>
      </w:pPr>
      <w:r>
        <w:t xml:space="preserve">El ejemplo de la negociación con costes distintos y los casos concretos son de apoyo.</w:t>
      </w:r>
    </w:p>
    <w:p>
      <w:pPr>
        <w:keepNext/>
        <w:numPr>
          <w:ilvl w:val="0"/>
          <w:numId w:val="1091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</w:t>
      </w:r>
    </w:p>
    <w:p>
      <w:pPr>
        <w:numPr>
          <w:ilvl w:val="1"/>
          <w:numId w:val="1092"/>
        </w:numPr>
      </w:pPr>
      <w:r>
        <w:t xml:space="preserve">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</w:t>
      </w:r>
    </w:p>
    <w:p>
      <w:pPr>
        <w:numPr>
          <w:ilvl w:val="1"/>
          <w:numId w:val="1092"/>
        </w:numPr>
      </w:pPr>
      <w:r>
        <w:t xml:space="preserve">cómo se reparte lo ganado depende de lo que cada empresa conseguiría sin él;</w:t>
      </w:r>
    </w:p>
    <w:p>
      <w:pPr>
        <w:numPr>
          <w:ilvl w:val="1"/>
          <w:numId w:val="1092"/>
        </w:numPr>
      </w:pPr>
      <w:r>
        <w:t xml:space="preserve">como nadie puede hacerlo cumplir ante un juez, la entrada y la política de competencia lo limitan.</w:t>
      </w:r>
    </w:p>
    <w:bookmarkStart w:id="173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53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9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94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94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93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53"/>
    <w:bookmarkStart w:id="170" w:name="b_modelo_6"/>
    <w:p>
      <w:pPr>
        <w:pStyle w:val="Heading4"/>
      </w:pPr>
      <w:r>
        <w:t xml:space="preserve">b) Modelo</w:t>
      </w:r>
    </w:p>
    <w:bookmarkStart w:id="154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95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54"/>
    <w:bookmarkStart w:id="164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96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55" w:name="eq_cartel"/>
      <w:bookmarkEnd w:id="155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96"/>
        </w:numPr>
      </w:pPr>
      <w:r>
        <w:t xml:space="preserve">Son 2 decisiones (gráfico </w:t>
      </w:r>
      <w:hyperlink w:anchor="fig_cartel_multiplanta">
        <w:r>
          <w:rPr>
            <w:rStyle w:val="Hyperlink"/>
          </w:rPr>
          <w:t xml:space="preserve">10</w:t>
        </w:r>
      </w:hyperlink>
      <w:r>
        <w:t xml:space="preserve">):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cómo repartirlo</w:t>
      </w:r>
      <w:r>
        <w:t xml:space="preserve">, igualando los costes marginales de las empresas, lo que minimiza el coste.</w:t>
      </w:r>
    </w:p>
    <w:p>
      <w:pPr>
        <w:numPr>
          <w:ilvl w:val="0"/>
          <w:numId w:val="1096"/>
        </w:numPr>
      </w:pPr>
      <w:r>
        <w:t xml:space="preserve">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96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59" w:name="fig_cartel_multiplanta"/>
    <w:p>
      <w:pPr>
        <w:pStyle w:val="ImageCaption"/>
      </w:pPr>
      <w:r>
        <w:t xml:space="preserve">Gráfico 10.–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10.– El cártel como monopolista multiplanta: cuánto producir y cómo repartirlo" title="" id="15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63" w:name="fig_cartel"/>
    <w:p>
      <w:pPr>
        <w:pStyle w:val="ImageCaption"/>
      </w:pPr>
      <w:r>
        <w:t xml:space="preserve">Gráfico 11.–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1.– El cártel en el plano de cantidades: curva de colusión e incentivo a desviarse" title="" id="16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64"/>
    <w:bookmarkStart w:id="169" w:name="iii_implicaciones_6"/>
    <w:p>
      <w:pPr>
        <w:pStyle w:val="Heading5"/>
      </w:pPr>
      <w:r>
        <w:t xml:space="preserve">iii) Implicaciones</w:t>
      </w:r>
    </w:p>
    <w:p>
      <w:pPr>
        <w:keepNext/>
        <w:numPr>
          <w:ilvl w:val="0"/>
          <w:numId w:val="1098"/>
        </w:numPr>
      </w:pPr>
      <w:r>
        <w:rPr>
          <w:b/>
          <w:bCs/>
        </w:rPr>
        <w:t xml:space="preserve">Colusión perfecta e imperfecta</w:t>
      </w:r>
      <w:r>
        <w:t xml:space="preserve">:</w:t>
      </w:r>
    </w:p>
    <w:p>
      <w:pPr>
        <w:numPr>
          <w:ilvl w:val="1"/>
          <w:numId w:val="1099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</w:t>
      </w:r>
    </w:p>
    <w:p>
      <w:pPr>
        <w:numPr>
          <w:ilvl w:val="1"/>
          <w:numId w:val="1099"/>
        </w:numPr>
      </w:pPr>
      <w:r>
        <w:t xml:space="preserve">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98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65"/>
      </w:r>
    </w:p>
    <w:bookmarkStart w:id="166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con p=13-Q y c=1; mejores respuestas subrayadas y equilibrio de Nash sombreado)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t/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18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20</m:t>
                      </m:r>
                    </m:e>
                  </m:bar>
                </m:e>
              </m:d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20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15</m:t>
                  </m:r>
                </m:e>
              </m:d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16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16</m:t>
                      </m:r>
                    </m:e>
                  </m:bar>
                </m:e>
              </m:d>
            </m:oMath>
          </w:p>
        </w:tc>
      </w:tr>
    </w:tbl>
    <w:bookmarkEnd w:id="166"/>
    <w:p>
      <w:pPr>
        <w:pStyle w:val="BodyText"/>
        <w:keepNext/>
      </w:pPr>
      <w:r>
        <w:rPr>
          <w:i/>
          <w:iCs/>
        </w:rPr>
        <w:t xml:space="preserve">Fuente: elaboración propia con la demanda del ejemplo de</w:t>
      </w:r>
      <w:r>
        <w:rPr>
          <w:i/>
          <w:iCs/>
        </w:rPr>
        <w:t xml:space="preserve"> </w:t>
      </w:r>
      <w:hyperlink w:anchor="sec_reparto">
        <w:r>
          <w:rPr>
            <w:rStyle w:val="Hyperlink"/>
            <w:i/>
            <w:iCs/>
          </w:rPr>
          <w:t xml:space="preserve">III.2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rPr>
          <w:i/>
          <w:iCs/>
        </w:rPr>
        <w:t xml:space="preserve">, y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para las 2: con las cuotas,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6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18 cada una; 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16; si una cumple y la otra produce 4,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7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rPr>
          <w:i/>
          <w:iCs/>
        </w:rPr>
        <w:t xml:space="preserve">, y ganan 15 y 20.</w:t>
      </w:r>
    </w:p>
    <w:p>
      <w:pPr>
        <w:keepNext/>
        <w:numPr>
          <w:ilvl w:val="0"/>
          <w:numId w:val="1100"/>
        </w:numPr>
      </w:pPr>
      <w:r>
        <w:rPr>
          <w:i/>
          <w:iCs/>
        </w:rPr>
        <w:t xml:space="preserve">Cómo se sostiene</w:t>
      </w:r>
      <w:r>
        <w:t xml:space="preserve">.</w:t>
      </w:r>
    </w:p>
    <w:p>
      <w:pPr>
        <w:keepNext/>
        <w:numPr>
          <w:ilvl w:val="1"/>
          <w:numId w:val="1101"/>
        </w:numPr>
      </w:pPr>
      <w:r>
        <w:t xml:space="preserve">El acuerdo solo se cumple si algo lo hace cumplir:</w:t>
      </w:r>
    </w:p>
    <w:p>
      <w:pPr>
        <w:numPr>
          <w:ilvl w:val="2"/>
          <w:numId w:val="1102"/>
        </w:numPr>
      </w:pPr>
      <w:r>
        <w:t xml:space="preserve">un contrato que un juez pueda ejecutar, imposible porque el acuerdo es ilegal;</w:t>
      </w:r>
    </w:p>
    <w:p>
      <w:pPr>
        <w:numPr>
          <w:ilvl w:val="2"/>
          <w:numId w:val="1102"/>
        </w:numPr>
      </w:pPr>
      <w:r>
        <w:t xml:space="preserve">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</w:t>
      </w:r>
    </w:p>
    <w:p>
      <w:pPr>
        <w:numPr>
          <w:ilvl w:val="2"/>
          <w:numId w:val="1102"/>
        </w:numPr>
      </w:pPr>
      <w:r>
        <w:t xml:space="preserve">un tercero que lo imponga.</w:t>
      </w:r>
    </w:p>
    <w:p>
      <w:pPr>
        <w:numPr>
          <w:ilvl w:val="1"/>
          <w:numId w:val="1101"/>
        </w:numPr>
      </w:pPr>
      <w:r>
        <w:t xml:space="preserve">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67"/>
      </w:r>
    </w:p>
    <w:bookmarkEnd w:id="169"/>
    <w:bookmarkEnd w:id="170"/>
    <w:bookmarkStart w:id="171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71"/>
    <w:bookmarkStart w:id="172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104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72"/>
    <w:bookmarkEnd w:id="173"/>
    <w:bookmarkStart w:id="184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74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105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74"/>
    <w:bookmarkStart w:id="182" w:name="b_modelo_7"/>
    <w:p>
      <w:pPr>
        <w:pStyle w:val="Heading4"/>
      </w:pPr>
      <w:r>
        <w:t xml:space="preserve">b) Modelo</w:t>
      </w:r>
    </w:p>
    <w:bookmarkStart w:id="175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106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106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75"/>
    <w:bookmarkStart w:id="180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10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, panel a), los repartos posibles son la frontera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y los que las 2 aceptan, el tramo que queda por encima y a la derecha del punto de desacuerdo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B</m:t>
                </m:r>
              </m:e>
              <m:sub>
                <m:r>
                  <m:t>1</m:t>
                </m:r>
              </m:sub>
              <m:sup>
                <m:r>
                  <m:t>0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B</m:t>
                </m:r>
              </m:e>
              <m:sub>
                <m:r>
                  <m:t>2</m:t>
                </m:r>
              </m:sub>
              <m:sup>
                <m:r>
                  <m:t>0</m:t>
                </m:r>
              </m:sup>
            </m:sSubSup>
          </m:e>
        </m:d>
      </m:oMath>
      <w:r>
        <w:t xml:space="preserve">: el triángulo es el excedente del cártel. La solución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 el punto de la frontera en que la toca la curva de nivel más alta del producto de</w:t>
      </w:r>
      <w:r>
        <w:t xml:space="preserve"> </w:t>
      </w:r>
      <w:r>
        <w:rPr>
          <w:smallCaps/>
        </w:rPr>
        <w:t xml:space="preserve">Nash</w:t>
      </w:r>
      <w:r>
        <w:t xml:space="preserve">; con más poder de negociación,</w:t>
      </w:r>
      <w:r>
        <w:t xml:space="preserve"> </w:t>
      </w:r>
      <m:oMath>
        <m:r>
          <m:t>γ</m:t>
        </m:r>
      </m:oMath>
      <w:r>
        <w:t xml:space="preserve">, se desplaza hacia la empresa 1.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1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1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p>
      <w:pPr>
        <w:numPr>
          <w:ilvl w:val="1"/>
          <w:numId w:val="1108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, panel b),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forman un triángulo (el símplex) en el que cada vértice da todo a una empresa; el núcleo es el triángulo interior, en el que cada una recibe al menos 1, y el valor de</w:t>
      </w:r>
      <w:r>
        <w:t xml:space="preserve"> </w:t>
      </w:r>
      <w:r>
        <w:rPr>
          <w:smallCaps/>
        </w:rPr>
        <w:t xml:space="preserve">Shapley</w:t>
      </w:r>
      <w:r>
        <w:t xml:space="preserve">, su centro.</w:t>
      </w:r>
    </w:p>
    <w:bookmarkStart w:id="179" w:name="fig_reparto_cartel"/>
    <w:p>
      <w:pPr>
        <w:pStyle w:val="ImageCaption"/>
      </w:pPr>
      <w:r>
        <w:t xml:space="preserve">Gráfico 12.–</w:t>
      </w:r>
      <w:r>
        <w:t xml:space="preserve"> </w:t>
      </w:r>
      <w:r>
        <w:t xml:space="preserve">El reparto de las ganancias del cártel: solución de negociación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con 2 empresas y núcleo y valor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con 3</w:t>
      </w:r>
    </w:p>
    <w:p>
      <w:pPr>
        <w:pStyle w:val="CaptionedFigure"/>
      </w:pPr>
      <w:r>
        <w:drawing>
          <wp:inline>
            <wp:extent cx="5670550" cy="2590251"/>
            <wp:effectExtent b="0" l="0" r="0" t="0"/>
            <wp:docPr descr="Gráfico 12.– El reparto de las ganancias del cártel: solución de negociación de Nash con 2 empresas y núcleo y valor de Shapley con 3" title="" id="1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reparto-cartel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590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9"/>
    <w:p>
      <w:pPr>
        <w:pStyle w:val="Piedeimagen"/>
      </w:pPr>
      <w:r>
        <w:t xml:space="preserve">Fuente: elaboración propia.</w:t>
      </w:r>
    </w:p>
    <w:bookmarkEnd w:id="180"/>
    <w:bookmarkStart w:id="181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109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109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109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81"/>
    <w:bookmarkEnd w:id="182"/>
    <w:bookmarkStart w:id="183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110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83"/>
    <w:bookmarkEnd w:id="184"/>
    <w:bookmarkStart w:id="190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111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86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112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112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112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113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113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113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85"/>
      </w:r>
    </w:p>
    <w:p>
      <w:pPr>
        <w:numPr>
          <w:ilvl w:val="0"/>
          <w:numId w:val="1112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86"/>
    <w:bookmarkStart w:id="189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87"/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114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115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88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115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114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keepNext/>
        <w:numPr>
          <w:ilvl w:val="1"/>
          <w:numId w:val="1116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ellos:</w:t>
      </w:r>
    </w:p>
    <w:p>
      <w:pPr>
        <w:numPr>
          <w:ilvl w:val="2"/>
          <w:numId w:val="1117"/>
        </w:numPr>
      </w:pPr>
      <w:r>
        <w:t xml:space="preserve">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</w:t>
      </w:r>
    </w:p>
    <w:p>
      <w:pPr>
        <w:numPr>
          <w:ilvl w:val="2"/>
          <w:numId w:val="1117"/>
        </w:numPr>
      </w:pPr>
      <w:r>
        <w:t xml:space="preserve">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116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89"/>
    <w:bookmarkEnd w:id="190"/>
    <w:bookmarkEnd w:id="191"/>
    <w:bookmarkStart w:id="192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keepNext/>
        <w:numPr>
          <w:ilvl w:val="0"/>
          <w:numId w:val="1118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</w:t>
      </w:r>
    </w:p>
    <w:p>
      <w:pPr>
        <w:numPr>
          <w:ilvl w:val="1"/>
          <w:numId w:val="1119"/>
        </w:numPr>
      </w:pPr>
      <w:r>
        <w:t xml:space="preserve">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las barreras de entrada y los mercados impugnables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88">
        <w:r>
          <w:rPr>
            <w:rStyle w:val="Referenciaatema"/>
          </w:rPr>
          <w:t xml:space="preserve">[ver tema 4.A.15]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colusión entre algoritmos de precios, un campo abierto.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 Entre bomberos no se pisan la manguera… mientras a ninguno le compense pisarla: la colusión aguanta si lo que se gana desviándose hoy pesa menos que lo que se pierde después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). Por eso unas reuniones como las que temía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no sirven de nada y otras duran 14 años, como la de los fabricantes de camiones; y la política de competencia usa ese mismo dilema para que al primero que pise la manguera y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92"/>
    <w:bookmarkStart w:id="198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keepNext/>
        <w:numPr>
          <w:ilvl w:val="0"/>
          <w:numId w:val="1120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: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keepNext/>
        <w:numPr>
          <w:ilvl w:val="0"/>
          <w:numId w:val="1120"/>
        </w:numPr>
      </w:pPr>
      <w:r>
        <w:rPr>
          <w:i/>
          <w:iCs/>
        </w:rPr>
        <w:t xml:space="preserve">Ejemplo</w:t>
      </w:r>
      <w:r>
        <w:t xml:space="preserve">: con la demanda de la 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 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144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 La tabla </w:t>
      </w:r>
      <w:hyperlink w:anchor="tab_cournot_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muestra qué pasa al entrar empresas:</w:t>
      </w:r>
    </w:p>
    <w:p>
      <w:pPr>
        <w:numPr>
          <w:ilvl w:val="1"/>
          <w:numId w:val="1122"/>
        </w:numPr>
      </w:pPr>
      <w:r>
        <w:t xml:space="preserve">la producción total sube y el precio baja hacia el coste marginal;</w:t>
      </w:r>
    </w:p>
    <w:p>
      <w:pPr>
        <w:numPr>
          <w:ilvl w:val="1"/>
          <w:numId w:val="1122"/>
        </w:numPr>
      </w:pPr>
      <w:r>
        <w:t xml:space="preserve">el beneficio de cada empresa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bajan hacia 0;</w:t>
      </w:r>
    </w:p>
    <w:p>
      <w:pPr>
        <w:numPr>
          <w:ilvl w:val="1"/>
          <w:numId w:val="1122"/>
        </w:numPr>
      </w:pPr>
      <w:r>
        <w:t xml:space="preserve">el excedente del consumidor,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sube hacia el de la competencia perfecta.</w:t>
      </w:r>
    </w:p>
    <w:bookmarkStart w:id="193" w:name="tab_cournot_n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7.– Cournot con n empresas iguales (p=13-Q, c=1)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Empresas (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Sup>
                <m:e>
                  <m: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/</m:t>
              </m:r>
              <m:r>
                <m:t>p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EC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(monopolio)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</w:tr>
      <w:tr>
        <w:trPr>
          <w:cantSplit/>
        </w:trPr>
        <w:tc>
          <w:tcPr>
            <w:shd w:val="clear" w:color="auto" w:fill="E2EFD9"/>
            <w:vAlign w:val="center"/>
          </w:tcPr>
          <w:p>
            <w:pPr>
              <w:pStyle w:val="Celdatceesalvia"/>
              <w:jc w:val="left"/>
            </w:pPr>
            <w:r>
              <w:t xml:space="preserve">2 (duopolio)</w:t>
            </w:r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8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5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16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32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50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(competencia perfecta)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12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72</m:t>
              </m:r>
            </m:oMath>
          </w:p>
        </w:tc>
      </w:tr>
    </w:tbl>
    <w:bookmarkEnd w:id="193"/>
    <w:p>
      <w:pPr>
        <w:pStyle w:val="BodyText"/>
        <w:keepNext/>
      </w:pPr>
      <w:r>
        <w:rPr>
          <w:i/>
          <w:iCs/>
        </w:rPr>
        <w:t xml:space="preserve">Fuente: elaboración propia:</w:t>
      </w:r>
      <w:r>
        <w:rPr>
          <w:i/>
          <w:iCs/>
        </w:rPr>
        <w:t xml:space="preserve"> </w:t>
      </w:r>
      <m:oMath>
        <m:sSubSup>
          <m:e>
            <m:r>
              <m:t>q</m:t>
            </m:r>
          </m:e>
          <m:sub>
            <m:r>
              <m:t>i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144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rPr>
          <w:i/>
          <w:iCs/>
        </w:rPr>
        <w:t xml:space="preserve">; el 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rPr>
          <w:i/>
          <w:iCs/>
        </w:rPr>
        <w:t xml:space="preserve"> </w:t>
      </w:r>
      <w:r>
        <w:rPr>
          <w:i/>
          <w:iCs/>
        </w:rPr>
        <w:t xml:space="preserve">coincide con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rPr>
          <w:i/>
          <w:iCs/>
        </w:rPr>
        <w:t xml:space="preserve">, con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i/>
          <w:iCs/>
        </w:rPr>
        <w:t xml:space="preserve">.</w:t>
      </w:r>
    </w:p>
    <w:p>
      <w:pPr>
        <w:keepNext/>
        <w:numPr>
          <w:ilvl w:val="0"/>
          <w:numId w:val="1123"/>
        </w:numPr>
      </w:pPr>
      <w:r>
        <w:rPr>
          <w:i/>
          <w:iCs/>
        </w:rPr>
        <w:t xml:space="preserve">El duopolio del ejemplo</w:t>
      </w:r>
      <w:r>
        <w:t xml:space="preserve"> </w:t>
      </w:r>
      <w:r>
        <w:t xml:space="preserve">(gráfico </w:t>
      </w:r>
      <w:hyperlink w:anchor="fig_cournot_lineal">
        <w:r>
          <w:rPr>
            <w:rStyle w:val="Hyperlink"/>
          </w:rPr>
          <w:t xml:space="preserve">13</w:t>
        </w:r>
      </w:hyperlink>
      <w:r>
        <w:t xml:space="preserve">):</w:t>
      </w:r>
    </w:p>
    <w:p>
      <w:pPr>
        <w:numPr>
          <w:ilvl w:val="1"/>
          <w:numId w:val="1124"/>
        </w:numPr>
      </w:pPr>
      <w:r>
        <w:t xml:space="preserve">las funciones de reacción son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 que cortan los ejes en la cantidad de monopolio, 6;</w:t>
      </w:r>
    </w:p>
    <w:p>
      <w:pPr>
        <w:numPr>
          <w:ilvl w:val="1"/>
          <w:numId w:val="1124"/>
        </w:numPr>
      </w:pPr>
      <w:r>
        <w:t xml:space="preserve">se cortan 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4</m:t>
            </m:r>
          </m:e>
        </m:d>
      </m:oMath>
      <w:r>
        <w:t xml:space="preserve">, con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, entre la cantidad de monopolio (6) y la de competencia perfecta (12);</w:t>
      </w:r>
    </w:p>
    <w:p>
      <w:pPr>
        <w:numPr>
          <w:ilvl w:val="1"/>
          <w:numId w:val="1124"/>
        </w:numPr>
      </w:pPr>
      <w:r>
        <w:t xml:space="preserve">si cada empresa responde a lo que hizo la otra el periodo anterior, desde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la senda 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75</m:t>
        </m:r>
      </m:oMath>
      <w:r>
        <w:t xml:space="preserve">…, y se acerca a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(la «telaraña» en rojo).</w:t>
      </w:r>
    </w:p>
    <w:bookmarkStart w:id="197" w:name="fig_cournot_lineal"/>
    <w:p>
      <w:pPr>
        <w:pStyle w:val="ImageCaption"/>
      </w:pPr>
      <w:r>
        <w:t xml:space="preserve">Gráfico 13.–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funciones de reacción, equilibrio y ajuste hacia él</w:t>
      </w:r>
    </w:p>
    <w:p>
      <w:pPr>
        <w:pStyle w:val="CaptionedFigure"/>
      </w:pPr>
      <w:r>
        <w:drawing>
          <wp:inline>
            <wp:extent cx="4297680" cy="3361871"/>
            <wp:effectExtent b="0" l="0" r="0" t="0"/>
            <wp:docPr descr="Gráfico 13.– Cournot con p=13-Q y c=1: funciones de reacción, equilibrio y ajuste hacia él" title="" id="19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lineal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3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p>
      <w:pPr>
        <w:pStyle w:val="Piedeimagen"/>
      </w:pPr>
      <w:r>
        <w:t xml:space="preserve">Fuente: elaboración propia.</w:t>
      </w:r>
    </w:p>
    <w:p>
      <w:pPr>
        <w:numPr>
          <w:ilvl w:val="0"/>
          <w:numId w:val="1125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10.000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. ∎</w:t>
      </w:r>
    </w:p>
    <w:p>
      <w:pPr>
        <w:numPr>
          <w:ilvl w:val="0"/>
          <w:numId w:val="1125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(la telaraña del gráfico </w:t>
      </w:r>
      <w:hyperlink w:anchor="fig_cournot_lineal">
        <w:r>
          <w:rPr>
            <w:rStyle w:val="Hyperlink"/>
          </w:rPr>
          <w:t xml:space="preserve">13</w:t>
        </w:r>
      </w:hyperlink>
      <w:r>
        <w:t xml:space="preserve">);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98"/>
    <w:bookmarkStart w:id="205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La inducción hacia atrás, paso a paso</w:t>
      </w:r>
      <w:r>
        <w:t xml:space="preserve">, con el ejemplo de la tabla </w:t>
      </w:r>
      <w:hyperlink w:anchor="tab_cournot_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): tabla </w:t>
      </w:r>
      <w:hyperlink w:anchor="tab_stackelberg_pasos">
        <w:r>
          <w:rPr>
            <w:rStyle w:val="Hyperlink"/>
          </w:rPr>
          <w:t xml:space="preserve">8</w:t>
        </w:r>
      </w:hyperlink>
      <w:r>
        <w:t xml:space="preserve">.</w:t>
      </w:r>
    </w:p>
    <w:bookmarkStart w:id="199" w:name="tab_stackelberg_pasos"/>
    <w:p>
      <w:pPr>
        <w:pStyle w:val="TableCaption"/>
      </w:pPr>
      <w:r>
        <w:t xml:space="preserve">Tabla 8.–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por inducción hacia atrás: se resuelve primero la última etapa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8.– Stackelberg por inducción hacia atrás: se resuelve primero la última etapa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</w:tcPr>
          <w:tcPr/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Paso</w:t>
            </w:r>
          </w:p>
        </w:tc>
        <w:tc>
          <w:tcPr>
            <w:shd w:val="clear" w:color="auto" w:fill="DDEBF7"/>
          </w:tcPr>
          <w:tcPr/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Qué se hace</w:t>
            </w:r>
          </w:p>
        </w:tc>
        <w:tc>
          <w:tcPr>
            <w:shd w:val="clear" w:color="auto" w:fill="DDEBF7"/>
          </w:tcPr>
          <w:tcPr/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Con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Etapa 2: la seguidora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viendo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su función de reacción,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Etapa 1: la líder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anticipando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: su beneficio pasa a depender solo de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3.</w:t>
            </w:r>
            <w:r>
              <w:t xml:space="preserve"> </w:t>
            </w: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seguidora responde a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en la senda de equilibrio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y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</w:p>
        </w:tc>
      </w:tr>
    </w:tbl>
    <w:bookmarkEnd w:id="199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127"/>
        </w:numPr>
      </w:pPr>
      <w:r>
        <w:rPr>
          <w:i/>
          <w:iCs/>
        </w:rPr>
        <w:t xml:space="preserve">Resultado</w:t>
      </w:r>
      <w:r>
        <w:t xml:space="preserve">:</w:t>
      </w:r>
    </w:p>
    <w:p>
      <w:pPr>
        <w:numPr>
          <w:ilvl w:val="1"/>
          <w:numId w:val="1128"/>
        </w:numPr>
      </w:pP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</w:p>
    <w:p>
      <w:pPr>
        <w:numPr>
          <w:ilvl w:val="1"/>
          <w:numId w:val="1128"/>
        </w:numPr>
      </w:pP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numPr>
          <w:ilvl w:val="1"/>
          <w:numId w:val="1128"/>
        </w:numPr>
      </w:pP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127"/>
        </w:numPr>
      </w:pPr>
      <w:r>
        <w:t xml:space="preserve">La líder produce la cantidad de monopolio, pero gana la mitad que un monopolista, porque la seguidora también vende.</w:t>
      </w:r>
    </w:p>
    <w:p>
      <w:pPr>
        <w:numPr>
          <w:ilvl w:val="0"/>
          <w:numId w:val="112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stackelberg_lineal">
        <w:r>
          <w:rPr>
            <w:rStyle w:val="Hyperlink"/>
          </w:rPr>
          <w:t xml:space="preserve">14</w:t>
        </w:r>
      </w:hyperlink>
      <w:r>
        <w:t xml:space="preserve">): la líder elige, sobre la función de reacción de la seguidora, el punto de su isobeneficio más bajo, que es tangente a ella en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;</m:t>
            </m:r>
            <m:r>
              <m:t> </m:t>
            </m:r>
            <m:r>
              <m:t>3</m:t>
            </m:r>
          </m:e>
        </m:d>
      </m:oMath>
      <w:r>
        <w:t xml:space="preserve">. Ese isobeneficio, 18, está por debajo del que pasa por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16: más abajo, más beneficio.</w:t>
      </w:r>
    </w:p>
    <w:bookmarkStart w:id="203" w:name="fig_stackelberg_lineal"/>
    <w:p>
      <w:pPr>
        <w:pStyle w:val="ImageCaption"/>
      </w:pPr>
      <w:r>
        <w:t xml:space="preserve">Gráfico 14.–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tangencia del isobeneficio de la líder con la función de reacción de la seguidora</w:t>
      </w:r>
    </w:p>
    <w:p>
      <w:pPr>
        <w:pStyle w:val="CaptionedFigure"/>
      </w:pPr>
      <w:r>
        <w:drawing>
          <wp:inline>
            <wp:extent cx="4297680" cy="3361871"/>
            <wp:effectExtent b="0" l="0" r="0" t="0"/>
            <wp:docPr descr="Gráfico 14.– Stackelberg con p=13-Q y c=1: tangencia del isobeneficio de la líder con la función de reacción de la seguidora" title="" id="20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tackelberg-lineal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3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3"/>
    <w:p>
      <w:pPr>
        <w:pStyle w:val="Piedeimagen"/>
      </w:pPr>
      <w:r>
        <w:t xml:space="preserve">Fuente: elaboración propia.</w:t>
      </w:r>
    </w:p>
    <w:p>
      <w:pPr>
        <w:keepNext/>
        <w:numPr>
          <w:ilvl w:val="0"/>
          <w:numId w:val="1129"/>
        </w:numPr>
      </w:pPr>
      <w:r>
        <w:rPr>
          <w:i/>
          <w:iCs/>
        </w:rPr>
        <w:t xml:space="preserve">Comparación con los demás modelos</w:t>
      </w:r>
      <w:r>
        <w:t xml:space="preserve"> </w:t>
      </w:r>
      <w:r>
        <w:t xml:space="preserve">(tabla </w:t>
      </w:r>
      <w:hyperlink w:anchor="tab_comparacion_lineal">
        <w:r>
          <w:rPr>
            <w:rStyle w:val="Hyperlink"/>
          </w:rPr>
          <w:t xml:space="preserve">9</w:t>
        </w:r>
      </w:hyperlink>
      <w:r>
        <w:t xml:space="preserve">):</w:t>
      </w:r>
    </w:p>
    <w:p>
      <w:pPr>
        <w:numPr>
          <w:ilvl w:val="1"/>
          <w:numId w:val="1130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produce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menos que la competencia perfecta, de modo que el precio es más bajo y el bienestar, mayor;</w:t>
      </w:r>
    </w:p>
    <w:p>
      <w:pPr>
        <w:numPr>
          <w:ilvl w:val="1"/>
          <w:numId w:val="1130"/>
        </w:numPr>
      </w:pPr>
      <w:r>
        <w:t xml:space="preserve">la líder gana lo mismo que con el cártel, y la seguidora, mucho menos;</w:t>
      </w:r>
    </w:p>
    <w:p>
      <w:pPr>
        <w:numPr>
          <w:ilvl w:val="1"/>
          <w:numId w:val="1130"/>
        </w:numPr>
      </w:pPr>
      <w:r>
        <w:t xml:space="preserve">el cártel maximiza el beneficio conjunto, pero es el que menos bienestar da.</w:t>
      </w:r>
    </w:p>
    <w:bookmarkStart w:id="204" w:name="tab_comparacion_lineal"/>
    <w:p>
      <w:pPr>
        <w:pStyle w:val="TableCaption"/>
      </w:pPr>
      <w:r>
        <w:t xml:space="preserve">Tabla 9.–</w:t>
      </w:r>
      <w:r>
        <w:t xml:space="preserve"> </w:t>
      </w:r>
      <w:r>
        <w:t xml:space="preserve">Duopolio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los 4 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9.– Duopolio con p=13-Q y c=1: los 4 resultados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Q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p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Bienestar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Cártel (cuotas iguales)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36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54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64</m:t>
              </m:r>
            </m:oMath>
          </w:p>
        </w:tc>
      </w:tr>
      <w:tr>
        <w:trPr>
          <w:cantSplit/>
        </w:trPr>
        <w:tc>
          <w:tcPr>
            <w:shd w:val="clear" w:color="auto" w:fill="E2EFD9"/>
            <w:vAlign w:val="center"/>
          </w:tcPr>
          <w:p>
            <w:pPr>
              <w:pStyle w:val="Celdatceesalvia"/>
              <w:jc w:val="left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(líder, 1)</w:t>
            </w:r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3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9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18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9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27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67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(competencia perfecta)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72</m:t>
              </m:r>
            </m:oMath>
          </w:p>
        </w:tc>
      </w:tr>
    </w:tbl>
    <w:bookmarkEnd w:id="204"/>
    <w:p>
      <w:pPr>
        <w:pStyle w:val="BodyText"/>
        <w:keepNext/>
      </w:pPr>
      <w:r>
        <w:rPr>
          <w:i/>
          <w:iCs/>
        </w:rPr>
        <w:t xml:space="preserve">Fuente: elaboración propia; EC, excedente del consumidor (</w:t>
      </w:r>
      <m:oMath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); bienestar, EC más beneficios. En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, las 2 empresas se reparten la demanda a partes iguales.</w:t>
      </w:r>
    </w:p>
    <w:p>
      <w:pPr>
        <w:numPr>
          <w:ilvl w:val="0"/>
          <w:numId w:val="1131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205"/>
    <w:bookmarkStart w:id="211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keepNext/>
        <w:numPr>
          <w:ilvl w:val="0"/>
          <w:numId w:val="1132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§ 3.1.A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133"/>
        </w:numPr>
      </w:pPr>
      <w:r>
        <w:t xml:space="preserve">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numPr>
          <w:ilvl w:val="1"/>
          <w:numId w:val="1133"/>
        </w:numPr>
      </w:pPr>
      <w:r>
        <w:t xml:space="preserve">el coste unitario de la empresa 1,</w:t>
      </w:r>
      <w:r>
        <w:t xml:space="preserve"> </w:t>
      </w:r>
      <m:oMath>
        <m:r>
          <m:t>c</m:t>
        </m:r>
      </m:oMath>
      <w:r>
        <w:t xml:space="preserve">, lo conocen las 2;</w:t>
      </w:r>
    </w:p>
    <w:p>
      <w:pPr>
        <w:numPr>
          <w:ilvl w:val="1"/>
          <w:numId w:val="1133"/>
        </w:numPr>
      </w:pPr>
      <w:r>
        <w:t xml:space="preserve">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</w:t>
      </w:r>
    </w:p>
    <w:p>
      <w:pPr>
        <w:numPr>
          <w:ilvl w:val="0"/>
          <w:numId w:val="1132"/>
        </w:numPr>
      </w:pPr>
      <w:r>
        <w:t xml:space="preserve">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10</w:t>
        </w:r>
      </w:hyperlink>
      <w:r>
        <w:t xml:space="preserve">).</w:t>
      </w:r>
    </w:p>
    <w:bookmarkStart w:id="206" w:name="tab_cournot_bayesiano"/>
    <w:p>
      <w:pPr>
        <w:pStyle w:val="TableCaption"/>
      </w:pPr>
      <w:r>
        <w:t xml:space="preserve">Tabla 10.–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10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t/>
            </w:r>
          </w:p>
        </w:tc>
        <w:tc>
          <w:tcPr>
            <w:gridSpan w:val="2"/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rPr>
          <w:cantSplit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t/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206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§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keepNext/>
        <w:numPr>
          <w:ilvl w:val="0"/>
          <w:numId w:val="1134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bayesiano">
        <w:r>
          <w:rPr>
            <w:rStyle w:val="Hyperlink"/>
          </w:rPr>
          <w:t xml:space="preserve">15</w:t>
        </w:r>
      </w:hyperlink>
      <w:r>
        <w:t xml:space="preserve">), con los números del ejemplo:</w:t>
      </w:r>
    </w:p>
    <w:p>
      <w:pPr>
        <w:numPr>
          <w:ilvl w:val="1"/>
          <w:numId w:val="1135"/>
        </w:numPr>
      </w:pPr>
      <w:r>
        <w:t xml:space="preserve">la empresa 2 tiene una función de reacción por tipo:</w:t>
      </w:r>
      <w:r>
        <w:t xml:space="preserve"> </w:t>
      </w:r>
      <m:oMath>
        <m:sSubSup>
          <m:e>
            <m:r>
              <m:t>R</m:t>
            </m:r>
          </m:e>
          <m:sub>
            <m:r>
              <m:t>2</m:t>
            </m:r>
          </m:sub>
          <m:sup>
            <m:r>
              <m:rPr>
                <m:sty m:val="p"/>
              </m:rPr>
              <m:t>B</m:t>
            </m:r>
          </m:sup>
        </m:sSub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si su coste es bajo y</w:t>
      </w:r>
      <w:r>
        <w:t xml:space="preserve"> </w:t>
      </w:r>
      <m:oMath>
        <m:sSubSup>
          <m:e>
            <m:r>
              <m:t>R</m:t>
            </m:r>
          </m:e>
          <m:sub>
            <m:r>
              <m:t>2</m:t>
            </m:r>
          </m:sub>
          <m:sup>
            <m:r>
              <m:rPr>
                <m:sty m:val="p"/>
              </m:rPr>
              <m:t>A</m:t>
            </m:r>
          </m:sup>
        </m:sSub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si es alto;</w:t>
      </w:r>
    </w:p>
    <w:p>
      <w:pPr>
        <w:numPr>
          <w:ilvl w:val="1"/>
          <w:numId w:val="1135"/>
        </w:numPr>
      </w:pPr>
      <w:r>
        <w:t xml:space="preserve">la empresa 1 no sabe en cuál está y responde a la media de las 2,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, con su función de reacción,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: el corte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;</w:t>
      </w:r>
    </w:p>
    <w:p>
      <w:pPr>
        <w:numPr>
          <w:ilvl w:val="1"/>
          <w:numId w:val="1135"/>
        </w:numPr>
      </w:pPr>
      <w:r>
        <w:t xml:space="preserve">ante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3</m:t>
        </m:r>
      </m:oMath>
      <w:r>
        <w:t xml:space="preserve">, cada tipo produce sobre su función de reacción: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el bajo 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) y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el alto 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);</w:t>
      </w:r>
    </w:p>
    <w:p>
      <w:pPr>
        <w:numPr>
          <w:ilvl w:val="1"/>
          <w:numId w:val="1135"/>
        </w:numPr>
      </w:pPr>
      <w:r>
        <w:t xml:space="preserve">con información completa, los equilibrios serían los cortes de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 cada función de reacción de la 2,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.</w:t>
      </w:r>
    </w:p>
    <w:bookmarkStart w:id="210" w:name="fig_cournot_bayesiano"/>
    <w:p>
      <w:pPr>
        <w:pStyle w:val="ImageCaption"/>
      </w:pPr>
      <w:r>
        <w:t xml:space="preserve">Gráfico 15.–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): la empresa 1 responde a la media de las 2 funciones de reacción de la 2; puntos negros, equilibrio bayesiano; huecos, información completa</w:t>
      </w:r>
    </w:p>
    <w:p>
      <w:pPr>
        <w:pStyle w:val="CaptionedFigure"/>
      </w:pPr>
      <w:r>
        <w:drawing>
          <wp:inline>
            <wp:extent cx="4775200" cy="2815752"/>
            <wp:effectExtent b="0" l="0" r="0" t="0"/>
            <wp:docPr descr="Gráfico 15.– Cournot con costes privados (a=10, c=2, c A=4, c B=2, π=1/2): la empresa 1 responde a la media de las 2 funciones de reacción de la 2; puntos negros, equilibrio bayesiano; huecos, información completa" title="" id="2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bayesiano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815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Gibbons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</w:rPr>
          <w:t xml:space="preserve">1992, § 3.1.A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36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211"/>
    <w:bookmarkStart w:id="217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137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137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137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137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keepNext/>
        <w:numPr>
          <w:ilvl w:val="0"/>
          <w:numId w:val="1137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</w:t>
      </w:r>
    </w:p>
    <w:p>
      <w:pPr>
        <w:numPr>
          <w:ilvl w:val="1"/>
          <w:numId w:val="1138"/>
        </w:numPr>
      </w:pPr>
      <w:r>
        <w:t xml:space="preserve">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</w:t>
      </w:r>
    </w:p>
    <w:p>
      <w:pPr>
        <w:numPr>
          <w:ilvl w:val="1"/>
          <w:numId w:val="1138"/>
        </w:numPr>
      </w:pPr>
      <w:r>
        <w:t xml:space="preserve">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</w:t>
      </w:r>
    </w:p>
    <w:p>
      <w:pPr>
        <w:numPr>
          <w:ilvl w:val="1"/>
          <w:numId w:val="1138"/>
        </w:numPr>
      </w:pPr>
      <w:r>
        <w:t xml:space="preserve">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</w:t>
      </w:r>
    </w:p>
    <w:p>
      <w:pPr>
        <w:numPr>
          <w:ilvl w:val="0"/>
          <w:numId w:val="1137"/>
        </w:numPr>
      </w:pPr>
      <w:r>
        <w:t xml:space="preserve">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137"/>
        </w:numPr>
      </w:pPr>
      <w:r>
        <w:rPr>
          <w:i/>
          <w:iCs/>
        </w:rPr>
        <w:t xml:space="preserve">Ejemplo</w:t>
      </w:r>
      <w:r>
        <w:t xml:space="preserve">: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(la 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t>18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 La tabla </w:t>
      </w:r>
      <w:hyperlink w:anchor="tab_gatillo_senda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compara las 2 sendas:</w:t>
      </w:r>
    </w:p>
    <w:p>
      <w:pPr>
        <w:numPr>
          <w:ilvl w:val="1"/>
          <w:numId w:val="1139"/>
        </w:numPr>
      </w:pPr>
      <w:r>
        <w:t xml:space="preserve">desviarse da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más hoy y 2 menos cada periodo después;</w:t>
      </w:r>
    </w:p>
    <w:p>
      <w:pPr>
        <w:numPr>
          <w:ilvl w:val="1"/>
          <w:numId w:val="1139"/>
        </w:numPr>
      </w:pPr>
      <w:r>
        <w:t xml:space="preserve">con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el futuro pesa poco y conviene desviarse;</w:t>
      </w:r>
    </w:p>
    <w:p>
      <w:pPr>
        <w:numPr>
          <w:ilvl w:val="1"/>
          <w:numId w:val="1139"/>
        </w:numPr>
      </w:pPr>
      <w:r>
        <w:t xml:space="preserve">con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, conviene cumplir, porque el umbral es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.</w:t>
      </w:r>
    </w:p>
    <w:bookmarkStart w:id="212" w:name="tab_gatillo_senda"/>
    <w:p>
      <w:pPr>
        <w:pStyle w:val="TableCaption"/>
      </w:pPr>
      <w:r>
        <w:t xml:space="preserve">Tabla 11.–</w:t>
      </w:r>
      <w:r>
        <w:t xml:space="preserve"> </w:t>
      </w:r>
      <w:r>
        <w:t xml:space="preserve">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): beneficio de cada periodo y valor descontado (sombreada, la estrategia que conviene)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1.– El gatillo con Cournot (p=13-Q, c=1): beneficio de cada periodo y valor descontado (sombreada, la estrategia que conviene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t xml:space="preserve">…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Valor descontado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Cumplir siempre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…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den>
              </m:f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rPr>
                  <m:sty m:val="b"/>
                </m:rPr>
                <m:t>45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Desviarse 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20,25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…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 </m:t>
                  </m:r>
                  <m:r>
                    <m:t>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den>
              </m:f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rPr>
                  <m:sty m:val="b"/>
                </m:rPr>
                <m:t>36</m:t>
              </m:r>
              <m:r>
                <m:rPr>
                  <m:sty m:val="b"/>
                </m:rPr>
                <m:t>,</m:t>
              </m:r>
              <m:r>
                <m:rPr>
                  <m:sty m:val="b"/>
                </m:rPr>
                <m:t>25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</w:tr>
    </w:tbl>
    <w:bookmarkEnd w:id="212"/>
    <w:p>
      <w:pPr>
        <w:pStyle w:val="BodyText"/>
        <w:keepNext/>
      </w:pPr>
      <w:r>
        <w:rPr>
          <w:i/>
          <w:iCs/>
        </w:rPr>
        <w:t xml:space="preserve">Fuente: elaboración propia: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t>18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(la cuota del cártel, 3),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25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(la mejor respuesta a 3,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rPr>
          <w:i/>
          <w:iCs/>
        </w:rPr>
        <w:t xml:space="preserve">, con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5</m:t>
        </m:r>
      </m:oMath>
      <w:r>
        <w:rPr>
          <w:i/>
          <w:iCs/>
        </w:rPr>
        <w:t xml:space="preserve">) y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).</w:t>
      </w:r>
    </w:p>
    <w:p>
      <w:pPr>
        <w:keepNext/>
        <w:numPr>
          <w:ilvl w:val="0"/>
          <w:numId w:val="1140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 </w:t>
      </w:r>
      <w:r>
        <w:t xml:space="preserve">(gráfico </w:t>
      </w:r>
      <w:hyperlink w:anchor="fig_colusion_beta_n">
        <w:r>
          <w:rPr>
            <w:rStyle w:val="Hyperlink"/>
          </w:rPr>
          <w:t xml:space="preserve">16</w:t>
        </w:r>
      </w:hyperlink>
      <w:r>
        <w:t xml:space="preserve">):</w:t>
      </w:r>
    </w:p>
    <w:p>
      <w:pPr>
        <w:numPr>
          <w:ilvl w:val="1"/>
          <w:numId w:val="1141"/>
        </w:numPr>
      </w:pPr>
      <w:r>
        <w:t xml:space="preserve">en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</w:p>
    <w:p>
      <w:pPr>
        <w:numPr>
          <w:ilvl w:val="1"/>
          <w:numId w:val="1141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t>n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 que da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</w:p>
    <w:p>
      <w:pPr>
        <w:numPr>
          <w:ilvl w:val="1"/>
          <w:numId w:val="1141"/>
        </w:numPr>
      </w:pPr>
      <w:r>
        <w:t xml:space="preserve">las 2 crecen con</w:t>
      </w:r>
      <w:r>
        <w:t xml:space="preserve"> </w:t>
      </w:r>
      <m:oMath>
        <m:r>
          <m:t>n</m:t>
        </m:r>
      </m:oMath>
      <w:r>
        <w:t xml:space="preserve">: cuantas más empresas, más paciencia hace falta;</w:t>
      </w:r>
    </w:p>
    <w:p>
      <w:pPr>
        <w:numPr>
          <w:ilvl w:val="1"/>
          <w:numId w:val="1141"/>
        </w:numPr>
      </w:pPr>
      <w:r>
        <w:t xml:space="preserve">con 2 empresas exige más</w:t>
      </w:r>
      <w:r>
        <w:t xml:space="preserve"> </w:t>
      </w:r>
      <w:r>
        <w:rPr>
          <w:smallCaps/>
        </w:rPr>
        <w:t xml:space="preserve">Cournot</w:t>
      </w:r>
      <w:r>
        <w:t xml:space="preserve">, porque su castigo es más suave; desde 3,</w:t>
      </w:r>
      <w:r>
        <w:t xml:space="preserve"> </w:t>
      </w:r>
      <w:r>
        <w:rPr>
          <w:smallCaps/>
        </w:rPr>
        <w:t xml:space="preserve">Bertrand</w:t>
      </w:r>
      <w:r>
        <w:t xml:space="preserve">, porque el que se desvía se queda con todo el mercado. ∎</w:t>
      </w:r>
    </w:p>
    <w:bookmarkStart w:id="216" w:name="fig_colusion_beta_n"/>
    <w:p>
      <w:pPr>
        <w:pStyle w:val="ImageCaption"/>
      </w:pPr>
      <w:r>
        <w:t xml:space="preserve">Gráfico 16.–</w:t>
      </w:r>
      <w:r>
        <w:t xml:space="preserve"> </w:t>
      </w:r>
      <w:r>
        <w:t xml:space="preserve">Factor de descuento mínimo para sostener la colusión con el gatillo según el número de empresas</w:t>
      </w:r>
    </w:p>
    <w:p>
      <w:pPr>
        <w:pStyle w:val="CaptionedFigure"/>
      </w:pPr>
      <w:r>
        <w:drawing>
          <wp:inline>
            <wp:extent cx="4775200" cy="2607437"/>
            <wp:effectExtent b="0" l="0" r="0" t="0"/>
            <wp:docPr descr="Gráfico 16.– Factor de descuento mínimo para sostener la colusión con el gatillo según el número de empresas" title="" id="214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beta-n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60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p>
      <w:pPr>
        <w:pStyle w:val="Piedeimagen"/>
      </w:pPr>
      <w:r>
        <w:t xml:space="preserve">Fuente: elaboración propia.</w:t>
      </w:r>
    </w:p>
    <w:bookmarkEnd w:id="217"/>
    <w:bookmarkStart w:id="219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142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143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10.000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.</w:t>
      </w:r>
    </w:p>
    <w:p>
      <w:pPr>
        <w:numPr>
          <w:ilvl w:val="1"/>
          <w:numId w:val="1143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143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143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143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143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143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143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143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143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143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142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keepNext/>
        <w:numPr>
          <w:ilvl w:val="1"/>
          <w:numId w:val="1144"/>
        </w:numPr>
      </w:pPr>
      <w:r>
        <w:rPr>
          <w:i/>
          <w:iCs/>
        </w:rPr>
        <w:t xml:space="preserve">¿Qué sucede cuando compiten más de 2 empresas?</w:t>
      </w:r>
    </w:p>
    <w:p>
      <w:pPr>
        <w:numPr>
          <w:ilvl w:val="2"/>
          <w:numId w:val="1145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</w:t>
      </w:r>
    </w:p>
    <w:p>
      <w:pPr>
        <w:numPr>
          <w:ilvl w:val="2"/>
          <w:numId w:val="1145"/>
        </w:numPr>
      </w:pPr>
      <w:r>
        <w:t xml:space="preserve">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</w:t>
      </w:r>
    </w:p>
    <w:p>
      <w:pPr>
        <w:numPr>
          <w:ilvl w:val="2"/>
          <w:numId w:val="1145"/>
        </w:numPr>
      </w:pPr>
      <w:r>
        <w:t xml:space="preserve">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142"/>
        </w:numPr>
      </w:pPr>
      <w:r>
        <w:t xml:space="preserve">Preguntas de test sobre este tema, en el</w:t>
      </w:r>
      <w:r>
        <w:t xml:space="preserve"> </w:t>
      </w:r>
      <w:hyperlink r:id="rId218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219"/>
    <w:bookmarkStart w:id="383" w:name="bibliografia"/>
    <w:p>
      <w:pPr>
        <w:pStyle w:val="Heading1"/>
      </w:pPr>
      <w:r>
        <w:t xml:space="preserve">Bibliografía</w:t>
      </w:r>
    </w:p>
    <w:bookmarkStart w:id="382" w:name="refs"/>
    <w:bookmarkStart w:id="221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220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221"/>
    <w:bookmarkStart w:id="223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222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223"/>
    <w:bookmarkStart w:id="224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224"/>
    <w:bookmarkStart w:id="226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225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226"/>
    <w:bookmarkStart w:id="228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227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228"/>
    <w:bookmarkStart w:id="229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229"/>
    <w:bookmarkStart w:id="231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230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231"/>
    <w:bookmarkStart w:id="233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232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233"/>
    <w:bookmarkStart w:id="235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234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235"/>
    <w:bookmarkStart w:id="236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236"/>
    <w:bookmarkStart w:id="238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37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38"/>
    <w:bookmarkStart w:id="240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39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40"/>
    <w:bookmarkStart w:id="241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41"/>
    <w:bookmarkStart w:id="242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42"/>
    <w:bookmarkStart w:id="244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43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44"/>
    <w:bookmarkStart w:id="245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45"/>
    <w:bookmarkStart w:id="247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46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47"/>
    <w:bookmarkStart w:id="249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48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49"/>
    <w:bookmarkStart w:id="251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50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51"/>
    <w:bookmarkStart w:id="253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52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53"/>
    <w:bookmarkStart w:id="254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54"/>
    <w:bookmarkStart w:id="255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55"/>
    <w:bookmarkStart w:id="257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56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57"/>
    <w:bookmarkStart w:id="259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58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59"/>
    <w:bookmarkStart w:id="261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60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61"/>
    <w:bookmarkStart w:id="263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62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63"/>
    <w:bookmarkStart w:id="265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64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65"/>
    <w:bookmarkStart w:id="267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66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67"/>
    <w:bookmarkStart w:id="269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68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69"/>
    <w:bookmarkStart w:id="271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70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71"/>
    <w:bookmarkStart w:id="273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72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73"/>
    <w:bookmarkStart w:id="275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74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75"/>
    <w:bookmarkStart w:id="277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76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77"/>
    <w:bookmarkStart w:id="279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78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79"/>
    <w:bookmarkStart w:id="281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80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81"/>
    <w:bookmarkStart w:id="282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82"/>
    <w:bookmarkStart w:id="284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83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84"/>
    <w:bookmarkStart w:id="286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85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86"/>
    <w:bookmarkStart w:id="288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87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88"/>
    <w:bookmarkStart w:id="290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89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90"/>
    <w:bookmarkStart w:id="292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91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92"/>
    <w:bookmarkStart w:id="294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93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94"/>
    <w:bookmarkStart w:id="295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95"/>
    <w:bookmarkStart w:id="297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96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97"/>
    <w:bookmarkStart w:id="298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98"/>
    <w:bookmarkStart w:id="300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99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300"/>
    <w:bookmarkStart w:id="302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301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302"/>
    <w:bookmarkStart w:id="304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303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304"/>
    <w:bookmarkStart w:id="305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305"/>
    <w:bookmarkStart w:id="307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306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307"/>
    <w:bookmarkStart w:id="309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308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309"/>
    <w:bookmarkStart w:id="311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310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311"/>
    <w:bookmarkStart w:id="312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312"/>
    <w:bookmarkStart w:id="314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313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314"/>
    <w:bookmarkStart w:id="316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315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316"/>
    <w:bookmarkStart w:id="318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317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318"/>
    <w:bookmarkStart w:id="320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319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320"/>
    <w:bookmarkStart w:id="321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321"/>
    <w:bookmarkStart w:id="323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322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323"/>
    <w:bookmarkStart w:id="325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324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325"/>
    <w:bookmarkStart w:id="326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326"/>
    <w:bookmarkStart w:id="328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327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328"/>
    <w:bookmarkStart w:id="330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329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330"/>
    <w:bookmarkStart w:id="332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331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332"/>
    <w:bookmarkStart w:id="334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333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334"/>
    <w:bookmarkStart w:id="336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335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336"/>
    <w:bookmarkStart w:id="338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37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38"/>
    <w:bookmarkStart w:id="339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39"/>
    <w:bookmarkStart w:id="341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40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41"/>
    <w:bookmarkStart w:id="343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42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43"/>
    <w:bookmarkStart w:id="344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44"/>
    <w:bookmarkStart w:id="346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45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46"/>
    <w:bookmarkStart w:id="348" w:name="ref_Ross1992Cartel"/>
    <w:p>
      <w:pPr>
        <w:pStyle w:val="Bibliography"/>
      </w:pPr>
      <w:r>
        <w:t xml:space="preserve">Ross, Thomas W. (1992).</w:t>
      </w:r>
      <w:r>
        <w:t xml:space="preserve"> </w:t>
      </w:r>
      <w:r>
        <w:t xml:space="preserve">«Cartel Stability and Product Differentiation»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10 (1): 1-13.</w:t>
      </w:r>
      <w:r>
        <w:t xml:space="preserve"> </w:t>
      </w:r>
      <w:hyperlink r:id="rId347">
        <w:r>
          <w:rPr>
            <w:rStyle w:val="Hyperlink"/>
          </w:rPr>
          <w:t xml:space="preserve">https://doi.org/10.1016/0167-7187(92)90043-X</w:t>
        </w:r>
      </w:hyperlink>
      <w:r>
        <w:t xml:space="preserve">.</w:t>
      </w:r>
    </w:p>
    <w:bookmarkEnd w:id="348"/>
    <w:bookmarkStart w:id="350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49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50"/>
    <w:bookmarkStart w:id="352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51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52"/>
    <w:bookmarkStart w:id="353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53"/>
    <w:bookmarkStart w:id="355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54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55"/>
    <w:bookmarkStart w:id="357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56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57"/>
    <w:bookmarkStart w:id="359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58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59"/>
    <w:bookmarkStart w:id="361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60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61"/>
    <w:bookmarkStart w:id="363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62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63"/>
    <w:bookmarkStart w:id="365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64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65"/>
    <w:bookmarkStart w:id="366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66"/>
    <w:bookmarkStart w:id="367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67"/>
    <w:bookmarkStart w:id="369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68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69"/>
    <w:bookmarkStart w:id="371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70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71"/>
    <w:bookmarkStart w:id="373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72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73"/>
    <w:bookmarkStart w:id="375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74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75"/>
    <w:bookmarkStart w:id="376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76"/>
    <w:bookmarkStart w:id="378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77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78"/>
    <w:bookmarkStart w:id="380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79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80"/>
    <w:bookmarkStart w:id="381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81"/>
    <w:bookmarkEnd w:id="382"/>
    <w:bookmarkEnd w:id="383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Exclusivo de victorgutierrezmarcos.es y la app Oposición TCEE · DCE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Exclusivo de victorgutierrezmarcos.es y la app Oposición TCEE · DCE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Exclusivo de victorgutierrezmarcos.es y la app Oposición TCEE · DCE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Gráfico de la nota: Formalmente, son sustitutos estratégicos si ∂2Bi/∂ xi ∂ xj&lt;0 y complementos si ∂2Bi/∂ xi ∂ xj&gt;0, con xi la variable de la empresa i." title="" id="5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pizarra, este gráfico se deja: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 parte de él.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En el ejemplo de la tabla (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), 18 y 20,25: la tabla usa, por sencillez, la cantidad de</w:t>
      </w:r>
      <w:r>
        <w:t xml:space="preserve"> </w:t>
      </w:r>
      <w:r>
        <w:rPr>
          <w:smallCaps/>
        </w:rPr>
        <w:t xml:space="preserve">Cournot</w:t>
      </w:r>
      <w:r>
        <w:t xml:space="preserve">, 4, que da 20, en lugar de la mejor desviación, 4,5.</w:t>
      </w:r>
    </w:p>
  </w:footnote>
  <w:footnote w:id="16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68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jc w:val="left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jc w:val="left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jc w:val="left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jc w:val="left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  <w:jc w:val="left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  <w:jc w:val="left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  <w:jc w:val="left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  <w:jc w:val="left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2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2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2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2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2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2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87" Target="media/rId87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213" Target="media/rId213.png" /><Relationship Type="http://schemas.openxmlformats.org/officeDocument/2006/relationships/image" Id="rId134" Target="media/rId134.png" /><Relationship Type="http://schemas.openxmlformats.org/officeDocument/2006/relationships/image" Id="rId207" Target="media/rId207.png" /><Relationship Type="http://schemas.openxmlformats.org/officeDocument/2006/relationships/image" Id="rId194" Target="media/rId194.png" /><Relationship Type="http://schemas.openxmlformats.org/officeDocument/2006/relationships/image" Id="rId61" Target="media/rId61.png" /><Relationship Type="http://schemas.openxmlformats.org/officeDocument/2006/relationships/image" Id="rId96" Target="media/rId96.png" /><Relationship Type="http://schemas.openxmlformats.org/officeDocument/2006/relationships/image" Id="rId39" Target="media/rId39.png" /><Relationship Type="http://schemas.openxmlformats.org/officeDocument/2006/relationships/image" Id="rId141" Target="media/rId141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176" Target="media/rId176.png" /><Relationship Type="http://schemas.openxmlformats.org/officeDocument/2006/relationships/image" Id="rId200" Target="media/rId200.png" /><Relationship Type="http://schemas.openxmlformats.org/officeDocument/2006/relationships/image" Id="rId76" Target="media/rId76.png" /><Relationship Type="http://schemas.openxmlformats.org/officeDocument/2006/relationships/image" Id="rId50" Target="media/rId50.png" /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64" Target="https://competition-policy.ec.europa.eu/antitrust-and-cartels/cartels-cases-and-statistics_en" TargetMode="External" /><Relationship Type="http://schemas.openxmlformats.org/officeDocument/2006/relationships/hyperlink" Id="rId287" Target="https://doi.org/10.1007/BF01213642" TargetMode="External" /><Relationship Type="http://schemas.openxmlformats.org/officeDocument/2006/relationships/hyperlink" Id="rId317" Target="https://doi.org/10.1007/BF01242860" TargetMode="External" /><Relationship Type="http://schemas.openxmlformats.org/officeDocument/2006/relationships/hyperlink" Id="rId354" Target="https://doi.org/10.1007/BF01737566" TargetMode="External" /><Relationship Type="http://schemas.openxmlformats.org/officeDocument/2006/relationships/hyperlink" Id="rId220" Target="https://doi.org/10.1016/0022-0531(86)90025-6" TargetMode="External" /><Relationship Type="http://schemas.openxmlformats.org/officeDocument/2006/relationships/hyperlink" Id="rId347" Target="https://doi.org/10.1016/0167-7187(92)90043-X" TargetMode="External" /><Relationship Type="http://schemas.openxmlformats.org/officeDocument/2006/relationships/hyperlink" Id="rId296" Target="https://doi.org/10.1016/0899-8256(89)90021-3" TargetMode="External" /><Relationship Type="http://schemas.openxmlformats.org/officeDocument/2006/relationships/hyperlink" Id="rId333" Target="https://doi.org/10.1016/S0167-7187(02)00057-7" TargetMode="External" /><Relationship Type="http://schemas.openxmlformats.org/officeDocument/2006/relationships/hyperlink" Id="rId331" Target="https://doi.org/10.1017/CBO9780511804038" TargetMode="External" /><Relationship Type="http://schemas.openxmlformats.org/officeDocument/2006/relationships/hyperlink" Id="rId342" Target="https://doi.org/10.1038/364056a0" TargetMode="External" /><Relationship Type="http://schemas.openxmlformats.org/officeDocument/2006/relationships/hyperlink" Id="rId335" Target="https://doi.org/10.1073/pnas.36.1.48" TargetMode="External" /><Relationship Type="http://schemas.openxmlformats.org/officeDocument/2006/relationships/hyperlink" Id="rId329" Target="https://doi.org/10.1086/258035" TargetMode="External" /><Relationship Type="http://schemas.openxmlformats.org/officeDocument/2006/relationships/hyperlink" Id="rId368" Target="https://doi.org/10.1086/258853" TargetMode="External" /><Relationship Type="http://schemas.openxmlformats.org/officeDocument/2006/relationships/hyperlink" Id="rId248" Target="https://doi.org/10.1086/261312" TargetMode="External" /><Relationship Type="http://schemas.openxmlformats.org/officeDocument/2006/relationships/hyperlink" Id="rId291" Target="https://doi.org/10.1093/qje/qjz041" TargetMode="External" /><Relationship Type="http://schemas.openxmlformats.org/officeDocument/2006/relationships/hyperlink" Id="rId225" Target="https://doi.org/10.1177/002200278002400101" TargetMode="External" /><Relationship Type="http://schemas.openxmlformats.org/officeDocument/2006/relationships/hyperlink" Id="rId227" Target="https://doi.org/10.1177/002200278002400301" TargetMode="External" /><Relationship Type="http://schemas.openxmlformats.org/officeDocument/2006/relationships/hyperlink" Id="rId250" Target="https://doi.org/10.1257/aer.20170116" TargetMode="External" /><Relationship Type="http://schemas.openxmlformats.org/officeDocument/2006/relationships/hyperlink" Id="rId252" Target="https://doi.org/10.1257/aer.20190623" TargetMode="External" /><Relationship Type="http://schemas.openxmlformats.org/officeDocument/2006/relationships/hyperlink" Id="rId303" Target="https://doi.org/10.1515/9781400835881" TargetMode="External" /><Relationship Type="http://schemas.openxmlformats.org/officeDocument/2006/relationships/hyperlink" Id="rId358" Target="https://doi.org/10.1515/9781400881970-018" TargetMode="External" /><Relationship Type="http://schemas.openxmlformats.org/officeDocument/2006/relationships/hyperlink" Id="rId322" Target="https://doi.org/10.2307/1340687" TargetMode="External" /><Relationship Type="http://schemas.openxmlformats.org/officeDocument/2006/relationships/hyperlink" Id="rId285" Target="https://doi.org/10.2307/134972" TargetMode="External" /><Relationship Type="http://schemas.openxmlformats.org/officeDocument/2006/relationships/hyperlink" Id="rId351" Target="https://doi.org/10.2307/1885620" TargetMode="External" /><Relationship Type="http://schemas.openxmlformats.org/officeDocument/2006/relationships/hyperlink" Id="rId337" Target="https://doi.org/10.2307/1907266" TargetMode="External" /><Relationship Type="http://schemas.openxmlformats.org/officeDocument/2006/relationships/hyperlink" Id="rId222" Target="https://doi.org/10.2307/1911077" TargetMode="External" /><Relationship Type="http://schemas.openxmlformats.org/officeDocument/2006/relationships/hyperlink" Id="rId306" Target="https://doi.org/10.2307/1911462" TargetMode="External" /><Relationship Type="http://schemas.openxmlformats.org/officeDocument/2006/relationships/hyperlink" Id="rId327" Target="https://doi.org/10.2307/1911701" TargetMode="External" /><Relationship Type="http://schemas.openxmlformats.org/officeDocument/2006/relationships/hyperlink" Id="rId356" Target="https://doi.org/10.2307/1912285" TargetMode="External" /><Relationship Type="http://schemas.openxmlformats.org/officeDocument/2006/relationships/hyperlink" Id="rId237" Target="https://doi.org/10.2307/1912660" TargetMode="External" /><Relationship Type="http://schemas.openxmlformats.org/officeDocument/2006/relationships/hyperlink" Id="rId293" Target="https://doi.org/10.2307/2231658" TargetMode="External" /><Relationship Type="http://schemas.openxmlformats.org/officeDocument/2006/relationships/hyperlink" Id="rId374" Target="https://doi.org/10.2307/2296135" TargetMode="External" /><Relationship Type="http://schemas.openxmlformats.org/officeDocument/2006/relationships/hyperlink" Id="rId308" Target="https://doi.org/10.2307/2296310" TargetMode="External" /><Relationship Type="http://schemas.openxmlformats.org/officeDocument/2006/relationships/hyperlink" Id="rId299" Target="https://doi.org/10.2307/2296617" TargetMode="External" /><Relationship Type="http://schemas.openxmlformats.org/officeDocument/2006/relationships/hyperlink" Id="rId340" Target="https://doi.org/10.2307/2297471" TargetMode="External" /><Relationship Type="http://schemas.openxmlformats.org/officeDocument/2006/relationships/hyperlink" Id="rId246" Target="https://doi.org/10.2307/2297659" TargetMode="External" /><Relationship Type="http://schemas.openxmlformats.org/officeDocument/2006/relationships/hyperlink" Id="rId324" Target="https://doi.org/10.2307/2525908" TargetMode="External" /><Relationship Type="http://schemas.openxmlformats.org/officeDocument/2006/relationships/hyperlink" Id="rId301" Target="https://doi.org/10.2307/2526710" TargetMode="External" /><Relationship Type="http://schemas.openxmlformats.org/officeDocument/2006/relationships/hyperlink" Id="rId283" Target="https://doi.org/10.2307/2553125" TargetMode="External" /><Relationship Type="http://schemas.openxmlformats.org/officeDocument/2006/relationships/hyperlink" Id="rId243" Target="https://doi.org/10.2307/2555469" TargetMode="External" /><Relationship Type="http://schemas.openxmlformats.org/officeDocument/2006/relationships/hyperlink" Id="rId239" Target="https://doi.org/10.2307/2555490" TargetMode="External" /><Relationship Type="http://schemas.openxmlformats.org/officeDocument/2006/relationships/hyperlink" Id="rId360" Target="https://doi.org/10.2307/2555525" TargetMode="External" /><Relationship Type="http://schemas.openxmlformats.org/officeDocument/2006/relationships/hyperlink" Id="rId280" Target="https://doi.org/10.2307/2555718" TargetMode="External" /><Relationship Type="http://schemas.openxmlformats.org/officeDocument/2006/relationships/hyperlink" Id="rId289" Target="https://doi.org/10.2307/2555720" TargetMode="External" /><Relationship Type="http://schemas.openxmlformats.org/officeDocument/2006/relationships/hyperlink" Id="rId364" Target="https://doi.org/10.2307/2555880" TargetMode="External" /><Relationship Type="http://schemas.openxmlformats.org/officeDocument/2006/relationships/hyperlink" Id="rId310" Target="https://doi.org/10.2307/2601009" TargetMode="External" /><Relationship Type="http://schemas.openxmlformats.org/officeDocument/2006/relationships/hyperlink" Id="rId345" Target="https://doi.org/10.2307/3003634" TargetMode="External" /><Relationship Type="http://schemas.openxmlformats.org/officeDocument/2006/relationships/hyperlink" Id="rId319" Target="https://doi.org/10.2307/3003636" TargetMode="External" /><Relationship Type="http://schemas.openxmlformats.org/officeDocument/2006/relationships/hyperlink" Id="rId232" Target="https://doi.org/10.4159/harvard.9780674188037" TargetMode="External" /><Relationship Type="http://schemas.openxmlformats.org/officeDocument/2006/relationships/hyperlink" Id="rId258" Target="https://ec.europa.eu/commission/presscorner/detail/en/IP_16_2582" TargetMode="External" /><Relationship Type="http://schemas.openxmlformats.org/officeDocument/2006/relationships/hyperlink" Id="rId262" Target="https://ec.europa.eu/commission/presscorner/detail/en/ip_25_1356" TargetMode="External" /><Relationship Type="http://schemas.openxmlformats.org/officeDocument/2006/relationships/hyperlink" Id="rId260" Target="https://ec.europa.eu/commission/presscorner/detail/en/ip_25_881" TargetMode="External" /><Relationship Type="http://schemas.openxmlformats.org/officeDocument/2006/relationships/hyperlink" Id="rId278" Target="https://eur-lex.europa.eu/eli/reg/2004/139/oj?locale=es" TargetMode="External" /><Relationship Type="http://schemas.openxmlformats.org/officeDocument/2006/relationships/hyperlink" Id="rId256" Target="https://eur-lex.europa.eu/legal-content/ES/TXT/?uri=CELEX:52006XC1208(04)" TargetMode="External" /><Relationship Type="http://schemas.openxmlformats.org/officeDocument/2006/relationships/hyperlink" Id="rId377" Target="https://eur-lex.europa.eu/legal-content/ES/TXT/?uri=CELEX:61985CJ0089" TargetMode="External" /><Relationship Type="http://schemas.openxmlformats.org/officeDocument/2006/relationships/hyperlink" Id="rId234" Target="https://ideas.repec.org/a/aea/aecrev/v72y1982i1p1-15.html" TargetMode="External" /><Relationship Type="http://schemas.openxmlformats.org/officeDocument/2006/relationships/hyperlink" Id="rId349" Target="https://ideas.repec.org/a/aea/aecrev/v76y1986i3p390-407.html" TargetMode="External" /><Relationship Type="http://schemas.openxmlformats.org/officeDocument/2006/relationships/hyperlink" Id="rId313" Target="https://idei.fr/doc/wp/2003/tacit_collusion.pdf" TargetMode="External" /><Relationship Type="http://schemas.openxmlformats.org/officeDocument/2006/relationships/hyperlink" Id="rId230" Target="https://openyls.law.yale.edu/entities/publication/394c17da-e37b-4118-a8df-0cb60aebecba" TargetMode="External" /><Relationship Type="http://schemas.openxmlformats.org/officeDocument/2006/relationships/hyperlink" Id="rId315" Target="https://www.boe.es/buscar/act.php?id=BOE-A-2007-12946" TargetMode="External" /><Relationship Type="http://schemas.openxmlformats.org/officeDocument/2006/relationships/hyperlink" Id="rId379" Target="https://www.boe.es/buscar/doc.php?id=DOUE-Z-2010-70002" TargetMode="External" /><Relationship Type="http://schemas.openxmlformats.org/officeDocument/2006/relationships/hyperlink" Id="rId268" Target="https://www.cnmc.es/prensa/cuestionario-programa-clemencia-cnmc-20230711" TargetMode="External" /><Relationship Type="http://schemas.openxmlformats.org/officeDocument/2006/relationships/hyperlink" Id="rId270" Target="https://www.cnmc.es/prensa/multa-agencias-viajes-20251229" TargetMode="External" /><Relationship Type="http://schemas.openxmlformats.org/officeDocument/2006/relationships/hyperlink" Id="rId266" Target="https://www.cnmc.es/prensa/sancionador-obra-civil-20220707" TargetMode="External" /><Relationship Type="http://schemas.openxmlformats.org/officeDocument/2006/relationships/hyperlink" Id="rId274" Target="https://www.cnmc.es/prensa/trimestral/telecos/2T26/20261014" TargetMode="External" /><Relationship Type="http://schemas.openxmlformats.org/officeDocument/2006/relationships/hyperlink" Id="rId272" Target="https://www.cnmc.es/sites/default/files/editor_contenidos/CNMC/Memorias/CNMC_Memoria%2025_web.pdf" TargetMode="External" /><Relationship Type="http://schemas.openxmlformats.org/officeDocument/2006/relationships/hyperlink" Id="rId276" Target="https://www.govinfo.gov/content/pkg/STATUTE-92/pdf/STATUTE-92-Pg1705.pdf" TargetMode="External" /><Relationship Type="http://schemas.openxmlformats.org/officeDocument/2006/relationships/hyperlink" Id="rId362" Target="https://www.gutenberg.org/cache/epub/3300/pg3300.txt" TargetMode="External" /><Relationship Type="http://schemas.openxmlformats.org/officeDocument/2006/relationships/hyperlink" Id="rId370" Target="https://www.nobelprize.org/prizes/economic-sciences/1994/summary/" TargetMode="External" /><Relationship Type="http://schemas.openxmlformats.org/officeDocument/2006/relationships/hyperlink" Id="rId372" Target="https://www.nobelprize.org/prizes/economic-sciences/2005/summary/" TargetMode="External" /><Relationship Type="http://schemas.openxmlformats.org/officeDocument/2006/relationships/hyperlink" Id="rId188" Target="https://www.victorgutierrezmarcos.es/oposicion/temario/cuarto-ejercicio/4A15.pdf" TargetMode="External" /><Relationship Type="http://schemas.openxmlformats.org/officeDocument/2006/relationships/hyperlink" Id="rId218" Target="https://www.victorgutierrezmarcos.es/oposicion/temario/primer-ejercicio/test/simulador.html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5" Target="https://www.victorgutierrezmarcos.es/oposicion/temario/tercer-ejercicio/3A20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64" Target="https://competition-policy.ec.europa.eu/antitrust-and-cartels/cartels-cases-and-statistics_en" TargetMode="External" /><Relationship Type="http://schemas.openxmlformats.org/officeDocument/2006/relationships/hyperlink" Id="rId287" Target="https://doi.org/10.1007/BF01213642" TargetMode="External" /><Relationship Type="http://schemas.openxmlformats.org/officeDocument/2006/relationships/hyperlink" Id="rId317" Target="https://doi.org/10.1007/BF01242860" TargetMode="External" /><Relationship Type="http://schemas.openxmlformats.org/officeDocument/2006/relationships/hyperlink" Id="rId354" Target="https://doi.org/10.1007/BF01737566" TargetMode="External" /><Relationship Type="http://schemas.openxmlformats.org/officeDocument/2006/relationships/hyperlink" Id="rId220" Target="https://doi.org/10.1016/0022-0531(86)90025-6" TargetMode="External" /><Relationship Type="http://schemas.openxmlformats.org/officeDocument/2006/relationships/hyperlink" Id="rId347" Target="https://doi.org/10.1016/0167-7187(92)90043-X" TargetMode="External" /><Relationship Type="http://schemas.openxmlformats.org/officeDocument/2006/relationships/hyperlink" Id="rId296" Target="https://doi.org/10.1016/0899-8256(89)90021-3" TargetMode="External" /><Relationship Type="http://schemas.openxmlformats.org/officeDocument/2006/relationships/hyperlink" Id="rId333" Target="https://doi.org/10.1016/S0167-7187(02)00057-7" TargetMode="External" /><Relationship Type="http://schemas.openxmlformats.org/officeDocument/2006/relationships/hyperlink" Id="rId331" Target="https://doi.org/10.1017/CBO9780511804038" TargetMode="External" /><Relationship Type="http://schemas.openxmlformats.org/officeDocument/2006/relationships/hyperlink" Id="rId342" Target="https://doi.org/10.1038/364056a0" TargetMode="External" /><Relationship Type="http://schemas.openxmlformats.org/officeDocument/2006/relationships/hyperlink" Id="rId335" Target="https://doi.org/10.1073/pnas.36.1.48" TargetMode="External" /><Relationship Type="http://schemas.openxmlformats.org/officeDocument/2006/relationships/hyperlink" Id="rId329" Target="https://doi.org/10.1086/258035" TargetMode="External" /><Relationship Type="http://schemas.openxmlformats.org/officeDocument/2006/relationships/hyperlink" Id="rId368" Target="https://doi.org/10.1086/258853" TargetMode="External" /><Relationship Type="http://schemas.openxmlformats.org/officeDocument/2006/relationships/hyperlink" Id="rId248" Target="https://doi.org/10.1086/261312" TargetMode="External" /><Relationship Type="http://schemas.openxmlformats.org/officeDocument/2006/relationships/hyperlink" Id="rId291" Target="https://doi.org/10.1093/qje/qjz041" TargetMode="External" /><Relationship Type="http://schemas.openxmlformats.org/officeDocument/2006/relationships/hyperlink" Id="rId225" Target="https://doi.org/10.1177/002200278002400101" TargetMode="External" /><Relationship Type="http://schemas.openxmlformats.org/officeDocument/2006/relationships/hyperlink" Id="rId227" Target="https://doi.org/10.1177/002200278002400301" TargetMode="External" /><Relationship Type="http://schemas.openxmlformats.org/officeDocument/2006/relationships/hyperlink" Id="rId250" Target="https://doi.org/10.1257/aer.20170116" TargetMode="External" /><Relationship Type="http://schemas.openxmlformats.org/officeDocument/2006/relationships/hyperlink" Id="rId252" Target="https://doi.org/10.1257/aer.20190623" TargetMode="External" /><Relationship Type="http://schemas.openxmlformats.org/officeDocument/2006/relationships/hyperlink" Id="rId303" Target="https://doi.org/10.1515/9781400835881" TargetMode="External" /><Relationship Type="http://schemas.openxmlformats.org/officeDocument/2006/relationships/hyperlink" Id="rId358" Target="https://doi.org/10.1515/9781400881970-018" TargetMode="External" /><Relationship Type="http://schemas.openxmlformats.org/officeDocument/2006/relationships/hyperlink" Id="rId322" Target="https://doi.org/10.2307/1340687" TargetMode="External" /><Relationship Type="http://schemas.openxmlformats.org/officeDocument/2006/relationships/hyperlink" Id="rId285" Target="https://doi.org/10.2307/134972" TargetMode="External" /><Relationship Type="http://schemas.openxmlformats.org/officeDocument/2006/relationships/hyperlink" Id="rId351" Target="https://doi.org/10.2307/1885620" TargetMode="External" /><Relationship Type="http://schemas.openxmlformats.org/officeDocument/2006/relationships/hyperlink" Id="rId337" Target="https://doi.org/10.2307/1907266" TargetMode="External" /><Relationship Type="http://schemas.openxmlformats.org/officeDocument/2006/relationships/hyperlink" Id="rId222" Target="https://doi.org/10.2307/1911077" TargetMode="External" /><Relationship Type="http://schemas.openxmlformats.org/officeDocument/2006/relationships/hyperlink" Id="rId306" Target="https://doi.org/10.2307/1911462" TargetMode="External" /><Relationship Type="http://schemas.openxmlformats.org/officeDocument/2006/relationships/hyperlink" Id="rId327" Target="https://doi.org/10.2307/1911701" TargetMode="External" /><Relationship Type="http://schemas.openxmlformats.org/officeDocument/2006/relationships/hyperlink" Id="rId356" Target="https://doi.org/10.2307/1912285" TargetMode="External" /><Relationship Type="http://schemas.openxmlformats.org/officeDocument/2006/relationships/hyperlink" Id="rId237" Target="https://doi.org/10.2307/1912660" TargetMode="External" /><Relationship Type="http://schemas.openxmlformats.org/officeDocument/2006/relationships/hyperlink" Id="rId293" Target="https://doi.org/10.2307/2231658" TargetMode="External" /><Relationship Type="http://schemas.openxmlformats.org/officeDocument/2006/relationships/hyperlink" Id="rId374" Target="https://doi.org/10.2307/2296135" TargetMode="External" /><Relationship Type="http://schemas.openxmlformats.org/officeDocument/2006/relationships/hyperlink" Id="rId308" Target="https://doi.org/10.2307/2296310" TargetMode="External" /><Relationship Type="http://schemas.openxmlformats.org/officeDocument/2006/relationships/hyperlink" Id="rId299" Target="https://doi.org/10.2307/2296617" TargetMode="External" /><Relationship Type="http://schemas.openxmlformats.org/officeDocument/2006/relationships/hyperlink" Id="rId340" Target="https://doi.org/10.2307/2297471" TargetMode="External" /><Relationship Type="http://schemas.openxmlformats.org/officeDocument/2006/relationships/hyperlink" Id="rId246" Target="https://doi.org/10.2307/2297659" TargetMode="External" /><Relationship Type="http://schemas.openxmlformats.org/officeDocument/2006/relationships/hyperlink" Id="rId324" Target="https://doi.org/10.2307/2525908" TargetMode="External" /><Relationship Type="http://schemas.openxmlformats.org/officeDocument/2006/relationships/hyperlink" Id="rId301" Target="https://doi.org/10.2307/2526710" TargetMode="External" /><Relationship Type="http://schemas.openxmlformats.org/officeDocument/2006/relationships/hyperlink" Id="rId283" Target="https://doi.org/10.2307/2553125" TargetMode="External" /><Relationship Type="http://schemas.openxmlformats.org/officeDocument/2006/relationships/hyperlink" Id="rId243" Target="https://doi.org/10.2307/2555469" TargetMode="External" /><Relationship Type="http://schemas.openxmlformats.org/officeDocument/2006/relationships/hyperlink" Id="rId239" Target="https://doi.org/10.2307/2555490" TargetMode="External" /><Relationship Type="http://schemas.openxmlformats.org/officeDocument/2006/relationships/hyperlink" Id="rId360" Target="https://doi.org/10.2307/2555525" TargetMode="External" /><Relationship Type="http://schemas.openxmlformats.org/officeDocument/2006/relationships/hyperlink" Id="rId280" Target="https://doi.org/10.2307/2555718" TargetMode="External" /><Relationship Type="http://schemas.openxmlformats.org/officeDocument/2006/relationships/hyperlink" Id="rId289" Target="https://doi.org/10.2307/2555720" TargetMode="External" /><Relationship Type="http://schemas.openxmlformats.org/officeDocument/2006/relationships/hyperlink" Id="rId364" Target="https://doi.org/10.2307/2555880" TargetMode="External" /><Relationship Type="http://schemas.openxmlformats.org/officeDocument/2006/relationships/hyperlink" Id="rId310" Target="https://doi.org/10.2307/2601009" TargetMode="External" /><Relationship Type="http://schemas.openxmlformats.org/officeDocument/2006/relationships/hyperlink" Id="rId345" Target="https://doi.org/10.2307/3003634" TargetMode="External" /><Relationship Type="http://schemas.openxmlformats.org/officeDocument/2006/relationships/hyperlink" Id="rId319" Target="https://doi.org/10.2307/3003636" TargetMode="External" /><Relationship Type="http://schemas.openxmlformats.org/officeDocument/2006/relationships/hyperlink" Id="rId232" Target="https://doi.org/10.4159/harvard.9780674188037" TargetMode="External" /><Relationship Type="http://schemas.openxmlformats.org/officeDocument/2006/relationships/hyperlink" Id="rId258" Target="https://ec.europa.eu/commission/presscorner/detail/en/IP_16_2582" TargetMode="External" /><Relationship Type="http://schemas.openxmlformats.org/officeDocument/2006/relationships/hyperlink" Id="rId262" Target="https://ec.europa.eu/commission/presscorner/detail/en/ip_25_1356" TargetMode="External" /><Relationship Type="http://schemas.openxmlformats.org/officeDocument/2006/relationships/hyperlink" Id="rId260" Target="https://ec.europa.eu/commission/presscorner/detail/en/ip_25_881" TargetMode="External" /><Relationship Type="http://schemas.openxmlformats.org/officeDocument/2006/relationships/hyperlink" Id="rId278" Target="https://eur-lex.europa.eu/eli/reg/2004/139/oj?locale=es" TargetMode="External" /><Relationship Type="http://schemas.openxmlformats.org/officeDocument/2006/relationships/hyperlink" Id="rId256" Target="https://eur-lex.europa.eu/legal-content/ES/TXT/?uri=CELEX:52006XC1208(04)" TargetMode="External" /><Relationship Type="http://schemas.openxmlformats.org/officeDocument/2006/relationships/hyperlink" Id="rId377" Target="https://eur-lex.europa.eu/legal-content/ES/TXT/?uri=CELEX:61985CJ0089" TargetMode="External" /><Relationship Type="http://schemas.openxmlformats.org/officeDocument/2006/relationships/hyperlink" Id="rId234" Target="https://ideas.repec.org/a/aea/aecrev/v72y1982i1p1-15.html" TargetMode="External" /><Relationship Type="http://schemas.openxmlformats.org/officeDocument/2006/relationships/hyperlink" Id="rId349" Target="https://ideas.repec.org/a/aea/aecrev/v76y1986i3p390-407.html" TargetMode="External" /><Relationship Type="http://schemas.openxmlformats.org/officeDocument/2006/relationships/hyperlink" Id="rId313" Target="https://idei.fr/doc/wp/2003/tacit_collusion.pdf" TargetMode="External" /><Relationship Type="http://schemas.openxmlformats.org/officeDocument/2006/relationships/hyperlink" Id="rId230" Target="https://openyls.law.yale.edu/entities/publication/394c17da-e37b-4118-a8df-0cb60aebecba" TargetMode="External" /><Relationship Type="http://schemas.openxmlformats.org/officeDocument/2006/relationships/hyperlink" Id="rId315" Target="https://www.boe.es/buscar/act.php?id=BOE-A-2007-12946" TargetMode="External" /><Relationship Type="http://schemas.openxmlformats.org/officeDocument/2006/relationships/hyperlink" Id="rId379" Target="https://www.boe.es/buscar/doc.php?id=DOUE-Z-2010-70002" TargetMode="External" /><Relationship Type="http://schemas.openxmlformats.org/officeDocument/2006/relationships/hyperlink" Id="rId268" Target="https://www.cnmc.es/prensa/cuestionario-programa-clemencia-cnmc-20230711" TargetMode="External" /><Relationship Type="http://schemas.openxmlformats.org/officeDocument/2006/relationships/hyperlink" Id="rId270" Target="https://www.cnmc.es/prensa/multa-agencias-viajes-20251229" TargetMode="External" /><Relationship Type="http://schemas.openxmlformats.org/officeDocument/2006/relationships/hyperlink" Id="rId266" Target="https://www.cnmc.es/prensa/sancionador-obra-civil-20220707" TargetMode="External" /><Relationship Type="http://schemas.openxmlformats.org/officeDocument/2006/relationships/hyperlink" Id="rId274" Target="https://www.cnmc.es/prensa/trimestral/telecos/2T26/20261014" TargetMode="External" /><Relationship Type="http://schemas.openxmlformats.org/officeDocument/2006/relationships/hyperlink" Id="rId272" Target="https://www.cnmc.es/sites/default/files/editor_contenidos/CNMC/Memorias/CNMC_Memoria%2025_web.pdf" TargetMode="External" /><Relationship Type="http://schemas.openxmlformats.org/officeDocument/2006/relationships/hyperlink" Id="rId276" Target="https://www.govinfo.gov/content/pkg/STATUTE-92/pdf/STATUTE-92-Pg1705.pdf" TargetMode="External" /><Relationship Type="http://schemas.openxmlformats.org/officeDocument/2006/relationships/hyperlink" Id="rId362" Target="https://www.gutenberg.org/cache/epub/3300/pg3300.txt" TargetMode="External" /><Relationship Type="http://schemas.openxmlformats.org/officeDocument/2006/relationships/hyperlink" Id="rId370" Target="https://www.nobelprize.org/prizes/economic-sciences/1994/summary/" TargetMode="External" /><Relationship Type="http://schemas.openxmlformats.org/officeDocument/2006/relationships/hyperlink" Id="rId372" Target="https://www.nobelprize.org/prizes/economic-sciences/2005/summary/" TargetMode="External" /><Relationship Type="http://schemas.openxmlformats.org/officeDocument/2006/relationships/hyperlink" Id="rId188" Target="https://www.victorgutierrezmarcos.es/oposicion/temario/cuarto-ejercicio/4A15.pdf" TargetMode="External" /><Relationship Type="http://schemas.openxmlformats.org/officeDocument/2006/relationships/hyperlink" Id="rId218" Target="https://www.victorgutierrezmarcos.es/oposicion/temario/primer-ejercicio/test/simulador.html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5" Target="https://www.victorgutierrezmarcos.es/oposicion/temario/tercer-ejercicio/3A20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Type="http://schemas.openxmlformats.org/officeDocument/2006/relationships/image" Id="rId50" Target="media/rId50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Marcos. Todos los derechos reservados. Material exclusivo de victorgutierrezmarcos.es y la app Oposición TCEE · DCE. Puedes usarlo libremente para tu estudio personal. No se autoriza su incorporación a otras plataformas, aplicaciones o servicios. Se reserva expresamente el derecho de minería de textos y datos (art. 4 de la Directiva (UE) 2019/790). Condiciones: https://www.victorgutierrezmarcos.es/condiciones-materiales.html</dc:description>
  <dc:language>es-ES</dc:language>
  <cp:keywords/>
  <dcterms:created xsi:type="dcterms:W3CDTF">2026-10-26T23:42:48Z</dcterms:created>
  <dcterms:modified xsi:type="dcterms:W3CDTF">2026-10-26T23:42:48Z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Exclusivo de victorgutierrezmarcos.es y la app Oposición TCEE · DCE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ondiciones-url">
    <vt:lpwstr>https://www.victorgutierrezmarcos.es/condiciones-materiales.html</vt:lpwstr>
  </property>
  <property fmtid="{D5CDD505-2E9C-101B-9397-08002B2CF9AE}" pid="10" name="csl">
    <vt:lpwstr>C:\Users\vgutierrez\Documents\src\victorgutierrezmarcos.github.io-revision\oposicion\temario\latex\tcee.csl</vt:lpwstr>
  </property>
  <property fmtid="{D5CDD505-2E9C-101B-9397-08002B2CF9AE}" pid="11" name="date">
    <vt:lpwstr>Última actualización: 20/10/2026</vt:lpwstr>
  </property>
  <property fmtid="{D5CDD505-2E9C-101B-9397-08002B2CF9AE}" pid="12" name="ejercicio">
    <vt:lpwstr>Tercer ejercicio</vt:lpwstr>
  </property>
  <property fmtid="{D5CDD505-2E9C-101B-9397-08002B2CF9AE}" pid="13" name="etiqueta">
    <vt:lpwstr>Tema 3.A.19</vt:lpwstr>
  </property>
  <property fmtid="{D5CDD505-2E9C-101B-9397-08002B2CF9AE}" pid="14" name="exclusivo">
    <vt:lpwstr>True</vt:lpwstr>
  </property>
  <property fmtid="{D5CDD505-2E9C-101B-9397-08002B2CF9AE}" pid="15" name="fecha">
    <vt:lpwstr>20/10/2026</vt:lpwstr>
  </property>
  <property fmtid="{D5CDD505-2E9C-101B-9397-08002B2CF9AE}" pid="16" name="fecha-cita">
    <vt:lpwstr>2026/10/20</vt:lpwstr>
  </property>
  <property fmtid="{D5CDD505-2E9C-101B-9397-08002B2CF9AE}" pid="17" name="fecha-iso">
    <vt:lpwstr>2026-10-20</vt:lpwstr>
  </property>
  <property fmtid="{D5CDD505-2E9C-101B-9397-08002B2CF9AE}" pid="18" name="graficos-docx">
    <vt:lpwstr>C:\Users\vgutierrez\Documents\src\victorgutierrezmarcos.github.io-revision\oposicion\temario\fuentes\3A19\graficos</vt:lpwstr>
  </property>
  <property fmtid="{D5CDD505-2E9C-101B-9397-08002B2CF9AE}" pid="19" name="link-citations">
    <vt:lpwstr>True</vt:lpwstr>
  </property>
  <property fmtid="{D5CDD505-2E9C-101B-9397-08002B2CF9AE}" pid="20" name="materia">
    <vt:lpwstr>Microeconomía</vt:lpwstr>
  </property>
  <property fmtid="{D5CDD505-2E9C-101B-9397-08002B2CF9AE}" pid="21" name="paginas">
    <vt:lpwstr>Tema: 36 págs. · Anexos: 8 · Bibliografía: 5</vt:lpwstr>
  </property>
  <property fmtid="{D5CDD505-2E9C-101B-9397-08002B2CF9AE}" pid="22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3" name="reference-section-title">
    <vt:lpwstr>Bibliografía</vt:lpwstr>
  </property>
  <property fmtid="{D5CDD505-2E9C-101B-9397-08002B2CF9AE}" pid="24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5" name="titulo">
    <vt:lpwstr>Análisis de mercados (IV). Teoría del oligopolio: soluciones no cooperativas y soluciones cooperativas.</vt:lpwstr>
  </property>
  <property fmtid="{D5CDD505-2E9C-101B-9397-08002B2CF9AE}" pid="26" name="titulo-cita">
    <vt:lpwstr>Análisis de mercados (IV). Teoría del oligopolio: soluciones no cooperativas y soluciones cooperativas</vt:lpwstr>
  </property>
  <property fmtid="{D5CDD505-2E9C-101B-9397-08002B2CF9AE}" pid="27" name="titulo-seo">
    <vt:lpwstr>Teoría del oligopolio: Cournot, Bertrand y cártel</vt:lpwstr>
  </property>
</Properties>
</file>