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0.png" ContentType="image/png"/>
  <Override PartName="/word/media/rId218.png" ContentType="image/png"/>
  <Override PartName="/word/media/rId214.png" ContentType="image/png"/>
  <Override PartName="/word/media/rId229.png" ContentType="image/png"/>
  <Override PartName="/word/media/rId74.png" ContentType="image/png"/>
  <Override PartName="/word/media/rId182.png" ContentType="image/png"/>
  <Override PartName="/word/media/rId59.png" ContentType="image/png"/>
  <Override PartName="/word/media/rId52.png" ContentType="image/png"/>
  <Override PartName="/word/media/rId236.png" ContentType="image/png"/>
  <Override PartName="/word/media/rId170.png" ContentType="image/png"/>
  <Override PartName="/word/media/rId119.png" ContentType="image/png"/>
  <Override PartName="/word/media/rId204.png" ContentType="image/png"/>
  <Override PartName="/word/media/rId152.png" ContentType="image/png"/>
  <Override PartName="/word/media/rId209.png" ContentType="image/png"/>
  <Override PartName="/word/media/rId146.png" ContentType="image/png"/>
  <Override PartName="/word/media/rId22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45 págs. · Anexos: 16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keepNext/>
        <w:numPr>
          <w:ilvl w:val="2"/>
          <w:numId w:val="1006"/>
        </w:numPr>
      </w:pPr>
      <w:r>
        <w:t xml:space="preserve">Entre 1950 y 1975 se fijan los conceptos de solución:</w:t>
      </w:r>
    </w:p>
    <w:p>
      <w:pPr>
        <w:numPr>
          <w:ilvl w:val="3"/>
          <w:numId w:val="1007"/>
        </w:numPr>
      </w:pPr>
      <w:r>
        <w:t xml:space="preserve">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w:t>
      </w:r>
    </w:p>
    <w:p>
      <w:pPr>
        <w:numPr>
          <w:ilvl w:val="3"/>
          <w:numId w:val="1007"/>
        </w:numPr>
      </w:pPr>
      <w:r>
        <w:t xml:space="preserve">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w:t>
      </w:r>
    </w:p>
    <w:p>
      <w:pPr>
        <w:numPr>
          <w:ilvl w:val="3"/>
          <w:numId w:val="1007"/>
        </w:numPr>
      </w:pPr>
      <w:r>
        <w:t xml:space="preserve">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w:t>
      </w:r>
    </w:p>
    <w:p>
      <w:pPr>
        <w:numPr>
          <w:ilvl w:val="3"/>
          <w:numId w:val="1007"/>
        </w:numPr>
      </w:pPr>
      <w:r>
        <w:t xml:space="preserve">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y</w:t>
      </w:r>
    </w:p>
    <w:p>
      <w:pPr>
        <w:numPr>
          <w:ilvl w:val="3"/>
          <w:numId w:val="1007"/>
        </w:numPr>
      </w:pPr>
      <w:r>
        <w:t xml:space="preserve">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8"/>
        </w:numPr>
      </w:pPr>
      <w:r>
        <w:t xml:space="preserve">¿Qué cabe predecir cuando cada uno elige pensando en lo que harán los demás? ¿Qué concepto de solución usar en cada tipo de juego?</w:t>
      </w:r>
    </w:p>
    <w:p>
      <w:pPr>
        <w:numPr>
          <w:ilvl w:val="1"/>
          <w:numId w:val="1008"/>
        </w:numPr>
      </w:pPr>
      <w:r>
        <w:t xml:space="preserve">¿Cuándo es creíble una amenaza o una promesa? ¿Cambia la predicción cuando se mueve por turnos, cuando el juego se repite o cuando alguien sabe algo que los demás no saben?</w:t>
      </w:r>
    </w:p>
    <w:p>
      <w:pPr>
        <w:numPr>
          <w:ilvl w:val="1"/>
          <w:numId w:val="1008"/>
        </w:numPr>
      </w:pPr>
      <w:r>
        <w:t xml:space="preserve">¿Cómo se reparten las ganancias de cooperar?</w:t>
      </w:r>
    </w:p>
    <w:p>
      <w:pPr>
        <w:numPr>
          <w:ilvl w:val="1"/>
          <w:numId w:val="1008"/>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keepNext/>
        <w:numPr>
          <w:ilvl w:val="1"/>
          <w:numId w:val="1009"/>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w:t>
      </w:r>
    </w:p>
    <w:p>
      <w:pPr>
        <w:numPr>
          <w:ilvl w:val="2"/>
          <w:numId w:val="1010"/>
        </w:numPr>
      </w:pPr>
      <w:r>
        <w:t xml:space="preserve">los elementos de un juego y su clasificación (</w:t>
      </w:r>
      <w:hyperlink w:anchor="sec_elementos">
        <w:r>
          <w:rPr>
            <w:rStyle w:val="Hyperlink"/>
          </w:rPr>
          <w:t xml:space="preserve">I.1</w:t>
        </w:r>
      </w:hyperlink>
      <w:r>
        <w:t xml:space="preserve">);</w:t>
      </w:r>
    </w:p>
    <w:p>
      <w:pPr>
        <w:numPr>
          <w:ilvl w:val="2"/>
          <w:numId w:val="1010"/>
        </w:numPr>
      </w:pPr>
      <w:r>
        <w:t xml:space="preserve">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w:t>
      </w:r>
    </w:p>
    <w:p>
      <w:pPr>
        <w:numPr>
          <w:ilvl w:val="2"/>
          <w:numId w:val="1010"/>
        </w:numPr>
      </w:pPr>
      <w:r>
        <w:t xml:space="preserve">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keepNext/>
        <w:numPr>
          <w:ilvl w:val="1"/>
          <w:numId w:val="1009"/>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w:t>
      </w:r>
    </w:p>
    <w:p>
      <w:pPr>
        <w:numPr>
          <w:ilvl w:val="2"/>
          <w:numId w:val="1011"/>
        </w:numPr>
      </w:pPr>
      <w:r>
        <w:t xml:space="preserve">los juegos bayesianos (</w:t>
      </w:r>
      <w:hyperlink w:anchor="sec_juegos_bayesianos">
        <w:r>
          <w:rPr>
            <w:rStyle w:val="Hyperlink"/>
          </w:rPr>
          <w:t xml:space="preserve">II.1</w:t>
        </w:r>
      </w:hyperlink>
      <w:r>
        <w:t xml:space="preserve">);</w:t>
      </w:r>
    </w:p>
    <w:p>
      <w:pPr>
        <w:numPr>
          <w:ilvl w:val="2"/>
          <w:numId w:val="1011"/>
        </w:numPr>
      </w:pPr>
      <w:r>
        <w:t xml:space="preserve">el equilibrio bayesiano perfecto y la señalización (</w:t>
      </w:r>
      <w:hyperlink w:anchor="sec_ebp_senalizacion">
        <w:r>
          <w:rPr>
            <w:rStyle w:val="Hyperlink"/>
          </w:rPr>
          <w:t xml:space="preserve">II.2</w:t>
        </w:r>
      </w:hyperlink>
      <w:r>
        <w:t xml:space="preserve">), y</w:t>
      </w:r>
    </w:p>
    <w:p>
      <w:pPr>
        <w:numPr>
          <w:ilvl w:val="2"/>
          <w:numId w:val="1011"/>
        </w:numPr>
      </w:pPr>
      <w:r>
        <w:t xml:space="preserve">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keepNext/>
        <w:numPr>
          <w:ilvl w:val="1"/>
          <w:numId w:val="1009"/>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w:t>
      </w:r>
    </w:p>
    <w:p>
      <w:pPr>
        <w:numPr>
          <w:ilvl w:val="2"/>
          <w:numId w:val="1012"/>
        </w:numPr>
      </w:pPr>
      <w:r>
        <w:t xml:space="preserve">las aplicaciones en economía (</w:t>
      </w:r>
      <w:hyperlink w:anchor="sec_aplicaciones">
        <w:r>
          <w:rPr>
            <w:rStyle w:val="Hyperlink"/>
          </w:rPr>
          <w:t xml:space="preserve">III.1</w:t>
        </w:r>
      </w:hyperlink>
      <w:r>
        <w:t xml:space="preserve">);</w:t>
      </w:r>
    </w:p>
    <w:p>
      <w:pPr>
        <w:numPr>
          <w:ilvl w:val="2"/>
          <w:numId w:val="1012"/>
        </w:numPr>
      </w:pPr>
      <w:r>
        <w:t xml:space="preserve">el diseño de mecanismos (</w:t>
      </w:r>
      <w:hyperlink w:anchor="sec_diseno_mecanismos">
        <w:r>
          <w:rPr>
            <w:rStyle w:val="Hyperlink"/>
          </w:rPr>
          <w:t xml:space="preserve">III.2</w:t>
        </w:r>
      </w:hyperlink>
      <w:r>
        <w:t xml:space="preserve">), y</w:t>
      </w:r>
    </w:p>
    <w:p>
      <w:pPr>
        <w:numPr>
          <w:ilvl w:val="2"/>
          <w:numId w:val="1012"/>
        </w:numPr>
      </w:pPr>
      <w:r>
        <w:t xml:space="preserve">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keepNext/>
        <w:numPr>
          <w:ilvl w:val="0"/>
          <w:numId w:val="1000"/>
        </w:numPr>
      </w:pPr>
      <w:r>
        <w:t xml:space="preserve">El orden va de menos a más información privada, porque las subastas son juegos con información incompleta. El eje de la exposición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 mismo ejemplo acompaña a toda la exposición, el de nuestros 2 operadores de telecomunicaciones:</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A lo largo de la exposición:</w:t>
      </w:r>
    </w:p>
    <w:p>
      <w:pPr>
        <w:numPr>
          <w:ilvl w:val="1"/>
          <w:numId w:val="1013"/>
        </w:numPr>
      </w:pPr>
      <w:r>
        <w:t xml:space="preserve">se enfrentan en una guerra de precios;</w:t>
      </w:r>
    </w:p>
    <w:p>
      <w:pPr>
        <w:numPr>
          <w:ilvl w:val="1"/>
          <w:numId w:val="1013"/>
        </w:numPr>
      </w:pPr>
      <w:r>
        <w:t xml:space="preserve">E decide si entra e I si se resiste;</w:t>
      </w:r>
    </w:p>
    <w:p>
      <w:pPr>
        <w:numPr>
          <w:ilvl w:val="1"/>
          <w:numId w:val="1013"/>
        </w:numPr>
      </w:pPr>
      <w:r>
        <w:t xml:space="preserve">se encuentran cada mes;</w:t>
      </w:r>
    </w:p>
    <w:p>
      <w:pPr>
        <w:numPr>
          <w:ilvl w:val="1"/>
          <w:numId w:val="1013"/>
        </w:numPr>
      </w:pPr>
      <w:r>
        <w:t xml:space="preserve">E no sabe cuáles son los costes de</w:t>
      </w:r>
      <w:r>
        <w:t xml:space="preserve"> </w:t>
      </w:r>
      <w:r>
        <w:t xml:space="preserve">I</w:t>
      </w:r>
      <w:r>
        <w:t xml:space="preserve">;</w:t>
      </w:r>
    </w:p>
    <w:p>
      <w:pPr>
        <w:numPr>
          <w:ilvl w:val="1"/>
          <w:numId w:val="1013"/>
        </w:numPr>
      </w:pPr>
      <w:r>
        <w:t xml:space="preserve">negocian y forman un consorcio con un tercer operador, y</w:t>
      </w:r>
    </w:p>
    <w:p>
      <w:pPr>
        <w:numPr>
          <w:ilvl w:val="1"/>
          <w:numId w:val="1013"/>
        </w:numPr>
      </w:pPr>
      <w:r>
        <w:t xml:space="preserve">al final, pujan por el espectro del 5G que subasta el Gobierno, donde el refrán del enganche reaparece del revés: «hoy gano yo, mañana tú».</w:t>
      </w:r>
    </w:p>
    <w:p>
      <w:r>
        <w:br w:type="page"/>
      </w:r>
    </w:p>
    <w:p>
      <w:pPr>
        <w:pStyle w:val="Esquema"/>
        <w:keepLines/>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ejemplo de los 2 operadores,</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keepNext/>
        <w:keepLines/>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keepNext/>
        <w:keepLines/>
        <w:numPr>
          <w:ilvl w:val="0"/>
          <w:numId w:val="1014"/>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7</w:t>
        </w:r>
      </w:hyperlink>
      <w:r>
        <w:t xml:space="preserve">). En el</w:t>
      </w:r>
      <w:r>
        <w:t xml:space="preserve"> </w:t>
      </w:r>
      <w:r>
        <w:rPr>
          <w:i/>
          <w:iCs/>
        </w:rPr>
        <w:t xml:space="preserve">centro</w:t>
      </w:r>
      <w:r>
        <w:t xml:space="preserve">, las matrices y los árboles pequeños del ejemplo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keepNext/>
        <w:keepLines/>
        <w:numPr>
          <w:ilvl w:val="0"/>
          <w:numId w:val="1014"/>
        </w:numPr>
      </w:pPr>
      <w:r>
        <w:rPr>
          <w:i/>
          <w:iCs/>
        </w:rPr>
        <w:t xml:space="preserve">El ejemplo de los 2 operadores</w:t>
      </w:r>
      <w:r>
        <w:t xml:space="preserve">: cada concepto se presenta primero con el ejemplo de</w:t>
      </w:r>
      <w:r>
        <w:t xml:space="preserve"> </w:t>
      </w:r>
      <w:r>
        <w:t xml:space="preserve">I</w:t>
      </w:r>
      <w:r>
        <w:t xml:space="preserve"> </w:t>
      </w:r>
      <w:r>
        <w:t xml:space="preserve">y E (las viñetas sangradas que lo retoman, «Siguiendo con el ejemplo de nuestros 2 operadores…», «Volvamos a</w:t>
      </w:r>
      <w:r>
        <w:t xml:space="preserve"> </w:t>
      </w:r>
      <w:r>
        <w:t xml:space="preserve">I</w:t>
      </w:r>
      <w:r>
        <w:t xml:space="preserve"> </w:t>
      </w:r>
      <w:r>
        <w:t xml:space="preserve">y E…»), paso a paso,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keepNext/>
        <w:keepLines/>
        <w:numPr>
          <w:ilvl w:val="0"/>
          <w:numId w:val="1014"/>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keepLines/>
        <w:numPr>
          <w:ilvl w:val="0"/>
          <w:numId w:val="1014"/>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6"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keepNext/>
        <w:keepLines/>
      </w:pPr>
      <w:r>
        <w:rPr>
          <w:b/>
          <w:bCs/>
        </w:rPr>
        <w:t xml:space="preserve">Nota al opositor. </w:t>
      </w:r>
      <w:r>
        <w:t xml:space="preserve">En el cante (9′), con la pizarra en sus 3 zonas:</w:t>
      </w:r>
    </w:p>
    <w:p>
      <w:pPr>
        <w:pStyle w:val="Notaalopositor"/>
        <w:keepNext/>
        <w:keepLines/>
        <w:numPr>
          <w:ilvl w:val="0"/>
          <w:numId w:val="1015"/>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keepNext/>
        <w:keepLines/>
        <w:numPr>
          <w:ilvl w:val="0"/>
          <w:numId w:val="1015"/>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keepNext/>
        <w:keepLines/>
        <w:numPr>
          <w:ilvl w:val="0"/>
          <w:numId w:val="1015"/>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keepNext/>
        <w:keepLines/>
        <w:numPr>
          <w:ilvl w:val="0"/>
          <w:numId w:val="1015"/>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keepLines/>
      </w:pPr>
      <w:r>
        <w:t xml:space="preserve">Son de profundización el juego sin estrategias dominadas, el recuadro sobre los nombres «estático» y «dinámico», el ciempiés, los refinamientos de la reputación y las notas al pie.</w:t>
      </w:r>
    </w:p>
    <w:p>
      <w:pPr>
        <w:numPr>
          <w:ilvl w:val="0"/>
          <w:numId w:val="1016"/>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7"/>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 que ilustramos ya con el ejemplo que nos acompañará en toda la exposición:</w:t>
      </w:r>
    </w:p>
    <w:p>
      <w:pPr>
        <w:keepNext/>
        <w:numPr>
          <w:ilvl w:val="1"/>
          <w:numId w:val="1018"/>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2"/>
          <w:numId w:val="1019"/>
        </w:numPr>
      </w:pPr>
      <w:r>
        <w:t xml:space="preserve">en nuestro ejemplo, 2 operadores de telecomunicaciones:</w:t>
      </w:r>
      <w:r>
        <w:t xml:space="preserve"> </w:t>
      </w:r>
      <w:r>
        <w:t xml:space="preserve">I</w:t>
      </w:r>
      <w:r>
        <w:t xml:space="preserve">, el que ya está</w:t>
      </w:r>
      <w:r>
        <w:t xml:space="preserve"> </w:t>
      </w:r>
      <w:r>
        <w:rPr>
          <w:i/>
          <w:iCs/>
        </w:rPr>
        <w:t xml:space="preserve">instalado</w:t>
      </w:r>
      <w:r>
        <w:t xml:space="preserve"> </w:t>
      </w:r>
      <w:r>
        <w:t xml:space="preserve">en el mercado, y E, el que quiere</w:t>
      </w:r>
      <w:r>
        <w:t xml:space="preserve"> </w:t>
      </w:r>
      <w:r>
        <w:rPr>
          <w:i/>
          <w:iCs/>
        </w:rPr>
        <w:t xml:space="preserve">entrar</w:t>
      </w:r>
      <w:r>
        <w:t xml:space="preserve"> </w:t>
      </w:r>
      <w:r>
        <w:t xml:space="preserve">en él;</w:t>
      </w:r>
    </w:p>
    <w:p>
      <w:pPr>
        <w:keepNext/>
        <w:numPr>
          <w:ilvl w:val="1"/>
          <w:numId w:val="1018"/>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2"/>
          <w:numId w:val="1020"/>
        </w:numPr>
      </w:pPr>
      <w:r>
        <w:t xml:space="preserve">por ejemplo, si</w:t>
      </w:r>
      <w:r>
        <w:t xml:space="preserve"> </w:t>
      </w:r>
      <w:r>
        <w:t xml:space="preserve">I</w:t>
      </w:r>
      <w:r>
        <w:t xml:space="preserve"> </w:t>
      </w:r>
      <w:r>
        <w:t xml:space="preserve">y E fijan sus precios a la vez o uno después del otro, y si E sabe o no cuánto le cuesta a</w:t>
      </w:r>
      <w:r>
        <w:t xml:space="preserve"> </w:t>
      </w:r>
      <w:r>
        <w:t xml:space="preserve">I</w:t>
      </w:r>
      <w:r>
        <w:t xml:space="preserve"> </w:t>
      </w:r>
      <w:r>
        <w:t xml:space="preserve">ampliar su red;</w:t>
      </w:r>
    </w:p>
    <w:p>
      <w:pPr>
        <w:keepNext/>
        <w:numPr>
          <w:ilvl w:val="1"/>
          <w:numId w:val="1018"/>
        </w:numPr>
      </w:pPr>
      <w:r>
        <w:t xml:space="preserve">los</w:t>
      </w:r>
      <w:r>
        <w:t xml:space="preserve"> </w:t>
      </w:r>
      <w:r>
        <w:rPr>
          <w:b/>
          <w:bCs/>
        </w:rPr>
        <w:t xml:space="preserve">resultados</w:t>
      </w:r>
      <w:r>
        <w:t xml:space="preserve"> </w:t>
      </w:r>
      <w:r>
        <w:t xml:space="preserve">de cada combinación de acciones, y</w:t>
      </w:r>
    </w:p>
    <w:p>
      <w:pPr>
        <w:numPr>
          <w:ilvl w:val="2"/>
          <w:numId w:val="1021"/>
        </w:numPr>
      </w:pPr>
      <w:r>
        <w:t xml:space="preserve">por ejemplo, cuántos clientes se queda cada operador si los 2 mantienen el precio alto o si uno de ellos lo baja;</w:t>
      </w:r>
    </w:p>
    <w:p>
      <w:pPr>
        <w:keepNext/>
        <w:numPr>
          <w:ilvl w:val="1"/>
          <w:numId w:val="1018"/>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2"/>
          <w:numId w:val="1022"/>
        </w:numPr>
      </w:pPr>
      <w:r>
        <w:t xml:space="preserve">En el ejemplo, los pagos son los beneficios de cada operador, en unidades sencillas (5, 6, 1…), sin funciones de demanda ni de costes: el ejemplo sirve para ilustrar los conceptos, no para describir un mercado concreto; el oligopolio se estudia aparte</w:t>
      </w:r>
      <w:r>
        <w:t xml:space="preserve"> </w:t>
      </w:r>
      <w:hyperlink r:id="rId21">
        <w:r>
          <w:rPr>
            <w:rStyle w:val="Referenciaatema"/>
          </w:rPr>
          <w:t xml:space="preserve">[ver tema 3.A.19]</w:t>
        </w:r>
      </w:hyperlink>
      <w:r>
        <w:t xml:space="preserve">.</w:t>
      </w:r>
    </w:p>
    <w:p>
      <w:pPr>
        <w:numPr>
          <w:ilvl w:val="0"/>
          <w:numId w:val="1017"/>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7"/>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7"/>
        </w:numPr>
      </w:pPr>
      <w:r>
        <w:rPr>
          <w:i/>
          <w:iCs/>
        </w:rPr>
        <w:t xml:space="preserve">Representaciones</w:t>
      </w:r>
      <w:r>
        <w:t xml:space="preserve">:</w:t>
      </w:r>
    </w:p>
    <w:p>
      <w:pPr>
        <w:numPr>
          <w:ilvl w:val="1"/>
          <w:numId w:val="1023"/>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23"/>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7"/>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24"/>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keepNext/>
        <w:numPr>
          <w:ilvl w:val="1"/>
          <w:numId w:val="1024"/>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 Dentro de los dinámicos hay 2 clases:</w:t>
      </w:r>
    </w:p>
    <w:p>
      <w:pPr>
        <w:numPr>
          <w:ilvl w:val="2"/>
          <w:numId w:val="1025"/>
        </w:numPr>
      </w:pPr>
      <w:r>
        <w:t xml:space="preserve">los</w:t>
      </w:r>
      <w:r>
        <w:t xml:space="preserve"> </w:t>
      </w:r>
      <w:r>
        <w:rPr>
          <w:b/>
          <w:bCs/>
        </w:rPr>
        <w:t xml:space="preserve">secuenciales</w:t>
      </w:r>
      <w:r>
        <w:t xml:space="preserve">, que se juegan una sola vez pero por turnos, y</w:t>
      </w:r>
    </w:p>
    <w:p>
      <w:pPr>
        <w:numPr>
          <w:ilvl w:val="2"/>
          <w:numId w:val="1025"/>
        </w:numPr>
      </w:pPr>
      <w:r>
        <w:t xml:space="preserve">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w:t>
      </w:r>
    </w:p>
    <w:p>
      <w:pPr>
        <w:numPr>
          <w:ilvl w:val="1"/>
          <w:numId w:val="1024"/>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24"/>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24"/>
        </w:numPr>
      </w:pPr>
      <w:r>
        <w:t xml:space="preserve">de</w:t>
      </w:r>
      <w:r>
        <w:t xml:space="preserve"> </w:t>
      </w:r>
      <w:r>
        <w:rPr>
          <w:b/>
          <w:bCs/>
        </w:rPr>
        <w:t xml:space="preserve">suma cero</w:t>
      </w:r>
      <w:r>
        <w:t xml:space="preserve"> </w:t>
      </w:r>
      <w:r>
        <w:t xml:space="preserve">(lo que gana uno lo pierde otro) o de suma variable.</w:t>
      </w:r>
    </w:p>
    <w:p>
      <w:pPr>
        <w:numPr>
          <w:ilvl w:val="0"/>
          <w:numId w:val="1017"/>
        </w:numPr>
      </w:pPr>
      <w:r>
        <w:rPr>
          <w:i/>
          <w:iCs/>
        </w:rPr>
        <w:t xml:space="preserve">Un concepto de solución para cada tipo de juego</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Estáticos</w:t>
            </w:r>
            <w:r>
              <w:t xml:space="preserve"> </w:t>
            </w:r>
            <w:r>
              <w:t xml:space="preserve">(simultáneos)</w:t>
            </w:r>
          </w:p>
        </w:tc>
        <w:tc>
          <w:tcPr>
            <w:shd w:val="clear" w:color="auto" w:fill="DDEBF7"/>
            <w:vAlign w:val="center"/>
          </w:tcPr>
          <w:p>
            <w:pPr>
              <w:pStyle w:val="Celdatceeazulpalido"/>
              <w:jc w:val="center"/>
            </w:pPr>
            <w:r>
              <w:rPr>
                <w:b/>
                <w:bCs/>
              </w:rPr>
              <w:t xml:space="preserve">Dinámicos</w:t>
            </w:r>
            <w:r>
              <w:br/>
            </w:r>
            <w:r>
              <w:t xml:space="preserve">(secuenciales y repetidos)</w:t>
            </w:r>
          </w:p>
        </w:tc>
      </w:tr>
      <w:tr>
        <w:trPr>
          <w:cantSplit/>
        </w:trPr>
        <w:tc>
          <w:tcPr>
            <w:vAlign w:val="center"/>
          </w:tcPr>
          <w:p>
            <w:pPr>
              <w:pStyle w:val="Compact"/>
              <w:jc w:val="center"/>
            </w:pPr>
            <w:r>
              <w:rPr>
                <w:b/>
                <w:bCs/>
              </w:rPr>
              <w:t xml:space="preserve">Información completa</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shd w:val="clear" w:color="auto" w:fill="E2EFD9"/>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rPr>
          <w:cantSplit/>
        </w:trPr>
        <w:tc>
          <w:tcPr>
            <w:vAlign w:val="center"/>
          </w:tcPr>
          <w:p>
            <w:pPr>
              <w:pStyle w:val="Compact"/>
              <w:jc w:val="center"/>
            </w:pPr>
            <w:r>
              <w:rPr>
                <w:b/>
                <w:bCs/>
              </w:rPr>
              <w:t xml:space="preserve">Información incompleta</w:t>
            </w:r>
          </w:p>
        </w:tc>
        <w:tc>
          <w:tcPr>
            <w:shd w:val="clear" w:color="auto" w:fill="E2EFD9"/>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shd w:val="clear" w:color="auto" w:fill="E2EFD9"/>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rPr>
          <w:cantSplit/>
        </w:trPr>
        <w:tc>
          <w:tcPr>
            <w:shd w:val="clear" w:color="auto" w:fill="FBE4D5"/>
            <w:vAlign w:val="center"/>
          </w:tcPr>
          <w:p>
            <w:pPr>
              <w:pStyle w:val="Celdatceesalmon"/>
              <w:jc w:val="center"/>
            </w:pPr>
            <w:r>
              <w:rPr>
                <w:b/>
                <w:bCs/>
              </w:rPr>
              <w:t xml:space="preserve">Cooperativos</w:t>
            </w:r>
          </w:p>
        </w:tc>
        <w:tc>
          <w:tcPr>
            <w:gridSpan w:val="2"/>
            <w:shd w:val="clear" w:color="auto" w:fill="FBE4D5"/>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2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27"/>
        </w:numPr>
      </w:pPr>
      <w:r>
        <w:rPr>
          <w:i/>
          <w:iCs/>
        </w:rPr>
        <w:t xml:space="preserve">Idea</w:t>
      </w:r>
      <w:r>
        <w:t xml:space="preserve">: la predicción más sólida es la que solo exige que cada jugador sea racional: no elegir nunca algo que es peor pase lo que pase.</w:t>
      </w:r>
    </w:p>
    <w:p>
      <w:pPr>
        <w:keepNext/>
        <w:numPr>
          <w:ilvl w:val="0"/>
          <w:numId w:val="102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2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2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27"/>
        </w:numPr>
      </w:pPr>
      <w:r>
        <w:rPr>
          <w:i/>
          <w:iCs/>
        </w:rPr>
        <w:t xml:space="preserve">Dilema del prisionero</w:t>
      </w:r>
      <w:r>
        <w:t xml:space="preserve">: cuando cada jugador tiene una estrategia estrictamente dominante, la predicción es clara, pero puede ser mala para todos.</w:t>
      </w:r>
    </w:p>
    <w:p>
      <w:pPr>
        <w:keepNext/>
        <w:numPr>
          <w:ilvl w:val="1"/>
          <w:numId w:val="1029"/>
        </w:numPr>
      </w:pPr>
      <w:r>
        <w:t xml:space="preserve">Siguiendo con el ejemplo de nuestros 2 operadores,</w:t>
      </w:r>
      <w:r>
        <w:t xml:space="preserve"> </w:t>
      </w:r>
      <w:r>
        <w:t xml:space="preserve">I</w:t>
      </w:r>
      <w:r>
        <w:t xml:space="preserve"> </w:t>
      </w:r>
      <w:r>
        <w:t xml:space="preserve">(el instalado) y E (el que quiere entrar), supongamos que ya compiten y libran una</w:t>
      </w:r>
      <w:r>
        <w:t xml:space="preserve"> </w:t>
      </w:r>
      <w:r>
        <w:rPr>
          <w:i/>
          <w:iCs/>
        </w:rPr>
        <w:t xml:space="preserve">guerra de precios</w:t>
      </w:r>
      <w:r>
        <w:t xml:space="preserve"> </w:t>
      </w:r>
      <w:r>
        <w:t xml:space="preserve">(tabla </w:t>
      </w:r>
      <w:hyperlink w:anchor="tab_dilema_prisionero">
        <w:r>
          <w:rPr>
            <w:rStyle w:val="Hyperlink"/>
          </w:rPr>
          <w:t xml:space="preserve">2</w:t>
        </w:r>
      </w:hyperlink>
      <w:r>
        <w:t xml:space="preserve">, con</w:t>
      </w:r>
      <w:r>
        <w:t xml:space="preserve"> </w:t>
      </w:r>
      <w:r>
        <w:t xml:space="preserve">I</w:t>
      </w:r>
      <w:r>
        <w:t xml:space="preserve"> </w:t>
      </w:r>
      <w:r>
        <w:t xml:space="preserve">en las filas y E en las columnas):</w:t>
      </w:r>
    </w:p>
    <w:p>
      <w:pPr>
        <w:numPr>
          <w:ilvl w:val="2"/>
          <w:numId w:val="1030"/>
        </w:numPr>
      </w:pPr>
      <w:r>
        <w:t xml:space="preserve">cada uno decide, a la vez y sin ver lo que hace el otro, si mantiene un precio alto o lo baja;</w:t>
      </w:r>
    </w:p>
    <w:p>
      <w:pPr>
        <w:numPr>
          <w:ilvl w:val="2"/>
          <w:numId w:val="1030"/>
        </w:numPr>
      </w:pPr>
      <w:r>
        <w:t xml:space="preserve">si los 2 mantienen el precio alto, ganan 5 cada uno;</w:t>
      </w:r>
    </w:p>
    <w:p>
      <w:pPr>
        <w:numPr>
          <w:ilvl w:val="2"/>
          <w:numId w:val="1030"/>
        </w:numPr>
      </w:pPr>
      <w:r>
        <w:t xml:space="preserve">si uno lo baja y el otro no, el que lo baja se queda con los clientes del otro y gana 6, y el otro, 0, y</w:t>
      </w:r>
    </w:p>
    <w:p>
      <w:pPr>
        <w:numPr>
          <w:ilvl w:val="2"/>
          <w:numId w:val="1030"/>
        </w:numPr>
      </w:pPr>
      <w:r>
        <w:t xml:space="preserve">si los 2 lo bajan, ganan 1 cada uno.</w:t>
      </w:r>
    </w:p>
    <w:p>
      <w:pPr>
        <w:keepNext/>
        <w:numPr>
          <w:ilvl w:val="1"/>
          <w:numId w:val="1029"/>
        </w:numPr>
      </w:pPr>
      <w:r>
        <w:t xml:space="preserve">Pongámonos en el lugar de</w:t>
      </w:r>
      <w:r>
        <w:t xml:space="preserve"> </w:t>
      </w:r>
      <w:r>
        <w:t xml:space="preserve">I</w:t>
      </w:r>
      <w:r>
        <w:t xml:space="preserve">. Haga lo que haga E, le conviene bajar el precio:</w:t>
      </w:r>
    </w:p>
    <w:p>
      <w:pPr>
        <w:numPr>
          <w:ilvl w:val="2"/>
          <w:numId w:val="1031"/>
        </w:numPr>
      </w:pPr>
      <w:r>
        <w:t xml:space="preserve">si E mantiene el precio alto, bajándolo</w:t>
      </w:r>
      <w:r>
        <w:t xml:space="preserve"> </w:t>
      </w:r>
      <w:r>
        <w:t xml:space="preserve">I</w:t>
      </w:r>
      <w:r>
        <w:t xml:space="preserve"> </w:t>
      </w:r>
      <w:r>
        <w:t xml:space="preserve">gana 6 en lugar de 5;</w:t>
      </w:r>
    </w:p>
    <w:p>
      <w:pPr>
        <w:numPr>
          <w:ilvl w:val="2"/>
          <w:numId w:val="1031"/>
        </w:numPr>
      </w:pPr>
      <w:r>
        <w:t xml:space="preserve">si E lo baja, bajándolo también</w:t>
      </w:r>
      <w:r>
        <w:t xml:space="preserve"> </w:t>
      </w:r>
      <w:r>
        <w:t xml:space="preserve">I</w:t>
      </w:r>
      <w:r>
        <w:t xml:space="preserve"> </w:t>
      </w:r>
      <w:r>
        <w:t xml:space="preserve">gana 1 en lugar de 0.</w:t>
      </w:r>
    </w:p>
    <w:p>
      <w:pPr>
        <w:numPr>
          <w:ilvl w:val="1"/>
          <w:numId w:val="1029"/>
        </w:numPr>
      </w:pPr>
      <w:r>
        <w:t xml:space="preserve">Lo mismo le ocurre a E: bajar el precio es estrictamente dominante para los 2. Resultado: los 2 bajan el precio y ganan 1, cuando manteniéndolo alto habrían ganado 5.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2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2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2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2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rPr>
          <w:cantSplit/>
        </w:trP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rPr>
          <w:cantSplit/>
        </w:trP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32"/>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33"/>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keepNext/>
        <w:numPr>
          <w:ilvl w:val="0"/>
          <w:numId w:val="1034"/>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p>
    <w:p>
      <w:pPr>
        <w:numPr>
          <w:ilvl w:val="1"/>
          <w:numId w:val="1035"/>
        </w:numPr>
      </w:pPr>
      <w:r>
        <w:t xml:space="preserve">Volvamos a la guerra de precios de</w:t>
      </w:r>
      <w:r>
        <w:t xml:space="preserve"> </w:t>
      </w:r>
      <w:r>
        <w:t xml:space="preserve">I</w:t>
      </w:r>
      <w:r>
        <w:t xml:space="preserve"> </w:t>
      </w:r>
      <w:r>
        <w:t xml:space="preserve">y E: si E mantiene el precio alto, la mejor respuesta de</w:t>
      </w:r>
      <w:r>
        <w:t xml:space="preserve"> </w:t>
      </w:r>
      <w:r>
        <w:t xml:space="preserve">I</w:t>
      </w:r>
      <w:r>
        <w:t xml:space="preserve"> </w:t>
      </w:r>
      <w:r>
        <w:t xml:space="preserve">es bajarlo (6 frente a 5); si E lo baja, también (1 frente a 0). Lo mismo vale para E. Por eso en la tabla </w:t>
      </w:r>
      <w:hyperlink w:anchor="tab_dilema_prisionero">
        <w:r>
          <w:rPr>
            <w:rStyle w:val="Hyperlink"/>
          </w:rPr>
          <w:t xml:space="preserve">2</w:t>
        </w:r>
      </w:hyperlink>
      <w:r>
        <w:t xml:space="preserve"> </w:t>
      </w:r>
      <w:r>
        <w:t xml:space="preserve">están subrayados el 6 de cada uno y los 2 unos de (Bajo, Bajo).</w:t>
      </w:r>
    </w:p>
    <w:p>
      <w:pPr>
        <w:numPr>
          <w:ilvl w:val="0"/>
          <w:numId w:val="1034"/>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keepLines/>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34"/>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34"/>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34"/>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36"/>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keepNext/>
        <w:numPr>
          <w:ilvl w:val="1"/>
          <w:numId w:val="1036"/>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keepNext/>
        <w:numPr>
          <w:ilvl w:val="2"/>
          <w:numId w:val="1037"/>
        </w:numPr>
      </w:pPr>
      <w:r>
        <w:t xml:space="preserve">Un ejemplo con nuestros 2 operadores muestra por qué hacen falta las mixtas.</w:t>
      </w:r>
      <w:r>
        <w:t xml:space="preserve"> </w:t>
      </w:r>
      <w:r>
        <w:t xml:space="preserve">I</w:t>
      </w:r>
      <w:r>
        <w:t xml:space="preserve"> </w:t>
      </w:r>
      <w:r>
        <w:t xml:space="preserve">y E lanzan a la vez una campaña comercial, en el norte o en el sur:</w:t>
      </w:r>
    </w:p>
    <w:p>
      <w:pPr>
        <w:numPr>
          <w:ilvl w:val="3"/>
          <w:numId w:val="1038"/>
        </w:numPr>
      </w:pPr>
      <w:r>
        <w:t xml:space="preserve">I</w:t>
      </w:r>
      <w:r>
        <w:t xml:space="preserve"> </w:t>
      </w:r>
      <w:r>
        <w:t xml:space="preserve">quiere coincidir con E, para neutralizar su campaña;</w:t>
      </w:r>
    </w:p>
    <w:p>
      <w:pPr>
        <w:numPr>
          <w:ilvl w:val="3"/>
          <w:numId w:val="1038"/>
        </w:numPr>
      </w:pPr>
      <w:r>
        <w:t xml:space="preserve">E quiere evitarlo, para llegar a clientes a los que</w:t>
      </w:r>
      <w:r>
        <w:t xml:space="preserve"> </w:t>
      </w:r>
      <w:r>
        <w:t xml:space="preserve">I</w:t>
      </w:r>
      <w:r>
        <w:t xml:space="preserve"> </w:t>
      </w:r>
      <w:r>
        <w:t xml:space="preserve">no se está dirigiendo.</w:t>
      </w:r>
    </w:p>
    <w:p>
      <w:pPr>
        <w:keepNext/>
        <w:numPr>
          <w:ilvl w:val="2"/>
          <w:numId w:val="1037"/>
        </w:numPr>
      </w:pPr>
      <w:r>
        <w:t xml:space="preserve">Ninguna de las 4 combinaciones es un EN en estrategias puras:</w:t>
      </w:r>
    </w:p>
    <w:p>
      <w:pPr>
        <w:numPr>
          <w:ilvl w:val="3"/>
          <w:numId w:val="1039"/>
        </w:numPr>
      </w:pPr>
      <w:r>
        <w:t xml:space="preserve">si coinciden (los 2 en el norte o los 2 en el sur), a E le conviene cambiar de zona;</w:t>
      </w:r>
    </w:p>
    <w:p>
      <w:pPr>
        <w:numPr>
          <w:ilvl w:val="3"/>
          <w:numId w:val="1039"/>
        </w:numPr>
      </w:pPr>
      <w:r>
        <w:t xml:space="preserve">si no coinciden, a</w:t>
      </w:r>
      <w:r>
        <w:t xml:space="preserve"> </w:t>
      </w:r>
      <w:r>
        <w:t xml:space="preserve">I</w:t>
      </w:r>
      <w:r>
        <w:t xml:space="preserve"> </w:t>
      </w:r>
      <w:r>
        <w:t xml:space="preserve">le conviene irse a la zona de E.</w:t>
      </w:r>
    </w:p>
    <w:p>
      <w:pPr>
        <w:numPr>
          <w:ilvl w:val="2"/>
          <w:numId w:val="1037"/>
        </w:numPr>
      </w:pPr>
      <w:r>
        <w:t xml:space="preserve">Sí hay un EN en mixtas. Si los pagos son simétricos, cada uno echa a suertes la zona, al 50 %: si E eligiera el norte con más probabilidad,</w:t>
      </w:r>
      <w:r>
        <w:t xml:space="preserve"> </w:t>
      </w:r>
      <w:r>
        <w:t xml:space="preserve">I</w:t>
      </w:r>
      <w:r>
        <w:t xml:space="preserve"> </w:t>
      </w:r>
      <w:r>
        <w:t xml:space="preserve">iría siempre al norte y E saldría perdiendo; solo al 50 % deja a</w:t>
      </w:r>
      <w:r>
        <w:t xml:space="preserve"> </w:t>
      </w:r>
      <w:r>
        <w:t xml:space="preserve">I</w:t>
      </w:r>
      <w:r>
        <w:t xml:space="preserve"> </w:t>
      </w:r>
      <w:r>
        <w:t xml:space="preserve">indiferente y sin nada que aprovechar. Aquí, ser impredecible es la estrategia.</w:t>
      </w:r>
    </w:p>
    <w:p>
      <w:pPr>
        <w:numPr>
          <w:ilvl w:val="1"/>
          <w:numId w:val="1036"/>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rPr>
          <w:cantSplit/>
        </w:trP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rPr>
          <w:cantSplit/>
        </w:trP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rPr>
          <w:cantSplit/>
        </w:trP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shd w:val="clear" w:color="auto" w:fill="E2EFD9"/>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40"/>
        </w:numPr>
      </w:pPr>
      <w:r>
        <w:t xml:space="preserve">El EN es la predicción mínima de un juego: si la teoría da una predicción que todos los jugadores conocen, tiene que ser un EN, porque si no alguien se desviaría.</w:t>
      </w:r>
    </w:p>
    <w:p>
      <w:pPr>
        <w:numPr>
          <w:ilvl w:val="0"/>
          <w:numId w:val="1040"/>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40"/>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41"/>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41"/>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42"/>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43"/>
        </w:numPr>
      </w:pPr>
      <w:r>
        <w:t xml:space="preserve">El EN tiene 4 limitaciones:</w:t>
      </w:r>
    </w:p>
    <w:p>
      <w:pPr>
        <w:numPr>
          <w:ilvl w:val="1"/>
          <w:numId w:val="1044"/>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44"/>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keepNext/>
        <w:numPr>
          <w:ilvl w:val="2"/>
          <w:numId w:val="1045"/>
        </w:numPr>
      </w:pPr>
      <w:r>
        <w:t xml:space="preserve">Volvamos a</w:t>
      </w:r>
      <w:r>
        <w:t xml:space="preserve"> </w:t>
      </w:r>
      <w:r>
        <w:t xml:space="preserve">I</w:t>
      </w:r>
      <w:r>
        <w:t xml:space="preserve"> </w:t>
      </w:r>
      <w:r>
        <w:t xml:space="preserve">y E, ahora como socios: para que sus redes se conecten tienen que adoptar el mismo estándar técnico, pero cada uno prefiere el suyo.</w:t>
      </w:r>
    </w:p>
    <w:p>
      <w:pPr>
        <w:numPr>
          <w:ilvl w:val="3"/>
          <w:numId w:val="1046"/>
        </w:numPr>
      </w:pPr>
      <w:r>
        <w:t xml:space="preserve">Si cada uno se queda con el suyo, las redes no se conectan y pierden los 2.</w:t>
      </w:r>
    </w:p>
    <w:p>
      <w:pPr>
        <w:numPr>
          <w:ilvl w:val="3"/>
          <w:numId w:val="1046"/>
        </w:numPr>
      </w:pPr>
      <w:r>
        <w:t xml:space="preserve">Hay 2 EN, uno con el estándar de</w:t>
      </w:r>
      <w:r>
        <w:t xml:space="preserve"> </w:t>
      </w:r>
      <w:r>
        <w:t xml:space="preserve">I</w:t>
      </w:r>
      <w:r>
        <w:t xml:space="preserve"> </w:t>
      </w:r>
      <w:r>
        <w:t xml:space="preserve">y otro con el de E: una vez elegido uno, a ninguno le conviene cambiar. Ninguno de los 2 es mejor para ambos, y la teoría no dice cuál saldrá.</w:t>
      </w:r>
    </w:p>
    <w:p>
      <w:pPr>
        <w:numPr>
          <w:ilvl w:val="3"/>
          <w:numId w:val="1046"/>
        </w:numPr>
      </w:pPr>
      <w:r>
        <w:t xml:space="preserve">Es el esquema de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keepNext/>
        <w:numPr>
          <w:ilvl w:val="2"/>
          <w:numId w:val="1045"/>
        </w:numPr>
      </w:pPr>
      <w:r>
        <w:t xml:space="preserve">Si, en cambio, cada uno amenaza al otro con una guerra de precios que arruinaría a ambos, los 2 quieren que ceda el otro:</w:t>
      </w:r>
    </w:p>
    <w:p>
      <w:pPr>
        <w:numPr>
          <w:ilvl w:val="3"/>
          <w:numId w:val="1047"/>
        </w:numPr>
      </w:pPr>
      <w:r>
        <w:t xml:space="preserve">si</w:t>
      </w:r>
      <w:r>
        <w:t xml:space="preserve"> </w:t>
      </w:r>
      <w:r>
        <w:t xml:space="preserve">I</w:t>
      </w:r>
      <w:r>
        <w:t xml:space="preserve"> </w:t>
      </w:r>
      <w:r>
        <w:t xml:space="preserve">se mantiene firme, a E le conviene ceder, y al revés; si los 2 se mantienen firmes, llega la guerra y pierden los 2;</w:t>
      </w:r>
    </w:p>
    <w:p>
      <w:pPr>
        <w:numPr>
          <w:ilvl w:val="3"/>
          <w:numId w:val="1047"/>
        </w:numPr>
      </w:pPr>
      <w:r>
        <w:t xml:space="preserve">hay 2 EN, uno en el que cede</w:t>
      </w:r>
      <w:r>
        <w:t xml:space="preserve"> </w:t>
      </w:r>
      <w:r>
        <w:t xml:space="preserve">I</w:t>
      </w:r>
      <w:r>
        <w:t xml:space="preserve"> </w:t>
      </w:r>
      <w:r>
        <w:t xml:space="preserve">y otro en el que cede E, y gana quien logra mostrarse más decidido;</w:t>
      </w:r>
    </w:p>
    <w:p>
      <w:pPr>
        <w:numPr>
          <w:ilvl w:val="3"/>
          <w:numId w:val="1047"/>
        </w:numPr>
      </w:pPr>
      <w:r>
        <w:t xml:space="preserve">es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44"/>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44"/>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5" w:name="sec_juegos_dinamicos"/>
    <w:p>
      <w:pPr>
        <w:pStyle w:val="Heading2"/>
      </w:pPr>
      <w:r>
        <w:t xml:space="preserve">I.3.</w:t>
      </w:r>
      <w:r>
        <w:t xml:space="preserve"> </w:t>
      </w:r>
      <w:r>
        <w:t xml:space="preserve">Juegos dinámicos: juegos secuenciales y juegos repetidos</w:t>
      </w:r>
    </w:p>
    <w:p>
      <w:pPr>
        <w:keepNext/>
        <w:numPr>
          <w:ilvl w:val="0"/>
          <w:numId w:val="1048"/>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w:t>
      </w:r>
    </w:p>
    <w:p>
      <w:pPr>
        <w:numPr>
          <w:ilvl w:val="1"/>
          <w:numId w:val="1049"/>
        </w:numPr>
      </w:pPr>
      <w:r>
        <w:t xml:space="preserve">los</w:t>
      </w:r>
      <w:r>
        <w:t xml:space="preserve"> </w:t>
      </w:r>
      <w:r>
        <w:rPr>
          <w:i/>
          <w:iCs/>
        </w:rPr>
        <w:t xml:space="preserve">secuenciales</w:t>
      </w:r>
      <w:r>
        <w:t xml:space="preserve">, en los que se mueve por turnos (E decide si entra e I responde). En ellos aparece un problema nuevo, la</w:t>
      </w:r>
      <w:r>
        <w:t xml:space="preserve"> </w:t>
      </w:r>
      <w:r>
        <w:rPr>
          <w:b/>
          <w:bCs/>
        </w:rPr>
        <w:t xml:space="preserve">credibilidad</w:t>
      </w:r>
      <w:r>
        <w:t xml:space="preserve">: un EN puede apoyarse en una amenaza que el jugador no cumpliría si llegara el momento;</w:t>
      </w:r>
    </w:p>
    <w:p>
      <w:pPr>
        <w:numPr>
          <w:ilvl w:val="1"/>
          <w:numId w:val="1049"/>
        </w:numPr>
      </w:pPr>
      <w:r>
        <w:t xml:space="preserve">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ellos aparece una oportunidad nueva: la amenaza de castigar mañana puede sostener la cooperación hoy.</w:t>
      </w:r>
    </w:p>
    <w:p>
      <w:pPr>
        <w:numPr>
          <w:ilvl w:val="0"/>
          <w:numId w:val="1048"/>
        </w:numPr>
      </w:pP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keepNext/>
        <w:numPr>
          <w:ilvl w:val="0"/>
          <w:numId w:val="1050"/>
        </w:numPr>
      </w:pPr>
      <w:r>
        <w:t xml:space="preserve">En los juegos por turnos aparece un problema nuevo: un EN puede apoyarse en una amenaza que nadie cumpliría llegado el momento.</w:t>
      </w:r>
    </w:p>
    <w:p>
      <w:pPr>
        <w:keepNext/>
        <w:numPr>
          <w:ilvl w:val="1"/>
          <w:numId w:val="1051"/>
        </w:numPr>
      </w:pPr>
      <w:r>
        <w:t xml:space="preserve">Siguiendo con nuestros 2 operadores, supongamos ahora que E todavía no está en el mercado (gráfico </w:t>
      </w:r>
      <w:hyperlink w:anchor="fig_juego_entrada">
        <w:r>
          <w:rPr>
            <w:rStyle w:val="Hyperlink"/>
          </w:rPr>
          <w:t xml:space="preserve">1</w:t>
        </w:r>
      </w:hyperlink>
      <w:r>
        <w:t xml:space="preserve">; pagos de E y de</w:t>
      </w:r>
      <w:r>
        <w:t xml:space="preserve"> </w:t>
      </w:r>
      <w:r>
        <w:t xml:space="preserve">I</w:t>
      </w:r>
      <w:r>
        <w:t xml:space="preserve">, por este orden). El juego tiene 2 turnos:</w:t>
      </w:r>
    </w:p>
    <w:p>
      <w:pPr>
        <w:numPr>
          <w:ilvl w:val="2"/>
          <w:numId w:val="1052"/>
        </w:numPr>
      </w:pPr>
      <w:r>
        <w:t xml:space="preserve">primero, E decide si entra en el mercado de</w:t>
      </w:r>
      <w:r>
        <w:t xml:space="preserve"> </w:t>
      </w:r>
      <w:r>
        <w:t xml:space="preserve">I</w:t>
      </w:r>
      <w:r>
        <w:t xml:space="preserve">; si no entra, gana 0 e</w:t>
      </w:r>
      <w:r>
        <w:t xml:space="preserve"> </w:t>
      </w:r>
      <w:r>
        <w:t xml:space="preserve">I</w:t>
      </w:r>
      <w:r>
        <w:t xml:space="preserve">, que sigue solo, 4;</w:t>
      </w:r>
    </w:p>
    <w:p>
      <w:pPr>
        <w:numPr>
          <w:ilvl w:val="2"/>
          <w:numId w:val="1052"/>
        </w:numPr>
      </w:pPr>
      <w:r>
        <w:t xml:space="preserve">si E entra,</w:t>
      </w:r>
      <w:r>
        <w:t xml:space="preserve"> </w:t>
      </w:r>
      <w:r>
        <w:t xml:space="preserve">I</w:t>
      </w:r>
      <w:r>
        <w:t xml:space="preserve"> </w:t>
      </w:r>
      <w:r>
        <w:t xml:space="preserve">decide si acomoda (comparte el mercado y ganan 1 cada uno) o lucha con una guerra de precios (pierden los 2:</w:t>
      </w:r>
      <w:r>
        <w:t xml:space="preserve"> </w:t>
      </w:r>
      <m:oMath>
        <m:r>
          <m:rPr>
            <m:sty m:val="p"/>
          </m:rPr>
          <m:t>−</m:t>
        </m:r>
        <m:r>
          <m:t>1</m:t>
        </m:r>
      </m:oMath>
      <w:r>
        <w:t xml:space="preserve"> </w:t>
      </w:r>
      <w:r>
        <w:t xml:space="preserve">cada uno).</w:t>
      </w:r>
    </w:p>
    <w:p>
      <w:pPr>
        <w:keepNext/>
        <w:numPr>
          <w:ilvl w:val="1"/>
          <w:numId w:val="1051"/>
        </w:numPr>
      </w:pPr>
      <w:r>
        <w:t xml:space="preserve">I</w:t>
      </w:r>
      <w:r>
        <w:t xml:space="preserve"> </w:t>
      </w:r>
      <w:r>
        <w:t xml:space="preserve">amenaza: «si entras, lucharé». En forma normal hay 2 EN:</w:t>
      </w:r>
    </w:p>
    <w:p>
      <w:pPr>
        <w:numPr>
          <w:ilvl w:val="2"/>
          <w:numId w:val="1053"/>
        </w:numPr>
      </w:pPr>
      <w:r>
        <w:t xml:space="preserve">(Entrar, Acomodar): E entra e</w:t>
      </w:r>
      <w:r>
        <w:t xml:space="preserve"> </w:t>
      </w:r>
      <w:r>
        <w:t xml:space="preserve">I</w:t>
      </w:r>
      <w:r>
        <w:t xml:space="preserve"> </w:t>
      </w:r>
      <w:r>
        <w:t xml:space="preserve">acomoda, y</w:t>
      </w:r>
    </w:p>
    <w:p>
      <w:pPr>
        <w:numPr>
          <w:ilvl w:val="2"/>
          <w:numId w:val="1053"/>
        </w:numPr>
      </w:pPr>
      <w:r>
        <w:t xml:space="preserve">(No entrar, Luchar si entra): E se cree la amenaza y no entra; como no entra, a</w:t>
      </w:r>
      <w:r>
        <w:t xml:space="preserve"> </w:t>
      </w:r>
      <w:r>
        <w:t xml:space="preserve">I</w:t>
      </w:r>
      <w:r>
        <w:t xml:space="preserve"> </w:t>
      </w:r>
      <w:r>
        <w:t xml:space="preserve">no le cuesta nada amenazar.</w:t>
      </w:r>
    </w:p>
    <w:p>
      <w:pPr>
        <w:numPr>
          <w:ilvl w:val="1"/>
          <w:numId w:val="1051"/>
        </w:numPr>
      </w:pPr>
      <w:r>
        <w:t xml:space="preserve">El segundo descansa en una amenaza</w:t>
      </w:r>
      <w:r>
        <w:t xml:space="preserve"> </w:t>
      </w:r>
      <w:r>
        <w:rPr>
          <w:i/>
          <w:iCs/>
        </w:rPr>
        <w:t xml:space="preserve">no creíble</w:t>
      </w:r>
      <w:r>
        <w:t xml:space="preserve">: si E entrara de verdad, a</w:t>
      </w:r>
      <w:r>
        <w:t xml:space="preserve"> </w:t>
      </w:r>
      <w:r>
        <w:t xml:space="preserve">I</w:t>
      </w:r>
      <w:r>
        <w:t xml:space="preserve"> </w:t>
      </w:r>
      <w:r>
        <w:t xml:space="preserve">le convendría acomodar (</w:t>
      </w:r>
      <m:oMath>
        <m:r>
          <m:t>1</m:t>
        </m:r>
        <m:r>
          <m:rPr>
            <m:sty m:val="p"/>
          </m:rPr>
          <m:t>&gt;</m:t>
        </m:r>
        <m:r>
          <m:rPr>
            <m:sty m:val="p"/>
          </m:rPr>
          <m:t>−</m:t>
        </m:r>
        <m:r>
          <m:t>1</m:t>
        </m:r>
      </m:oMath>
      <w:r>
        <w:t xml:space="preserve">), no luchar. «Perro ladrador, poco mordedor»: E sabe que</w:t>
      </w:r>
      <w:r>
        <w:t xml:space="preserve"> </w:t>
      </w:r>
      <w:r>
        <w:t xml:space="preserve">I</w:t>
      </w:r>
      <w:r>
        <w:t xml:space="preserve"> </w:t>
      </w:r>
      <w:r>
        <w:t xml:space="preserve">ladra, pero no muerde.</w:t>
      </w:r>
    </w:p>
    <w:p>
      <w:pPr>
        <w:numPr>
          <w:ilvl w:val="0"/>
          <w:numId w:val="1050"/>
        </w:numPr>
      </w:pPr>
      <w:r>
        <w:t xml:space="preserve">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54"/>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keepNext/>
        <w:numPr>
          <w:ilvl w:val="0"/>
          <w:numId w:val="1055"/>
        </w:numPr>
      </w:pPr>
      <w:r>
        <w:rPr>
          <w:i/>
          <w:iCs/>
        </w:rPr>
        <w:t xml:space="preserve">Inducción hacia atrás</w:t>
      </w:r>
      <w:r>
        <w:t xml:space="preserve">: es un</w:t>
      </w:r>
      <w:r>
        <w:t xml:space="preserve"> </w:t>
      </w:r>
      <w:r>
        <w:rPr>
          <w:i/>
          <w:iCs/>
        </w:rPr>
        <w:t xml:space="preserve">procedimiento</w:t>
      </w:r>
      <w:r>
        <w:t xml:space="preserve">, no un tipo de equilibrio, en 3 pasos:</w:t>
      </w:r>
    </w:p>
    <w:p>
      <w:pPr>
        <w:numPr>
          <w:ilvl w:val="1"/>
          <w:numId w:val="1056"/>
        </w:numPr>
      </w:pPr>
      <w:r>
        <w:t xml:space="preserve">se resuelve primero la última decisión;</w:t>
      </w:r>
    </w:p>
    <w:p>
      <w:pPr>
        <w:numPr>
          <w:ilvl w:val="1"/>
          <w:numId w:val="1056"/>
        </w:numPr>
      </w:pPr>
      <w:r>
        <w:t xml:space="preserve">se sustituye el subárbol por su resultado, y</w:t>
      </w:r>
    </w:p>
    <w:p>
      <w:pPr>
        <w:numPr>
          <w:ilvl w:val="1"/>
          <w:numId w:val="1056"/>
        </w:numPr>
      </w:pPr>
      <w:r>
        <w:t xml:space="preserve">se repite hacia la raíz.</w:t>
      </w:r>
    </w:p>
    <w:p>
      <w:pPr>
        <w:keepNext/>
        <w:numPr>
          <w:ilvl w:val="0"/>
          <w:numId w:val="1055"/>
        </w:numPr>
      </w:pPr>
      <w:r>
        <w:t xml:space="preserve">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p>
    <w:p>
      <w:pPr>
        <w:keepNext/>
        <w:numPr>
          <w:ilvl w:val="1"/>
          <w:numId w:val="1057"/>
        </w:numPr>
      </w:pPr>
      <w:r>
        <w:t xml:space="preserve">Volvamos al juego de entrada de</w:t>
      </w:r>
      <w:r>
        <w:t xml:space="preserve"> </w:t>
      </w:r>
      <w:r>
        <w:t xml:space="preserve">I</w:t>
      </w:r>
      <w:r>
        <w:t xml:space="preserve"> </w:t>
      </w:r>
      <w:r>
        <w:t xml:space="preserve">y E y resolvámoslo desde el final:</w:t>
      </w:r>
    </w:p>
    <w:p>
      <w:pPr>
        <w:numPr>
          <w:ilvl w:val="2"/>
          <w:numId w:val="1058"/>
        </w:numPr>
      </w:pPr>
      <w:r>
        <w:t xml:space="preserve">último turno: si E ha entrado,</w:t>
      </w:r>
      <w:r>
        <w:t xml:space="preserve"> </w:t>
      </w:r>
      <w:r>
        <w:t xml:space="preserve">I</w:t>
      </w:r>
      <w:r>
        <w:t xml:space="preserve"> </w:t>
      </w:r>
      <w:r>
        <w:t xml:space="preserve">compara luchar (</w:t>
      </w:r>
      <m:oMath>
        <m:r>
          <m:rPr>
            <m:sty m:val="p"/>
          </m:rPr>
          <m:t>−</m:t>
        </m:r>
        <m:r>
          <m:t>1</m:t>
        </m:r>
      </m:oMath>
      <w:r>
        <w:t xml:space="preserve">) con acomodar (1) y acomoda; se tacha «Luchar»;</w:t>
      </w:r>
    </w:p>
    <w:p>
      <w:pPr>
        <w:numPr>
          <w:ilvl w:val="2"/>
          <w:numId w:val="1058"/>
        </w:numPr>
      </w:pPr>
      <w:r>
        <w:t xml:space="preserve">turno anterior: E anticipa que</w:t>
      </w:r>
      <w:r>
        <w:t xml:space="preserve"> </w:t>
      </w:r>
      <w:r>
        <w:t xml:space="preserve">I</w:t>
      </w:r>
      <w:r>
        <w:t xml:space="preserve"> </w:t>
      </w:r>
      <w:r>
        <w:t xml:space="preserve">acomodará, así que entrar le da 1 y quedarse fuera, 0: entra.</w:t>
      </w:r>
    </w:p>
    <w:p>
      <w:pPr>
        <w:numPr>
          <w:ilvl w:val="1"/>
          <w:numId w:val="1057"/>
        </w:numPr>
      </w:pPr>
      <w:r>
        <w:t xml:space="preserve">El resultado es (Entrar, Acomodar): la amenaza de</w:t>
      </w:r>
      <w:r>
        <w:t xml:space="preserve"> </w:t>
      </w:r>
      <w:r>
        <w:t xml:space="preserve">I</w:t>
      </w:r>
      <w:r>
        <w:t xml:space="preserve"> </w:t>
      </w:r>
      <w:r>
        <w:t xml:space="preserve">no cuenta, porque E sabe que no la cumpliría.</w:t>
      </w:r>
    </w:p>
    <w:p>
      <w:pPr>
        <w:keepNext/>
        <w:numPr>
          <w:ilvl w:val="0"/>
          <w:numId w:val="1055"/>
        </w:numPr>
      </w:pPr>
      <w:r>
        <w:rPr>
          <w:i/>
          <w:iCs/>
        </w:rPr>
        <w:t xml:space="preserve">Subjuego</w:t>
      </w:r>
      <w:r>
        <w:t xml:space="preserve">: la parte del árbol que empieza en un nodo cuyo conjunto de información tiene ese solo nodo y que incluye todos sus sucesores sin cortar ningún conjunto de información.</w:t>
      </w:r>
    </w:p>
    <w:p>
      <w:pPr>
        <w:numPr>
          <w:ilvl w:val="1"/>
          <w:numId w:val="1059"/>
        </w:numPr>
      </w:pPr>
      <w:r>
        <w:t xml:space="preserve">En el juego de entrada de</w:t>
      </w:r>
      <w:r>
        <w:t xml:space="preserve"> </w:t>
      </w:r>
      <w:r>
        <w:t xml:space="preserve">I</w:t>
      </w:r>
      <w:r>
        <w:t xml:space="preserve"> </w:t>
      </w:r>
      <w:r>
        <w:t xml:space="preserve">y E, lo que empieza cuando E ya ha entrado e</w:t>
      </w:r>
      <w:r>
        <w:t xml:space="preserve"> </w:t>
      </w:r>
      <w:r>
        <w:t xml:space="preserve">I</w:t>
      </w:r>
      <w:r>
        <w:t xml:space="preserve"> </w:t>
      </w:r>
      <w:r>
        <w:t xml:space="preserve">tiene que decidir es un subjuego:</w:t>
      </w:r>
      <w:r>
        <w:t xml:space="preserve"> </w:t>
      </w:r>
      <w:r>
        <w:t xml:space="preserve">I</w:t>
      </w:r>
      <w:r>
        <w:t xml:space="preserve"> </w:t>
      </w:r>
      <w:r>
        <w:t xml:space="preserve">sabe en qué nodo está (ha visto entrar a E) y todo lo que sigue cuelga de él. El juego completo es el otro subjuego.</w:t>
      </w:r>
    </w:p>
    <w:p>
      <w:pPr>
        <w:keepNext/>
        <w:numPr>
          <w:ilvl w:val="0"/>
          <w:numId w:val="1055"/>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60"/>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60"/>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61"/>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keepNext/>
        <w:numPr>
          <w:ilvl w:val="1"/>
          <w:numId w:val="1062"/>
        </w:numPr>
      </w:pPr>
      <w:r>
        <w:t xml:space="preserve">Volvamos a la entrada de E con una novedad (gráfico </w:t>
      </w:r>
      <w:hyperlink w:anchor="fig_juego_entrada_compromiso">
        <w:r>
          <w:rPr>
            <w:rStyle w:val="Hyperlink"/>
          </w:rPr>
          <w:t xml:space="preserve">2</w:t>
        </w:r>
      </w:hyperlink>
      <w:r>
        <w:t xml:space="preserve">): antes de que E decida,</w:t>
      </w:r>
      <w:r>
        <w:t xml:space="preserve"> </w:t>
      </w:r>
      <w:r>
        <w:t xml:space="preserve">I</w:t>
      </w:r>
      <w:r>
        <w:t xml:space="preserve"> </w:t>
      </w:r>
      <w:r>
        <w:t xml:space="preserve">puede comprar una gran capacidad, con un coste hundido de 2,5 que ya no recuperará.</w:t>
      </w:r>
    </w:p>
    <w:p>
      <w:pPr>
        <w:numPr>
          <w:ilvl w:val="2"/>
          <w:numId w:val="1063"/>
        </w:numPr>
      </w:pPr>
      <w:r>
        <w:t xml:space="preserve">Si</w:t>
      </w:r>
      <w:r>
        <w:t xml:space="preserve"> </w:t>
      </w:r>
      <w:r>
        <w:t xml:space="preserve">I</w:t>
      </w:r>
      <w:r>
        <w:t xml:space="preserve"> </w:t>
      </w:r>
      <w:r>
        <w:t xml:space="preserve">ha invertido y E entra, su cálculo cambia: acomodando, deja la capacidad ociosa y gana</w:t>
      </w:r>
      <w:r>
        <w:t xml:space="preserve"> </w:t>
      </w:r>
      <m:oMath>
        <m:r>
          <m:t>1</m:t>
        </m:r>
        <m:r>
          <m:rPr>
            <m:sty m:val="p"/>
          </m:rPr>
          <m:t>−</m:t>
        </m:r>
        <m:r>
          <m:t>2</m:t>
        </m:r>
        <m:r>
          <m:rPr>
            <m:sty m:val="p"/>
          </m:rPr>
          <m:t>,</m:t>
        </m:r>
        <m:r>
          <m:t>5</m:t>
        </m:r>
        <m:r>
          <m:rPr>
            <m:sty m:val="p"/>
          </m:rPr>
          <m:t>=</m:t>
        </m:r>
        <m:r>
          <m:rPr>
            <m:sty m:val="p"/>
          </m:rPr>
          <m:t>−</m:t>
        </m:r>
        <m:r>
          <m:t>1</m:t>
        </m:r>
        <m:r>
          <m:rPr>
            <m:sty m:val="p"/>
          </m:rPr>
          <m:t>,</m:t>
        </m:r>
        <m:r>
          <m:t>5</m:t>
        </m:r>
      </m:oMath>
      <w:r>
        <w:t xml:space="preserve">; luchando, la aprovecha para inundar el mercado y gana</w:t>
      </w:r>
      <w:r>
        <w:t xml:space="preserve"> </w:t>
      </w:r>
      <m:oMath>
        <m:r>
          <m:rPr>
            <m:sty m:val="p"/>
          </m:rPr>
          <m:t>−</m:t>
        </m:r>
        <m:r>
          <m:t>1</m:t>
        </m:r>
      </m:oMath>
      <w:r>
        <w:t xml:space="preserve">. Ahora lucharía, de verdad.</w:t>
      </w:r>
    </w:p>
    <w:p>
      <w:pPr>
        <w:numPr>
          <w:ilvl w:val="2"/>
          <w:numId w:val="1063"/>
        </w:numPr>
      </w:pPr>
      <w:r>
        <w:t xml:space="preserve">E, que lo anticipa, no entra, e</w:t>
      </w:r>
      <w:r>
        <w:t xml:space="preserve"> </w:t>
      </w:r>
      <w:r>
        <w:t xml:space="preserve">I</w:t>
      </w:r>
      <w:r>
        <w:t xml:space="preserve"> </w:t>
      </w:r>
      <w:r>
        <w:t xml:space="preserve">gana</w:t>
      </w:r>
      <w:r>
        <w:t xml:space="preserve"> </w:t>
      </w:r>
      <m:oMath>
        <m:r>
          <m:t>4</m:t>
        </m:r>
        <m:r>
          <m:rPr>
            <m:sty m:val="p"/>
          </m:rPr>
          <m:t>−</m:t>
        </m:r>
        <m:r>
          <m:t>2</m:t>
        </m:r>
        <m:r>
          <m:rPr>
            <m:sty m:val="p"/>
          </m:rPr>
          <m:t>,</m:t>
        </m:r>
        <m:r>
          <m:t>5</m:t>
        </m:r>
        <m:r>
          <m:rPr>
            <m:sty m:val="p"/>
          </m:rPr>
          <m:t>=</m:t>
        </m:r>
        <m:r>
          <m:t>1</m:t>
        </m:r>
        <m:r>
          <m:rPr>
            <m:sty m:val="p"/>
          </m:rPr>
          <m:t>,</m:t>
        </m:r>
        <m:r>
          <m:t>5</m:t>
        </m:r>
      </m:oMath>
      <w:r>
        <w:t xml:space="preserve">.</w:t>
      </w:r>
    </w:p>
    <w:p>
      <w:pPr>
        <w:numPr>
          <w:ilvl w:val="2"/>
          <w:numId w:val="1063"/>
        </w:numPr>
      </w:pPr>
      <w:r>
        <w:t xml:space="preserve">Sin invertir,</w:t>
      </w:r>
      <w:r>
        <w:t xml:space="preserve"> </w:t>
      </w:r>
      <w:r>
        <w:t xml:space="preserve">I</w:t>
      </w:r>
      <w:r>
        <w:t xml:space="preserve"> </w:t>
      </w:r>
      <w:r>
        <w:t xml:space="preserve">ganaría 1 (E entra e</w:t>
      </w:r>
      <w:r>
        <w:t xml:space="preserve"> </w:t>
      </w:r>
      <w:r>
        <w:t xml:space="preserve">I</w:t>
      </w:r>
      <w:r>
        <w:t xml:space="preserve"> </w:t>
      </w:r>
      <w:r>
        <w:t xml:space="preserve">acomoda). Como</w:t>
      </w:r>
      <w:r>
        <w:t xml:space="preserve"> </w:t>
      </w:r>
      <m:oMath>
        <m:r>
          <m:t>1</m:t>
        </m:r>
        <m:r>
          <m:rPr>
            <m:sty m:val="p"/>
          </m:rPr>
          <m:t>,</m:t>
        </m:r>
        <m:r>
          <m:t>5</m:t>
        </m:r>
        <m:r>
          <m:rPr>
            <m:sty m:val="p"/>
          </m:rPr>
          <m:t>&gt;</m:t>
        </m:r>
        <m:r>
          <m:t>1</m:t>
        </m:r>
      </m:oMath>
      <w:r>
        <w:t xml:space="preserve">, invertir forma parte del ENPS: la amenaza se ha vuelto creíble porque</w:t>
      </w:r>
      <w:r>
        <w:t xml:space="preserve"> </w:t>
      </w:r>
      <w:r>
        <w:t xml:space="preserve">I</w:t>
      </w:r>
      <w:r>
        <w:t xml:space="preserve"> </w:t>
      </w:r>
      <w:r>
        <w:t xml:space="preserve">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62"/>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61"/>
        </w:numPr>
      </w:pPr>
      <w:r>
        <w:t xml:space="preserve">En economía:</w:t>
      </w:r>
    </w:p>
    <w:p>
      <w:pPr>
        <w:numPr>
          <w:ilvl w:val="1"/>
          <w:numId w:val="1064"/>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64"/>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keepNext/>
        <w:numPr>
          <w:ilvl w:val="0"/>
          <w:numId w:val="1065"/>
        </w:numPr>
      </w:pPr>
      <w:r>
        <w:rPr>
          <w:i/>
          <w:iCs/>
        </w:rPr>
        <w:t xml:space="preserve">Juegos en 2 etapas</w:t>
      </w:r>
      <w:r>
        <w:t xml:space="preserve">, que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w:t>
      </w:r>
    </w:p>
    <w:p>
      <w:pPr>
        <w:numPr>
          <w:ilvl w:val="1"/>
          <w:numId w:val="1066"/>
        </w:numPr>
      </w:pPr>
      <w:r>
        <w:t xml:space="preserve">primero se elige la localización, la capacidad o la calidad;</w:t>
      </w:r>
    </w:p>
    <w:p>
      <w:pPr>
        <w:numPr>
          <w:ilvl w:val="1"/>
          <w:numId w:val="1066"/>
        </w:numPr>
      </w:pPr>
      <w:r>
        <w:t xml:space="preserve">después se compite en precios o cantidades.</w:t>
      </w:r>
    </w:p>
    <w:p>
      <w:pPr>
        <w:numPr>
          <w:ilvl w:val="0"/>
          <w:numId w:val="1065"/>
        </w:numPr>
      </w:pPr>
      <w:r>
        <w:t xml:space="preserve">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65"/>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keepNext/>
        <w:keepLi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keepNext/>
        <w:keepLines/>
        <w:numPr>
          <w:ilvl w:val="0"/>
          <w:numId w:val="1067"/>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keepNext/>
        <w:keepLi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keepNext/>
        <w:keepLi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keepNext/>
        <w:keepLines/>
        <w:numPr>
          <w:ilvl w:val="0"/>
          <w:numId w:val="1067"/>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keepLines/>
        <w:numPr>
          <w:ilvl w:val="0"/>
          <w:numId w:val="1067"/>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68"/>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69"/>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4"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keepNext/>
        <w:numPr>
          <w:ilvl w:val="0"/>
          <w:numId w:val="1070"/>
        </w:numPr>
      </w:pPr>
      <w:r>
        <w:t xml:space="preserve">La repetición abre una oportunidad nueva: quien sabe que volverá a encontrarse con el otro puede ganar más cooperando que aprovechándose de él. Es la pregunta del enganche, «Hoy por ti, mañana por mí».</w:t>
      </w:r>
    </w:p>
    <w:p>
      <w:pPr>
        <w:keepNext/>
        <w:numPr>
          <w:ilvl w:val="1"/>
          <w:numId w:val="1071"/>
        </w:numPr>
      </w:pPr>
      <w:r>
        <w:t xml:space="preserve">Siguiendo con nuestros 2 operadores, una vez que E ha entrado,</w:t>
      </w:r>
      <w:r>
        <w:t xml:space="preserve"> </w:t>
      </w:r>
      <w:r>
        <w:t xml:space="preserve">I</w:t>
      </w:r>
      <w:r>
        <w:t xml:space="preserve"> </w:t>
      </w:r>
      <w:r>
        <w:t xml:space="preserve">y E fijan sus precios cada mes, y cada mes se enfrentan a la guerra de precios de la tabla </w:t>
      </w:r>
      <w:hyperlink w:anchor="tab_dilema_prisionero">
        <w:r>
          <w:rPr>
            <w:rStyle w:val="Hyperlink"/>
          </w:rPr>
          <w:t xml:space="preserve">2</w:t>
        </w:r>
      </w:hyperlink>
      <w:r>
        <w:t xml:space="preserve">:</w:t>
      </w:r>
    </w:p>
    <w:p>
      <w:pPr>
        <w:numPr>
          <w:ilvl w:val="2"/>
          <w:numId w:val="1072"/>
        </w:numPr>
      </w:pPr>
      <w:r>
        <w:t xml:space="preserve">si los 2 mantienen el precio alto, ganan 5 cada mes;</w:t>
      </w:r>
    </w:p>
    <w:p>
      <w:pPr>
        <w:numPr>
          <w:ilvl w:val="2"/>
          <w:numId w:val="1072"/>
        </w:numPr>
      </w:pPr>
      <w:r>
        <w:t xml:space="preserve">el que baje el precio un mes gana 6 ese mes, pero el otro puede responderle los meses siguientes.</w:t>
      </w:r>
    </w:p>
    <w:p>
      <w:pPr>
        <w:numPr>
          <w:ilvl w:val="1"/>
          <w:numId w:val="1071"/>
        </w:numPr>
      </w:pPr>
      <w:r>
        <w:t xml:space="preserve">¿Pueden sostener el precio alto sin firmar nada? La respuesta depende de si el juego tiene un final conocido.</w:t>
      </w:r>
    </w:p>
    <w:bookmarkEnd w:id="70"/>
    <w:bookmarkStart w:id="80" w:name="b_modelo_2"/>
    <w:p>
      <w:pPr>
        <w:pStyle w:val="Heading4"/>
      </w:pPr>
      <w:r>
        <w:t xml:space="preserve">b) Modelo</w:t>
      </w:r>
    </w:p>
    <w:bookmarkStart w:id="71" w:name="i_supuestos_2"/>
    <w:p>
      <w:pPr>
        <w:pStyle w:val="Heading5"/>
      </w:pPr>
      <w:r>
        <w:t xml:space="preserve">i) Supuestos</w:t>
      </w:r>
    </w:p>
    <w:p>
      <w:pPr>
        <w:numPr>
          <w:ilvl w:val="0"/>
          <w:numId w:val="107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8" w:name="ii_desarrollo_2"/>
    <w:p>
      <w:pPr>
        <w:pStyle w:val="Heading5"/>
      </w:pPr>
      <w:r>
        <w:t xml:space="preserve">ii) Desarrollo</w:t>
      </w:r>
    </w:p>
    <w:p>
      <w:pPr>
        <w:numPr>
          <w:ilvl w:val="0"/>
          <w:numId w:val="107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7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p>
    <w:p>
      <w:pPr>
        <w:keepNext/>
        <w:numPr>
          <w:ilvl w:val="1"/>
          <w:numId w:val="1075"/>
        </w:numPr>
      </w:pPr>
      <w:r>
        <w:t xml:space="preserve">Volvamos a</w:t>
      </w:r>
      <w:r>
        <w:t xml:space="preserve"> </w:t>
      </w:r>
      <w:r>
        <w:t xml:space="preserve">I</w:t>
      </w:r>
      <w:r>
        <w:t xml:space="preserve"> </w:t>
      </w:r>
      <w:r>
        <w:t xml:space="preserve">y E: si saben que la licencia de E vence dentro de 24 meses, razonan del final al principio:</w:t>
      </w:r>
    </w:p>
    <w:p>
      <w:pPr>
        <w:numPr>
          <w:ilvl w:val="2"/>
          <w:numId w:val="1076"/>
        </w:numPr>
      </w:pPr>
      <w:r>
        <w:t xml:space="preserve">en el mes 24 no hay mes 25 que proteger: los 2 bajan el precio;</w:t>
      </w:r>
    </w:p>
    <w:p>
      <w:pPr>
        <w:numPr>
          <w:ilvl w:val="2"/>
          <w:numId w:val="1076"/>
        </w:numPr>
      </w:pPr>
      <w:r>
        <w:t xml:space="preserve">en el mes 23, con el 24 ya decidido, tampoco hay nada que proteger: bajan el precio, y</w:t>
      </w:r>
    </w:p>
    <w:p>
      <w:pPr>
        <w:numPr>
          <w:ilvl w:val="2"/>
          <w:numId w:val="1076"/>
        </w:numPr>
      </w:pPr>
      <w:r>
        <w:t xml:space="preserve">así, mes a mes, hasta el primero: la cooperación se deshace desde el final.</w:t>
      </w:r>
    </w:p>
    <w:p>
      <w:pPr>
        <w:numPr>
          <w:ilvl w:val="1"/>
          <w:numId w:val="107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7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77"/>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77"/>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keepLines/>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keepNext/>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keepNext/>
        <w:numPr>
          <w:ilvl w:val="2"/>
          <w:numId w:val="1078"/>
        </w:numPr>
      </w:pPr>
      <w:r>
        <w:t xml:space="preserve">Siguiendo con la guerra de precios de</w:t>
      </w:r>
      <w:r>
        <w:t xml:space="preserve"> </w:t>
      </w:r>
      <w:r>
        <w:t xml:space="preserve">I</w:t>
      </w:r>
      <w:r>
        <w:t xml:space="preserve"> </w:t>
      </w:r>
      <w:r>
        <w:t xml:space="preserve">y E, cada mes:</w:t>
      </w:r>
    </w:p>
    <w:p>
      <w:pPr>
        <w:numPr>
          <w:ilvl w:val="3"/>
          <w:numId w:val="1079"/>
        </w:numPr>
      </w:pPr>
      <w:r>
        <w:t xml:space="preserve">cooperar (los 2 con el precio alto) da</w:t>
      </w:r>
      <w:r>
        <w:t xml:space="preserve"> </w:t>
      </w:r>
      <m:oMath>
        <m:sSup>
          <m:e>
            <m:r>
              <m:t>u</m:t>
            </m:r>
          </m:e>
          <m:sup>
            <m:r>
              <m:rPr>
                <m:sty m:val="p"/>
              </m:rPr>
              <m:t>C</m:t>
            </m:r>
          </m:sup>
        </m:sSup>
        <m:r>
          <m:rPr>
            <m:sty m:val="p"/>
          </m:rPr>
          <m:t>=</m:t>
        </m:r>
        <m:r>
          <m:t>5</m:t>
        </m:r>
      </m:oMath>
      <w:r>
        <w:t xml:space="preserve">;</w:t>
      </w:r>
    </w:p>
    <w:p>
      <w:pPr>
        <w:numPr>
          <w:ilvl w:val="3"/>
          <w:numId w:val="1079"/>
        </w:numPr>
      </w:pPr>
      <w:r>
        <w:t xml:space="preserve">desviarse (bajar el precio cuando el otro lo mantiene) da</w:t>
      </w:r>
      <w:r>
        <w:t xml:space="preserve"> </w:t>
      </w:r>
      <m:oMath>
        <m:sSup>
          <m:e>
            <m:r>
              <m:t>u</m:t>
            </m:r>
          </m:e>
          <m:sup>
            <m:r>
              <m:rPr>
                <m:sty m:val="p"/>
              </m:rPr>
              <m:t>D</m:t>
            </m:r>
          </m:sup>
        </m:sSup>
        <m:r>
          <m:rPr>
            <m:sty m:val="p"/>
          </m:rPr>
          <m:t>=</m:t>
        </m:r>
        <m:r>
          <m:t>6</m:t>
        </m:r>
      </m:oMath>
      <w:r>
        <w:t xml:space="preserve"> </w:t>
      </w:r>
      <w:r>
        <w:t xml:space="preserve">ese mes, y</w:t>
      </w:r>
    </w:p>
    <w:p>
      <w:pPr>
        <w:numPr>
          <w:ilvl w:val="3"/>
          <w:numId w:val="1079"/>
        </w:numPr>
      </w:pPr>
      <w:r>
        <w:t xml:space="preserve">el castigo (los 2 con el precio bajo para siempre) da</w:t>
      </w:r>
      <w:r>
        <w:t xml:space="preserve"> </w:t>
      </w:r>
      <m:oMath>
        <m:sSup>
          <m:e>
            <m:r>
              <m:t>u</m:t>
            </m:r>
          </m:e>
          <m:sup>
            <m:r>
              <m:rPr>
                <m:sty m:val="p"/>
              </m:rPr>
              <m:t>N</m:t>
            </m:r>
          </m:sup>
        </m:sSup>
        <m:r>
          <m:rPr>
            <m:sty m:val="p"/>
          </m:rPr>
          <m:t>=</m:t>
        </m:r>
        <m:r>
          <m:t>1</m:t>
        </m:r>
      </m:oMath>
      <w:r>
        <w:t xml:space="preserve">.</w:t>
      </w:r>
    </w:p>
    <w:p>
      <w:pPr>
        <w:numPr>
          <w:ilvl w:val="2"/>
          <w:numId w:val="1078"/>
        </w:numPr>
      </w:pPr>
      <w:r>
        <w:t xml:space="preserve">Desviarse gana 1 hoy (</w:t>
      </w:r>
      <m:oMath>
        <m:r>
          <m:t>6</m:t>
        </m:r>
        <m:r>
          <m:rPr>
            <m:sty m:val="p"/>
          </m:rPr>
          <m:t>−</m:t>
        </m:r>
        <m:r>
          <m:t>5</m:t>
        </m:r>
      </m:oMath>
      <w:r>
        <w:t xml:space="preserve">) y pierde 4 cada mes después (</w:t>
      </w:r>
      <m:oMath>
        <m:r>
          <m:t>5</m:t>
        </m:r>
        <m:r>
          <m:rPr>
            <m:sty m:val="p"/>
          </m:rPr>
          <m:t>−</m:t>
        </m:r>
        <m:r>
          <m:t>1</m:t>
        </m:r>
      </m:oMath>
      <w:r>
        <w:t xml:space="preserve">). Compensa cooperar si</w:t>
      </w:r>
      <w:r>
        <w:t xml:space="preserve"> </w:t>
      </w:r>
      <m:oMath>
        <m:r>
          <m:t>4</m:t>
        </m:r>
        <m:r>
          <m:t>β</m:t>
        </m:r>
        <m:r>
          <m:rPr>
            <m:sty m:val="p"/>
          </m:rPr>
          <m:t>/</m:t>
        </m:r>
        <m:d>
          <m:dPr>
            <m:begChr m:val="("/>
            <m:sepChr m:val=""/>
            <m:endChr m:val=")"/>
            <m:grow/>
          </m:dPr>
          <m:e>
            <m:r>
              <m:t>1</m:t>
            </m:r>
            <m:r>
              <m:rPr>
                <m:sty m:val="p"/>
              </m:rPr>
              <m:t>−</m:t>
            </m:r>
            <m:r>
              <m:t>β</m:t>
            </m:r>
          </m:e>
        </m:d>
        <m:r>
          <m:rPr>
            <m:sty m:val="p"/>
          </m:rPr>
          <m:t>≥</m:t>
        </m:r>
        <m:r>
          <m:t>1</m:t>
        </m:r>
      </m:oMath>
      <w:r>
        <w:t xml:space="preserve">, es decir,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si a cada operador el mes que viene le importa al menos una quinta parte de lo que le importa el de hoy.</w:t>
      </w:r>
    </w:p>
    <w:p>
      <w:pPr>
        <w:numPr>
          <w:ilvl w:val="2"/>
          <w:numId w:val="1078"/>
        </w:numPr>
      </w:pPr>
      <w:r>
        <w:t xml:space="preserve">Como</w:t>
      </w:r>
      <w:r>
        <w:t xml:space="preserve"> </w:t>
      </w:r>
      <w:r>
        <w:t xml:space="preserve">I</w:t>
      </w:r>
      <w:r>
        <w:t xml:space="preserve"> </w:t>
      </w:r>
      <w:r>
        <w:t xml:space="preserve">y E se encuentran cada mes,</w:t>
      </w:r>
      <w:r>
        <w:t xml:space="preserve"> </w:t>
      </w:r>
      <m:oMath>
        <m:r>
          <m:t>β</m:t>
        </m:r>
      </m:oMath>
      <w:r>
        <w:t xml:space="preserve"> </w:t>
      </w:r>
      <w:r>
        <w:t xml:space="preserve">está muy cerca de 1, y cooperar sin contrato es un ENPS.</w:t>
      </w:r>
      <w:r>
        <w:rPr>
          <w:rStyle w:val="FootnoteReference"/>
        </w:rPr>
        <w:footnoteReference w:id="73"/>
      </w:r>
    </w:p>
    <w:bookmarkStart w:id="77"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cantSplit/>
          <w:tblHeader w:val="on"/>
        </w:trPr>
        <w:tc>
          <w:tcPr>
            <w:shd w:val="clear" w:color="auto" w:fill="DDEBF7"/>
            <w:vAlign w:val="center"/>
          </w:tcPr>
          <w:p>
            <w:pPr>
              <w:pStyle w:val="Celdatceeazulpalido"/>
              <w:jc w:val="left"/>
            </w:pPr>
            <w:r>
              <w:rPr>
                <w:b/>
                <w:bCs/>
              </w:rPr>
              <w:t xml:space="preserve">Estrategia</w:t>
            </w:r>
          </w:p>
        </w:tc>
        <w:tc>
          <w:tcPr>
            <w:shd w:val="clear" w:color="auto" w:fill="DDEBF7"/>
            <w:vAlign w:val="center"/>
          </w:tcPr>
          <w:p>
            <w:pPr>
              <w:pStyle w:val="Celdatceeazulpalido"/>
              <w:jc w:val="left"/>
            </w:pPr>
            <w:r>
              <w:rPr>
                <w:b/>
                <w:bCs/>
              </w:rPr>
              <w:t xml:space="preserve">Regla</w:t>
            </w:r>
          </w:p>
        </w:tc>
        <w:tc>
          <w:tcPr>
            <w:shd w:val="clear" w:color="auto" w:fill="DDEBF7"/>
            <w:vAlign w:val="center"/>
          </w:tcPr>
          <w:p>
            <w:pPr>
              <w:pStyle w:val="Celdatceeazulpalido"/>
              <w:jc w:val="center"/>
            </w:pPr>
            <w:r>
              <w:rPr>
                <w:b/>
                <w:bCs/>
              </w:rPr>
              <w:t xml:space="preserve">¿ENPS?</w:t>
            </w:r>
          </w:p>
        </w:tc>
      </w:tr>
      <w:tr>
        <w:trPr>
          <w:cantSplit/>
        </w:trP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rPr>
          <w:cantSplit/>
        </w:trP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rPr>
          <w:cantSplit/>
        </w:trP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rPr>
          <w:cantSplit/>
        </w:trP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rPr>
          <w:cantSplit/>
        </w:trP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7"/>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keepNext/>
        <w:numPr>
          <w:ilvl w:val="0"/>
          <w:numId w:val="1080"/>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w:t>
      </w:r>
    </w:p>
    <w:p>
      <w:pPr>
        <w:numPr>
          <w:ilvl w:val="1"/>
          <w:numId w:val="1081"/>
        </w:numPr>
      </w:pPr>
      <w:r>
        <w:t xml:space="preserve">«donde las dan, las toman» (</w:t>
      </w:r>
      <w:r>
        <w:rPr>
          <w:i/>
          <w:iCs/>
        </w:rPr>
        <w:t xml:space="preserve">tit for tat</w:t>
      </w:r>
      <w:r>
        <w:t xml:space="preserve">), que repite lo que el otro hizo en la etapa anterior;</w:t>
      </w:r>
    </w:p>
    <w:p>
      <w:pPr>
        <w:numPr>
          <w:ilvl w:val="1"/>
          <w:numId w:val="1081"/>
        </w:numPr>
      </w:pPr>
      <w:r>
        <w:t xml:space="preserve">la que solo castiga tras 2 desviaciones seguidas (</w:t>
      </w:r>
      <w:r>
        <w:rPr>
          <w:i/>
          <w:iCs/>
        </w:rPr>
        <w:t xml:space="preserve">tit for two tats</w:t>
      </w:r>
      <w:r>
        <w:t xml:space="preserve">), que perdona una desviación aislada, y</w:t>
      </w:r>
    </w:p>
    <w:p>
      <w:pPr>
        <w:numPr>
          <w:ilvl w:val="1"/>
          <w:numId w:val="1081"/>
        </w:numPr>
      </w:pPr>
      <w:r>
        <w:t xml:space="preserve">«si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keepNext/>
        <w:numPr>
          <w:ilvl w:val="0"/>
          <w:numId w:val="1080"/>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p>
    <w:p>
      <w:pPr>
        <w:numPr>
          <w:ilvl w:val="1"/>
          <w:numId w:val="1082"/>
        </w:numPr>
      </w:pPr>
      <w:r>
        <w:t xml:space="preserve">Para nuestros 2 operadores, quiere decir que el precio alto no es el único reparto sostenible. Con</w:t>
      </w:r>
      <w:r>
        <w:t xml:space="preserve"> </w:t>
      </w:r>
      <m:oMath>
        <m:r>
          <m:t>β</m:t>
        </m:r>
      </m:oMath>
      <w:r>
        <w:t xml:space="preserve"> </w:t>
      </w:r>
      <w:r>
        <w:t xml:space="preserve">cercano a 1,</w:t>
      </w:r>
      <w:r>
        <w:t xml:space="preserve"> </w:t>
      </w:r>
      <w:r>
        <w:t xml:space="preserve">I</w:t>
      </w:r>
      <w:r>
        <w:t xml:space="preserve"> </w:t>
      </w:r>
      <w:r>
        <w:t xml:space="preserve">y E pueden sostener cualquier par de beneficios medios entre 1 (lo que da la guerra de precios) y 5 para cada uno: por ejemplo, 3 cada uno, alternando un mes de precio alto (5) y otro de guerra (1). Y también repartos desiguales, si se turnan para ser el que baja el precio.</w:t>
      </w:r>
    </w:p>
    <w:bookmarkEnd w:id="78"/>
    <w:bookmarkStart w:id="79" w:name="iii_implicaciones_1"/>
    <w:p>
      <w:pPr>
        <w:pStyle w:val="Heading5"/>
      </w:pPr>
      <w:r>
        <w:t xml:space="preserve">iii) Implicaciones</w:t>
      </w:r>
    </w:p>
    <w:p>
      <w:pPr>
        <w:numPr>
          <w:ilvl w:val="0"/>
          <w:numId w:val="1083"/>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83"/>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9"/>
    <w:bookmarkEnd w:id="80"/>
    <w:bookmarkStart w:id="81" w:name="c_extensiones_reputaci__n_con_info_27822"/>
    <w:p>
      <w:pPr>
        <w:pStyle w:val="Heading4"/>
      </w:pPr>
      <w:r>
        <w:t xml:space="preserve">c) Extensiones: reputación con información incompleta</w:t>
      </w:r>
    </w:p>
    <w:p>
      <w:pPr>
        <w:numPr>
          <w:ilvl w:val="0"/>
          <w:numId w:val="1084"/>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81"/>
    <w:bookmarkStart w:id="82" w:name="d_evidencia_emp__rica_2"/>
    <w:p>
      <w:pPr>
        <w:pStyle w:val="Heading4"/>
      </w:pPr>
      <w:r>
        <w:t xml:space="preserve">d) Evidencia empírica</w:t>
      </w:r>
    </w:p>
    <w:p>
      <w:pPr>
        <w:numPr>
          <w:ilvl w:val="0"/>
          <w:numId w:val="1085"/>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82"/>
    <w:bookmarkStart w:id="83" w:name="e_valoraci__n_2"/>
    <w:p>
      <w:pPr>
        <w:pStyle w:val="Heading4"/>
      </w:pPr>
      <w:r>
        <w:t xml:space="preserve">e) Valoración</w:t>
      </w:r>
    </w:p>
    <w:p>
      <w:pPr>
        <w:numPr>
          <w:ilvl w:val="0"/>
          <w:numId w:val="1086"/>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87"/>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83"/>
    <w:bookmarkEnd w:id="84"/>
    <w:bookmarkEnd w:id="85"/>
    <w:bookmarkEnd w:id="86"/>
    <w:bookmarkStart w:id="129"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keepNext/>
        <w:keepLines/>
      </w:pPr>
      <w:r>
        <w:rPr>
          <w:b/>
          <w:bCs/>
        </w:rPr>
        <w:t xml:space="preserve">Nota al opositor. </w:t>
      </w:r>
      <w:r>
        <w:t xml:space="preserve">En el cante (7′30″): se borra el centro y se quedan la tabla de la izquierda y las fórmulas de la derecha.</w:t>
      </w:r>
    </w:p>
    <w:p>
      <w:pPr>
        <w:pStyle w:val="Notaalopositor"/>
        <w:keepNext/>
        <w:keepLines/>
        <w:numPr>
          <w:ilvl w:val="0"/>
          <w:numId w:val="1088"/>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keepNext/>
        <w:keepLines/>
        <w:numPr>
          <w:ilvl w:val="0"/>
          <w:numId w:val="1088"/>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keepNext/>
        <w:keepLines/>
        <w:numPr>
          <w:ilvl w:val="0"/>
          <w:numId w:val="1088"/>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keepLines/>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89"/>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9"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7" w:name="a_idea_3"/>
    <w:p>
      <w:pPr>
        <w:pStyle w:val="Heading4"/>
      </w:pPr>
      <w:r>
        <w:t xml:space="preserve">a) Idea</w:t>
      </w:r>
    </w:p>
    <w:p>
      <w:pPr>
        <w:keepNext/>
        <w:numPr>
          <w:ilvl w:val="0"/>
          <w:numId w:val="1090"/>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keepNext/>
        <w:numPr>
          <w:ilvl w:val="1"/>
          <w:numId w:val="1091"/>
        </w:numPr>
      </w:pPr>
      <w:r>
        <w:t xml:space="preserve">Siguiendo con nuestros 2 operadores: E quiere entrar, pero no sabe si a</w:t>
      </w:r>
      <w:r>
        <w:t xml:space="preserve"> </w:t>
      </w:r>
      <w:r>
        <w:t xml:space="preserve">I</w:t>
      </w:r>
      <w:r>
        <w:t xml:space="preserve"> </w:t>
      </w:r>
      <w:r>
        <w:t xml:space="preserve">le resulta caro o barato ampliar su red. Ese coste es el</w:t>
      </w:r>
      <w:r>
        <w:t xml:space="preserve"> </w:t>
      </w:r>
      <w:r>
        <w:rPr>
          <w:i/>
          <w:iCs/>
        </w:rPr>
        <w:t xml:space="preserve">tipo</w:t>
      </w:r>
      <w:r>
        <w:t xml:space="preserve"> </w:t>
      </w:r>
      <w:r>
        <w:t xml:space="preserve">de</w:t>
      </w:r>
      <w:r>
        <w:t xml:space="preserve"> </w:t>
      </w:r>
      <w:r>
        <w:t xml:space="preserve">I</w:t>
      </w:r>
      <w:r>
        <w:t xml:space="preserve">:</w:t>
      </w:r>
      <w:r>
        <w:t xml:space="preserve"> </w:t>
      </w:r>
      <w:r>
        <w:t xml:space="preserve">I</w:t>
      </w:r>
      <w:r>
        <w:t xml:space="preserve"> </w:t>
      </w:r>
      <w:r>
        <w:t xml:space="preserve">lo conoce y E no. Con el truco de</w:t>
      </w:r>
      <w:r>
        <w:t xml:space="preserve"> </w:t>
      </w:r>
      <w:r>
        <w:rPr>
          <w:smallCaps/>
        </w:rPr>
        <w:t xml:space="preserve">Harsanyi</w:t>
      </w:r>
      <w:r>
        <w:t xml:space="preserve">:</w:t>
      </w:r>
    </w:p>
    <w:p>
      <w:pPr>
        <w:numPr>
          <w:ilvl w:val="2"/>
          <w:numId w:val="1092"/>
        </w:numPr>
      </w:pPr>
      <w:r>
        <w:t xml:space="preserve">la Naturaleza elige primero el tipo de</w:t>
      </w:r>
      <w:r>
        <w:t xml:space="preserve"> </w:t>
      </w:r>
      <w:r>
        <w:t xml:space="preserve">I</w:t>
      </w:r>
      <w:r>
        <w:t xml:space="preserve">: coste alto, con probabilidad</w:t>
      </w:r>
      <w:r>
        <w:t xml:space="preserve"> </w:t>
      </w:r>
      <m:oMath>
        <m:r>
          <m:t>π</m:t>
        </m:r>
      </m:oMath>
      <w:r>
        <w:t xml:space="preserve">, o bajo, con</w:t>
      </w:r>
      <w:r>
        <w:t xml:space="preserve"> </w:t>
      </w:r>
      <m:oMath>
        <m:r>
          <m:t>1</m:t>
        </m:r>
        <m:r>
          <m:rPr>
            <m:sty m:val="p"/>
          </m:rPr>
          <m:t>−</m:t>
        </m:r>
        <m:r>
          <m:t>π</m:t>
        </m:r>
      </m:oMath>
      <w:r>
        <w:t xml:space="preserve">;</w:t>
      </w:r>
    </w:p>
    <w:p>
      <w:pPr>
        <w:numPr>
          <w:ilvl w:val="2"/>
          <w:numId w:val="1092"/>
        </w:numPr>
      </w:pPr>
      <w:r>
        <w:t xml:space="preserve">I</w:t>
      </w:r>
      <w:r>
        <w:t xml:space="preserve"> </w:t>
      </w:r>
      <w:r>
        <w:t xml:space="preserve">ve su tipo, y</w:t>
      </w:r>
    </w:p>
    <w:p>
      <w:pPr>
        <w:numPr>
          <w:ilvl w:val="2"/>
          <w:numId w:val="1092"/>
        </w:numPr>
      </w:pPr>
      <w:r>
        <w:t xml:space="preserve">E solo conoce las probabilidades, y decide sin saber en qué rama del árbol está (la línea discontinua del gráfico </w:t>
      </w:r>
      <w:hyperlink w:anchor="fig_arbol_harsanyi">
        <w:r>
          <w:rPr>
            <w:rStyle w:val="Hyperlink"/>
          </w:rPr>
          <w:t xml:space="preserve">3</w:t>
        </w:r>
      </w:hyperlink>
      <w:r>
        <w:t xml:space="preserve">).</w:t>
      </w:r>
    </w:p>
    <w:bookmarkEnd w:id="87"/>
    <w:bookmarkStart w:id="96" w:name="b_modelo_3"/>
    <w:p>
      <w:pPr>
        <w:pStyle w:val="Heading4"/>
      </w:pPr>
      <w:r>
        <w:t xml:space="preserve">b) Modelo</w:t>
      </w:r>
    </w:p>
    <w:bookmarkStart w:id="88" w:name="i_supuestos_3"/>
    <w:p>
      <w:pPr>
        <w:pStyle w:val="Heading5"/>
      </w:pPr>
      <w:r>
        <w:t xml:space="preserve">i) Supuestos</w:t>
      </w:r>
    </w:p>
    <w:p>
      <w:pPr>
        <w:numPr>
          <w:ilvl w:val="0"/>
          <w:numId w:val="1093"/>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93"/>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8"/>
    <w:bookmarkStart w:id="94" w:name="ii_desarrollo_3"/>
    <w:p>
      <w:pPr>
        <w:pStyle w:val="Heading5"/>
      </w:pPr>
      <w:r>
        <w:t xml:space="preserve">ii) Desarrollo</w:t>
      </w:r>
    </w:p>
    <w:p>
      <w:pPr>
        <w:numPr>
          <w:ilvl w:val="0"/>
          <w:numId w:val="1094"/>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94"/>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keepNext/>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numPr>
          <w:ilvl w:val="1"/>
          <w:numId w:val="1095"/>
        </w:numPr>
      </w:pPr>
      <w:r>
        <w:t xml:space="preserve">Volvamos a la entrada de E sin conocer los costes de</w:t>
      </w:r>
      <w:r>
        <w:t xml:space="preserve"> </w:t>
      </w:r>
      <w:r>
        <w:t xml:space="preserve">I</w:t>
      </w:r>
      <w:r>
        <w:t xml:space="preserve">. Ahora E decide si entra y, a la vez,</w:t>
      </w:r>
      <w:r>
        <w:t xml:space="preserve"> </w:t>
      </w:r>
      <w:r>
        <w:t xml:space="preserve">I</w:t>
      </w:r>
      <w:r>
        <w:t xml:space="preserve"> </w:t>
      </w:r>
      <w:r>
        <w:t xml:space="preserve">decide si amplía su capacidad. Ampliar es caro para</w:t>
      </w:r>
      <w:r>
        <w:t xml:space="preserve"> </w:t>
      </w:r>
      <w:r>
        <w:t xml:space="preserve">I</w:t>
      </w:r>
      <w:r>
        <w:t xml:space="preserve"> </w:t>
      </w:r>
      <w:r>
        <w:t xml:space="preserve">si es de</w:t>
      </w:r>
      <w:r>
        <w:t xml:space="preserve"> </w:t>
      </w:r>
      <w:r>
        <w:rPr>
          <w:i/>
          <w:iCs/>
        </w:rPr>
        <w:t xml:space="preserve">coste alto</w:t>
      </w:r>
      <w:r>
        <w:t xml:space="preserve"> </w:t>
      </w:r>
      <w:r>
        <w:t xml:space="preserve">(probabilidad</w:t>
      </w:r>
      <w:r>
        <w:t xml:space="preserve"> </w:t>
      </w:r>
      <m:oMath>
        <m:r>
          <m:t>π</m:t>
        </m:r>
      </m:oMath>
      <w:r>
        <w:t xml:space="preserve">) y barato si es de</w:t>
      </w:r>
      <w:r>
        <w:t xml:space="preserve"> </w:t>
      </w:r>
      <w:r>
        <w:rPr>
          <w:i/>
          <w:iCs/>
        </w:rPr>
        <w:t xml:space="preserve">coste bajo</w:t>
      </w:r>
      <w:r>
        <w:t xml:space="preserve">; E no sabe cuál tiene enfrente. Los pagos, de E y de</w:t>
      </w:r>
      <w:r>
        <w:t xml:space="preserve"> </w:t>
      </w:r>
      <w:r>
        <w:t xml:space="preserve">I</w:t>
      </w:r>
      <w:r>
        <w:t xml:space="preserve">, son los de la tabla </w:t>
      </w:r>
      <w:hyperlink w:anchor="tab_bayesiano">
        <w:r>
          <w:rPr>
            <w:rStyle w:val="Hyperlink"/>
          </w:rPr>
          <w:t xml:space="preserve">5</w:t>
        </w:r>
      </w:hyperlink>
      <w:r>
        <w:t xml:space="preserve">.</w:t>
      </w:r>
    </w:p>
    <w:p>
      <w:pPr>
        <w:keepNext/>
        <w:numPr>
          <w:ilvl w:val="1"/>
          <w:numId w:val="1095"/>
        </w:numPr>
      </w:pPr>
      <w:r>
        <w:t xml:space="preserve">Primer paso, lo que hace cada tipo de</w:t>
      </w:r>
      <w:r>
        <w:t xml:space="preserve"> </w:t>
      </w:r>
      <w:r>
        <w:t xml:space="preserve">I</w:t>
      </w:r>
      <w:r>
        <w:t xml:space="preserve">. Cada uno tiene una estrategia dominante:</w:t>
      </w:r>
    </w:p>
    <w:p>
      <w:pPr>
        <w:numPr>
          <w:ilvl w:val="2"/>
          <w:numId w:val="1096"/>
        </w:numPr>
      </w:pPr>
      <w:r>
        <w:t xml:space="preserve">el de coste alto no amplía nunca: si E entra, gana 1 en lugar de</w:t>
      </w:r>
      <w:r>
        <w:t xml:space="preserve"> </w:t>
      </w:r>
      <m:oMath>
        <m:r>
          <m:rPr>
            <m:sty m:val="p"/>
          </m:rPr>
          <m:t>−</m:t>
        </m:r>
        <m:r>
          <m:t>1</m:t>
        </m:r>
      </m:oMath>
      <w:r>
        <w:t xml:space="preserve">, y si no entra, 3 en lugar de 2;</w:t>
      </w:r>
    </w:p>
    <w:p>
      <w:pPr>
        <w:numPr>
          <w:ilvl w:val="2"/>
          <w:numId w:val="1096"/>
        </w:numPr>
      </w:pPr>
      <w:r>
        <w:t xml:space="preserve">el de coste bajo amplía siempre: 2 en lugar de 1 si E entra, y 4 en lugar de 3 si no entra.</w:t>
      </w:r>
    </w:p>
    <w:p>
      <w:pPr>
        <w:numPr>
          <w:ilvl w:val="1"/>
          <w:numId w:val="1000"/>
        </w:numPr>
      </w:pPr>
      <w:r>
        <w:t xml:space="preserve">La estrategia de</w:t>
      </w:r>
      <w:r>
        <w:t xml:space="preserve"> </w:t>
      </w:r>
      <w:r>
        <w:t xml:space="preserve">I</w:t>
      </w:r>
      <w:r>
        <w:t xml:space="preserve"> </w:t>
      </w:r>
      <w:r>
        <w:t xml:space="preserve">es, por tanto, una regla: «no ampliar si mi coste es alto, ampliar si es bajo».</w:t>
      </w:r>
    </w:p>
    <w:p>
      <w:pPr>
        <w:keepNext/>
        <w:numPr>
          <w:ilvl w:val="1"/>
          <w:numId w:val="1095"/>
        </w:numPr>
      </w:pPr>
      <w:r>
        <w:t xml:space="preserve">Segundo paso, lo que hace E. No sabe el tipo de</w:t>
      </w:r>
      <w:r>
        <w:t xml:space="preserve"> </w:t>
      </w:r>
      <w:r>
        <w:t xml:space="preserve">I</w:t>
      </w:r>
      <w:r>
        <w:t xml:space="preserve">, pero conoce esa regla:</w:t>
      </w:r>
    </w:p>
    <w:p>
      <w:pPr>
        <w:numPr>
          <w:ilvl w:val="2"/>
          <w:numId w:val="1097"/>
        </w:numPr>
      </w:pPr>
      <w:r>
        <w:t xml:space="preserve">con probabilidad</w:t>
      </w:r>
      <w:r>
        <w:t xml:space="preserve"> </w:t>
      </w:r>
      <m:oMath>
        <m:r>
          <m:t>π</m:t>
        </m:r>
      </m:oMath>
      <w:r>
        <w:t xml:space="preserve">,</w:t>
      </w:r>
      <w:r>
        <w:t xml:space="preserve"> </w:t>
      </w:r>
      <w:r>
        <w:t xml:space="preserve">I</w:t>
      </w:r>
      <w:r>
        <w:t xml:space="preserve"> </w:t>
      </w:r>
      <w:r>
        <w:t xml:space="preserve">es de coste alto, no amplía y entrar le da 1;</w:t>
      </w:r>
    </w:p>
    <w:p>
      <w:pPr>
        <w:numPr>
          <w:ilvl w:val="2"/>
          <w:numId w:val="1097"/>
        </w:numPr>
      </w:pPr>
      <w:r>
        <w:t xml:space="preserve">con probabilidad</w:t>
      </w:r>
      <w:r>
        <w:t xml:space="preserve"> </w:t>
      </w:r>
      <m:oMath>
        <m:r>
          <m:t>1</m:t>
        </m:r>
        <m:r>
          <m:rPr>
            <m:sty m:val="p"/>
          </m:rPr>
          <m:t>−</m:t>
        </m:r>
        <m:r>
          <m:t>π</m:t>
        </m:r>
      </m:oMath>
      <w:r>
        <w:t xml:space="preserve">,</w:t>
      </w:r>
      <w:r>
        <w:t xml:space="preserve"> </w:t>
      </w:r>
      <w:r>
        <w:t xml:space="preserve">I</w:t>
      </w:r>
      <w:r>
        <w:t xml:space="preserve"> </w:t>
      </w:r>
      <w:r>
        <w:t xml:space="preserve">es de coste bajo, amplía y entrar le da</w:t>
      </w:r>
      <w:r>
        <w:t xml:space="preserve"> </w:t>
      </w:r>
      <m:oMath>
        <m:r>
          <m:rPr>
            <m:sty m:val="p"/>
          </m:rPr>
          <m:t>−</m:t>
        </m:r>
        <m:r>
          <m:t>1</m:t>
        </m:r>
      </m:oMath>
      <w:r>
        <w:t xml:space="preserve">;</w:t>
      </w:r>
    </w:p>
    <w:p>
      <w:pPr>
        <w:numPr>
          <w:ilvl w:val="2"/>
          <w:numId w:val="1097"/>
        </w:numPr>
      </w:pPr>
      <w:r>
        <w:t xml:space="preserve">en promedio,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quedarse fuera, 0.</w:t>
      </w:r>
    </w:p>
    <w:p>
      <w:pPr>
        <w:numPr>
          <w:ilvl w:val="1"/>
          <w:numId w:val="1095"/>
        </w:numPr>
      </w:pPr>
      <w:r>
        <w:t xml:space="preserve">Resultado, el 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 entra si cree más probable que a</w:t>
      </w:r>
      <w:r>
        <w:t xml:space="preserve"> </w:t>
      </w:r>
      <w:r>
        <w:t xml:space="preserve">I</w:t>
      </w:r>
      <w:r>
        <w:t xml:space="preserve"> </w:t>
      </w:r>
      <w:r>
        <w:t xml:space="preserve">le salga caro ampliar.</w:t>
      </w:r>
    </w:p>
    <w:bookmarkStart w:id="89" w:name="tab_bayesiano"/>
    <w:p>
      <w:pPr>
        <w:pStyle w:val="TableCaption"/>
      </w:pPr>
      <w:r>
        <w:t xml:space="preserve">Tabla 5.–</w:t>
      </w:r>
      <w:r>
        <w:t xml:space="preserve"> </w:t>
      </w:r>
      <w:r>
        <w:t xml:space="preserve">La entrada de E sin conocer el coste de</w:t>
      </w:r>
      <w:r>
        <w:t xml:space="preserve"> </w:t>
      </w:r>
      <w:r>
        <w:t xml:space="preserve">I</w:t>
      </w:r>
      <w:r>
        <w:t xml:space="preserve">: pagos (E,</w:t>
      </w:r>
      <w:r>
        <w:t xml:space="preserve"> </w:t>
      </w:r>
      <w:r>
        <w:t xml:space="preserve">I</w:t>
      </w:r>
      <w:r>
        <w:t xml:space="preserve">) según el tipo de</w:t>
      </w:r>
      <w:r>
        <w:t xml:space="preserve"> </w:t>
      </w:r>
      <w:r>
        <w:t xml:space="preserve">I</w:t>
      </w:r>
    </w:p>
    <w:tbl>
      <w:tblPr>
        <w:tblStyle w:val="Table"/>
        <w:tblW w:type="auto" w:w="0"/>
        <w:tblLook w:firstRow="0" w:lastRow="0" w:firstColumn="0" w:lastColumn="0" w:noHBand="0" w:noVBand="0" w:val="0000"/>
        <w:tblCaption w:val="Tabla 5.– La entrada de E sin conocer el coste de I: pagos (E, I) según el tipo de I"/>
      </w:tblPr>
      <w:tblGrid>
        <w:gridCol w:w="1320"/>
        <w:gridCol w:w="1320"/>
        <w:gridCol w:w="1320"/>
        <w:gridCol w:w="1320"/>
        <w:gridCol w:w="1320"/>
        <w:gridCol w:w="1320"/>
      </w:tblGrid>
      <w:tr>
        <w:trPr>
          <w:cantSplit/>
        </w:trPr>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alto</w:t>
            </w:r>
            <w:r>
              <w:t xml:space="preserve"> </w:t>
            </w:r>
            <w:r>
              <w:t xml:space="preserve">(</w:t>
            </w:r>
            <m:oMath>
              <m:r>
                <m:t>π</m:t>
              </m:r>
            </m:oMath>
            <w:r>
              <w:t xml:space="preserve">)</w:t>
            </w:r>
          </w:p>
        </w:tc>
        <w:tc>
          <w:tcPr>
            <w:vAlign w:val="center"/>
          </w:tcPr>
          <w:p>
            <w:pPr>
              <w:pStyle w:val="Compact"/>
            </w:pPr>
          </w:p>
        </w:tc>
        <w:tc>
          <w:tcPr>
            <w:gridSpan w:val="2"/>
            <w:vAlign w:val="center"/>
          </w:tcPr>
          <w:p>
            <w:pPr>
              <w:pStyle w:val="Compact"/>
              <w:jc w:val="center"/>
            </w:pPr>
            <w:r>
              <w:rPr>
                <w:b/>
                <w:bCs/>
              </w:rPr>
              <w:t xml:space="preserve">I</w:t>
            </w:r>
            <w:r>
              <w:rPr>
                <w:b/>
                <w:bCs/>
              </w:rPr>
              <w:t xml:space="preserve"> </w:t>
            </w:r>
            <w:r>
              <w:rPr>
                <w:b/>
                <w:bCs/>
              </w:rPr>
              <w:t xml:space="preserve">de coste bajo</w:t>
            </w:r>
            <w:r>
              <w:t xml:space="preserve"> </w:t>
            </w:r>
            <w:r>
              <w:t xml:space="preserve">(</w:t>
            </w:r>
            <m:oMath>
              <m:r>
                <m:t>1</m:t>
              </m:r>
              <m:r>
                <m:rPr>
                  <m:sty m:val="p"/>
                </m:rPr>
                <m:t>−</m:t>
              </m:r>
              <m:r>
                <m:t>π</m:t>
              </m:r>
            </m:oMath>
            <w:r>
              <w:t xml:space="preserve">)</w:t>
            </w:r>
          </w:p>
        </w:tc>
      </w:tr>
      <w:tr>
        <w:trPr>
          <w:cantSplit/>
        </w:trPr>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c>
          <w:tcPr>
            <w:vAlign w:val="center"/>
          </w:tcPr>
          <w:p>
            <w:pPr>
              <w:pStyle w:val="Compact"/>
            </w:pPr>
          </w:p>
        </w:tc>
        <w:tc>
          <w:tcPr>
            <w:vAlign w:val="center"/>
          </w:tcPr>
          <w:p>
            <w:pPr>
              <w:pStyle w:val="Compact"/>
              <w:jc w:val="center"/>
            </w:pPr>
            <w:r>
              <w:rPr>
                <w:b/>
                <w:bCs/>
              </w:rPr>
              <w:t xml:space="preserve">Ampliar</w:t>
            </w:r>
          </w:p>
        </w:tc>
        <w:tc>
          <w:tcPr>
            <w:vAlign w:val="center"/>
          </w:tcPr>
          <w:p>
            <w:pPr>
              <w:pStyle w:val="Compact"/>
              <w:jc w:val="center"/>
            </w:pPr>
            <w:r>
              <w:rPr>
                <w:b/>
                <w:bCs/>
              </w:rPr>
              <w:t xml:space="preserve">No ampliar</w:t>
            </w:r>
          </w:p>
        </w:tc>
      </w:tr>
      <w:tr>
        <w:trPr>
          <w:cantSplit/>
        </w:trPr>
        <w:tc>
          <w:tcPr>
            <w:vAlign w:val="center"/>
          </w:tcPr>
          <w:p>
            <w:pPr>
              <w:pStyle w:val="Compact"/>
              <w:jc w:val="center"/>
            </w:pPr>
            <w:r>
              <w:rPr>
                <w:b/>
                <w:bCs/>
              </w:rPr>
              <w:t xml:space="preserve">Entrar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shd w:val="clear" w:color="auto" w:fill="E2EFD9"/>
            <w:vAlign w:val="center"/>
          </w:tcPr>
          <w:p>
            <w:pPr>
              <w:pStyle w:val="Celdatceesalvia"/>
              <w:jc w:val="center"/>
            </w:pPr>
            <m:oMath>
              <m:d>
                <m:dPr>
                  <m:begChr m:val="("/>
                  <m:sepChr m:val=""/>
                  <m:endChr m:val=")"/>
                  <m:grow/>
                </m:dPr>
                <m:e>
                  <m:r>
                    <m:t>1</m:t>
                  </m:r>
                  <m:r>
                    <m:rPr>
                      <m:sty m:val="p"/>
                    </m:rPr>
                    <m:t>,</m:t>
                  </m:r>
                  <m:r>
                    <m:t>1</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rPr>
                      <m:sty m:val="p"/>
                    </m:rPr>
                    <m:t>−</m:t>
                  </m:r>
                  <m:r>
                    <m:t>1</m:t>
                  </m:r>
                  <m:r>
                    <m:rPr>
                      <m:sty m:val="p"/>
                    </m:rPr>
                    <m:t>,</m:t>
                  </m:r>
                  <m:r>
                    <m:t>2</m:t>
                  </m:r>
                </m:e>
              </m:d>
            </m:oMath>
          </w:p>
        </w:tc>
        <w:tc>
          <w:tcPr>
            <w:vAlign w:val="center"/>
          </w:tcPr>
          <w:p>
            <w:pPr>
              <w:pStyle w:val="Compact"/>
              <w:jc w:val="center"/>
            </w:pPr>
            <m:oMath>
              <m:d>
                <m:dPr>
                  <m:begChr m:val="("/>
                  <m:sepChr m:val=""/>
                  <m:endChr m:val=")"/>
                  <m:grow/>
                </m:dPr>
                <m:e>
                  <m:r>
                    <m:t>1</m:t>
                  </m:r>
                  <m:r>
                    <m:rPr>
                      <m:sty m:val="p"/>
                    </m:rPr>
                    <m:t>,</m:t>
                  </m:r>
                  <m:r>
                    <m:t>1</m:t>
                  </m:r>
                </m:e>
              </m:d>
            </m:oMath>
          </w:p>
        </w:tc>
      </w:tr>
      <w:tr>
        <w:trPr>
          <w:cantSplit/>
        </w:trPr>
        <w:tc>
          <w:tcPr>
            <w:vAlign w:val="center"/>
          </w:tcPr>
          <w:p>
            <w:pPr>
              <w:pStyle w:val="Compact"/>
              <w:jc w:val="center"/>
            </w:pPr>
            <w:r>
              <w:rPr>
                <w:b/>
                <w:bCs/>
              </w:rPr>
              <w:t xml:space="preserve">No entrar</w:t>
            </w:r>
          </w:p>
        </w:tc>
        <w:tc>
          <w:tcPr>
            <w:vAlign w:val="center"/>
          </w:tcPr>
          <w:p>
            <w:pPr>
              <w:pStyle w:val="Compact"/>
              <w:jc w:val="center"/>
            </w:pPr>
            <m:oMath>
              <m:d>
                <m:dPr>
                  <m:begChr m:val="("/>
                  <m:sepChr m:val=""/>
                  <m:endChr m:val=")"/>
                  <m:grow/>
                </m:dPr>
                <m:e>
                  <m:r>
                    <m:t>0</m:t>
                  </m:r>
                  <m:r>
                    <m:rPr>
                      <m:sty m:val="p"/>
                    </m:rPr>
                    <m:t>,</m:t>
                  </m:r>
                  <m:r>
                    <m:t>2</m:t>
                  </m:r>
                </m:e>
              </m:d>
            </m:oMath>
          </w:p>
        </w:tc>
        <w:tc>
          <w:tcPr>
            <w:shd w:val="clear" w:color="auto" w:fill="E2EFD9"/>
            <w:vAlign w:val="center"/>
          </w:tcPr>
          <w:p>
            <w:pPr>
              <w:pStyle w:val="Celdatceesalvia"/>
              <w:jc w:val="center"/>
            </w:pPr>
            <m:oMath>
              <m:d>
                <m:dPr>
                  <m:begChr m:val="("/>
                  <m:sepChr m:val=""/>
                  <m:endChr m:val=")"/>
                  <m:grow/>
                </m:dPr>
                <m:e>
                  <m:r>
                    <m:t>0</m:t>
                  </m:r>
                  <m:r>
                    <m:rPr>
                      <m:sty m:val="p"/>
                    </m:rPr>
                    <m:t>,</m:t>
                  </m:r>
                  <m:r>
                    <m:t>3</m:t>
                  </m:r>
                </m:e>
              </m:d>
            </m:oMath>
          </w:p>
        </w:tc>
        <w:tc>
          <w:tcPr>
            <w:vAlign w:val="center"/>
          </w:tcPr>
          <w:p>
            <w:pPr>
              <w:pStyle w:val="Compact"/>
            </w:pPr>
          </w:p>
        </w:tc>
        <w:tc>
          <w:tcPr>
            <w:shd w:val="clear" w:color="auto" w:fill="E2EFD9"/>
            <w:vAlign w:val="center"/>
          </w:tcPr>
          <w:p>
            <w:pPr>
              <w:pStyle w:val="Celdatceesalvia"/>
              <w:jc w:val="center"/>
            </w:pPr>
            <m:oMath>
              <m:d>
                <m:dPr>
                  <m:begChr m:val="("/>
                  <m:sepChr m:val=""/>
                  <m:endChr m:val=")"/>
                  <m:grow/>
                </m:dPr>
                <m:e>
                  <m:r>
                    <m:t>0</m:t>
                  </m:r>
                  <m:r>
                    <m:rPr>
                      <m:sty m:val="p"/>
                    </m:rPr>
                    <m:t>,</m:t>
                  </m:r>
                  <m:r>
                    <m:t>4</m:t>
                  </m:r>
                </m:e>
              </m:d>
            </m:oMath>
          </w:p>
        </w:tc>
        <w:tc>
          <w:tcPr>
            <w:vAlign w:val="center"/>
          </w:tcPr>
          <w:p>
            <w:pPr>
              <w:pStyle w:val="Compact"/>
              <w:jc w:val="center"/>
            </w:pPr>
            <m:oMath>
              <m:d>
                <m:dPr>
                  <m:begChr m:val="("/>
                  <m:sepChr m:val=""/>
                  <m:endChr m:val=")"/>
                  <m:grow/>
                </m:dPr>
                <m:e>
                  <m:r>
                    <m:t>0</m:t>
                  </m:r>
                  <m:r>
                    <m:rPr>
                      <m:sty m:val="p"/>
                    </m:rPr>
                    <m:t>,</m:t>
                  </m:r>
                  <m:r>
                    <m:t>3</m:t>
                  </m:r>
                </m:e>
              </m:d>
            </m:oMath>
          </w:p>
        </w:tc>
      </w:tr>
    </w:tbl>
    <w:bookmarkEnd w:id="89"/>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3</w:t>
        </w:r>
      </w:hyperlink>
      <w:r>
        <w:rPr>
          <w:i/>
          <w:iCs/>
        </w:rPr>
        <w:t xml:space="preserve">)</w:t>
      </w:r>
      <w:r>
        <w:rPr>
          <w:i/>
          <w:iCs/>
        </w:rPr>
        <w:t xml:space="preserve">. E, en las filas;</w:t>
      </w:r>
      <w:r>
        <w:rPr>
          <w:i/>
          <w:iCs/>
        </w:rPr>
        <w:t xml:space="preserve"> </w:t>
      </w:r>
      <w:r>
        <w:rPr>
          <w:i/>
          <w:iCs/>
        </w:rPr>
        <w:t xml:space="preserve">I</w:t>
      </w:r>
      <w:r>
        <w:rPr>
          <w:i/>
          <w:iCs/>
        </w:rPr>
        <w:t xml:space="preserve">, en las columnas. Sombreada, la estrategia dominante de cada tipo de</w:t>
      </w:r>
      <w:r>
        <w:rPr>
          <w:i/>
          <w:iCs/>
        </w:rPr>
        <w:t xml:space="preserve"> </w:t>
      </w:r>
      <w:r>
        <w:rPr>
          <w:i/>
          <w:iCs/>
        </w:rPr>
        <w:t xml:space="preserve">I</w:t>
      </w:r>
      <w:r>
        <w:rPr>
          <w:i/>
          <w:iCs/>
        </w:rPr>
        <w:t xml:space="preserve">.</w:t>
      </w:r>
    </w:p>
    <w:bookmarkStart w:id="93"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91" name="Picture"/>
            <a:graphic>
              <a:graphicData uri="http://schemas.openxmlformats.org/drawingml/2006/picture">
                <pic:pic>
                  <pic:nvPicPr>
                    <pic:cNvPr descr="C:\Users\vgutierrez\Documents\src\victorgutierrezmarcos.github.io-revision\oposicion\temario\fuentes\3A14\graficos/arbol-harsanyi.png" id="92" name="Picture"/>
                    <pic:cNvPicPr>
                      <a:picLocks noChangeArrowheads="1" noChangeAspect="1"/>
                    </pic:cNvPicPr>
                  </pic:nvPicPr>
                  <pic:blipFill>
                    <a:blip r:embed="rId90"/>
                    <a:stretch>
                      <a:fillRect/>
                    </a:stretch>
                  </pic:blipFill>
                  <pic:spPr bwMode="auto">
                    <a:xfrm>
                      <a:off x="0" y="0"/>
                      <a:ext cx="5073650" cy="1991128"/>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94"/>
    <w:bookmarkStart w:id="95" w:name="iii_implicaciones_2"/>
    <w:p>
      <w:pPr>
        <w:pStyle w:val="Heading5"/>
      </w:pPr>
      <w:r>
        <w:t xml:space="preserve">iii) Implicaciones</w:t>
      </w:r>
    </w:p>
    <w:p>
      <w:pPr>
        <w:numPr>
          <w:ilvl w:val="0"/>
          <w:numId w:val="1098"/>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98"/>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5"/>
    <w:bookmarkEnd w:id="96"/>
    <w:bookmarkStart w:id="97" w:name="c_extensiones_1"/>
    <w:p>
      <w:pPr>
        <w:pStyle w:val="Heading4"/>
      </w:pPr>
      <w:r>
        <w:t xml:space="preserve">c) Extensiones</w:t>
      </w:r>
    </w:p>
    <w:p>
      <w:pPr>
        <w:numPr>
          <w:ilvl w:val="0"/>
          <w:numId w:val="1099"/>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99"/>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7"/>
    <w:bookmarkStart w:id="98" w:name="d_valoraci__n"/>
    <w:p>
      <w:pPr>
        <w:pStyle w:val="Heading4"/>
      </w:pPr>
      <w:r>
        <w:t xml:space="preserve">d) Valoración</w:t>
      </w:r>
    </w:p>
    <w:p>
      <w:pPr>
        <w:numPr>
          <w:ilvl w:val="0"/>
          <w:numId w:val="1100"/>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8"/>
    <w:bookmarkEnd w:id="99"/>
    <w:bookmarkStart w:id="107" w:name="sec_ebp_senalizacion"/>
    <w:p>
      <w:pPr>
        <w:pStyle w:val="Heading2"/>
      </w:pPr>
      <w:r>
        <w:t xml:space="preserve">II.2.</w:t>
      </w:r>
      <w:r>
        <w:t xml:space="preserve"> </w:t>
      </w:r>
      <w:r>
        <w:t xml:space="preserve">Juegos dinámicos con información incompleta: equilibrio bayesiano perfecto y señalización</w:t>
      </w:r>
    </w:p>
    <w:bookmarkStart w:id="100" w:name="a_idea_4"/>
    <w:p>
      <w:pPr>
        <w:pStyle w:val="Heading4"/>
      </w:pPr>
      <w:r>
        <w:t xml:space="preserve">a) Idea</w:t>
      </w:r>
    </w:p>
    <w:p>
      <w:pPr>
        <w:keepNext/>
        <w:numPr>
          <w:ilvl w:val="0"/>
          <w:numId w:val="1101"/>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keepNext/>
        <w:numPr>
          <w:ilvl w:val="1"/>
          <w:numId w:val="1102"/>
        </w:numPr>
      </w:pPr>
      <w:r>
        <w:t xml:space="preserve">Volvamos a</w:t>
      </w:r>
      <w:r>
        <w:t xml:space="preserve"> </w:t>
      </w:r>
      <w:r>
        <w:t xml:space="preserve">I</w:t>
      </w:r>
      <w:r>
        <w:t xml:space="preserve"> </w:t>
      </w:r>
      <w:r>
        <w:t xml:space="preserve">y E, ahora con un turno más: antes de que E decida si entra,</w:t>
      </w:r>
      <w:r>
        <w:t xml:space="preserve"> </w:t>
      </w:r>
      <w:r>
        <w:t xml:space="preserve">I</w:t>
      </w:r>
      <w:r>
        <w:t xml:space="preserve"> </w:t>
      </w:r>
      <w:r>
        <w:t xml:space="preserve">fija su precio de hoy, y E lo ve.</w:t>
      </w:r>
    </w:p>
    <w:p>
      <w:pPr>
        <w:numPr>
          <w:ilvl w:val="2"/>
          <w:numId w:val="1103"/>
        </w:numPr>
      </w:pPr>
      <w:r>
        <w:t xml:space="preserve">E parte de su creencia</w:t>
      </w:r>
      <w:r>
        <w:t xml:space="preserve"> </w:t>
      </w:r>
      <m:oMath>
        <m:r>
          <m:t>π</m:t>
        </m:r>
      </m:oMath>
      <w:r>
        <w:t xml:space="preserve"> </w:t>
      </w:r>
      <w:r>
        <w:t xml:space="preserve">de que</w:t>
      </w:r>
      <w:r>
        <w:t xml:space="preserve"> </w:t>
      </w:r>
      <w:r>
        <w:t xml:space="preserve">I</w:t>
      </w:r>
      <w:r>
        <w:t xml:space="preserve"> </w:t>
      </w:r>
      <w:r>
        <w:t xml:space="preserve">es de coste alto.</w:t>
      </w:r>
    </w:p>
    <w:p>
      <w:pPr>
        <w:numPr>
          <w:ilvl w:val="2"/>
          <w:numId w:val="1103"/>
        </w:numPr>
      </w:pPr>
      <w:r>
        <w:t xml:space="preserve">Supongamos que un precio muy bajo solo le compensa a</w:t>
      </w:r>
      <w:r>
        <w:t xml:space="preserve"> </w:t>
      </w:r>
      <w:r>
        <w:t xml:space="preserve">I</w:t>
      </w:r>
      <w:r>
        <w:t xml:space="preserve"> </w:t>
      </w:r>
      <w:r>
        <w:t xml:space="preserve">si es de coste bajo: al de coste alto le haría perder demasiado. Entonces el precio es una</w:t>
      </w:r>
      <w:r>
        <w:t xml:space="preserve"> </w:t>
      </w:r>
      <w:r>
        <w:rPr>
          <w:i/>
          <w:iCs/>
        </w:rPr>
        <w:t xml:space="preserve">señal</w:t>
      </w:r>
      <w:r>
        <w:t xml:space="preserve">.</w:t>
      </w:r>
    </w:p>
    <w:p>
      <w:pPr>
        <w:numPr>
          <w:ilvl w:val="2"/>
          <w:numId w:val="1103"/>
        </w:numPr>
      </w:pPr>
      <w:r>
        <w:t xml:space="preserve">E revisa su creencia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keepNext/>
        <w:numPr>
          <w:ilvl w:val="1"/>
          <w:numId w:val="1102"/>
        </w:numPr>
      </w:pPr>
      <w:r>
        <w:t xml:space="preserve">Lo que lee E en el precio depende de quién lo fija:</w:t>
      </w:r>
    </w:p>
    <w:p>
      <w:pPr>
        <w:numPr>
          <w:ilvl w:val="2"/>
          <w:numId w:val="1104"/>
        </w:numPr>
      </w:pPr>
      <w:r>
        <w:t xml:space="preserve">si solo el de coste bajo fija el precio bajo, al verlo E pasa a creer</w:t>
      </w:r>
      <w:r>
        <w:t xml:space="preserve"> </w:t>
      </w:r>
      <m:oMath>
        <m:r>
          <m:t>μ</m:t>
        </m:r>
        <m:r>
          <m:rPr>
            <m:sty m:val="p"/>
          </m:rPr>
          <m:t>=</m:t>
        </m:r>
        <m:r>
          <m:t>0</m:t>
        </m:r>
      </m:oMath>
      <w:r>
        <w:t xml:space="preserve"> </w:t>
      </w:r>
      <w:r>
        <w:t xml:space="preserve">(seguro que es de coste bajo) y no entra;</w:t>
      </w:r>
    </w:p>
    <w:p>
      <w:pPr>
        <w:numPr>
          <w:ilvl w:val="2"/>
          <w:numId w:val="1104"/>
        </w:numPr>
      </w:pPr>
      <w:r>
        <w:t xml:space="preserve">si lo fijan los 2 tipos, el precio no dice nada y</w:t>
      </w:r>
      <w:r>
        <w:t xml:space="preserve"> </w:t>
      </w:r>
      <m:oMath>
        <m:r>
          <m:t>μ</m:t>
        </m:r>
        <m:r>
          <m:rPr>
            <m:sty m:val="p"/>
          </m:rPr>
          <m:t>=</m:t>
        </m:r>
        <m:r>
          <m:t>π</m:t>
        </m:r>
      </m:oMath>
      <w:r>
        <w:t xml:space="preserve">: E decide con su creencia de partida.</w:t>
      </w:r>
    </w:p>
    <w:p>
      <w:pPr>
        <w:numPr>
          <w:ilvl w:val="1"/>
          <w:numId w:val="1102"/>
        </w:numPr>
      </w:pPr>
      <w:r>
        <w:t xml:space="preserve">«Cuando el río suena, agua lleva»: E lee en lo que</w:t>
      </w:r>
      <w:r>
        <w:t xml:space="preserve"> </w:t>
      </w:r>
      <w:r>
        <w:t xml:space="preserve">I</w:t>
      </w:r>
      <w:r>
        <w:t xml:space="preserve"> </w:t>
      </w:r>
      <w:r>
        <w:t xml:space="preserve">hace lo que</w:t>
      </w:r>
      <w:r>
        <w:t xml:space="preserve"> </w:t>
      </w:r>
      <w:r>
        <w:t xml:space="preserve">I</w:t>
      </w:r>
      <w:r>
        <w:t xml:space="preserve"> </w:t>
      </w:r>
      <w:r>
        <w:t xml:space="preserve">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100"/>
    <w:bookmarkStart w:id="104" w:name="b_modelo_4"/>
    <w:p>
      <w:pPr>
        <w:pStyle w:val="Heading4"/>
      </w:pPr>
      <w:r>
        <w:t xml:space="preserve">b) Modelo</w:t>
      </w:r>
    </w:p>
    <w:bookmarkStart w:id="101" w:name="i_supuestos_el_juego_de_se__alizaci__n"/>
    <w:p>
      <w:pPr>
        <w:pStyle w:val="Heading5"/>
      </w:pPr>
      <w:r>
        <w:t xml:space="preserve">i) Supuestos: el juego de señalización</w:t>
      </w:r>
    </w:p>
    <w:p>
      <w:pPr>
        <w:numPr>
          <w:ilvl w:val="0"/>
          <w:numId w:val="1105"/>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105"/>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105"/>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101"/>
    <w:bookmarkStart w:id="102" w:name="ii_desarrollo_4"/>
    <w:p>
      <w:pPr>
        <w:pStyle w:val="Heading5"/>
      </w:pPr>
      <w:r>
        <w:t xml:space="preserve">ii) Desarrollo</w:t>
      </w:r>
    </w:p>
    <w:p>
      <w:pPr>
        <w:keepNext/>
        <w:numPr>
          <w:ilvl w:val="0"/>
          <w:numId w:val="1106"/>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107"/>
        </w:numPr>
      </w:pPr>
      <w:r>
        <w:rPr>
          <w:i/>
          <w:iCs/>
        </w:rPr>
        <w:t xml:space="preserve">racionalidad secuencial</w:t>
      </w:r>
      <w:r>
        <w:t xml:space="preserve">: en cada conjunto de información, quien mueve elige lo mejor dadas sus creencias y las estrategias de los demás;</w:t>
      </w:r>
    </w:p>
    <w:p>
      <w:pPr>
        <w:numPr>
          <w:ilvl w:val="1"/>
          <w:numId w:val="1107"/>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107"/>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106"/>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106"/>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106"/>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106"/>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102"/>
    <w:bookmarkStart w:id="103" w:name="iii_implicaciones_3"/>
    <w:p>
      <w:pPr>
        <w:pStyle w:val="Heading5"/>
      </w:pPr>
      <w:r>
        <w:t xml:space="preserve">iii) Implicaciones</w:t>
      </w:r>
    </w:p>
    <w:p>
      <w:pPr>
        <w:numPr>
          <w:ilvl w:val="0"/>
          <w:numId w:val="1108"/>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108"/>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103"/>
    <w:bookmarkEnd w:id="104"/>
    <w:bookmarkStart w:id="105" w:name="c_extensiones_2"/>
    <w:p>
      <w:pPr>
        <w:pStyle w:val="Heading4"/>
      </w:pPr>
      <w:r>
        <w:t xml:space="preserve">c) Extensiones</w:t>
      </w:r>
    </w:p>
    <w:p>
      <w:pPr>
        <w:keepNext/>
        <w:numPr>
          <w:ilvl w:val="0"/>
          <w:numId w:val="1109"/>
        </w:numPr>
      </w:pPr>
      <w:r>
        <w:rPr>
          <w:i/>
          <w:iCs/>
        </w:rPr>
        <w:t xml:space="preserve">Refinamientos</w:t>
      </w:r>
      <w:r>
        <w:t xml:space="preserve">:</w:t>
      </w:r>
    </w:p>
    <w:p>
      <w:pPr>
        <w:numPr>
          <w:ilvl w:val="1"/>
          <w:numId w:val="1110"/>
        </w:numPr>
      </w:pPr>
      <w:r>
        <w:t xml:space="preserve">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w:t>
      </w:r>
    </w:p>
    <w:p>
      <w:pPr>
        <w:numPr>
          <w:ilvl w:val="1"/>
          <w:numId w:val="1110"/>
        </w:numPr>
      </w:pPr>
      <w:r>
        <w:t xml:space="preserve">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109"/>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5"/>
    <w:bookmarkStart w:id="106" w:name="d_valoraci__n_1"/>
    <w:p>
      <w:pPr>
        <w:pStyle w:val="Heading4"/>
      </w:pPr>
      <w:r>
        <w:t xml:space="preserve">d) Valoración</w:t>
      </w:r>
    </w:p>
    <w:p>
      <w:pPr>
        <w:numPr>
          <w:ilvl w:val="0"/>
          <w:numId w:val="1111"/>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6"/>
    <w:bookmarkEnd w:id="107"/>
    <w:bookmarkStart w:id="128" w:name="sec_negociacion_cooperativos"/>
    <w:p>
      <w:pPr>
        <w:pStyle w:val="Heading2"/>
      </w:pPr>
      <w:r>
        <w:t xml:space="preserve">II.3.</w:t>
      </w:r>
      <w:r>
        <w:t xml:space="preserve"> </w:t>
      </w:r>
      <w:r>
        <w:t xml:space="preserve">Negociación y juegos cooperativos</w:t>
      </w:r>
    </w:p>
    <w:p>
      <w:pPr>
        <w:numPr>
          <w:ilvl w:val="0"/>
          <w:numId w:val="1112"/>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7"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8" w:name="a_idea_5"/>
    <w:p>
      <w:pPr>
        <w:pStyle w:val="Heading4"/>
      </w:pPr>
      <w:r>
        <w:t xml:space="preserve">a) Idea</w:t>
      </w:r>
    </w:p>
    <w:p>
      <w:pPr>
        <w:keepNext/>
        <w:numPr>
          <w:ilvl w:val="0"/>
          <w:numId w:val="1113"/>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keepNext/>
        <w:numPr>
          <w:ilvl w:val="1"/>
          <w:numId w:val="1114"/>
        </w:numPr>
      </w:pPr>
      <w:r>
        <w:t xml:space="preserve">Siguiendo con nuestros 2 operadores: en lugar de construir su propia red, E puede alquilar la de</w:t>
      </w:r>
      <w:r>
        <w:t xml:space="preserve"> </w:t>
      </w:r>
      <w:r>
        <w:t xml:space="preserve">I</w:t>
      </w:r>
      <w:r>
        <w:t xml:space="preserve">.</w:t>
      </w:r>
    </w:p>
    <w:p>
      <w:pPr>
        <w:numPr>
          <w:ilvl w:val="2"/>
          <w:numId w:val="1115"/>
        </w:numPr>
      </w:pPr>
      <w:r>
        <w:t xml:space="preserve">Los 2 ganan con el acuerdo: E se ahorra la inversión e</w:t>
      </w:r>
      <w:r>
        <w:t xml:space="preserve"> </w:t>
      </w:r>
      <w:r>
        <w:t xml:space="preserve">I</w:t>
      </w:r>
      <w:r>
        <w:t xml:space="preserve"> </w:t>
      </w:r>
      <w:r>
        <w:t xml:space="preserve">cobra por una red que ya tiene.</w:t>
      </w:r>
    </w:p>
    <w:p>
      <w:pPr>
        <w:numPr>
          <w:ilvl w:val="2"/>
          <w:numId w:val="1115"/>
        </w:numPr>
      </w:pPr>
      <w:r>
        <w:t xml:space="preserve">Pero el alquiler puede estar en cualquier punto entre lo mínimo que</w:t>
      </w:r>
      <w:r>
        <w:t xml:space="preserve"> </w:t>
      </w:r>
      <w:r>
        <w:t xml:space="preserve">I</w:t>
      </w:r>
      <w:r>
        <w:t xml:space="preserve"> </w:t>
      </w:r>
      <w:r>
        <w:t xml:space="preserve">acepta (lo que le cuesta dar el servicio) y lo máximo que E paga (lo que le costaría construir su red). Si lo primero es 10 y lo segundo 30, hay un excedente de 20 que repartir.</w:t>
      </w:r>
    </w:p>
    <w:p>
      <w:pPr>
        <w:numPr>
          <w:ilvl w:val="2"/>
          <w:numId w:val="1115"/>
        </w:numPr>
      </w:pPr>
      <w:r>
        <w:t xml:space="preserve">¿Dónde acabará el alquiler, entre 10 y 30?</w:t>
      </w:r>
    </w:p>
    <w:bookmarkEnd w:id="108"/>
    <w:bookmarkStart w:id="113" w:name="b_modelo_5"/>
    <w:p>
      <w:pPr>
        <w:pStyle w:val="Heading4"/>
      </w:pPr>
      <w:r>
        <w:t xml:space="preserve">b) Modelo</w:t>
      </w:r>
    </w:p>
    <w:bookmarkStart w:id="109" w:name="i_supuestos_4"/>
    <w:p>
      <w:pPr>
        <w:pStyle w:val="Heading5"/>
      </w:pPr>
      <w:r>
        <w:t xml:space="preserve">i) Supuestos</w:t>
      </w:r>
    </w:p>
    <w:p>
      <w:pPr>
        <w:numPr>
          <w:ilvl w:val="0"/>
          <w:numId w:val="1116"/>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9"/>
    <w:bookmarkStart w:id="111" w:name="ii_desarrollo_5"/>
    <w:p>
      <w:pPr>
        <w:pStyle w:val="Heading5"/>
      </w:pPr>
      <w:r>
        <w:t xml:space="preserve">ii) Desarrollo</w:t>
      </w:r>
    </w:p>
    <w:p>
      <w:pPr>
        <w:keepNext/>
        <w:numPr>
          <w:ilvl w:val="0"/>
          <w:numId w:val="1117"/>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w:t>
      </w:r>
    </w:p>
    <w:p>
      <w:pPr>
        <w:numPr>
          <w:ilvl w:val="1"/>
          <w:numId w:val="1118"/>
        </w:numPr>
      </w:pPr>
      <w:r>
        <w:t xml:space="preserve">que sea</w:t>
      </w:r>
      <w:r>
        <w:t xml:space="preserve"> </w:t>
      </w:r>
      <w:r>
        <w:rPr>
          <w:i/>
          <w:iCs/>
        </w:rPr>
        <w:t xml:space="preserve">eficiente</w:t>
      </w:r>
      <w:r>
        <w:t xml:space="preserve">;</w:t>
      </w:r>
    </w:p>
    <w:p>
      <w:pPr>
        <w:numPr>
          <w:ilvl w:val="1"/>
          <w:numId w:val="1118"/>
        </w:numPr>
      </w:pPr>
      <w:r>
        <w:t xml:space="preserve">que trate igual a jugadores iguales (</w:t>
      </w:r>
      <w:r>
        <w:rPr>
          <w:i/>
          <w:iCs/>
        </w:rPr>
        <w:t xml:space="preserve">simetría</w:t>
      </w:r>
      <w:r>
        <w:t xml:space="preserve">);</w:t>
      </w:r>
    </w:p>
    <w:p>
      <w:pPr>
        <w:numPr>
          <w:ilvl w:val="1"/>
          <w:numId w:val="1118"/>
        </w:numPr>
      </w:pPr>
      <w:r>
        <w:t xml:space="preserve">que no dependa de las unidades en que se mide la utilidad (</w:t>
      </w:r>
      <w:r>
        <w:rPr>
          <w:i/>
          <w:iCs/>
        </w:rPr>
        <w:t xml:space="preserve">invariancia</w:t>
      </w:r>
      <w:r>
        <w:t xml:space="preserve"> </w:t>
      </w:r>
      <w:r>
        <w:t xml:space="preserve">a transformaciones afines), y</w:t>
      </w:r>
    </w:p>
    <w:p>
      <w:pPr>
        <w:numPr>
          <w:ilvl w:val="1"/>
          <w:numId w:val="1118"/>
        </w:numPr>
      </w:pPr>
      <w:r>
        <w:t xml:space="preserve">que no cambie si se quitan alternativas que de todos modos no se habrían elegido (</w:t>
      </w:r>
      <w:r>
        <w:rPr>
          <w:i/>
          <w:iCs/>
        </w:rPr>
        <w:t xml:space="preserve">independencia de las alternativas irrelevantes</w:t>
      </w:r>
      <w:r>
        <w:t xml:space="preserve">).</w:t>
      </w:r>
    </w:p>
    <w:p>
      <w:pPr>
        <w:numPr>
          <w:ilvl w:val="0"/>
          <w:numId w:val="1117"/>
        </w:numPr>
      </w:pPr>
      <w:r>
        <w:t xml:space="preserve">La única solución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10" w:name="eq_nash_negociacion"/>
    <w:bookmarkEnd w:id="110"/>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keepNext/>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1"/>
          <w:numId w:val="1119"/>
        </w:numPr>
      </w:pPr>
      <w:r>
        <w:t xml:space="preserve">Volvamos al alquiler de la red, con</w:t>
      </w:r>
      <w:r>
        <w:t xml:space="preserve"> </w:t>
      </w:r>
      <w:r>
        <w:t xml:space="preserve">I</w:t>
      </w:r>
      <w:r>
        <w:t xml:space="preserve"> </w:t>
      </w:r>
      <w:r>
        <w:t xml:space="preserve">como jugador 1. El excedente es 20: con</w:t>
      </w:r>
      <w:r>
        <w:t xml:space="preserve"> </w:t>
      </w:r>
      <m:oMath>
        <m:r>
          <m:t>γ</m:t>
        </m:r>
        <m:r>
          <m:rPr>
            <m:sty m:val="p"/>
          </m:rPr>
          <m:t>=</m:t>
        </m:r>
        <m:r>
          <m:t>1</m:t>
        </m:r>
        <m:r>
          <m:rPr>
            <m:sty m:val="p"/>
          </m:rPr>
          <m:t>/</m:t>
        </m:r>
        <m:r>
          <m:t>2</m:t>
        </m:r>
      </m:oMath>
      <w:r>
        <w:t xml:space="preserve">, cada uno se queda con 10 y el alquiler es 20; si</w:t>
      </w:r>
      <w:r>
        <w:t xml:space="preserve"> </w:t>
      </w:r>
      <w:r>
        <w:t xml:space="preserve">I</w:t>
      </w:r>
      <w:r>
        <w:t xml:space="preserve"> </w:t>
      </w:r>
      <w:r>
        <w:t xml:space="preserve">tiene más poder de negociación, por ejemplo</w:t>
      </w:r>
      <w:r>
        <w:t xml:space="preserve"> </w:t>
      </w:r>
      <m:oMath>
        <m:r>
          <m:t>γ</m:t>
        </m:r>
        <m:r>
          <m:rPr>
            <m:sty m:val="p"/>
          </m:rPr>
          <m:t>=</m:t>
        </m:r>
        <m:r>
          <m:t>3</m:t>
        </m:r>
        <m:r>
          <m:rPr>
            <m:sty m:val="p"/>
          </m:rPr>
          <m:t>/</m:t>
        </m:r>
        <m:r>
          <m:t>4</m:t>
        </m:r>
      </m:oMath>
      <w:r>
        <w:t xml:space="preserve">, se queda con 15 y el alquiler sube a 25.</w:t>
      </w:r>
    </w:p>
    <w:p>
      <w:pPr>
        <w:numPr>
          <w:ilvl w:val="0"/>
          <w:numId w:val="1117"/>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117"/>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keepNext/>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p>
      <w:pPr>
        <w:numPr>
          <w:ilvl w:val="1"/>
          <w:numId w:val="1120"/>
        </w:numPr>
      </w:pPr>
      <w:r>
        <w:t xml:space="preserve">En el alquiler de la red: si E tiene prisa por entrar y descuenta mucho el futuro (</w:t>
      </w:r>
      <m:oMath>
        <m:sSub>
          <m:e>
            <m:r>
              <m:t>ρ</m:t>
            </m:r>
          </m:e>
          <m:sub>
            <m:r>
              <m:t>2</m:t>
            </m:r>
          </m:sub>
        </m:sSub>
      </m:oMath>
      <w:r>
        <w:t xml:space="preserve"> </w:t>
      </w:r>
      <w:r>
        <w:t xml:space="preserve">alto), sube el poder de negociación de</w:t>
      </w:r>
      <w:r>
        <w:t xml:space="preserve"> </w:t>
      </w:r>
      <w:r>
        <w:t xml:space="preserve">I</w:t>
      </w:r>
      <w:r>
        <w:t xml:space="preserve">,</w:t>
      </w:r>
      <w:r>
        <w:t xml:space="preserve"> </w:t>
      </w:r>
      <m:oMath>
        <m:r>
          <m:t>γ</m:t>
        </m:r>
      </m:oMath>
      <w:r>
        <w:t xml:space="preserve">, y el alquiler se acerca a 30.</w:t>
      </w:r>
    </w:p>
    <w:bookmarkEnd w:id="111"/>
    <w:bookmarkStart w:id="112" w:name="iii_implicaciones_4"/>
    <w:p>
      <w:pPr>
        <w:pStyle w:val="Heading5"/>
      </w:pPr>
      <w:r>
        <w:t xml:space="preserve">iii) Implicaciones</w:t>
      </w:r>
    </w:p>
    <w:p>
      <w:pPr>
        <w:numPr>
          <w:ilvl w:val="0"/>
          <w:numId w:val="1121"/>
        </w:numPr>
      </w:pPr>
      <w:r>
        <w:t xml:space="preserve">El resultado de una negociación depende de lo que cada parte obtiene sin acuerdo (sus alternativas) y de su paciencia: mejorar la opción externa o poder esperar más da poder de negociación.</w:t>
      </w:r>
    </w:p>
    <w:p>
      <w:pPr>
        <w:keepNext/>
        <w:numPr>
          <w:ilvl w:val="0"/>
          <w:numId w:val="1121"/>
        </w:numPr>
      </w:pPr>
      <w:r>
        <w:rPr>
          <w:i/>
          <w:iCs/>
        </w:rPr>
        <w:t xml:space="preserve">Aplicaciones</w:t>
      </w:r>
      <w:r>
        <w:t xml:space="preserve">:</w:t>
      </w:r>
    </w:p>
    <w:p>
      <w:pPr>
        <w:numPr>
          <w:ilvl w:val="1"/>
          <w:numId w:val="1122"/>
        </w:numPr>
      </w:pPr>
      <w:r>
        <w:t xml:space="preserve">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w:t>
      </w:r>
    </w:p>
    <w:p>
      <w:pPr>
        <w:numPr>
          <w:ilvl w:val="1"/>
          <w:numId w:val="1122"/>
        </w:numPr>
      </w:pPr>
      <w:r>
        <w:t xml:space="preserve">la negociación salarial</w:t>
      </w:r>
      <w:r>
        <w:t xml:space="preserve"> </w:t>
      </w:r>
      <w:hyperlink r:id="rId22">
        <w:r>
          <w:rPr>
            <w:rStyle w:val="Referenciaatema"/>
          </w:rPr>
          <w:t xml:space="preserve">[ver tema 3.A.27]</w:t>
        </w:r>
      </w:hyperlink>
      <w:r>
        <w:t xml:space="preserve">;</w:t>
      </w:r>
    </w:p>
    <w:p>
      <w:pPr>
        <w:numPr>
          <w:ilvl w:val="1"/>
          <w:numId w:val="1122"/>
        </w:numPr>
      </w:pPr>
      <w:r>
        <w:t xml:space="preserve">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y</w:t>
      </w:r>
    </w:p>
    <w:p>
      <w:pPr>
        <w:numPr>
          <w:ilvl w:val="1"/>
          <w:numId w:val="1122"/>
        </w:numPr>
      </w:pPr>
      <w:r>
        <w:t xml:space="preserve">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12"/>
    <w:bookmarkEnd w:id="113"/>
    <w:bookmarkStart w:id="115" w:name="c_evidencia_emp__rica"/>
    <w:p>
      <w:pPr>
        <w:pStyle w:val="Heading4"/>
      </w:pPr>
      <w:r>
        <w:t xml:space="preserve">c) Evidencia empírica</w:t>
      </w:r>
    </w:p>
    <w:p>
      <w:pPr>
        <w:numPr>
          <w:ilvl w:val="0"/>
          <w:numId w:val="1123"/>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14">
        <w:r>
          <w:rPr>
            <w:rStyle w:val="Referenciaatema"/>
          </w:rPr>
          <w:t xml:space="preserve">[ver tema 3.A.1]</w:t>
        </w:r>
      </w:hyperlink>
      <w:r>
        <w:t xml:space="preserve">.</w:t>
      </w:r>
    </w:p>
    <w:bookmarkEnd w:id="115"/>
    <w:bookmarkStart w:id="116" w:name="d_valoraci__n_2"/>
    <w:p>
      <w:pPr>
        <w:pStyle w:val="Heading4"/>
      </w:pPr>
      <w:r>
        <w:t xml:space="preserve">d) Valoración</w:t>
      </w:r>
    </w:p>
    <w:p>
      <w:pPr>
        <w:numPr>
          <w:ilvl w:val="0"/>
          <w:numId w:val="1124"/>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6"/>
    <w:bookmarkEnd w:id="117"/>
    <w:bookmarkStart w:id="123" w:name="sec_nucleo"/>
    <w:p>
      <w:pPr>
        <w:pStyle w:val="Heading3"/>
      </w:pPr>
      <w:r>
        <w:t xml:space="preserve">II.3.2.</w:t>
      </w:r>
      <w:r>
        <w:t xml:space="preserve"> </w:t>
      </w:r>
      <w:r>
        <w:t xml:space="preserve">Juegos cooperativos: función característica y núcleo</w:t>
      </w:r>
    </w:p>
    <w:p>
      <w:pPr>
        <w:numPr>
          <w:ilvl w:val="0"/>
          <w:numId w:val="1125"/>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keepNext/>
        <w:numPr>
          <w:ilvl w:val="0"/>
          <w:numId w:val="1125"/>
        </w:numPr>
      </w:pPr>
      <w:r>
        <w:rPr>
          <w:i/>
          <w:iCs/>
        </w:rPr>
        <w:t xml:space="preserve">Elementos</w:t>
      </w:r>
      <w:r>
        <w:t xml:space="preserve">:</w:t>
      </w:r>
    </w:p>
    <w:p>
      <w:pPr>
        <w:numPr>
          <w:ilvl w:val="1"/>
          <w:numId w:val="1126"/>
        </w:numPr>
      </w:pPr>
      <w:r>
        <w:t xml:space="preserve">el conjunto de jugadores</w:t>
      </w:r>
      <w:r>
        <w:t xml:space="preserve"> </w:t>
      </w:r>
      <m:oMath>
        <m:r>
          <m:t>N</m:t>
        </m:r>
      </m:oMath>
      <w:r>
        <w:t xml:space="preserve">;</w:t>
      </w:r>
    </w:p>
    <w:p>
      <w:pPr>
        <w:numPr>
          <w:ilvl w:val="1"/>
          <w:numId w:val="1126"/>
        </w:numPr>
      </w:pPr>
      <w:r>
        <w:t xml:space="preserve">las</w:t>
      </w:r>
      <w:r>
        <w:t xml:space="preserve"> </w:t>
      </w:r>
      <w:r>
        <w:rPr>
          <w:b/>
          <w:bCs/>
        </w:rPr>
        <w:t xml:space="preserve">coaliciones</w:t>
      </w:r>
      <w:r>
        <w:t xml:space="preserve"> </w:t>
      </w:r>
      <m:oMath>
        <m:r>
          <m:t>T</m:t>
        </m:r>
        <m:r>
          <m:rPr>
            <m:sty m:val="p"/>
          </m:rPr>
          <m:t>⊆</m:t>
        </m:r>
        <m:r>
          <m:t>N</m:t>
        </m:r>
      </m:oMath>
      <w:r>
        <w:t xml:space="preserve">;</w:t>
      </w:r>
    </w:p>
    <w:p>
      <w:pPr>
        <w:numPr>
          <w:ilvl w:val="1"/>
          <w:numId w:val="1126"/>
        </w:numPr>
      </w:pPr>
      <w:r>
        <w:t xml:space="preserve">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w:t>
      </w:r>
    </w:p>
    <w:p>
      <w:pPr>
        <w:numPr>
          <w:ilvl w:val="1"/>
          <w:numId w:val="1126"/>
        </w:numPr>
      </w:pPr>
      <w:r>
        <w:t xml:space="preserve">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w:t>
      </w:r>
    </w:p>
    <w:p>
      <w:pPr>
        <w:numPr>
          <w:ilvl w:val="0"/>
          <w:numId w:val="1125"/>
        </w:numPr>
      </w:pPr>
      <w:r>
        <w:t xml:space="preserve">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125"/>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keepNext/>
        <w:numPr>
          <w:ilvl w:val="1"/>
          <w:numId w:val="1127"/>
        </w:numPr>
      </w:pPr>
      <w:r>
        <w:t xml:space="preserve">Siguiendo con nuestros operadores, ahora con un tercero, O (de «otro»).</w:t>
      </w:r>
      <w:r>
        <w:t xml:space="preserve"> </w:t>
      </w:r>
      <w:r>
        <w:t xml:space="preserve">I</w:t>
      </w:r>
      <w:r>
        <w:t xml:space="preserve"> </w:t>
      </w:r>
      <w:r>
        <w:t xml:space="preserve">tiene una red de torres que puede usar él solo o ceder a un único socio:</w:t>
      </w:r>
    </w:p>
    <w:p>
      <w:pPr>
        <w:numPr>
          <w:ilvl w:val="2"/>
          <w:numId w:val="1128"/>
        </w:numPr>
      </w:pPr>
      <w:r>
        <w:t xml:space="preserve">si</w:t>
      </w:r>
      <w:r>
        <w:t xml:space="preserve"> </w:t>
      </w:r>
      <w:r>
        <w:t xml:space="preserve">I</w:t>
      </w:r>
      <w:r>
        <w:t xml:space="preserve"> </w:t>
      </w:r>
      <w:r>
        <w:t xml:space="preserve">la usa él solo, le rinde 20;</w:t>
      </w:r>
    </w:p>
    <w:p>
      <w:pPr>
        <w:numPr>
          <w:ilvl w:val="2"/>
          <w:numId w:val="1128"/>
        </w:numPr>
      </w:pPr>
      <w:r>
        <w:t xml:space="preserve">E sacaría de ella 60, y O, 100, pero solo cabe uno;</w:t>
      </w:r>
    </w:p>
    <w:p>
      <w:pPr>
        <w:numPr>
          <w:ilvl w:val="2"/>
          <w:numId w:val="1128"/>
        </w:numPr>
      </w:pPr>
      <w:r>
        <w:t xml:space="preserve">I</w:t>
      </w:r>
      <w:r>
        <w:t xml:space="preserve"> </w:t>
      </w:r>
      <w:r>
        <w:t xml:space="preserve">es un vendedor (jugador 1), y E y O, 2 compradores (jugadores 2 y 3).</w:t>
      </w:r>
    </w:p>
    <w:p>
      <w:pPr>
        <w:numPr>
          <w:ilvl w:val="1"/>
          <w:numId w:val="1127"/>
        </w:numPr>
      </w:pPr>
      <w:r>
        <w:t xml:space="preserve">Si</w:t>
      </w:r>
      <w:r>
        <w:t xml:space="preserve"> </w:t>
      </w:r>
      <w:r>
        <w:t xml:space="preserve">I</w:t>
      </w:r>
      <w:r>
        <w:t xml:space="preserve"> </w:t>
      </w:r>
      <w:r>
        <w:t xml:space="preserve">se asocia con uno de ellos (forman un consorcio) y se reparten lo que obtienen, la función característica, lo que cada coalición consigue por su cuenta, es la de la tabla </w:t>
      </w:r>
      <w:hyperlink w:anchor="tab_consorcio">
        <w:r>
          <w:rPr>
            <w:rStyle w:val="Hyperlink"/>
          </w:rPr>
          <w:t xml:space="preserve">6</w:t>
        </w:r>
      </w:hyperlink>
      <w:r>
        <w:t xml:space="preserve">:</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w:t>
      </w:r>
    </w:p>
    <w:p>
      <w:pPr>
        <w:keepNext/>
        <w:numPr>
          <w:ilvl w:val="1"/>
          <w:numId w:val="1127"/>
        </w:numPr>
      </w:pPr>
      <w:r>
        <w:t xml:space="preserve">¿Qué repartos de los 100 son estables? Los que ninguna coalición puede mejorar por su cuenta:</w:t>
      </w:r>
    </w:p>
    <w:p>
      <w:pPr>
        <w:numPr>
          <w:ilvl w:val="2"/>
          <w:numId w:val="1129"/>
        </w:numPr>
      </w:pPr>
      <w:r>
        <w:t xml:space="preserve">I</w:t>
      </w:r>
      <w:r>
        <w:t xml:space="preserve"> </w:t>
      </w:r>
      <w:r>
        <w:t xml:space="preserve">y O juntos consiguen los 100:</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obliga a</w:t>
      </w:r>
      <w:r>
        <w:t xml:space="preserve"> </w:t>
      </w:r>
      <m:oMath>
        <m:sSub>
          <m:e>
            <m:r>
              <m:t>x</m:t>
            </m:r>
          </m:e>
          <m:sub>
            <m:r>
              <m:t>2</m:t>
            </m:r>
          </m:sub>
        </m:sSub>
        <m:r>
          <m:rPr>
            <m:sty m:val="p"/>
          </m:rPr>
          <m:t>=</m:t>
        </m:r>
        <m:r>
          <m:t>0</m:t>
        </m:r>
      </m:oMath>
      <w:r>
        <w:t xml:space="preserve">, y E no recibe nada;</w:t>
      </w:r>
    </w:p>
    <w:p>
      <w:pPr>
        <w:numPr>
          <w:ilvl w:val="2"/>
          <w:numId w:val="1129"/>
        </w:numPr>
      </w:pPr>
      <w:r>
        <w:t xml:space="preserve">I</w:t>
      </w:r>
      <w:r>
        <w:t xml:space="preserve"> </w:t>
      </w:r>
      <w:r>
        <w:t xml:space="preserve">y E juntos consiguen 60:</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obliga a</w:t>
      </w:r>
      <w:r>
        <w:t xml:space="preserve"> </w:t>
      </w:r>
      <m:oMath>
        <m:sSub>
          <m:e>
            <m:r>
              <m:t>x</m:t>
            </m:r>
          </m:e>
          <m:sub>
            <m:r>
              <m:t>1</m:t>
            </m:r>
          </m:sub>
        </m:sSub>
        <m:r>
          <m:rPr>
            <m:sty m:val="p"/>
          </m:rPr>
          <m:t>≥</m:t>
        </m:r>
        <m:r>
          <m:t>60</m:t>
        </m:r>
      </m:oMath>
      <w:r>
        <w:t xml:space="preserve">, porque si</w:t>
      </w:r>
      <w:r>
        <w:t xml:space="preserve"> </w:t>
      </w:r>
      <w:r>
        <w:t xml:space="preserve">I</w:t>
      </w:r>
      <w:r>
        <w:t xml:space="preserve"> </w:t>
      </w:r>
      <w:r>
        <w:t xml:space="preserve">recibiera menos se iría con E, y</w:t>
      </w:r>
    </w:p>
    <w:p>
      <w:pPr>
        <w:numPr>
          <w:ilvl w:val="2"/>
          <w:numId w:val="1129"/>
        </w:numPr>
      </w:pPr>
      <w:r>
        <w:t xml:space="preserve">las demás condiciones no añaden nada.</w:t>
      </w:r>
    </w:p>
    <w:p>
      <w:pPr>
        <w:numPr>
          <w:ilvl w:val="1"/>
          <w:numId w:val="1127"/>
        </w:numPr>
      </w:pPr>
      <w:r>
        <w:t xml:space="preserve">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1"/>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Es el mismo resultado que dará una subasta inglesa (</w:t>
      </w:r>
      <w:hyperlink w:anchor="sec_subastas">
        <w:r>
          <w:rPr>
            <w:rStyle w:val="Hyperlink"/>
          </w:rPr>
          <w:t xml:space="preserve">III.3</w:t>
        </w:r>
      </w:hyperlink>
      <w:r>
        <w:t xml:space="preserve">): la competencia de E es lo que protege a</w:t>
      </w:r>
      <w:r>
        <w:t xml:space="preserve"> </w:t>
      </w:r>
      <w:r>
        <w:t xml:space="preserve">I</w:t>
      </w:r>
      <w:r>
        <w:t xml:space="preserve">, aunque E se quede fuera.</w:t>
      </w:r>
    </w:p>
    <w:bookmarkStart w:id="118" w:name="tab_consorcio"/>
    <w:p>
      <w:pPr>
        <w:pStyle w:val="TableCaption"/>
      </w:pPr>
      <w:r>
        <w:t xml:space="preserve">Tabla 6.–</w:t>
      </w:r>
      <w:r>
        <w:t xml:space="preserve"> </w:t>
      </w:r>
      <w:r>
        <w:t xml:space="preserve">El consorcio de</w:t>
      </w:r>
      <w:r>
        <w:t xml:space="preserve"> </w:t>
      </w:r>
      <w:r>
        <w:t xml:space="preserve">I</w:t>
      </w:r>
      <w:r>
        <w:t xml:space="preserve">, E y O: lo que consigue cada coalición,</w:t>
      </w:r>
      <w:r>
        <w:t xml:space="preserve"> </w:t>
      </w:r>
      <m:oMath>
        <m:r>
          <m:t>v</m:t>
        </m:r>
        <m:d>
          <m:dPr>
            <m:begChr m:val="("/>
            <m:sepChr m:val=""/>
            <m:endChr m:val=")"/>
            <m:grow/>
          </m:dPr>
          <m:e>
            <m:r>
              <m:t>T</m:t>
            </m:r>
          </m:e>
        </m:d>
      </m:oMath>
    </w:p>
    <w:tbl>
      <w:tblPr>
        <w:tblStyle w:val="Table"/>
        <w:tblW w:type="auto" w:w="0"/>
        <w:tblLook w:firstRow="1" w:lastRow="0" w:firstColumn="0" w:lastColumn="0" w:noHBand="0" w:noVBand="0" w:val="0020"/>
        <w:tblCaption w:val="Tabla 6.– El consorcio de I, E y O: lo que consigue cada coalición, v(T)"/>
      </w:tblPr>
      <w:tblGrid>
        <w:gridCol w:w="990"/>
        <w:gridCol w:w="990"/>
        <w:gridCol w:w="990"/>
        <w:gridCol w:w="990"/>
        <w:gridCol w:w="990"/>
        <w:gridCol w:w="990"/>
        <w:gridCol w:w="990"/>
        <w:gridCol w:w="990"/>
      </w:tblGrid>
      <w:tr>
        <w:trPr>
          <w:cantSplit/>
          <w:tblHeader w:val="on"/>
        </w:trPr>
        <w:tc>
          <w:tcPr>
            <w:shd w:val="clear" w:color="auto" w:fill="DDEBF7"/>
            <w:vAlign w:val="center"/>
          </w:tcPr>
          <w:p>
            <w:pPr>
              <w:pStyle w:val="Celdatceeazulpalido"/>
              <w:jc w:val="center"/>
            </w:pPr>
            <w:r>
              <w:rPr>
                <w:b/>
                <w:bCs/>
              </w:rPr>
              <w:t xml:space="preserve">Coalición</w:t>
            </w:r>
          </w:p>
        </w:tc>
        <w:tc>
          <w:tcPr>
            <w:shd w:val="clear" w:color="auto" w:fill="DDEBF7"/>
            <w:vAlign w:val="center"/>
          </w:tcPr>
          <w:p>
            <w:pPr>
              <w:pStyle w:val="Celdatceeazulpalido"/>
              <w:jc w:val="center"/>
            </w:pPr>
            <m:oMath>
              <m:r>
                <m:rPr>
                  <m:sty m:val="p"/>
                </m:rPr>
                <m:t>{</m:t>
              </m:r>
              <m:r>
                <m:rPr>
                  <m:nor/>
                  <m:sty m:val="p"/>
                </m:rPr>
                <m:t>I</m:t>
              </m:r>
              <m:r>
                <m:rPr>
                  <m:sty m:val="p"/>
                </m:rPr>
                <m:t>}</m:t>
              </m:r>
            </m:oMath>
          </w:p>
        </w:tc>
        <w:tc>
          <w:tcPr>
            <w:shd w:val="clear" w:color="auto" w:fill="DDEBF7"/>
            <w:vAlign w:val="center"/>
          </w:tcPr>
          <w:p>
            <w:pPr>
              <w:pStyle w:val="Celdatceeazulpalido"/>
              <w:jc w:val="center"/>
            </w:pPr>
            <m:oMath>
              <m:r>
                <m:rPr>
                  <m:sty m:val="p"/>
                </m:rPr>
                <m:t>{</m:t>
              </m:r>
              <m:r>
                <m:rPr>
                  <m:nor/>
                  <m:sty m:val="p"/>
                </m:rPr>
                <m:t>E</m:t>
              </m:r>
              <m:r>
                <m:rPr>
                  <m:sty m:val="p"/>
                </m:rPr>
                <m:t>}</m:t>
              </m:r>
            </m:oMath>
          </w:p>
        </w:tc>
        <w:tc>
          <w:tcPr>
            <w:shd w:val="clear" w:color="auto" w:fill="DDEBF7"/>
            <w:vAlign w:val="center"/>
          </w:tcPr>
          <w:p>
            <w:pPr>
              <w:pStyle w:val="Celdatceeazulpalido"/>
              <w:jc w:val="center"/>
            </w:pPr>
            <m:oMath>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E</m:t>
              </m:r>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E</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O</m:t>
              </m:r>
              <m:r>
                <m:rPr>
                  <m:sty m:val="p"/>
                </m:rPr>
                <m:t>}</m:t>
              </m:r>
            </m:oMath>
          </w:p>
        </w:tc>
        <w:tc>
          <w:tcPr>
            <w:shd w:val="clear" w:color="auto" w:fill="DDEBF7"/>
            <w:vAlign w:val="center"/>
          </w:tcPr>
          <w:p>
            <w:pPr>
              <w:pStyle w:val="Celdatceeazulpalido"/>
              <w:jc w:val="center"/>
            </w:pPr>
            <m:oMath>
              <m:r>
                <m:rPr>
                  <m:sty m:val="p"/>
                </m:rPr>
                <m:t>{</m:t>
              </m:r>
              <m:r>
                <m:rPr>
                  <m:nor/>
                  <m:sty m:val="p"/>
                </m:rPr>
                <m:t>I</m:t>
              </m:r>
              <m:r>
                <m:rPr>
                  <m:sty m:val="p"/>
                </m:rPr>
                <m:t>,</m:t>
              </m:r>
              <m:r>
                <m:rPr>
                  <m:nor/>
                  <m:sty m:val="p"/>
                </m:rPr>
                <m:t>E</m:t>
              </m:r>
              <m:r>
                <m:rPr>
                  <m:sty m:val="p"/>
                </m:rPr>
                <m:t>,</m:t>
              </m:r>
              <m:r>
                <m:rPr>
                  <m:nor/>
                  <m:sty m:val="p"/>
                </m:rPr>
                <m:t>O</m:t>
              </m:r>
              <m:r>
                <m:rPr>
                  <m:sty m:val="p"/>
                </m:rPr>
                <m:t>}</m:t>
              </m:r>
            </m:oMath>
          </w:p>
        </w:tc>
      </w:tr>
      <w:tr>
        <w:trPr>
          <w:cantSplit/>
        </w:trPr>
        <w:tc>
          <w:tcPr>
            <w:vAlign w:val="center"/>
          </w:tcPr>
          <w:p>
            <w:pPr>
              <w:pStyle w:val="Compact"/>
              <w:jc w:val="center"/>
            </w:pPr>
            <m:oMath>
              <m:r>
                <m:t>v</m:t>
              </m:r>
              <m:d>
                <m:dPr>
                  <m:begChr m:val="("/>
                  <m:sepChr m:val=""/>
                  <m:endChr m:val=")"/>
                  <m:grow/>
                </m:dPr>
                <m:e>
                  <m:r>
                    <m:t>T</m:t>
                  </m:r>
                </m:e>
              </m:d>
            </m:oMath>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0</w:t>
            </w:r>
          </w:p>
        </w:tc>
        <w:tc>
          <w:tcPr>
            <w:vAlign w:val="center"/>
          </w:tcPr>
          <w:p>
            <w:pPr>
              <w:pStyle w:val="Compact"/>
              <w:jc w:val="center"/>
            </w:pPr>
            <w:r>
              <w:t xml:space="preserve">60</w:t>
            </w:r>
          </w:p>
        </w:tc>
        <w:tc>
          <w:tcPr>
            <w:vAlign w:val="center"/>
          </w:tcPr>
          <w:p>
            <w:pPr>
              <w:pStyle w:val="Compact"/>
              <w:jc w:val="center"/>
            </w:pPr>
            <w:r>
              <w:t xml:space="preserve">100</w:t>
            </w:r>
          </w:p>
        </w:tc>
        <w:tc>
          <w:tcPr>
            <w:vAlign w:val="center"/>
          </w:tcPr>
          <w:p>
            <w:pPr>
              <w:pStyle w:val="Compact"/>
              <w:jc w:val="center"/>
            </w:pPr>
            <w:r>
              <w:t xml:space="preserve">100</w:t>
            </w:r>
          </w:p>
        </w:tc>
      </w:tr>
    </w:tbl>
    <w:bookmarkEnd w:id="118"/>
    <w:p>
      <w:pPr>
        <w:pStyle w:val="BodyText"/>
      </w:pPr>
      <w:r>
        <w:rPr>
          <w:i/>
          <w:iCs/>
        </w:rPr>
        <w:t xml:space="preserve">Fuente: elaboración propia.</w:t>
      </w:r>
      <w:r>
        <w:rPr>
          <w:i/>
          <w:iCs/>
        </w:rPr>
        <w:t xml:space="preserve"> </w:t>
      </w:r>
      <w:r>
        <w:rPr>
          <w:i/>
          <w:iCs/>
        </w:rPr>
        <w:t xml:space="preserve">I</w:t>
      </w:r>
      <w:r>
        <w:rPr>
          <w:i/>
          <w:iCs/>
        </w:rPr>
        <w:t xml:space="preserve"> </w:t>
      </w:r>
      <w:r>
        <w:rPr>
          <w:i/>
          <w:iCs/>
        </w:rPr>
        <w:t xml:space="preserve">es el jugador 1 (el vendedor de la red), y E y O, los jugadores 2 y 3 (los compradores).</w:t>
      </w:r>
    </w:p>
    <w:bookmarkStart w:id="122"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20" name="Picture"/>
            <a:graphic>
              <a:graphicData uri="http://schemas.openxmlformats.org/drawingml/2006/picture">
                <pic:pic>
                  <pic:nvPicPr>
                    <pic:cNvPr descr="C:\Users\vgutierrez\Documents\src\victorgutierrezmarcos.github.io-revision\oposicion\temario\fuentes\3A14\graficos/nucleo.png" id="121" name="Picture"/>
                    <pic:cNvPicPr>
                      <a:picLocks noChangeArrowheads="1" noChangeAspect="1"/>
                    </pic:cNvPicPr>
                  </pic:nvPicPr>
                  <pic:blipFill>
                    <a:blip r:embed="rId119"/>
                    <a:stretch>
                      <a:fillRect/>
                    </a:stretch>
                  </pic:blipFill>
                  <pic:spPr bwMode="auto">
                    <a:xfrm>
                      <a:off x="0" y="0"/>
                      <a:ext cx="3137707" cy="2617814"/>
                    </a:xfrm>
                    <a:prstGeom prst="rect">
                      <a:avLst/>
                    </a:prstGeom>
                    <a:noFill/>
                    <a:ln w="9525">
                      <a:noFill/>
                      <a:headEnd/>
                      <a:tailEnd/>
                    </a:ln>
                  </pic:spPr>
                </pic:pic>
              </a:graphicData>
            </a:graphic>
          </wp:inline>
        </w:drawing>
      </w:r>
    </w:p>
    <w:bookmarkEnd w:id="122"/>
    <w:p>
      <w:pPr>
        <w:pStyle w:val="Piedeimagen"/>
      </w:pPr>
      <w:r>
        <w:t xml:space="preserve">Fuente: elaboración propia.</w:t>
      </w:r>
    </w:p>
    <w:p>
      <w:pPr>
        <w:keepNext/>
        <w:numPr>
          <w:ilvl w:val="0"/>
          <w:numId w:val="1130"/>
        </w:numPr>
      </w:pPr>
      <w:r>
        <w:rPr>
          <w:i/>
          <w:iCs/>
        </w:rPr>
        <w:t xml:space="preserve">Propiedades y limitaciones</w:t>
      </w:r>
      <w:r>
        <w:t xml:space="preserve">:</w:t>
      </w:r>
    </w:p>
    <w:p>
      <w:pPr>
        <w:numPr>
          <w:ilvl w:val="1"/>
          <w:numId w:val="1131"/>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131"/>
        </w:numPr>
      </w:pPr>
      <w:r>
        <w:t xml:space="preserve">rara vez tiene un solo punto: dice qué repartos son estables, no cuál se elige;</w:t>
      </w:r>
    </w:p>
    <w:p>
      <w:pPr>
        <w:numPr>
          <w:ilvl w:val="1"/>
          <w:numId w:val="1131"/>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End w:id="123"/>
    <w:bookmarkStart w:id="127" w:name="sec_shapley"/>
    <w:p>
      <w:pPr>
        <w:pStyle w:val="Heading3"/>
      </w:pPr>
      <w:r>
        <w:t xml:space="preserve">II.3.3.</w:t>
      </w:r>
      <w:r>
        <w:t xml:space="preserve"> </w:t>
      </w:r>
      <w:r>
        <w:t xml:space="preserve">Valor de</w:t>
      </w:r>
      <w:r>
        <w:t xml:space="preserve"> </w:t>
      </w:r>
      <w:r>
        <w:rPr>
          <w:smallCaps/>
        </w:rPr>
        <w:t xml:space="preserve">Shapley</w:t>
      </w:r>
    </w:p>
    <w:p>
      <w:pPr>
        <w:numPr>
          <w:ilvl w:val="0"/>
          <w:numId w:val="1132"/>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132"/>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133"/>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133"/>
        </w:numPr>
      </w:pPr>
      <w:r>
        <w:rPr>
          <w:i/>
          <w:iCs/>
        </w:rPr>
        <w:t xml:space="preserve">simetría</w:t>
      </w:r>
      <w:r>
        <w:t xml:space="preserve">: 2 jugadores que aportan lo mismo a toda coalición reciben lo mismo;</w:t>
      </w:r>
    </w:p>
    <w:p>
      <w:pPr>
        <w:numPr>
          <w:ilvl w:val="1"/>
          <w:numId w:val="1133"/>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24"/>
      </w:r>
    </w:p>
    <w:p>
      <w:pPr>
        <w:numPr>
          <w:ilvl w:val="1"/>
          <w:numId w:val="1133"/>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132"/>
        </w:numPr>
      </w:pPr>
      <w:r>
        <w:rPr>
          <w:i/>
          <w:iCs/>
        </w:rPr>
        <w:t xml:space="preserve">Teorema</w:t>
      </w:r>
      <w:r>
        <w:t xml:space="preserve">: la única regla que los cumple es</w:t>
      </w:r>
      <w:r>
        <w:t xml:space="preserve"> </w:t>
      </w:r>
      <w:bookmarkStart w:id="125" w:name="eq_shapley"/>
      <w:bookmarkEnd w:id="125"/>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keepNext/>
        <w:numPr>
          <w:ilvl w:val="0"/>
          <w:numId w:val="1132"/>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keepNext/>
        <w:numPr>
          <w:ilvl w:val="1"/>
          <w:numId w:val="1134"/>
        </w:numPr>
      </w:pPr>
      <w:r>
        <w:t xml:space="preserve">Volvamos al consorcio de</w:t>
      </w:r>
      <w:r>
        <w:t xml:space="preserve"> </w:t>
      </w:r>
      <w:r>
        <w:t xml:space="preserve">I</w:t>
      </w:r>
      <w:r>
        <w:t xml:space="preserve">, E y O. Imaginemos que llegan en un orden al azar y que cada uno cobra lo que añade al llegar (tabla </w:t>
      </w:r>
      <w:hyperlink w:anchor="tab_shapley">
        <w:r>
          <w:rPr>
            <w:rStyle w:val="Hyperlink"/>
          </w:rPr>
          <w:t xml:space="preserve">11</w:t>
        </w:r>
      </w:hyperlink>
      <w:r>
        <w:t xml:space="preserve">, en el anexo </w:t>
      </w:r>
      <w:hyperlink w:anchor="anexo_cooperativos">
        <w:r>
          <w:rPr>
            <w:rStyle w:val="Hyperlink"/>
          </w:rPr>
          <w:t xml:space="preserve">C</w:t>
        </w:r>
      </w:hyperlink>
      <w:r>
        <w:t xml:space="preserve">):</w:t>
      </w:r>
    </w:p>
    <w:p>
      <w:pPr>
        <w:numPr>
          <w:ilvl w:val="2"/>
          <w:numId w:val="1135"/>
        </w:numPr>
      </w:pPr>
      <w:r>
        <w:t xml:space="preserve">si llegan en el orden</w:t>
      </w:r>
      <w:r>
        <w:t xml:space="preserve"> </w:t>
      </w:r>
      <w:r>
        <w:t xml:space="preserve">I</w:t>
      </w:r>
      <w:r>
        <w:t xml:space="preserve">, E, O,</w:t>
      </w:r>
      <w:r>
        <w:t xml:space="preserve"> </w:t>
      </w:r>
      <w:r>
        <w:t xml:space="preserve">I</w:t>
      </w:r>
      <w:r>
        <w:t xml:space="preserve"> </w:t>
      </w:r>
      <w:r>
        <w:t xml:space="preserve">aporta 20 (lo que obtiene solo); E, 40 (de 20 a 60), y O, otros 40 (de 60 a 100);</w:t>
      </w:r>
    </w:p>
    <w:p>
      <w:pPr>
        <w:numPr>
          <w:ilvl w:val="2"/>
          <w:numId w:val="1135"/>
        </w:numPr>
      </w:pPr>
      <w:r>
        <w:t xml:space="preserve">si llega primero O y después</w:t>
      </w:r>
      <w:r>
        <w:t xml:space="preserve"> </w:t>
      </w:r>
      <w:r>
        <w:t xml:space="preserve">I</w:t>
      </w:r>
      <w:r>
        <w:t xml:space="preserve">, O no aporta nada (sin red no hace nada),</w:t>
      </w:r>
      <w:r>
        <w:t xml:space="preserve"> </w:t>
      </w:r>
      <w:r>
        <w:t xml:space="preserve">I</w:t>
      </w:r>
      <w:r>
        <w:t xml:space="preserve"> </w:t>
      </w:r>
      <w:r>
        <w:t xml:space="preserve">aporta 100 y E, que llega el último, 0;</w:t>
      </w:r>
    </w:p>
    <w:p>
      <w:pPr>
        <w:numPr>
          <w:ilvl w:val="2"/>
          <w:numId w:val="1135"/>
        </w:numPr>
      </w:pPr>
      <w:r>
        <w:t xml:space="preserve">promediando los 6 órdenes posibles,</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w:t>
      </w:r>
      <w:r>
        <w:t xml:space="preserve"> </w:t>
      </w:r>
      <w:r>
        <w:t xml:space="preserve">I</w:t>
      </w:r>
      <w:r>
        <w:t xml:space="preserve">, E y O.</w:t>
      </w:r>
    </w:p>
    <w:p>
      <w:pPr>
        <w:numPr>
          <w:ilvl w:val="1"/>
          <w:numId w:val="1134"/>
        </w:numPr>
      </w:pPr>
      <w:r>
        <w:t xml:space="preserve">Se reparte todo (eficiencia), y E recibe algo porque su presencia sube lo que</w:t>
      </w:r>
      <w:r>
        <w:t xml:space="preserve"> </w:t>
      </w:r>
      <w:r>
        <w:t xml:space="preserve">I</w:t>
      </w:r>
      <w:r>
        <w:t xml:space="preserve"> </w:t>
      </w:r>
      <w:r>
        <w:t xml:space="preserve">puede pedir. Por eso no está en el núcleo: da algo a E, que no se queda con la red.</w:t>
      </w:r>
    </w:p>
    <w:p>
      <w:pPr>
        <w:numPr>
          <w:ilvl w:val="1"/>
          <w:numId w:val="1134"/>
        </w:numPr>
      </w:pPr>
      <w:r>
        <w:t xml:space="preserve">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132"/>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keepNext/>
        <w:numPr>
          <w:ilvl w:val="0"/>
          <w:numId w:val="1132"/>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w:t>
      </w:r>
    </w:p>
    <w:p>
      <w:pPr>
        <w:numPr>
          <w:ilvl w:val="1"/>
          <w:numId w:val="1136"/>
        </w:numPr>
      </w:pPr>
      <w:r>
        <w:t xml:space="preserve">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6">
        <w:r>
          <w:rPr>
            <w:rStyle w:val="Referenciaatema"/>
          </w:rPr>
          <w:t xml:space="preserve">[ver tema 3.A.24]</w:t>
        </w:r>
      </w:hyperlink>
      <w:r>
        <w:t xml:space="preserve">;</w:t>
      </w:r>
    </w:p>
    <w:p>
      <w:pPr>
        <w:numPr>
          <w:ilvl w:val="1"/>
          <w:numId w:val="1136"/>
        </w:numPr>
      </w:pPr>
      <w:r>
        <w:t xml:space="preserve">repartir costes comunes;</w:t>
      </w:r>
    </w:p>
    <w:p>
      <w:pPr>
        <w:numPr>
          <w:ilvl w:val="1"/>
          <w:numId w:val="1136"/>
        </w:numPr>
      </w:pPr>
      <w:r>
        <w:t xml:space="preserve">estudiar qué cárteles y alianzas entre empresas son estables</w:t>
      </w:r>
      <w:r>
        <w:t xml:space="preserve"> </w:t>
      </w:r>
      <w:hyperlink r:id="rId21">
        <w:r>
          <w:rPr>
            <w:rStyle w:val="Referenciaatema"/>
          </w:rPr>
          <w:t xml:space="preserve">[ver tema 3.A.19]</w:t>
        </w:r>
      </w:hyperlink>
      <w:r>
        <w:t xml:space="preserve">, y</w:t>
      </w:r>
    </w:p>
    <w:p>
      <w:pPr>
        <w:numPr>
          <w:ilvl w:val="1"/>
          <w:numId w:val="1136"/>
        </w:numPr>
      </w:pPr>
      <w:r>
        <w:t xml:space="preserve">atribuir la contribución de cada variable en la estadística y el aprendizaje automático.</w:t>
      </w:r>
    </w:p>
    <w:p>
      <w:pPr>
        <w:numPr>
          <w:ilvl w:val="0"/>
          <w:numId w:val="1132"/>
        </w:numPr>
      </w:pPr>
      <w:r>
        <w:t xml:space="preserve">Con un continuo de agentes, el valor de</w:t>
      </w:r>
      <w:r>
        <w:t xml:space="preserve"> </w:t>
      </w:r>
      <w:r>
        <w:rPr>
          <w:smallCaps/>
        </w:rPr>
        <w:t xml:space="preserve">Shapley</w:t>
      </w:r>
      <w:r>
        <w:t xml:space="preserve"> </w:t>
      </w:r>
      <w:r>
        <w:t xml:space="preserve">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keepNext/>
        <w:numPr>
          <w:ilvl w:val="0"/>
          <w:numId w:val="1137"/>
        </w:numPr>
      </w:pPr>
      <w:r>
        <w:rPr>
          <w:i/>
          <w:iCs/>
        </w:rPr>
        <w:t xml:space="preserve">Recapitulación del bloque II</w:t>
      </w:r>
      <w:r>
        <w:t xml:space="preserve">:</w:t>
      </w:r>
    </w:p>
    <w:p>
      <w:pPr>
        <w:numPr>
          <w:ilvl w:val="1"/>
          <w:numId w:val="1138"/>
        </w:numPr>
      </w:pPr>
      <w:r>
        <w:t xml:space="preserve">la información privada se incorpora con tipos, probabilidades y creencias (EBN y EBP), y la señalización muestra que las creencias fuera del equilibrio son las que sostienen el resultado;</w:t>
      </w:r>
    </w:p>
    <w:p>
      <w:pPr>
        <w:keepNext/>
        <w:numPr>
          <w:ilvl w:val="1"/>
          <w:numId w:val="1138"/>
        </w:numPr>
      </w:pPr>
      <w:r>
        <w:t xml:space="preserve">con acuerdos vinculantes:</w:t>
      </w:r>
    </w:p>
    <w:p>
      <w:pPr>
        <w:numPr>
          <w:ilvl w:val="2"/>
          <w:numId w:val="1139"/>
        </w:numPr>
      </w:pPr>
      <w:r>
        <w:t xml:space="preserve">la solución de</w:t>
      </w:r>
      <w:r>
        <w:t xml:space="preserve"> </w:t>
      </w:r>
      <w:r>
        <w:rPr>
          <w:smallCaps/>
        </w:rPr>
        <w:t xml:space="preserve">Nash</w:t>
      </w:r>
      <w:r>
        <w:t xml:space="preserve"> </w:t>
      </w:r>
      <w:r>
        <w:t xml:space="preserve">reparte entre 2 según sus alternativas y su paciencia;</w:t>
      </w:r>
    </w:p>
    <w:p>
      <w:pPr>
        <w:numPr>
          <w:ilvl w:val="2"/>
          <w:numId w:val="1139"/>
        </w:numPr>
      </w:pPr>
      <w:r>
        <w:t xml:space="preserve">el núcleo dice qué repartos son estables frente a las coaliciones, y</w:t>
      </w:r>
    </w:p>
    <w:p>
      <w:pPr>
        <w:numPr>
          <w:ilvl w:val="2"/>
          <w:numId w:val="1139"/>
        </w:numPr>
      </w:pPr>
      <w:r>
        <w:t xml:space="preserve">el valor de</w:t>
      </w:r>
      <w:r>
        <w:t xml:space="preserve"> </w:t>
      </w:r>
      <w:r>
        <w:rPr>
          <w:smallCaps/>
        </w:rPr>
        <w:t xml:space="preserve">Shapley</w:t>
      </w:r>
      <w:r>
        <w:t xml:space="preserve"> </w:t>
      </w:r>
      <w:r>
        <w:t xml:space="preserve">elige uno equitativo.</w:t>
      </w:r>
    </w:p>
    <w:p>
      <w:pPr>
        <w:numPr>
          <w:ilvl w:val="0"/>
          <w:numId w:val="1137"/>
        </w:numPr>
      </w:pPr>
      <w:r>
        <w:t xml:space="preserve">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7"/>
    <w:bookmarkEnd w:id="128"/>
    <w:bookmarkEnd w:id="129"/>
    <w:bookmarkStart w:id="179"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keepNext/>
        <w:keepLines/>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keepNext/>
        <w:keepLines/>
        <w:numPr>
          <w:ilvl w:val="0"/>
          <w:numId w:val="1140"/>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7</w:t>
        </w:r>
      </w:hyperlink>
      <w:r>
        <w:t xml:space="preserve">), que se dibuja vacía al presentar los formatos y se rellena fila a fila. En el</w:t>
      </w:r>
      <w:r>
        <w:t xml:space="preserve"> </w:t>
      </w:r>
      <w:r>
        <w:rPr>
          <w:i/>
          <w:iCs/>
        </w:rPr>
        <w:t xml:space="preserve">centro</w:t>
      </w:r>
      <w:r>
        <w:t xml:space="preserve">, el ejemplo de la licencia del 5G: la tabla pequeña de</w:t>
      </w:r>
      <w:r>
        <w:t xml:space="preserve"> </w:t>
      </w:r>
      <w:r>
        <w:t xml:space="preserve">I</w:t>
      </w:r>
      <w:r>
        <w:t xml:space="preserve">, E y O (tabla </w:t>
      </w:r>
      <w:hyperlink w:anchor="tab_subasta_5g">
        <w:r>
          <w:rPr>
            <w:rStyle w:val="Hyperlink"/>
          </w:rPr>
          <w:t xml:space="preserve">8</w:t>
        </w:r>
      </w:hyperlink>
      <w:r>
        <w:t xml:space="preserve">), con sus valoraciones en la primera fila y una fila más por formato (lo que puja cada uno, quién gana y cuánto paga), que se queda hasta la equivalencia de ingresos.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keepNext/>
        <w:keepLines/>
        <w:numPr>
          <w:ilvl w:val="0"/>
          <w:numId w:val="1140"/>
        </w:numPr>
      </w:pPr>
      <w:r>
        <w:rPr>
          <w:i/>
          <w:iCs/>
        </w:rPr>
        <w:t xml:space="preserve">Aplicaciones</w:t>
      </w:r>
      <w:r>
        <w:t xml:space="preserve"> </w:t>
      </w:r>
      <w:r>
        <w:t xml:space="preserve">(1′30″): de palabra, los campos con su ejemplo y su remisión; nada en la pizarra.</w:t>
      </w:r>
    </w:p>
    <w:p>
      <w:pPr>
        <w:pStyle w:val="Notaalopositor"/>
        <w:keepNext/>
        <w:keepLines/>
        <w:numPr>
          <w:ilvl w:val="0"/>
          <w:numId w:val="1140"/>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keepLines/>
        <w:numPr>
          <w:ilvl w:val="0"/>
          <w:numId w:val="1140"/>
        </w:numPr>
      </w:pPr>
      <w:r>
        <w:rPr>
          <w:i/>
          <w:iCs/>
        </w:rPr>
        <w:t xml:space="preserve">Subastas</w:t>
      </w:r>
      <w:r>
        <w:t xml:space="preserve"> </w:t>
      </w:r>
      <w:r>
        <w:t xml:space="preserve">(6′30″):</w:t>
      </w:r>
    </w:p>
    <w:p>
      <w:pPr>
        <w:pStyle w:val="Notaalopositor"/>
        <w:keepNext/>
        <w:keepLines/>
        <w:numPr>
          <w:ilvl w:val="1"/>
          <w:numId w:val="1141"/>
        </w:numPr>
      </w:pPr>
      <w:r>
        <w:t xml:space="preserve">formatos y valores (1′): a la izquierda, la tabla con sus 4 filas y las columnas vacías; valores privados y valor común, de palabra, con el ejemplo de la licencia del 5G; en el centro, la tabla del ejemplo con la fila de las valoraciones (10, 8 y 6);</w:t>
      </w:r>
    </w:p>
    <w:p>
      <w:pPr>
        <w:pStyle w:val="Notaalopositor"/>
        <w:keepNext/>
        <w:keepLines/>
        <w:numPr>
          <w:ilvl w:val="1"/>
          <w:numId w:val="1141"/>
        </w:numPr>
      </w:pPr>
      <w:r>
        <w:t xml:space="preserve">segundo precio (1′): en la tabla del centro, las filas del segundo precio y de la inglesa (</w:t>
      </w:r>
      <w:r>
        <w:t xml:space="preserve">I</w:t>
      </w:r>
      <w:r>
        <w:t xml:space="preserve"> </w:t>
      </w:r>
      <w:r>
        <w:t xml:space="preserve">gana y paga 8 en las 2); por qué ni pujar más ni pujar menos compensa; «</w:t>
      </w:r>
      <m:oMath>
        <m:r>
          <m:t>b</m:t>
        </m:r>
        <m:r>
          <m:rPr>
            <m:sty m:val="p"/>
          </m:rPr>
          <m:t>=</m:t>
        </m:r>
        <m:r>
          <m:t>v</m:t>
        </m:r>
      </m:oMath>
      <w:r>
        <w:t xml:space="preserve">» en su fila de la tabla de la izquierda; el gráfico de la subasta (gráfico </w:t>
      </w:r>
      <w:hyperlink w:anchor="fig_subasta_5g">
        <w:r>
          <w:rPr>
            <w:rStyle w:val="Hyperlink"/>
          </w:rPr>
          <w:t xml:space="preserve">5</w:t>
        </w:r>
      </w:hyperlink>
      <w:r>
        <w:t xml:space="preserve">) como apoyo;</w:t>
      </w:r>
    </w:p>
    <w:p>
      <w:pPr>
        <w:pStyle w:val="Notaalopositor"/>
        <w:keepNext/>
        <w:keepLines/>
        <w:numPr>
          <w:ilvl w:val="1"/>
          <w:numId w:val="1141"/>
        </w:numPr>
      </w:pPr>
      <w:r>
        <w:t xml:space="preserve">primer precio (1′30″): el dilema del pujador, de palabra; a la derecha, (</w:t>
      </w:r>
      <w:hyperlink w:anchor="eq_puja">
        <w:r>
          <w:rPr>
            <w:rStyle w:val="Hyperlink"/>
          </w:rPr>
          <w:t xml:space="preserve">5</w:t>
        </w:r>
      </w:hyperlink>
      <w:r>
        <w:t xml:space="preserve">), que se recuadra; en la tabla del centro, la fila del primer precio (6,67, 5,33 y 4;</w:t>
      </w:r>
      <w:r>
        <w:t xml:space="preserve"> </w:t>
      </w:r>
      <w:r>
        <w:t xml:space="preserve">I</w:t>
      </w:r>
      <w:r>
        <w:t xml:space="preserve"> </w:t>
      </w:r>
      <w:r>
        <w:t xml:space="preserve">paga 6,67); el gráfico de pujas (gráfico </w:t>
      </w:r>
      <w:hyperlink w:anchor="fig_pujas">
        <w:r>
          <w:rPr>
            <w:rStyle w:val="Hyperlink"/>
          </w:rPr>
          <w:t xml:space="preserve">6</w:t>
        </w:r>
      </w:hyperlink>
      <w:r>
        <w:t xml:space="preserve">) como apoyo; «sombrear» en su fila;</w:t>
      </w:r>
    </w:p>
    <w:p>
      <w:pPr>
        <w:pStyle w:val="Notaalopositor"/>
        <w:keepNext/>
        <w:keepLines/>
        <w:numPr>
          <w:ilvl w:val="1"/>
          <w:numId w:val="1141"/>
        </w:numPr>
      </w:pPr>
      <w:r>
        <w:t xml:space="preserve">equivalencia de ingresos y precio de reserva (1′): (</w:t>
      </w:r>
      <w:hyperlink w:anchor="eq_equivalencia">
        <w:r>
          <w:rPr>
            <w:rStyle w:val="Hyperlink"/>
          </w:rPr>
          <w:t xml:space="preserve">6</w:t>
        </w:r>
      </w:hyperlink>
      <w:r>
        <w:t xml:space="preserve">) en una línea en el centro, con el 6 del ejemplo en la última fila de su tabla; la fila de la equivalencia, al pie de la tabla;</w:t>
      </w:r>
    </w:p>
    <w:p>
      <w:pPr>
        <w:pStyle w:val="Notaalopositor"/>
        <w:keepNext/>
        <w:keepLines/>
        <w:numPr>
          <w:ilvl w:val="1"/>
          <w:numId w:val="1141"/>
        </w:numPr>
      </w:pPr>
      <w:r>
        <w:t xml:space="preserve">valor común y maldición del ganador (0′30″): «No es oro todo lo que reluce» y el clásico del golfo de México, de palabra;</w:t>
      </w:r>
    </w:p>
    <w:p>
      <w:pPr>
        <w:pStyle w:val="Notaalopositor"/>
        <w:keepNext/>
        <w:keepLines/>
        <w:numPr>
          <w:ilvl w:val="1"/>
          <w:numId w:val="1141"/>
        </w:numPr>
      </w:pPr>
      <w:r>
        <w:t xml:space="preserve">varias unidades y espectro (0′30″): la SMRA, la subasta de 700 MHz y las del 3G, de palabra;</w:t>
      </w:r>
    </w:p>
    <w:p>
      <w:pPr>
        <w:pStyle w:val="Notaalopositor"/>
        <w:keepNext/>
        <w:keepLines/>
        <w:numPr>
          <w:ilvl w:val="1"/>
          <w:numId w:val="1141"/>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keepLines/>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keepNext/>
        <w:numPr>
          <w:ilvl w:val="0"/>
          <w:numId w:val="1142"/>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1"/>
          <w:numId w:val="1143"/>
        </w:numPr>
      </w:pPr>
      <w:r>
        <w:t xml:space="preserve">Para nuestros 2 operadores, el escenario cambia: el Gobierno subasta las licencias de espectro del 5G, y por ellas pujan</w:t>
      </w:r>
      <w:r>
        <w:t xml:space="preserve"> </w:t>
      </w:r>
      <w:r>
        <w:t xml:space="preserve">I</w:t>
      </w:r>
      <w:r>
        <w:t xml:space="preserve">, E y O, el tercer operador del consorcio. Hasta ahora las reglas venían dadas; ahora las escribe el Gobierno, que no sabe cuánto vale cada licencia para cada operador.</w:t>
      </w:r>
    </w:p>
    <w:p>
      <w:pPr>
        <w:keepNext/>
        <w:numPr>
          <w:ilvl w:val="0"/>
          <w:numId w:val="1142"/>
        </w:numPr>
      </w:pPr>
      <w:r>
        <w:rPr>
          <w:i/>
          <w:iCs/>
        </w:rPr>
        <w:t xml:space="preserve">Conclusión anticipada</w:t>
      </w:r>
      <w:r>
        <w:t xml:space="preserve">:</w:t>
      </w:r>
    </w:p>
    <w:p>
      <w:pPr>
        <w:numPr>
          <w:ilvl w:val="1"/>
          <w:numId w:val="1144"/>
        </w:numPr>
      </w:pPr>
      <w:r>
        <w:t xml:space="preserve">basta con buscar entre mecanismos en los que decir la verdad es óptimo;</w:t>
      </w:r>
    </w:p>
    <w:p>
      <w:pPr>
        <w:numPr>
          <w:ilvl w:val="1"/>
          <w:numId w:val="1144"/>
        </w:numPr>
      </w:pPr>
      <w:r>
        <w:t xml:space="preserve">la información privada tiene un coste que el diseño reduce pero no elimina, y</w:t>
      </w:r>
    </w:p>
    <w:p>
      <w:pPr>
        <w:numPr>
          <w:ilvl w:val="1"/>
          <w:numId w:val="1144"/>
        </w:numPr>
      </w:pPr>
      <w:r>
        <w:t xml:space="preserve">en las subastas, con valores privados independientes, el formato importa menos de lo que parece.</w:t>
      </w:r>
    </w:p>
    <w:p>
      <w:pPr>
        <w:numPr>
          <w:ilvl w:val="0"/>
          <w:numId w:val="1142"/>
        </w:numPr>
      </w:pPr>
      <w:r>
        <w:t xml:space="preserve">En la práctica, lo decisivo es lo que el modelo da por resuelto: que acudan pujadores y que no se repartan el bien entre ellos.</w:t>
      </w:r>
    </w:p>
    <w:bookmarkStart w:id="133" w:name="sec_aplicaciones"/>
    <w:p>
      <w:pPr>
        <w:pStyle w:val="Heading2"/>
      </w:pPr>
      <w:r>
        <w:t xml:space="preserve">III.1.</w:t>
      </w:r>
      <w:r>
        <w:t xml:space="preserve"> </w:t>
      </w:r>
      <w:r>
        <w:t xml:space="preserve">Aplicaciones de la teoría de juegos en economía</w:t>
      </w:r>
    </w:p>
    <w:p>
      <w:pPr>
        <w:keepNext/>
        <w:numPr>
          <w:ilvl w:val="0"/>
          <w:numId w:val="1145"/>
        </w:numPr>
      </w:pPr>
      <w:r>
        <w:rPr>
          <w:i/>
          <w:iCs/>
        </w:rPr>
        <w:t xml:space="preserve">Organización industrial</w:t>
      </w:r>
      <w:r>
        <w:t xml:space="preserve">:</w:t>
      </w:r>
    </w:p>
    <w:p>
      <w:pPr>
        <w:numPr>
          <w:ilvl w:val="1"/>
          <w:numId w:val="1146"/>
        </w:numPr>
      </w:pPr>
      <w:r>
        <w:t xml:space="preserve">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w:t>
      </w:r>
    </w:p>
    <w:p>
      <w:pPr>
        <w:numPr>
          <w:ilvl w:val="1"/>
          <w:numId w:val="1146"/>
        </w:numPr>
      </w:pPr>
      <w:r>
        <w:t xml:space="preserve">la diferenciación de producto resuelta por etapas</w:t>
      </w:r>
      <w:r>
        <w:t xml:space="preserve"> </w:t>
      </w:r>
      <w:hyperlink r:id="rId65">
        <w:r>
          <w:rPr>
            <w:rStyle w:val="Referenciaatema"/>
          </w:rPr>
          <w:t xml:space="preserve">[ver tema 3.A.18]</w:t>
        </w:r>
      </w:hyperlink>
      <w:r>
        <w:t xml:space="preserve">, y</w:t>
      </w:r>
    </w:p>
    <w:p>
      <w:pPr>
        <w:numPr>
          <w:ilvl w:val="1"/>
          <w:numId w:val="1146"/>
        </w:numPr>
      </w:pPr>
      <w:r>
        <w:t xml:space="preserve">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145"/>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145"/>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keepNext/>
        <w:numPr>
          <w:ilvl w:val="0"/>
          <w:numId w:val="1145"/>
        </w:numPr>
      </w:pPr>
      <w:r>
        <w:rPr>
          <w:i/>
          <w:iCs/>
        </w:rPr>
        <w:t xml:space="preserve">Sector público y elección colectiva</w:t>
      </w:r>
      <w:r>
        <w:t xml:space="preserve">:</w:t>
      </w:r>
    </w:p>
    <w:p>
      <w:pPr>
        <w:numPr>
          <w:ilvl w:val="1"/>
          <w:numId w:val="1147"/>
        </w:numPr>
      </w:pPr>
      <w:r>
        <w:t xml:space="preserve">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w:t>
      </w:r>
    </w:p>
    <w:p>
      <w:pPr>
        <w:numPr>
          <w:ilvl w:val="1"/>
          <w:numId w:val="1147"/>
        </w:numPr>
      </w:pPr>
      <w:r>
        <w:t xml:space="preserve">el voto estratégico 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 y</w:t>
      </w:r>
    </w:p>
    <w:p>
      <w:pPr>
        <w:numPr>
          <w:ilvl w:val="1"/>
          <w:numId w:val="1147"/>
        </w:numPr>
      </w:pPr>
      <w:r>
        <w:t xml:space="preserve">la imposición óptima con información privada</w:t>
      </w:r>
      <w:r>
        <w:t xml:space="preserve"> </w:t>
      </w:r>
      <w:hyperlink r:id="rId130">
        <w:r>
          <w:rPr>
            <w:rStyle w:val="Referenciaatema"/>
          </w:rPr>
          <w:t xml:space="preserve">[ver tema 4.B.11]</w:t>
        </w:r>
      </w:hyperlink>
      <w:r>
        <w:t xml:space="preserve">.</w:t>
      </w:r>
    </w:p>
    <w:p>
      <w:pPr>
        <w:numPr>
          <w:ilvl w:val="0"/>
          <w:numId w:val="1145"/>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31">
        <w:r>
          <w:rPr>
            <w:rStyle w:val="Referenciaatema"/>
          </w:rPr>
          <w:t xml:space="preserve">[ver tema 3.B.8]</w:t>
        </w:r>
      </w:hyperlink>
      <w:r>
        <w:t xml:space="preserve">.</w:t>
      </w:r>
    </w:p>
    <w:p>
      <w:pPr>
        <w:numPr>
          <w:ilvl w:val="0"/>
          <w:numId w:val="1145"/>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32">
        <w:r>
          <w:rPr>
            <w:rStyle w:val="Referenciaatema"/>
          </w:rPr>
          <w:t xml:space="preserve">[ver tema 3.B.17]</w:t>
        </w:r>
      </w:hyperlink>
      <w:r>
        <w:t xml:space="preserve"> </w:t>
      </w:r>
      <w:r>
        <w:t xml:space="preserve">y la coordinación de políticas entre países.</w:t>
      </w:r>
    </w:p>
    <w:p>
      <w:pPr>
        <w:numPr>
          <w:ilvl w:val="0"/>
          <w:numId w:val="1145"/>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45"/>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145"/>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14">
        <w:r>
          <w:rPr>
            <w:rStyle w:val="Referenciaatema"/>
          </w:rPr>
          <w:t xml:space="preserve">[ver tema 3.A.1]</w:t>
        </w:r>
      </w:hyperlink>
      <w:r>
        <w:t xml:space="preserve">.</w:t>
      </w:r>
    </w:p>
    <w:bookmarkEnd w:id="133"/>
    <w:bookmarkStart w:id="141" w:name="sec_diseno_mecanismos"/>
    <w:p>
      <w:pPr>
        <w:pStyle w:val="Heading2"/>
      </w:pPr>
      <w:r>
        <w:t xml:space="preserve">III.2.</w:t>
      </w:r>
      <w:r>
        <w:t xml:space="preserve"> </w:t>
      </w:r>
      <w:r>
        <w:t xml:space="preserve">Diseño de mecanismos y principio de revelación</w:t>
      </w:r>
    </w:p>
    <w:bookmarkStart w:id="134" w:name="a_idea_6"/>
    <w:p>
      <w:pPr>
        <w:pStyle w:val="Heading4"/>
      </w:pPr>
      <w:r>
        <w:t xml:space="preserve">a) Idea</w:t>
      </w:r>
    </w:p>
    <w:p>
      <w:pPr>
        <w:keepNext/>
        <w:numPr>
          <w:ilvl w:val="0"/>
          <w:numId w:val="1148"/>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keepNext/>
        <w:numPr>
          <w:ilvl w:val="1"/>
          <w:numId w:val="1149"/>
        </w:numPr>
      </w:pPr>
      <w:r>
        <w:t xml:space="preserve">En la subasta del 5G, el Gobierno no sabe cuánto vale la licencia para</w:t>
      </w:r>
      <w:r>
        <w:t xml:space="preserve"> </w:t>
      </w:r>
      <w:r>
        <w:t xml:space="preserve">I</w:t>
      </w:r>
      <w:r>
        <w:t xml:space="preserve">, E y O:</w:t>
      </w:r>
    </w:p>
    <w:p>
      <w:pPr>
        <w:numPr>
          <w:ilvl w:val="2"/>
          <w:numId w:val="1150"/>
        </w:numPr>
      </w:pPr>
      <w:r>
        <w:t xml:space="preserve">si se lo preguntara sin más, cada uno le diría lo que más le conviniera: poco, si con eso paga menos, o mucho, si con eso se queda la licencia;</w:t>
      </w:r>
    </w:p>
    <w:p>
      <w:pPr>
        <w:numPr>
          <w:ilvl w:val="2"/>
          <w:numId w:val="1150"/>
        </w:numPr>
      </w:pPr>
      <w:r>
        <w:t xml:space="preserve">el Gobierno no observa las valoraciones; solo puede elegir las reglas.</w:t>
      </w:r>
    </w:p>
    <w:p>
      <w:pPr>
        <w:numPr>
          <w:ilvl w:val="1"/>
          <w:numId w:val="1149"/>
        </w:numPr>
      </w:pPr>
      <w:r>
        <w:t xml:space="preserve">¿Hay reglas con las que a cada operador le convenga decir la verdad?</w:t>
      </w:r>
    </w:p>
    <w:bookmarkEnd w:id="134"/>
    <w:bookmarkStart w:id="138" w:name="b_modelo_6"/>
    <w:p>
      <w:pPr>
        <w:pStyle w:val="Heading4"/>
      </w:pPr>
      <w:r>
        <w:t xml:space="preserve">b) Modelo</w:t>
      </w:r>
    </w:p>
    <w:bookmarkStart w:id="135" w:name="i_supuestos_5"/>
    <w:p>
      <w:pPr>
        <w:pStyle w:val="Heading5"/>
      </w:pPr>
      <w:r>
        <w:t xml:space="preserve">i) Supuestos</w:t>
      </w:r>
    </w:p>
    <w:p>
      <w:pPr>
        <w:numPr>
          <w:ilvl w:val="0"/>
          <w:numId w:val="1151"/>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151"/>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35"/>
    <w:bookmarkStart w:id="136" w:name="ii_desarrollo_6"/>
    <w:p>
      <w:pPr>
        <w:pStyle w:val="Heading5"/>
      </w:pPr>
      <w:r>
        <w:t xml:space="preserve">ii) Desarrollo</w:t>
      </w:r>
    </w:p>
    <w:p>
      <w:pPr>
        <w:keepNext/>
        <w:numPr>
          <w:ilvl w:val="0"/>
          <w:numId w:val="1152"/>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1"/>
          <w:numId w:val="1153"/>
        </w:numPr>
      </w:pPr>
      <w:r>
        <w:t xml:space="preserve">Para el Gobierno del 5G, quiere decir que no tiene que imaginar todas las reglas posibles: le basta con buscar unas en las que cada operador declare cuánto vale para él la licencia y le convenga declararlo bien. La subasta de segundo precio es una de ellas, como veremos con las cifras de</w:t>
      </w:r>
      <w:r>
        <w:t xml:space="preserve"> </w:t>
      </w:r>
      <w:r>
        <w:t xml:space="preserve">I</w:t>
      </w:r>
      <w:r>
        <w:t xml:space="preserve">, E y O (</w:t>
      </w:r>
      <w:hyperlink w:anchor="sec_ipv">
        <w:r>
          <w:rPr>
            <w:rStyle w:val="Hyperlink"/>
          </w:rPr>
          <w:t xml:space="preserve">III.3.2</w:t>
        </w:r>
      </w:hyperlink>
      <w:r>
        <w:t xml:space="preserve">).</w:t>
      </w:r>
    </w:p>
    <w:p>
      <w:pPr>
        <w:numPr>
          <w:ilvl w:val="0"/>
          <w:numId w:val="1152"/>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152"/>
        </w:numPr>
      </w:pPr>
      <w:r>
        <w:rPr>
          <w:i/>
          <w:iCs/>
        </w:rPr>
        <w:t xml:space="preserve">Consecuencia</w:t>
      </w:r>
      <w:r>
        <w:t xml:space="preserve">: el diseñador puede buscar solo entre mecanismos directos que cumplan 2 restricciones para cada tipo:</w:t>
      </w:r>
    </w:p>
    <w:p>
      <w:pPr>
        <w:numPr>
          <w:ilvl w:val="1"/>
          <w:numId w:val="1154"/>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154"/>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152"/>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152"/>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 aunque lo que pagan los agentes no puede devolverse sin romper los incentivos: el presupuesto no se equilibra</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6"/>
    <w:bookmarkStart w:id="137" w:name="iii_implicaciones_5"/>
    <w:p>
      <w:pPr>
        <w:pStyle w:val="Heading5"/>
      </w:pPr>
      <w:r>
        <w:t xml:space="preserve">iii) Implicaciones</w:t>
      </w:r>
    </w:p>
    <w:p>
      <w:pPr>
        <w:numPr>
          <w:ilvl w:val="0"/>
          <w:numId w:val="1155"/>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30">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7"/>
    <w:bookmarkEnd w:id="138"/>
    <w:bookmarkStart w:id="139" w:name="c_extensiones_implementaci__n"/>
    <w:p>
      <w:pPr>
        <w:pStyle w:val="Heading4"/>
      </w:pPr>
      <w:r>
        <w:t xml:space="preserve">c) Extensiones: implementación</w:t>
      </w:r>
    </w:p>
    <w:p>
      <w:pPr>
        <w:numPr>
          <w:ilvl w:val="0"/>
          <w:numId w:val="1156"/>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9"/>
    <w:bookmarkStart w:id="140" w:name="d_valoraci__n_los_l__mites"/>
    <w:p>
      <w:pPr>
        <w:pStyle w:val="Heading4"/>
      </w:pPr>
      <w:r>
        <w:t xml:space="preserve">d) Valoración: los límites</w:t>
      </w:r>
    </w:p>
    <w:p>
      <w:pPr>
        <w:numPr>
          <w:ilvl w:val="0"/>
          <w:numId w:val="1157"/>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6">
        <w:r>
          <w:rPr>
            <w:rStyle w:val="Referenciaatema"/>
          </w:rPr>
          <w:t xml:space="preserve">[ver tema 3.A.24]</w:t>
        </w:r>
      </w:hyperlink>
      <w:r>
        <w:t xml:space="preserve">. Por eso los mecanismos VCG necesitan pagos monetarios.</w:t>
      </w:r>
    </w:p>
    <w:p>
      <w:pPr>
        <w:numPr>
          <w:ilvl w:val="0"/>
          <w:numId w:val="1157"/>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157"/>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40"/>
    <w:bookmarkEnd w:id="141"/>
    <w:bookmarkStart w:id="178" w:name="sec_subastas"/>
    <w:p>
      <w:pPr>
        <w:pStyle w:val="Heading2"/>
      </w:pPr>
      <w:r>
        <w:t xml:space="preserve">III.3.</w:t>
      </w:r>
      <w:r>
        <w:t xml:space="preserve"> </w:t>
      </w:r>
      <w:r>
        <w:t xml:space="preserve">Subastas</w:t>
      </w:r>
    </w:p>
    <w:p>
      <w:pPr>
        <w:keepNext/>
        <w:numPr>
          <w:ilvl w:val="0"/>
          <w:numId w:val="1158"/>
        </w:numPr>
      </w:pPr>
      <w:r>
        <w:t xml:space="preserve">Una vez establecido el marco del diseño de mecanismos, pasamos a su aplicación central, que es la «especial referencia» del título. Seguimos al Gobierno en las decisiones que tiene que tomar:</w:t>
      </w:r>
    </w:p>
    <w:p>
      <w:pPr>
        <w:numPr>
          <w:ilvl w:val="1"/>
          <w:numId w:val="1159"/>
        </w:numPr>
      </w:pPr>
      <w:r>
        <w:t xml:space="preserve">qué formato usar;</w:t>
      </w:r>
    </w:p>
    <w:p>
      <w:pPr>
        <w:numPr>
          <w:ilvl w:val="1"/>
          <w:numId w:val="1159"/>
        </w:numPr>
      </w:pPr>
      <w:r>
        <w:t xml:space="preserve">cómo pujarán los operadores en cada uno;</w:t>
      </w:r>
    </w:p>
    <w:p>
      <w:pPr>
        <w:numPr>
          <w:ilvl w:val="1"/>
          <w:numId w:val="1159"/>
        </w:numPr>
      </w:pPr>
      <w:r>
        <w:t xml:space="preserve">cuánto recaudará;</w:t>
      </w:r>
    </w:p>
    <w:p>
      <w:pPr>
        <w:numPr>
          <w:ilvl w:val="1"/>
          <w:numId w:val="1159"/>
        </w:numPr>
      </w:pPr>
      <w:r>
        <w:t xml:space="preserve">qué ocurre si nadie sabe lo que vale la licencia;</w:t>
      </w:r>
    </w:p>
    <w:p>
      <w:pPr>
        <w:numPr>
          <w:ilvl w:val="1"/>
          <w:numId w:val="1159"/>
        </w:numPr>
      </w:pPr>
      <w:r>
        <w:t xml:space="preserve">cómo vender varias a la vez, y</w:t>
      </w:r>
    </w:p>
    <w:p>
      <w:pPr>
        <w:numPr>
          <w:ilvl w:val="1"/>
          <w:numId w:val="1159"/>
        </w:numPr>
      </w:pPr>
      <w:r>
        <w:t xml:space="preserve">cómo evitar que los operadores se pongan de acuerdo.</w:t>
      </w:r>
    </w:p>
    <w:bookmarkStart w:id="143" w:name="sec_subastas_formatos"/>
    <w:p>
      <w:pPr>
        <w:pStyle w:val="Heading3"/>
      </w:pPr>
      <w:r>
        <w:t xml:space="preserve">III.3.1.</w:t>
      </w:r>
      <w:r>
        <w:t xml:space="preserve"> </w:t>
      </w:r>
      <w:r>
        <w:t xml:space="preserve">Concepto, formatos y tipos de valores</w:t>
      </w:r>
    </w:p>
    <w:p>
      <w:pPr>
        <w:numPr>
          <w:ilvl w:val="0"/>
          <w:numId w:val="1160"/>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160"/>
        </w:numPr>
      </w:pPr>
      <w:r>
        <w:rPr>
          <w:i/>
          <w:iCs/>
        </w:rPr>
        <w:t xml:space="preserve">Formatos estándar</w:t>
      </w:r>
      <w:r>
        <w:t xml:space="preserve"> </w:t>
      </w:r>
      <w:r>
        <w:t xml:space="preserve">(un solo objeto; tabla </w:t>
      </w:r>
      <w:hyperlink w:anchor="tab_formatos_subasta">
        <w:r>
          <w:rPr>
            <w:rStyle w:val="Hyperlink"/>
          </w:rPr>
          <w:t xml:space="preserve">7</w:t>
        </w:r>
      </w:hyperlink>
      <w:r>
        <w:t xml:space="preserve">):</w:t>
      </w:r>
    </w:p>
    <w:p>
      <w:pPr>
        <w:numPr>
          <w:ilvl w:val="1"/>
          <w:numId w:val="1161"/>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161"/>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keepNext/>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keepNext/>
        <w:numPr>
          <w:ilvl w:val="1"/>
          <w:numId w:val="1162"/>
        </w:numPr>
      </w:pPr>
      <w:r>
        <w:t xml:space="preserve">En la subasta del 5G, el Gobierno puede elegir entre los 2 grupos:</w:t>
      </w:r>
    </w:p>
    <w:p>
      <w:pPr>
        <w:numPr>
          <w:ilvl w:val="2"/>
          <w:numId w:val="1163"/>
        </w:numPr>
      </w:pPr>
      <w:r>
        <w:t xml:space="preserve">un formato abierto: subir el precio ronda a ronda y que</w:t>
      </w:r>
      <w:r>
        <w:t xml:space="preserve"> </w:t>
      </w:r>
      <w:r>
        <w:t xml:space="preserve">I</w:t>
      </w:r>
      <w:r>
        <w:t xml:space="preserve">, E y O digan en cada ronda si siguen,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w:t>
      </w:r>
    </w:p>
    <w:p>
      <w:pPr>
        <w:numPr>
          <w:ilvl w:val="2"/>
          <w:numId w:val="1163"/>
        </w:numPr>
      </w:pPr>
      <w:r>
        <w:t xml:space="preserve">un sobre cerrado: pedir a cada operador una oferta en un sobre y abrirlos todos a la vez.</w:t>
      </w:r>
    </w:p>
    <w:p>
      <w:pPr>
        <w:keepNext/>
        <w:numPr>
          <w:ilvl w:val="0"/>
          <w:numId w:val="1160"/>
        </w:numPr>
      </w:pPr>
      <w:r>
        <w:rPr>
          <w:i/>
          <w:iCs/>
        </w:rPr>
        <w:t xml:space="preserve">Tipos de valores</w:t>
      </w:r>
      <w:r>
        <w:t xml:space="preserve">:</w:t>
      </w:r>
    </w:p>
    <w:p>
      <w:pPr>
        <w:keepNext/>
        <w:numPr>
          <w:ilvl w:val="1"/>
          <w:numId w:val="1164"/>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2"/>
          <w:numId w:val="1165"/>
        </w:numPr>
      </w:pPr>
      <w:r>
        <w:t xml:space="preserve">en la subasta del 5G, si lo que vale la licencia depende de los costes y los clientes de cada operador (</w:t>
      </w:r>
      <w:r>
        <w:t xml:space="preserve">I</w:t>
      </w:r>
      <w:r>
        <w:t xml:space="preserve">, con su red ya desplegada, la aprovecha mejor que E), los valores son privados.</w:t>
      </w:r>
    </w:p>
    <w:p>
      <w:pPr>
        <w:keepNext/>
        <w:numPr>
          <w:ilvl w:val="1"/>
          <w:numId w:val="1164"/>
        </w:numPr>
      </w:pPr>
      <w:r>
        <w:rPr>
          <w:b/>
          <w:bCs/>
        </w:rPr>
        <w:t xml:space="preserve">valor común</w:t>
      </w:r>
      <w:r>
        <w:t xml:space="preserve">: el bien vale lo mismo para todos, pero nadie lo sabe; cada uno recibe una estimación (los derechos de explotación de un yacimiento de petróleo);</w:t>
      </w:r>
    </w:p>
    <w:p>
      <w:pPr>
        <w:numPr>
          <w:ilvl w:val="2"/>
          <w:numId w:val="1166"/>
        </w:numPr>
      </w:pPr>
      <w:r>
        <w:t xml:space="preserve">si lo que vale la licencia depende sobre todo de cuántos clientes querrán el 5G dentro de 10 años, algo que nadie sabe y que</w:t>
      </w:r>
      <w:r>
        <w:t xml:space="preserve"> </w:t>
      </w:r>
      <w:r>
        <w:t xml:space="preserve">I</w:t>
      </w:r>
      <w:r>
        <w:t xml:space="preserve">, E y O estiman cada uno con su propio estudio de mercado, el valor es común.</w:t>
      </w:r>
    </w:p>
    <w:p>
      <w:pPr>
        <w:numPr>
          <w:ilvl w:val="1"/>
          <w:numId w:val="1164"/>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60"/>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42" w:name="tab_formatos_subasta"/>
    <w:p>
      <w:pPr>
        <w:pStyle w:val="TableCaption"/>
      </w:pPr>
      <w:r>
        <w:t xml:space="preserve">Tabla 7.–</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7.– Los 4 formatos estándar de subasta y cómo se puja en cada uno con valores privados independientes"/>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Formato</w:t>
            </w:r>
          </w:p>
        </w:tc>
        <w:tc>
          <w:tcPr>
            <w:shd w:val="clear" w:color="auto" w:fill="DDEBF7"/>
            <w:vAlign w:val="center"/>
          </w:tcPr>
          <w:p>
            <w:pPr>
              <w:pStyle w:val="Celdatceeazulpalido"/>
              <w:jc w:val="center"/>
            </w:pPr>
            <w:r>
              <w:rPr>
                <w:b/>
                <w:bCs/>
              </w:rPr>
              <w:t xml:space="preserve">Cómo se puja</w:t>
            </w:r>
          </w:p>
        </w:tc>
        <w:tc>
          <w:tcPr>
            <w:shd w:val="clear" w:color="auto" w:fill="DDEBF7"/>
            <w:vAlign w:val="center"/>
          </w:tcPr>
          <w:p>
            <w:pPr>
              <w:pStyle w:val="Celdatceeazulpalido"/>
              <w:jc w:val="center"/>
            </w:pPr>
            <w:r>
              <w:rPr>
                <w:b/>
                <w:bCs/>
              </w:rPr>
              <w:t xml:space="preserve">Quién gana y qué paga</w:t>
            </w:r>
          </w:p>
        </w:tc>
        <w:tc>
          <w:tcPr>
            <w:shd w:val="clear" w:color="auto" w:fill="DDEBF7"/>
            <w:vAlign w:val="center"/>
          </w:tcPr>
          <w:p>
            <w:pPr>
              <w:pStyle w:val="Celdatceeazulpalido"/>
              <w:jc w:val="center"/>
            </w:pPr>
            <w:r>
              <w:rPr>
                <w:b/>
                <w:bCs/>
              </w:rPr>
              <w:t xml:space="preserve">Puja de equilibrio</w:t>
            </w:r>
          </w:p>
        </w:tc>
      </w:tr>
      <w:tr>
        <w:trPr>
          <w:cantSplit/>
        </w:trP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rPr>
          <w:cantSplit/>
        </w:trP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rPr>
          <w:cantSplit/>
        </w:trP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rPr>
          <w:cantSplit/>
        </w:trP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rPr>
          <w:cantSplit/>
        </w:trPr>
        <w:tc>
          <w:tcPr>
            <w:gridSpan w:val="4"/>
            <w:shd w:val="clear" w:color="auto" w:fill="E2EFD9"/>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42"/>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43"/>
    <w:bookmarkStart w:id="164" w:name="sec_ipv"/>
    <w:p>
      <w:pPr>
        <w:pStyle w:val="Heading3"/>
      </w:pPr>
      <w:r>
        <w:t xml:space="preserve">III.3.2.</w:t>
      </w:r>
      <w:r>
        <w:t xml:space="preserve"> </w:t>
      </w:r>
      <w:r>
        <w:t xml:space="preserve">El modelo de referencia: valores privados independientes</w:t>
      </w:r>
    </w:p>
    <w:bookmarkStart w:id="144" w:name="a_idea_7"/>
    <w:p>
      <w:pPr>
        <w:pStyle w:val="Heading4"/>
      </w:pPr>
      <w:r>
        <w:t xml:space="preserve">a) Idea</w:t>
      </w:r>
    </w:p>
    <w:p>
      <w:pPr>
        <w:numPr>
          <w:ilvl w:val="0"/>
          <w:numId w:val="1167"/>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44"/>
    <w:bookmarkStart w:id="160" w:name="b_modelo_7"/>
    <w:p>
      <w:pPr>
        <w:pStyle w:val="Heading4"/>
      </w:pPr>
      <w:r>
        <w:t xml:space="preserve">b) Modelo</w:t>
      </w:r>
    </w:p>
    <w:bookmarkStart w:id="145" w:name="i_supuestos_6"/>
    <w:p>
      <w:pPr>
        <w:pStyle w:val="Heading5"/>
      </w:pPr>
      <w:r>
        <w:t xml:space="preserve">i) Supuestos</w:t>
      </w:r>
    </w:p>
    <w:p>
      <w:pPr>
        <w:numPr>
          <w:ilvl w:val="0"/>
          <w:numId w:val="1168"/>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keepNext/>
        <w:numPr>
          <w:ilvl w:val="0"/>
          <w:numId w:val="1168"/>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1"/>
          <w:numId w:val="1169"/>
        </w:numPr>
      </w:pPr>
      <w:r>
        <w:t xml:space="preserve">En la subasta del 5G, la licencia vale 10 para</w:t>
      </w:r>
      <w:r>
        <w:t xml:space="preserve"> </w:t>
      </w:r>
      <w:r>
        <w:t xml:space="preserve">I</w:t>
      </w:r>
      <w:r>
        <w:t xml:space="preserve">, 8 para E y 6 para O. Cada uno conoce la suya y, de las de los otros 2, solo sabe que están entre 0 y 12, todas igual de probables. Seguiremos estas cifras formato a formato en la tabla </w:t>
      </w:r>
      <w:hyperlink w:anchor="tab_subasta_5g">
        <w:r>
          <w:rPr>
            <w:rStyle w:val="Hyperlink"/>
          </w:rPr>
          <w:t xml:space="preserve">8</w:t>
        </w:r>
      </w:hyperlink>
      <w:r>
        <w:t xml:space="preserve">.</w:t>
      </w:r>
    </w:p>
    <w:p>
      <w:pPr>
        <w:numPr>
          <w:ilvl w:val="0"/>
          <w:numId w:val="1168"/>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45"/>
    <w:bookmarkStart w:id="156" w:name="ii_desarrollo_7"/>
    <w:p>
      <w:pPr>
        <w:pStyle w:val="Heading5"/>
      </w:pPr>
      <w:r>
        <w:t xml:space="preserve">ii) Desarrollo</w:t>
      </w:r>
    </w:p>
    <w:p>
      <w:pPr>
        <w:keepNext/>
        <w:numPr>
          <w:ilvl w:val="0"/>
          <w:numId w:val="1170"/>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171"/>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171"/>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171"/>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keepNext/>
        <w:numPr>
          <w:ilvl w:val="1"/>
          <w:numId w:val="1171"/>
        </w:numPr>
      </w:pPr>
      <w:r>
        <w:t xml:space="preserve">Volvamos a la licencia del 5G, con sobre cerrado y segundo precio (fila del segundo precio de la tabla </w:t>
      </w:r>
      <w:hyperlink w:anchor="tab_subasta_5g">
        <w:r>
          <w:rPr>
            <w:rStyle w:val="Hyperlink"/>
          </w:rPr>
          <w:t xml:space="preserve">8</w:t>
        </w:r>
      </w:hyperlink>
      <w:r>
        <w:t xml:space="preserve">):</w:t>
      </w:r>
    </w:p>
    <w:p>
      <w:pPr>
        <w:numPr>
          <w:ilvl w:val="2"/>
          <w:numId w:val="1172"/>
        </w:numPr>
      </w:pPr>
      <w:r>
        <w:t xml:space="preserve">cada operador escribe en su sobre su valoración:</w:t>
      </w:r>
      <w:r>
        <w:t xml:space="preserve"> </w:t>
      </w:r>
      <w:r>
        <w:t xml:space="preserve">I</w:t>
      </w:r>
      <w:r>
        <w:t xml:space="preserve">, 10; E, 8, y O, 6;</w:t>
      </w:r>
    </w:p>
    <w:p>
      <w:pPr>
        <w:numPr>
          <w:ilvl w:val="2"/>
          <w:numId w:val="1172"/>
        </w:numPr>
      </w:pPr>
      <w:r>
        <w:t xml:space="preserve">gana</w:t>
      </w:r>
      <w:r>
        <w:t xml:space="preserve"> </w:t>
      </w:r>
      <w:r>
        <w:t xml:space="preserve">I</w:t>
      </w:r>
      <w:r>
        <w:t xml:space="preserve">, que ha hecho la puja más alta, y paga la segunda, 8: se queda con una ganancia de</w:t>
      </w:r>
      <w:r>
        <w:t xml:space="preserve"> </w:t>
      </w:r>
      <m:oMath>
        <m:r>
          <m:t>10</m:t>
        </m:r>
        <m:r>
          <m:rPr>
            <m:sty m:val="p"/>
          </m:rPr>
          <m:t>−</m:t>
        </m:r>
        <m:r>
          <m:t>8</m:t>
        </m:r>
        <m:r>
          <m:rPr>
            <m:sty m:val="p"/>
          </m:rPr>
          <m:t>=</m:t>
        </m:r>
        <m:r>
          <m:t>2</m:t>
        </m:r>
      </m:oMath>
      <w:r>
        <w:t xml:space="preserve">;</w:t>
      </w:r>
    </w:p>
    <w:p>
      <w:pPr>
        <w:numPr>
          <w:ilvl w:val="2"/>
          <w:numId w:val="1172"/>
        </w:numPr>
      </w:pPr>
      <w:r>
        <w:t xml:space="preserve">¿le convendría a</w:t>
      </w:r>
      <w:r>
        <w:t xml:space="preserve"> </w:t>
      </w:r>
      <w:r>
        <w:t xml:space="preserve">I</w:t>
      </w:r>
      <w:r>
        <w:t xml:space="preserve"> </w:t>
      </w:r>
      <w:r>
        <w:t xml:space="preserve">pujar menos, por ejemplo 7? Perdería la licencia frente a E y dejaría de ganar 2. ¿Y pujar más, por ejemplo 15? Seguiría pagando 8: subir la puja no le cambia el precio;</w:t>
      </w:r>
    </w:p>
    <w:p>
      <w:pPr>
        <w:numPr>
          <w:ilvl w:val="2"/>
          <w:numId w:val="1172"/>
        </w:numPr>
      </w:pPr>
      <w:r>
        <w:t xml:space="preserve">¿le convendría a E pujar más para quedársela, por ejemplo 12? Ganaría, pero pagaría 10 (la puja de</w:t>
      </w:r>
      <w:r>
        <w:t xml:space="preserve"> </w:t>
      </w:r>
      <w:r>
        <w:t xml:space="preserve">I</w:t>
      </w:r>
      <w:r>
        <w:t xml:space="preserve">) por algo que para él vale 8: perdería 2.</w:t>
      </w:r>
    </w:p>
    <w:p>
      <w:pPr>
        <w:numPr>
          <w:ilvl w:val="1"/>
          <w:numId w:val="1171"/>
        </w:numPr>
      </w:pPr>
      <w:r>
        <w:t xml:space="preserve">A ninguno le compensa apartarse de su valoración: el Gobierno ha conseguido que le digan la verdad, y la licencia va a quien más la valora.</w:t>
      </w:r>
    </w:p>
    <w:p>
      <w:pPr>
        <w:keepNext/>
        <w:numPr>
          <w:ilvl w:val="0"/>
          <w:numId w:val="1170"/>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p>
    <w:p>
      <w:pPr>
        <w:keepNext/>
        <w:numPr>
          <w:ilvl w:val="1"/>
          <w:numId w:val="1173"/>
        </w:numPr>
      </w:pPr>
      <w:r>
        <w:t xml:space="preserve">En la licencia del 5G, el Gobierno sube el precio poco a poco desde 0 (gráfico </w:t>
      </w:r>
      <w:hyperlink w:anchor="fig_subasta_5g">
        <w:r>
          <w:rPr>
            <w:rStyle w:val="Hyperlink"/>
          </w:rPr>
          <w:t xml:space="preserve">5</w:t>
        </w:r>
      </w:hyperlink>
      <w:r>
        <w:t xml:space="preserve">):</w:t>
      </w:r>
    </w:p>
    <w:p>
      <w:pPr>
        <w:numPr>
          <w:ilvl w:val="2"/>
          <w:numId w:val="1174"/>
        </w:numPr>
      </w:pPr>
      <w:r>
        <w:t xml:space="preserve">al llegar a 6, O se retira: seguir le obligaría a pagar más de lo que la licencia vale para él;</w:t>
      </w:r>
    </w:p>
    <w:p>
      <w:pPr>
        <w:numPr>
          <w:ilvl w:val="2"/>
          <w:numId w:val="1174"/>
        </w:numPr>
      </w:pPr>
      <w:r>
        <w:t xml:space="preserve">al llegar a 8, se retira E, por la misma razón, y</w:t>
      </w:r>
    </w:p>
    <w:p>
      <w:pPr>
        <w:numPr>
          <w:ilvl w:val="2"/>
          <w:numId w:val="1174"/>
        </w:numPr>
      </w:pPr>
      <w:r>
        <w:t xml:space="preserve">queda</w:t>
      </w:r>
      <w:r>
        <w:t xml:space="preserve"> </w:t>
      </w:r>
      <w:r>
        <w:t xml:space="preserve">I</w:t>
      </w:r>
      <w:r>
        <w:t xml:space="preserve">, que se lleva la licencia por 8, lo mismo que en segundo precio, y gana</w:t>
      </w:r>
      <w:r>
        <w:t xml:space="preserve"> </w:t>
      </w:r>
      <m:oMath>
        <m:r>
          <m:t>10</m:t>
        </m:r>
        <m:r>
          <m:rPr>
            <m:sty m:val="p"/>
          </m:rPr>
          <m:t>−</m:t>
        </m:r>
        <m:r>
          <m:t>8</m:t>
        </m:r>
        <m:r>
          <m:rPr>
            <m:sty m:val="p"/>
          </m:rPr>
          <m:t>=</m:t>
        </m:r>
        <m:r>
          <m:t>2</m:t>
        </m:r>
      </m:oMath>
      <w:r>
        <w:t xml:space="preserve">.</w:t>
      </w:r>
    </w:p>
    <w:bookmarkStart w:id="149" w:name="fig_subasta_5g"/>
    <w:p>
      <w:pPr>
        <w:pStyle w:val="ImageCaption"/>
      </w:pPr>
      <w:r>
        <w:t xml:space="preserve">Gráfico 5.–</w:t>
      </w:r>
      <w:r>
        <w:t xml:space="preserve"> </w:t>
      </w:r>
      <w:r>
        <w:t xml:space="preserve">La licencia del 5G: hasta dónde llega cada operador en la inglesa y cuánto puja en primer precio</w:t>
      </w:r>
    </w:p>
    <w:p>
      <w:pPr>
        <w:pStyle w:val="CaptionedFigure"/>
      </w:pPr>
      <w:r>
        <w:drawing>
          <wp:inline>
            <wp:extent cx="4775200" cy="1818579"/>
            <wp:effectExtent b="0" l="0" r="0" t="0"/>
            <wp:docPr descr="Gráfico 5.– La licencia del 5G: hasta dónde llega cada operador en la inglesa y cuánto puja en primer precio" title="" id="147" name="Picture"/>
            <a:graphic>
              <a:graphicData uri="http://schemas.openxmlformats.org/drawingml/2006/picture">
                <pic:pic>
                  <pic:nvPicPr>
                    <pic:cNvPr descr="C:\Users\vgutierrez\Documents\src\victorgutierrezmarcos.github.io-revision\oposicion\temario\fuentes\3A14\graficos/subasta-5g.png" id="148" name="Picture"/>
                    <pic:cNvPicPr>
                      <a:picLocks noChangeArrowheads="1" noChangeAspect="1"/>
                    </pic:cNvPicPr>
                  </pic:nvPicPr>
                  <pic:blipFill>
                    <a:blip r:embed="rId146"/>
                    <a:stretch>
                      <a:fillRect/>
                    </a:stretch>
                  </pic:blipFill>
                  <pic:spPr bwMode="auto">
                    <a:xfrm>
                      <a:off x="0" y="0"/>
                      <a:ext cx="4775200" cy="1818579"/>
                    </a:xfrm>
                    <a:prstGeom prst="rect">
                      <a:avLst/>
                    </a:prstGeom>
                    <a:noFill/>
                    <a:ln w="9525">
                      <a:noFill/>
                      <a:headEnd/>
                      <a:tailEnd/>
                    </a:ln>
                  </pic:spPr>
                </pic:pic>
              </a:graphicData>
            </a:graphic>
          </wp:inline>
        </w:drawing>
      </w:r>
    </w:p>
    <w:bookmarkEnd w:id="149"/>
    <w:p>
      <w:pPr>
        <w:pStyle w:val="Piedeimagen"/>
      </w:pPr>
      <w:r>
        <w:t xml:space="preserve">Fuente: elaboración propia. Valoraciones:</w:t>
      </w:r>
      <w:r>
        <w:t xml:space="preserve"> </w:t>
      </w:r>
      <w:r>
        <w:t xml:space="preserve">I</w:t>
      </w:r>
      <w:r>
        <w:t xml:space="preserve">, 10; E, 8, y O, 6; en primer precio, cada uno puja 2/3 de la suya (con 3 pujadores y valoraciones uniformes entre 0 y 12).</w:t>
      </w:r>
    </w:p>
    <w:p>
      <w:pPr>
        <w:numPr>
          <w:ilvl w:val="0"/>
          <w:numId w:val="1175"/>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50" w:name="eq_puja"/>
    <w:bookmarkEnd w:id="150"/>
    <w:p>
      <w:pPr>
        <w:pStyle w:val="Funcionclave"/>
        <w:keepLines/>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6</w:t>
        </w:r>
      </w:hyperlink>
      <w:r>
        <w:t xml:space="preserve">).</w:t>
      </w:r>
    </w:p>
    <w:p>
      <w:pPr>
        <w:keepNext/>
        <w:numPr>
          <w:ilvl w:val="1"/>
          <w:numId w:val="1176"/>
        </w:numPr>
      </w:pPr>
      <w:r>
        <w:t xml:space="preserve">En la licencia del 5G con sobre cerrado y primer precio, nadie puja su valoración: si</w:t>
      </w:r>
      <w:r>
        <w:t xml:space="preserve"> </w:t>
      </w:r>
      <w:r>
        <w:t xml:space="preserve">I</w:t>
      </w:r>
      <w:r>
        <w:t xml:space="preserve"> </w:t>
      </w:r>
      <w:r>
        <w:t xml:space="preserve">pujara 10 y ganara, pagaría 10 y no ganaría nada. Cada operador sabe la suya y, de los otros 2, solo que sus valoraciones están entre 0 y 12, todas igual de probables (la regla es la misma con cualquier tope). Con</w:t>
      </w:r>
      <w:r>
        <w:t xml:space="preserve"> </w:t>
      </w:r>
      <m:oMath>
        <m:r>
          <m:t>n</m:t>
        </m:r>
        <m:r>
          <m:rPr>
            <m:sty m:val="p"/>
          </m:rPr>
          <m:t>=</m:t>
        </m:r>
        <m:r>
          <m:t>3</m:t>
        </m:r>
      </m:oMath>
      <w:r>
        <w:t xml:space="preserve">:</w:t>
      </w:r>
    </w:p>
    <w:p>
      <w:pPr>
        <w:numPr>
          <w:ilvl w:val="2"/>
          <w:numId w:val="1177"/>
        </w:numPr>
      </w:pPr>
      <w:r>
        <w:t xml:space="preserve">cada uno puja 2/3 de su valoración:</w:t>
      </w:r>
      <w:r>
        <w:t xml:space="preserve"> </w:t>
      </w:r>
      <w:r>
        <w:t xml:space="preserve">I</w:t>
      </w:r>
      <w:r>
        <w:t xml:space="preserve">,</w:t>
      </w:r>
      <w:r>
        <w:t xml:space="preserve"> </w:t>
      </w:r>
      <m:oMath>
        <m:f>
          <m:fPr>
            <m:type m:val="lin"/>
          </m:fPr>
          <m:num>
            <m:r>
              <m:t>2</m:t>
            </m:r>
          </m:num>
          <m:den>
            <m:r>
              <m:t>3</m:t>
            </m:r>
          </m:den>
        </m:f>
        <m:r>
          <m:rPr>
            <m:sty m:val="p"/>
          </m:rPr>
          <m:t>⋅</m:t>
        </m:r>
        <m:r>
          <m:t>10</m:t>
        </m:r>
        <m:r>
          <m:rPr>
            <m:sty m:val="p"/>
          </m:rPr>
          <m:t>=</m:t>
        </m:r>
        <m:r>
          <m:t>6</m:t>
        </m:r>
        <m:r>
          <m:rPr>
            <m:sty m:val="p"/>
          </m:rPr>
          <m:t>,</m:t>
        </m:r>
        <m:r>
          <m:t>67</m:t>
        </m:r>
      </m:oMath>
      <w:r>
        <w:t xml:space="preserve">; E, 5,33, y O, 4 (gráfico </w:t>
      </w:r>
      <w:hyperlink w:anchor="fig_subasta_5g">
        <w:r>
          <w:rPr>
            <w:rStyle w:val="Hyperlink"/>
          </w:rPr>
          <w:t xml:space="preserve">5</w:t>
        </w:r>
      </w:hyperlink>
      <w:r>
        <w:t xml:space="preserve">);</w:t>
      </w:r>
    </w:p>
    <w:p>
      <w:pPr>
        <w:numPr>
          <w:ilvl w:val="2"/>
          <w:numId w:val="1177"/>
        </w:numPr>
      </w:pPr>
      <w:r>
        <w:t xml:space="preserve">gana</w:t>
      </w:r>
      <w:r>
        <w:t xml:space="preserve"> </w:t>
      </w:r>
      <w:r>
        <w:t xml:space="preserve">I</w:t>
      </w:r>
      <w:r>
        <w:t xml:space="preserve">, que paga su puja, 6,67, y se queda con</w:t>
      </w:r>
      <w:r>
        <w:t xml:space="preserve"> </w:t>
      </w:r>
      <m:oMath>
        <m:r>
          <m:t>10</m:t>
        </m:r>
        <m:r>
          <m:rPr>
            <m:sty m:val="p"/>
          </m:rPr>
          <m:t>−</m:t>
        </m:r>
        <m:r>
          <m:t>6</m:t>
        </m:r>
        <m:r>
          <m:rPr>
            <m:sty m:val="p"/>
          </m:rPr>
          <m:t>,</m:t>
        </m:r>
        <m:r>
          <m:t>67</m:t>
        </m:r>
        <m:r>
          <m:rPr>
            <m:sty m:val="p"/>
          </m:rPr>
          <m:t>=</m:t>
        </m:r>
        <m:r>
          <m:t>3</m:t>
        </m:r>
        <m:r>
          <m:rPr>
            <m:sty m:val="p"/>
          </m:rPr>
          <m:t>,</m:t>
        </m:r>
        <m:r>
          <m:t>33</m:t>
        </m:r>
      </m:oMath>
      <w:r>
        <w:t xml:space="preserve"> </w:t>
      </w:r>
      <w:r>
        <w:t xml:space="preserve">(fila del primer precio de la tabla </w:t>
      </w:r>
      <w:hyperlink w:anchor="tab_subasta_5g">
        <w:r>
          <w:rPr>
            <w:rStyle w:val="Hyperlink"/>
          </w:rPr>
          <w:t xml:space="preserve">8</w:t>
        </w:r>
      </w:hyperlink>
      <w:r>
        <w:t xml:space="preserve">);</w:t>
      </w:r>
    </w:p>
    <w:p>
      <w:pPr>
        <w:numPr>
          <w:ilvl w:val="2"/>
          <w:numId w:val="1177"/>
        </w:numPr>
      </w:pPr>
      <w:r>
        <w:t xml:space="preserve">6,67 es lo que</w:t>
      </w:r>
      <w:r>
        <w:t xml:space="preserve"> </w:t>
      </w:r>
      <w:r>
        <w:t xml:space="preserve">I</w:t>
      </w:r>
      <w:r>
        <w:t xml:space="preserve"> </w:t>
      </w:r>
      <w:r>
        <w:t xml:space="preserve">espera que valga la segunda valoración si la suya es la más alta: si las 2 de sus rivales están por debajo de 10, la mayor de ellas está, en promedio, en</w:t>
      </w:r>
      <w:r>
        <w:t xml:space="preserve"> </w:t>
      </w:r>
      <m:oMath>
        <m:f>
          <m:fPr>
            <m:type m:val="lin"/>
          </m:fPr>
          <m:num>
            <m:r>
              <m:t>2</m:t>
            </m:r>
          </m:num>
          <m:den>
            <m:r>
              <m:t>3</m:t>
            </m:r>
          </m:den>
        </m:f>
        <m:r>
          <m:rPr>
            <m:sty m:val="p"/>
          </m:rPr>
          <m:t>⋅</m:t>
        </m:r>
        <m:r>
          <m:t>10</m:t>
        </m:r>
      </m:oMath>
      <w:r>
        <w:t xml:space="preserve">;</w:t>
      </w:r>
    </w:p>
    <w:p>
      <w:pPr>
        <w:numPr>
          <w:ilvl w:val="2"/>
          <w:numId w:val="1177"/>
        </w:numPr>
      </w:pPr>
      <w:r>
        <w:t xml:space="preserve">¿por qué no pujar menos, por ejemplo 5?</w:t>
      </w:r>
      <w:r>
        <w:t xml:space="preserve"> </w:t>
      </w:r>
      <w:r>
        <w:t xml:space="preserve">I</w:t>
      </w:r>
      <w:r>
        <w:t xml:space="preserve"> </w:t>
      </w:r>
      <w:r>
        <w:t xml:space="preserve">no sabe que E valora la licencia en 8: si ganara, se ahorraría 1,67, pero ganaría con menos probabilidad (aquí, la perdería frente a la puja de E, 5,33). La puja de 6,67 equilibra las 2 cosas.</w:t>
      </w:r>
    </w:p>
    <w:p>
      <w:pPr>
        <w:keepNext/>
        <w:numPr>
          <w:ilvl w:val="0"/>
          <w:numId w:val="1175"/>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p>
      <w:pPr>
        <w:numPr>
          <w:ilvl w:val="1"/>
          <w:numId w:val="1178"/>
        </w:numPr>
      </w:pPr>
      <w:r>
        <w:t xml:space="preserve">En la licencia del 5G, el reloj baja desde 12, y cada operador decide de antemano dónde lo parará: lo mismo que pujaría en primer precio.</w:t>
      </w:r>
      <w:r>
        <w:t xml:space="preserve"> </w:t>
      </w:r>
      <w:r>
        <w:t xml:space="preserve">I</w:t>
      </w:r>
      <w:r>
        <w:t xml:space="preserve"> </w:t>
      </w:r>
      <w:r>
        <w:t xml:space="preserve">lo para en 6,67, antes que E (5,33) y O (4), y paga 6,67.</w:t>
      </w:r>
    </w:p>
    <w:bookmarkStart w:id="151" w:name="tab_subasta_5g"/>
    <w:p>
      <w:pPr>
        <w:pStyle w:val="TableCaption"/>
      </w:pPr>
      <w:r>
        <w:t xml:space="preserve">Tabla 8.–</w:t>
      </w:r>
      <w:r>
        <w:t xml:space="preserve"> </w:t>
      </w:r>
      <w:r>
        <w:t xml:space="preserve">La subasta de la licencia del 5G formato a formato: pujas de</w:t>
      </w:r>
      <w:r>
        <w:t xml:space="preserve"> </w:t>
      </w:r>
      <w:r>
        <w:t xml:space="preserve">I</w:t>
      </w:r>
      <w:r>
        <w:t xml:space="preserve">, E y O, quién gana y cuánto ingresa el Gobierno</w:t>
      </w:r>
    </w:p>
    <w:tbl>
      <w:tblPr>
        <w:tblStyle w:val="Table"/>
        <w:tblW w:type="auto" w:w="0"/>
        <w:tblLook w:firstRow="1" w:lastRow="0" w:firstColumn="0" w:lastColumn="0" w:noHBand="0" w:noVBand="0" w:val="0020"/>
        <w:tblCaption w:val="Tabla 8.– La subasta de la licencia del 5G formato a formato: pujas de I, E y O, quién gana y cuánto ingresa el Gobierno"/>
      </w:tblPr>
      <w:tblGrid>
        <w:gridCol w:w="1131"/>
        <w:gridCol w:w="1131"/>
        <w:gridCol w:w="1131"/>
        <w:gridCol w:w="1131"/>
        <w:gridCol w:w="1131"/>
        <w:gridCol w:w="1131"/>
        <w:gridCol w:w="1131"/>
      </w:tblGrid>
      <w:tr>
        <w:trPr>
          <w:cantSplit/>
          <w:tblHeader w:val="on"/>
        </w:trPr>
        <w:tc>
          <w:tcPr>
            <w:vAlign w:val="center"/>
          </w:tcPr>
          <w:p/>
        </w:tc>
        <w:tc>
          <w:tcPr>
            <w:shd w:val="clear" w:color="auto" w:fill="DDEBF7"/>
            <w:vAlign w:val="center"/>
          </w:tcPr>
          <w:p>
            <w:pPr>
              <w:pStyle w:val="Celdatceeazulpalido"/>
              <w:jc w:val="center"/>
            </w:pPr>
            <w:r>
              <w:rPr>
                <w:b/>
                <w:bCs/>
              </w:rPr>
              <w:t xml:space="preserve">I</w:t>
            </w:r>
          </w:p>
        </w:tc>
        <w:tc>
          <w:tcPr>
            <w:shd w:val="clear" w:color="auto" w:fill="DDEBF7"/>
            <w:vAlign w:val="center"/>
          </w:tcPr>
          <w:p>
            <w:pPr>
              <w:pStyle w:val="Celdatceeazulpalido"/>
              <w:jc w:val="center"/>
            </w:pPr>
            <w:r>
              <w:rPr>
                <w:b/>
                <w:bCs/>
              </w:rPr>
              <w:t xml:space="preserve">E</w:t>
            </w:r>
          </w:p>
        </w:tc>
        <w:tc>
          <w:tcPr>
            <w:shd w:val="clear" w:color="auto" w:fill="DDEBF7"/>
            <w:vAlign w:val="center"/>
          </w:tcPr>
          <w:p>
            <w:pPr>
              <w:pStyle w:val="Celdatceeazulpalido"/>
              <w:jc w:val="center"/>
            </w:pPr>
            <w:r>
              <w:rPr>
                <w:b/>
                <w:bCs/>
              </w:rPr>
              <w:t xml:space="preserve">O</w:t>
            </w:r>
          </w:p>
        </w:tc>
        <w:tc>
          <w:tcPr>
            <w:shd w:val="clear" w:color="auto" w:fill="DDEBF7"/>
            <w:vAlign w:val="center"/>
          </w:tcPr>
          <w:p>
            <w:pPr>
              <w:pStyle w:val="Celdatceeazulpalido"/>
              <w:jc w:val="center"/>
            </w:pPr>
            <w:r>
              <w:rPr>
                <w:b/>
                <w:bCs/>
              </w:rPr>
              <w:t xml:space="preserve">Gana</w:t>
            </w:r>
          </w:p>
        </w:tc>
        <w:tc>
          <w:tcPr>
            <w:shd w:val="clear" w:color="auto" w:fill="DDEBF7"/>
            <w:vAlign w:val="center"/>
          </w:tcPr>
          <w:p>
            <w:pPr>
              <w:pStyle w:val="Celdatceeazulpalido"/>
              <w:jc w:val="center"/>
            </w:pPr>
            <w:r>
              <w:rPr>
                <w:b/>
                <w:bCs/>
              </w:rPr>
              <w:t xml:space="preserve">Paga</w:t>
            </w:r>
            <w:r>
              <w:br/>
            </w:r>
            <w:r>
              <w:t xml:space="preserve">(ingreso del Gobierno)</w:t>
            </w:r>
          </w:p>
        </w:tc>
        <w:tc>
          <w:tcPr>
            <w:shd w:val="clear" w:color="auto" w:fill="DDEBF7"/>
            <w:vAlign w:val="center"/>
          </w:tcPr>
          <w:p>
            <w:pPr>
              <w:pStyle w:val="Celdatceeazulpalido"/>
              <w:jc w:val="center"/>
            </w:pPr>
            <w:r>
              <w:rPr>
                <w:b/>
                <w:bCs/>
              </w:rPr>
              <w:t xml:space="preserve">Ganancia del que gana</w:t>
            </w:r>
          </w:p>
        </w:tc>
      </w:tr>
      <w:tr>
        <w:trPr>
          <w:cantSplit/>
        </w:trPr>
        <w:tc>
          <w:tcPr>
            <w:vAlign w:val="center"/>
          </w:tcPr>
          <w:p>
            <w:pPr>
              <w:pStyle w:val="Compact"/>
              <w:jc w:val="left"/>
            </w:pPr>
            <w:r>
              <w:rPr>
                <w:b/>
                <w:bCs/>
              </w:rPr>
              <w:t xml:space="preserve">Valoración</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pPr>
          </w:p>
        </w:tc>
        <w:tc>
          <w:tcPr>
            <w:vAlign w:val="center"/>
          </w:tcPr>
          <w:p>
            <w:pPr>
              <w:pStyle w:val="Compact"/>
            </w:pPr>
          </w:p>
        </w:tc>
        <w:tc>
          <w:tcPr>
            <w:vAlign w:val="center"/>
          </w:tcPr>
          <w:p>
            <w:pPr>
              <w:pStyle w:val="Compact"/>
            </w:pPr>
          </w:p>
        </w:tc>
      </w:tr>
      <w:tr>
        <w:trPr>
          <w:cantSplit/>
        </w:trPr>
        <w:tc>
          <w:tcPr>
            <w:vAlign w:val="center"/>
          </w:tcPr>
          <w:p>
            <w:pPr>
              <w:pStyle w:val="Compact"/>
              <w:jc w:val="left"/>
            </w:pPr>
            <w:r>
              <w:rPr>
                <w:rStyle w:val="Textoverde"/>
                <w:b/>
                <w:bCs/>
              </w:rPr>
              <w:t xml:space="preserve">Segundo precio</w:t>
            </w:r>
            <w:r>
              <w:t xml:space="preserve">:</w:t>
            </w:r>
            <w:r>
              <w:br/>
            </w:r>
            <w:r>
              <w:t xml:space="preserve">puja</w:t>
            </w:r>
          </w:p>
        </w:tc>
        <w:tc>
          <w:tcPr>
            <w:vAlign w:val="center"/>
          </w:tcPr>
          <w:p>
            <w:pPr>
              <w:pStyle w:val="Compact"/>
              <w:jc w:val="center"/>
            </w:pPr>
            <w:r>
              <w:t xml:space="preserve">10</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(la 2.ª puja)</w:t>
            </w:r>
          </w:p>
        </w:tc>
        <w:tc>
          <w:tcPr>
            <w:vAlign w:val="center"/>
          </w:tcPr>
          <w:p>
            <w:pPr>
              <w:pStyle w:val="Compact"/>
              <w:jc w:val="center"/>
            </w:pPr>
            <w:r>
              <w:t xml:space="preserve">2</w:t>
            </w:r>
          </w:p>
        </w:tc>
      </w:tr>
      <w:tr>
        <w:trPr>
          <w:cantSplit/>
        </w:trPr>
        <w:tc>
          <w:tcPr>
            <w:vAlign w:val="center"/>
          </w:tcPr>
          <w:p>
            <w:pPr>
              <w:pStyle w:val="Compact"/>
              <w:jc w:val="left"/>
            </w:pPr>
            <w:r>
              <w:rPr>
                <w:rStyle w:val="Textoverde"/>
                <w:b/>
                <w:bCs/>
              </w:rPr>
              <w:t xml:space="preserve">Inglesa</w:t>
            </w:r>
            <w:r>
              <w:t xml:space="preserve">:</w:t>
            </w:r>
            <w:r>
              <w:br/>
            </w:r>
            <w:r>
              <w:t xml:space="preserve">precio al que se retira</w:t>
            </w:r>
          </w:p>
        </w:tc>
        <w:tc>
          <w:tcPr>
            <w:vAlign w:val="center"/>
          </w:tcPr>
          <w:p>
            <w:pPr>
              <w:pStyle w:val="Compact"/>
              <w:jc w:val="center"/>
            </w:pPr>
            <w:r>
              <w:t xml:space="preserve">sigue</w:t>
            </w:r>
          </w:p>
        </w:tc>
        <w:tc>
          <w:tcPr>
            <w:vAlign w:val="center"/>
          </w:tcPr>
          <w:p>
            <w:pPr>
              <w:pStyle w:val="Compact"/>
              <w:jc w:val="center"/>
            </w:pPr>
            <w:r>
              <w:t xml:space="preserve">8</w:t>
            </w:r>
          </w:p>
        </w:tc>
        <w:tc>
          <w:tcPr>
            <w:vAlign w:val="center"/>
          </w:tcPr>
          <w:p>
            <w:pPr>
              <w:pStyle w:val="Compact"/>
              <w:jc w:val="center"/>
            </w:pPr>
            <w:r>
              <w:t xml:space="preserve">6</w:t>
            </w:r>
          </w:p>
        </w:tc>
        <w:tc>
          <w:tcPr>
            <w:vAlign w:val="center"/>
          </w:tcPr>
          <w:p>
            <w:pPr>
              <w:pStyle w:val="Compact"/>
              <w:jc w:val="center"/>
            </w:pPr>
            <w:r>
              <w:t xml:space="preserve">I</w:t>
            </w:r>
          </w:p>
        </w:tc>
        <w:tc>
          <w:tcPr>
            <w:vAlign w:val="center"/>
          </w:tcPr>
          <w:p>
            <w:pPr>
              <w:pStyle w:val="Compact"/>
              <w:jc w:val="center"/>
            </w:pPr>
            <w:r>
              <w:t xml:space="preserve">8</w:t>
            </w:r>
            <w:r>
              <w:br/>
            </w:r>
            <w:r>
              <w:t xml:space="preserve">(se retira E)</w:t>
            </w:r>
          </w:p>
        </w:tc>
        <w:tc>
          <w:tcPr>
            <w:vAlign w:val="center"/>
          </w:tcPr>
          <w:p>
            <w:pPr>
              <w:pStyle w:val="Compact"/>
              <w:jc w:val="center"/>
            </w:pPr>
            <w:r>
              <w:t xml:space="preserve">2</w:t>
            </w:r>
          </w:p>
        </w:tc>
      </w:tr>
      <w:tr>
        <w:trPr>
          <w:cantSplit/>
        </w:trPr>
        <w:tc>
          <w:tcPr>
            <w:vAlign w:val="center"/>
          </w:tcPr>
          <w:p>
            <w:pPr>
              <w:pStyle w:val="Compact"/>
              <w:jc w:val="left"/>
            </w:pPr>
            <w:r>
              <w:rPr>
                <w:rStyle w:val="Textodorado"/>
                <w:b/>
                <w:bCs/>
              </w:rPr>
              <w:t xml:space="preserve">Primer precio</w:t>
            </w:r>
            <w:r>
              <w:t xml:space="preserve"> </w:t>
            </w:r>
            <w:r>
              <w:t xml:space="preserve">(y</w:t>
            </w:r>
            <w:r>
              <w:t xml:space="preserve"> </w:t>
            </w:r>
            <w:r>
              <w:rPr>
                <w:rStyle w:val="Textodorado"/>
                <w:b/>
                <w:bCs/>
              </w:rPr>
              <w:t xml:space="preserve">holandesa</w:t>
            </w:r>
            <w:r>
              <w:t xml:space="preserve">): puja</w:t>
            </w:r>
          </w:p>
        </w:tc>
        <w:tc>
          <w:tcPr>
            <w:vAlign w:val="center"/>
          </w:tcPr>
          <w:p>
            <w:pPr>
              <w:pStyle w:val="Compact"/>
              <w:jc w:val="center"/>
            </w:pPr>
            <w:r>
              <w:t xml:space="preserve">6,67</w:t>
            </w:r>
          </w:p>
        </w:tc>
        <w:tc>
          <w:tcPr>
            <w:vAlign w:val="center"/>
          </w:tcPr>
          <w:p>
            <w:pPr>
              <w:pStyle w:val="Compact"/>
              <w:jc w:val="center"/>
            </w:pPr>
            <w:r>
              <w:t xml:space="preserve">5,33</w:t>
            </w:r>
          </w:p>
        </w:tc>
        <w:tc>
          <w:tcPr>
            <w:vAlign w:val="center"/>
          </w:tcPr>
          <w:p>
            <w:pPr>
              <w:pStyle w:val="Compact"/>
              <w:jc w:val="center"/>
            </w:pPr>
            <w:r>
              <w:t xml:space="preserve">4</w:t>
            </w:r>
          </w:p>
        </w:tc>
        <w:tc>
          <w:tcPr>
            <w:vAlign w:val="center"/>
          </w:tcPr>
          <w:p>
            <w:pPr>
              <w:pStyle w:val="Compact"/>
              <w:jc w:val="center"/>
            </w:pPr>
            <w:r>
              <w:t xml:space="preserve">I</w:t>
            </w:r>
          </w:p>
        </w:tc>
        <w:tc>
          <w:tcPr>
            <w:vAlign w:val="center"/>
          </w:tcPr>
          <w:p>
            <w:pPr>
              <w:pStyle w:val="Compact"/>
              <w:jc w:val="center"/>
            </w:pPr>
            <w:r>
              <w:t xml:space="preserve">6,67</w:t>
            </w:r>
            <w:r>
              <w:br/>
            </w:r>
            <w:r>
              <w:t xml:space="preserve">(su puja)</w:t>
            </w:r>
          </w:p>
        </w:tc>
        <w:tc>
          <w:tcPr>
            <w:vAlign w:val="center"/>
          </w:tcPr>
          <w:p>
            <w:pPr>
              <w:pStyle w:val="Compact"/>
              <w:jc w:val="center"/>
            </w:pPr>
            <w:r>
              <w:t xml:space="preserve">3,33</w:t>
            </w:r>
          </w:p>
        </w:tc>
      </w:tr>
      <w:tr>
        <w:trPr>
          <w:cantSplit/>
        </w:trPr>
        <w:tc>
          <w:tcPr>
            <w:shd w:val="clear" w:color="auto" w:fill="E2EFD9"/>
            <w:vAlign w:val="center"/>
          </w:tcPr>
          <w:p>
            <w:pPr>
              <w:pStyle w:val="Celdatceesalvia"/>
              <w:jc w:val="left"/>
            </w:pPr>
            <w:r>
              <w:rPr>
                <w:b/>
                <w:bCs/>
              </w:rPr>
              <w:t xml:space="preserve">En promedio</w:t>
            </w:r>
            <w:r>
              <w:t xml:space="preserve"> </w:t>
            </w:r>
            <w:r>
              <w:t xml:space="preserve">(antes de conocer las valoraciones)</w:t>
            </w:r>
          </w:p>
        </w:tc>
        <w:tc>
          <w:tcPr>
            <w:vAlign w:val="center"/>
          </w:tcPr>
          <w:p/>
        </w:tc>
        <w:tc>
          <w:tcPr>
            <w:vAlign w:val="center"/>
          </w:tcPr>
          <w:p/>
        </w:tc>
        <w:tc>
          <w:tcPr>
            <w:vAlign w:val="center"/>
          </w:tcPr>
          <w:p/>
        </w:tc>
        <w:tc>
          <w:tcPr>
            <w:vAlign w:val="center"/>
          </w:tcPr>
          <w:p/>
        </w:tc>
        <w:tc>
          <w:tcPr>
            <w:shd w:val="clear" w:color="auto" w:fill="E2EFD9"/>
            <w:vAlign w:val="center"/>
          </w:tcPr>
          <w:p>
            <w:pPr>
              <w:pStyle w:val="Celdatceesalvia"/>
              <w:jc w:val="center"/>
            </w:pPr>
            <w:r>
              <w:t xml:space="preserve">6 en todos los formatos</w:t>
            </w:r>
          </w:p>
        </w:tc>
        <w:tc>
          <w:tcPr>
            <w:vAlign w:val="center"/>
          </w:tcPr>
          <w:p/>
        </w:tc>
      </w:tr>
    </w:tbl>
    <w:bookmarkEnd w:id="151"/>
    <w:p>
      <w:pPr>
        <w:pStyle w:val="BodyText"/>
      </w:pPr>
      <w:r>
        <w:rPr>
          <w:i/>
          <w:iCs/>
        </w:rPr>
        <w:t xml:space="preserve">Fuente: elaboración propia. Valoraciones uniformes entre 0 y 12 y 3 pujadores: en primer precio, cada uno puja 2/3 de su valoración (</w:t>
      </w:r>
      <w:hyperlink w:anchor="eq_puja">
        <w:r>
          <w:rPr>
            <w:rStyle w:val="Hyperlink"/>
            <w:i/>
            <w:iCs/>
          </w:rPr>
          <w:t xml:space="preserve">5</w:t>
        </w:r>
      </w:hyperlink>
      <w:r>
        <w:rPr>
          <w:i/>
          <w:iCs/>
        </w:rPr>
        <w:t xml:space="preserve">); el ingreso esperado es</w:t>
      </w:r>
      <w:r>
        <w:rPr>
          <w:i/>
          <w:iCs/>
        </w:rPr>
        <w:t xml:space="preserve"> </w:t>
      </w:r>
      <m:oMath>
        <m:r>
          <m:t>12</m:t>
        </m:r>
        <m:r>
          <m:rPr>
            <m:sty m:val="p"/>
          </m:rPr>
          <m:t>⋅</m:t>
        </m:r>
        <m:f>
          <m:fPr>
            <m:type m:val="bar"/>
          </m:fPr>
          <m:num>
            <m:r>
              <m:t>2</m:t>
            </m:r>
          </m:num>
          <m:den>
            <m:r>
              <m:t>4</m:t>
            </m:r>
          </m:den>
        </m:f>
        <m:r>
          <m:rPr>
            <m:sty m:val="p"/>
          </m:rPr>
          <m:t>=</m:t>
        </m:r>
        <m:r>
          <m:t>6</m:t>
        </m:r>
      </m:oMath>
      <w:r>
        <w:rPr>
          <w:i/>
          <w:iCs/>
        </w:rPr>
        <w:t xml:space="preserve"> </w:t>
      </w:r>
      <w:r>
        <w:rPr>
          <w:i/>
          <w:iCs/>
        </w:rPr>
        <w:t xml:space="preserve">(</w:t>
      </w:r>
      <w:hyperlink w:anchor="eq_equivalencia">
        <w:r>
          <w:rPr>
            <w:rStyle w:val="Hyperlink"/>
            <w:i/>
            <w:iCs/>
          </w:rPr>
          <w:t xml:space="preserve">6</w:t>
        </w:r>
      </w:hyperlink>
      <w:r>
        <w:rPr>
          <w:i/>
          <w:iCs/>
        </w:rPr>
        <w:t xml:space="preserve">). En verde, los formatos en los que se puja la valoración; en dorado, aquellos en los que se sombrea.</w:t>
      </w:r>
    </w:p>
    <w:bookmarkStart w:id="155" w:name="fig_pujas"/>
    <w:p>
      <w:pPr>
        <w:pStyle w:val="ImageCaption"/>
      </w:pPr>
      <w:r>
        <w:t xml:space="preserve">Gráfico 6.–</w:t>
      </w:r>
      <w:r>
        <w:t xml:space="preserve"> </w:t>
      </w:r>
      <w:r>
        <w:t xml:space="preserve">Pujas de equilibrio con valores privados independientes y uniformes</w:t>
      </w:r>
    </w:p>
    <w:p>
      <w:pPr>
        <w:pStyle w:val="CaptionedFigure"/>
      </w:pPr>
      <w:r>
        <w:drawing>
          <wp:inline>
            <wp:extent cx="3082659" cy="2605581"/>
            <wp:effectExtent b="0" l="0" r="0" t="0"/>
            <wp:docPr descr="Gráfico 6.– Pujas de equilibrio con valores privados independientes y uniformes" title="" id="153" name="Picture"/>
            <a:graphic>
              <a:graphicData uri="http://schemas.openxmlformats.org/drawingml/2006/picture">
                <pic:pic>
                  <pic:nvPicPr>
                    <pic:cNvPr descr="C:\Users\vgutierrez\Documents\src\victorgutierrezmarcos.github.io-revision\oposicion\temario\fuentes\3A14\graficos/pujas.png" id="154" name="Picture"/>
                    <pic:cNvPicPr>
                      <a:picLocks noChangeArrowheads="1" noChangeAspect="1"/>
                    </pic:cNvPicPr>
                  </pic:nvPicPr>
                  <pic:blipFill>
                    <a:blip r:embed="rId152"/>
                    <a:stretch>
                      <a:fillRect/>
                    </a:stretch>
                  </pic:blipFill>
                  <pic:spPr bwMode="auto">
                    <a:xfrm>
                      <a:off x="0" y="0"/>
                      <a:ext cx="3082659" cy="2605581"/>
                    </a:xfrm>
                    <a:prstGeom prst="rect">
                      <a:avLst/>
                    </a:prstGeom>
                    <a:noFill/>
                    <a:ln w="9525">
                      <a:noFill/>
                      <a:headEnd/>
                      <a:tailEnd/>
                    </a:ln>
                  </pic:spPr>
                </pic:pic>
              </a:graphicData>
            </a:graphic>
          </wp:inline>
        </w:drawing>
      </w:r>
    </w:p>
    <w:bookmarkEnd w:id="155"/>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56"/>
    <w:bookmarkStart w:id="159" w:name="iii_implicaciones_el_teorema_de_eq_62604"/>
    <w:p>
      <w:pPr>
        <w:pStyle w:val="Heading5"/>
      </w:pPr>
      <w:r>
        <w:t xml:space="preserve">iii) Implicaciones: el teorema de equivalencia de ingresos</w:t>
      </w:r>
    </w:p>
    <w:p>
      <w:pPr>
        <w:numPr>
          <w:ilvl w:val="0"/>
          <w:numId w:val="1179"/>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57" w:name="eq_equivalencia"/>
      <w:bookmarkEnd w:id="157"/>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58"/>
      </w:r>
    </w:p>
    <w:p>
      <w:pPr>
        <w:keepNext/>
        <w:numPr>
          <w:ilvl w:val="0"/>
          <w:numId w:val="1179"/>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que cumpla en equilibrio 2 condiciones da al vendedor el</w:t>
      </w:r>
      <w:r>
        <w:t xml:space="preserve"> </w:t>
      </w:r>
      <w:r>
        <w:rPr>
          <w:i/>
          <w:iCs/>
        </w:rPr>
        <w:t xml:space="preserve">mismo ingreso esperado</w:t>
      </w:r>
      <w:r>
        <w:t xml:space="preserve">, y a cada tipo de pujador, el mismo pago esperado:</w:t>
      </w:r>
    </w:p>
    <w:p>
      <w:pPr>
        <w:numPr>
          <w:ilvl w:val="1"/>
          <w:numId w:val="1180"/>
        </w:numPr>
      </w:pPr>
      <w:r>
        <w:t xml:space="preserve">el bien va a quien más lo valora, y</w:t>
      </w:r>
    </w:p>
    <w:p>
      <w:pPr>
        <w:numPr>
          <w:ilvl w:val="1"/>
          <w:numId w:val="1180"/>
        </w:numPr>
      </w:pPr>
      <w:r>
        <w:t xml:space="preserve">el pujador con el valor más bajo posible espera una ganancia nula.</w:t>
      </w:r>
    </w:p>
    <w:p>
      <w:pPr>
        <w:keepNext/>
        <w:numPr>
          <w:ilvl w:val="1"/>
          <w:numId w:val="1181"/>
        </w:numPr>
      </w:pPr>
      <w:r>
        <w:t xml:space="preserve">Volvamos a las cifras de</w:t>
      </w:r>
      <w:r>
        <w:t xml:space="preserve"> </w:t>
      </w:r>
      <w:r>
        <w:t xml:space="preserve">I</w:t>
      </w:r>
      <w:r>
        <w:t xml:space="preserve">, E y O (tabla </w:t>
      </w:r>
      <w:hyperlink w:anchor="tab_subasta_5g">
        <w:r>
          <w:rPr>
            <w:rStyle w:val="Hyperlink"/>
          </w:rPr>
          <w:t xml:space="preserve">8</w:t>
        </w:r>
      </w:hyperlink>
      <w:r>
        <w:t xml:space="preserve">):</w:t>
      </w:r>
    </w:p>
    <w:p>
      <w:pPr>
        <w:numPr>
          <w:ilvl w:val="2"/>
          <w:numId w:val="1182"/>
        </w:numPr>
      </w:pPr>
      <w:r>
        <w:t xml:space="preserve">con estas valoraciones, el Gobierno cobra 8 en segundo precio y 6,67 en primer precio: aquí le va mejor con el segundo;</w:t>
      </w:r>
    </w:p>
    <w:p>
      <w:pPr>
        <w:numPr>
          <w:ilvl w:val="2"/>
          <w:numId w:val="1182"/>
        </w:numPr>
      </w:pPr>
      <w:r>
        <w:t xml:space="preserve">con otras, sería al revés: si E valorara la licencia en 5 y O en 4, en segundo precio cobraría 5, y en primer precio, otra vez 6,67, porque la puja de</w:t>
      </w:r>
      <w:r>
        <w:t xml:space="preserve"> </w:t>
      </w:r>
      <w:r>
        <w:t xml:space="preserve">I</w:t>
      </w:r>
      <w:r>
        <w:t xml:space="preserve"> </w:t>
      </w:r>
      <w:r>
        <w:t xml:space="preserve">solo depende de su propia valoración;</w:t>
      </w:r>
    </w:p>
    <w:p>
      <w:pPr>
        <w:numPr>
          <w:ilvl w:val="2"/>
          <w:numId w:val="1182"/>
        </w:numPr>
      </w:pPr>
      <w:r>
        <w:t xml:space="preserve">antes de abrir los sobres, el Gobierno no sabe qué valoraciones le tocarán.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 que es (</w:t>
      </w:r>
      <w:hyperlink w:anchor="eq_equivalencia">
        <w:r>
          <w:rPr>
            <w:rStyle w:val="Hyperlink"/>
          </w:rPr>
          <w:t xml:space="preserve">6</w:t>
        </w:r>
      </w:hyperlink>
      <w:r>
        <w:t xml:space="preserve">) con valoraciones hasta 12 en lugar de hasta 1 (última fila de la tabla).</w:t>
      </w:r>
    </w:p>
    <w:p>
      <w:pPr>
        <w:numPr>
          <w:ilvl w:val="0"/>
          <w:numId w:val="1179"/>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79"/>
        </w:numPr>
      </w:pPr>
      <w:r>
        <w:rPr>
          <w:i/>
          <w:iCs/>
        </w:rPr>
        <w:t xml:space="preserve">Lectura</w:t>
      </w:r>
      <w:r>
        <w:t xml:space="preserve">: a igualdad de supuestos, elegir el formato no da más ingreso. Gran parte de la teoría de subastas consiste en ver qué pasa cuando fallan los supuestos.</w:t>
      </w:r>
    </w:p>
    <w:bookmarkEnd w:id="159"/>
    <w:bookmarkEnd w:id="160"/>
    <w:bookmarkStart w:id="161" w:name="c_extensiones_3"/>
    <w:p>
      <w:pPr>
        <w:pStyle w:val="Heading4"/>
      </w:pPr>
      <w:r>
        <w:t xml:space="preserve">c) Extensiones</w:t>
      </w:r>
    </w:p>
    <w:p>
      <w:pPr>
        <w:keepNext/>
        <w:numPr>
          <w:ilvl w:val="0"/>
          <w:numId w:val="1183"/>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84"/>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keepNext/>
        <w:numPr>
          <w:ilvl w:val="1"/>
          <w:numId w:val="1184"/>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p>
    <w:p>
      <w:pPr>
        <w:numPr>
          <w:ilvl w:val="2"/>
          <w:numId w:val="1185"/>
        </w:numPr>
      </w:pPr>
      <w:r>
        <w:t xml:space="preserve">En la licencia del 5G, con valoraciones entre 0 y 12, el valor virtual es</w:t>
      </w:r>
      <w:r>
        <w:t xml:space="preserve"> </w:t>
      </w:r>
      <m:oMath>
        <m:r>
          <m:t>ψ</m:t>
        </m:r>
        <m:d>
          <m:dPr>
            <m:begChr m:val="("/>
            <m:sepChr m:val=""/>
            <m:endChr m:val=")"/>
            <m:grow/>
          </m:dPr>
          <m:e>
            <m:r>
              <m:t>v</m:t>
            </m:r>
          </m:e>
        </m:d>
        <m:r>
          <m:rPr>
            <m:sty m:val="p"/>
          </m:rPr>
          <m:t>=</m:t>
        </m:r>
        <m:r>
          <m:t>2</m:t>
        </m:r>
        <m:r>
          <m:t>v</m:t>
        </m:r>
        <m:r>
          <m:rPr>
            <m:sty m:val="p"/>
          </m:rPr>
          <m:t>−</m:t>
        </m:r>
        <m:r>
          <m:t>12</m:t>
        </m:r>
      </m:oMath>
      <w:r>
        <w:t xml:space="preserve"> </w:t>
      </w:r>
      <w:r>
        <w:t xml:space="preserve">y el precio de reserva óptimo, 6: el Gobierno no vendería por menos de 6. Con las valoraciones de</w:t>
      </w:r>
      <w:r>
        <w:t xml:space="preserve"> </w:t>
      </w:r>
      <w:r>
        <w:t xml:space="preserve">I</w:t>
      </w:r>
      <w:r>
        <w:t xml:space="preserve">, E y O no cambia nada en segundo precio (</w:t>
      </w:r>
      <w:r>
        <w:t xml:space="preserve">I</w:t>
      </w:r>
      <w:r>
        <w:t xml:space="preserve"> </w:t>
      </w:r>
      <w:r>
        <w:t xml:space="preserve">ya pagaba 8); pero si E y O valoraran la licencia en 3 y 2, sin precio de reserva</w:t>
      </w:r>
      <w:r>
        <w:t xml:space="preserve"> </w:t>
      </w:r>
      <w:r>
        <w:t xml:space="preserve">I</w:t>
      </w:r>
      <w:r>
        <w:t xml:space="preserve"> </w:t>
      </w:r>
      <w:r>
        <w:t xml:space="preserve">pagaría 3, y con él, 6.</w:t>
      </w:r>
    </w:p>
    <w:p>
      <w:pPr>
        <w:numPr>
          <w:ilvl w:val="1"/>
          <w:numId w:val="1184"/>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83"/>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83"/>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83"/>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keepNext/>
        <w:numPr>
          <w:ilvl w:val="1"/>
          <w:numId w:val="1186"/>
        </w:numPr>
      </w:pPr>
      <w:r>
        <w:t xml:space="preserve">Siguiendo con la licencia del 5G, supongamos ahora que vale lo mismo para</w:t>
      </w:r>
      <w:r>
        <w:t xml:space="preserve"> </w:t>
      </w:r>
      <w:r>
        <w:t xml:space="preserve">I</w:t>
      </w:r>
      <w:r>
        <w:t xml:space="preserve">, E y O, por ejemplo 9, porque depende de cuántos clientes querrán el 5G, pero nadie lo sabe y cada uno lo estima con su propio estudio de mercado:</w:t>
      </w:r>
    </w:p>
    <w:p>
      <w:pPr>
        <w:numPr>
          <w:ilvl w:val="2"/>
          <w:numId w:val="1187"/>
        </w:numPr>
      </w:pPr>
      <w:r>
        <w:t xml:space="preserve">los estudios no se equivocan de forma sistemática, pero cada uno se equivoca: el de</w:t>
      </w:r>
      <w:r>
        <w:t xml:space="preserve"> </w:t>
      </w:r>
      <w:r>
        <w:t xml:space="preserve">I</w:t>
      </w:r>
      <w:r>
        <w:t xml:space="preserve"> </w:t>
      </w:r>
      <w:r>
        <w:t xml:space="preserve">dice 11; el de E, 10, y el de O, 6;</w:t>
      </w:r>
    </w:p>
    <w:p>
      <w:pPr>
        <w:numPr>
          <w:ilvl w:val="2"/>
          <w:numId w:val="1187"/>
        </w:numPr>
      </w:pPr>
      <w:r>
        <w:t xml:space="preserve">si cada uno pujara su estimación en segundo precio, ganaría</w:t>
      </w:r>
      <w:r>
        <w:t xml:space="preserve"> </w:t>
      </w:r>
      <w:r>
        <w:t xml:space="preserve">I</w:t>
      </w:r>
      <w:r>
        <w:t xml:space="preserve">, el del estudio más optimista, y pagaría 10 por algo que vale 9: perdería 1;</w:t>
      </w:r>
    </w:p>
    <w:p>
      <w:pPr>
        <w:numPr>
          <w:ilvl w:val="2"/>
          <w:numId w:val="1187"/>
        </w:numPr>
      </w:pPr>
      <w:r>
        <w:t xml:space="preserve">ganar es, en sí mismo, una mala noticia: quiere decir que los otros 2 estudios eran más pesimistas. «No es oro todo lo que reluce»;</w:t>
      </w:r>
    </w:p>
    <w:p>
      <w:pPr>
        <w:numPr>
          <w:ilvl w:val="2"/>
          <w:numId w:val="1187"/>
        </w:numPr>
      </w:pPr>
      <w:r>
        <w:t xml:space="preserve">el operador sensato puja por debajo de lo que dice su estudio, y tanto más cuantos más rivales tiene.</w:t>
      </w:r>
    </w:p>
    <w:p>
      <w:pPr>
        <w:numPr>
          <w:ilvl w:val="1"/>
          <w:numId w:val="1186"/>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86"/>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83"/>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61"/>
    <w:bookmarkStart w:id="162" w:name="d_evidencia_emp__rica_3"/>
    <w:p>
      <w:pPr>
        <w:pStyle w:val="Heading4"/>
      </w:pPr>
      <w:r>
        <w:t xml:space="preserve">d) Evidencia empírica</w:t>
      </w:r>
    </w:p>
    <w:p>
      <w:pPr>
        <w:numPr>
          <w:ilvl w:val="0"/>
          <w:numId w:val="1188"/>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88"/>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keepNext/>
        <w:numPr>
          <w:ilvl w:val="0"/>
          <w:numId w:val="1188"/>
        </w:numPr>
      </w:pPr>
      <w:r>
        <w:rPr>
          <w:i/>
          <w:iCs/>
        </w:rPr>
        <w:t xml:space="preserve">El precio de reserva en acción</w:t>
      </w:r>
      <w:r>
        <w:t xml:space="preserve">:</w:t>
      </w:r>
    </w:p>
    <w:p>
      <w:pPr>
        <w:numPr>
          <w:ilvl w:val="1"/>
          <w:numId w:val="1189"/>
        </w:numPr>
      </w:pPr>
      <w:r>
        <w:t xml:space="preserve">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w:t>
      </w:r>
    </w:p>
    <w:p>
      <w:pPr>
        <w:numPr>
          <w:ilvl w:val="1"/>
          <w:numId w:val="1189"/>
        </w:numPr>
      </w:pPr>
      <w:r>
        <w:t xml:space="preserve">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62"/>
    <w:bookmarkStart w:id="163" w:name="e_valoraci__n_lo_que_de_verdad_importa"/>
    <w:p>
      <w:pPr>
        <w:pStyle w:val="Heading4"/>
      </w:pPr>
      <w:r>
        <w:t xml:space="preserve">e) Valoración: lo que de verdad importa</w:t>
      </w:r>
    </w:p>
    <w:p>
      <w:pPr>
        <w:keepNext/>
        <w:numPr>
          <w:ilvl w:val="0"/>
          <w:numId w:val="1190"/>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91"/>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91"/>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1"/>
          <w:numId w:val="1191"/>
        </w:numPr>
      </w:pPr>
      <w:r>
        <w:t xml:space="preserve">Para la subasta del 5G: si el Gobierno sacara 3 licencias para</w:t>
      </w:r>
      <w:r>
        <w:t xml:space="preserve"> </w:t>
      </w:r>
      <w:r>
        <w:t xml:space="preserve">I</w:t>
      </w:r>
      <w:r>
        <w:t xml:space="preserve">, E y O, ninguno tendría que competir. Cada uno sabría que se llevará la suya y pujaría el precio de salida. Con 2 licencias para los 3, o con 3 licencias y un cuarto operador que quiera entrar, alguno se quedaría fuera, y eso obliga a pujar.</w:t>
      </w:r>
    </w:p>
    <w:p>
      <w:pPr>
        <w:keepNext/>
        <w:numPr>
          <w:ilvl w:val="0"/>
          <w:numId w:val="1190"/>
        </w:numPr>
      </w:pPr>
      <w:r>
        <w:rPr>
          <w:i/>
          <w:iCs/>
        </w:rPr>
        <w:t xml:space="preserve">Clásico: las subastas del 3G de 2000</w:t>
      </w:r>
      <w:r>
        <w:t xml:space="preserve"> </w:t>
      </w:r>
      <w:r>
        <w:t xml:space="preserve">(anexo </w:t>
      </w:r>
      <w:hyperlink w:anchor="anexo_clasicos">
        <w:r>
          <w:rPr>
            <w:rStyle w:val="Hyperlink"/>
          </w:rPr>
          <w:t xml:space="preserve">E</w:t>
        </w:r>
      </w:hyperlink>
      <w:r>
        <w:t xml:space="preserve">):</w:t>
      </w:r>
    </w:p>
    <w:p>
      <w:pPr>
        <w:numPr>
          <w:ilvl w:val="1"/>
          <w:numId w:val="1192"/>
        </w:numPr>
      </w:pPr>
      <w:r>
        <w:t xml:space="preserve">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192"/>
        </w:numPr>
      </w:pPr>
      <w:r>
        <w:t xml:space="preserve">en los Países Bajos había tantas licencias como operadores instalados, y</w:t>
      </w:r>
    </w:p>
    <w:p>
      <w:pPr>
        <w:numPr>
          <w:ilvl w:val="1"/>
          <w:numId w:val="1192"/>
        </w:numPr>
      </w:pPr>
      <w:r>
        <w:t xml:space="preserve">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bookmarkEnd w:id="163"/>
    <w:bookmarkEnd w:id="164"/>
    <w:bookmarkStart w:id="174" w:name="sec_multiunidad"/>
    <w:p>
      <w:pPr>
        <w:pStyle w:val="Heading3"/>
      </w:pPr>
      <w:r>
        <w:t xml:space="preserve">III.3.3.</w:t>
      </w:r>
      <w:r>
        <w:t xml:space="preserve"> </w:t>
      </w:r>
      <w:r>
        <w:t xml:space="preserve">Varias unidades, nuevos formatos y subastas en España y en la UE</w:t>
      </w:r>
    </w:p>
    <w:p>
      <w:pPr>
        <w:keepNext/>
        <w:numPr>
          <w:ilvl w:val="0"/>
          <w:numId w:val="1193"/>
        </w:numPr>
      </w:pPr>
      <w:r>
        <w:t xml:space="preserve">Hasta aquí, una sola licencia. En la práctica se venden muchas a la vez.</w:t>
      </w:r>
    </w:p>
    <w:p>
      <w:pPr>
        <w:numPr>
          <w:ilvl w:val="1"/>
          <w:numId w:val="1194"/>
        </w:numPr>
      </w:pPr>
      <w:r>
        <w:t xml:space="preserve">En la subasta del 5G, el Gobierno no vende una sola licencia, sino varios bloques de espectro, en varias bandas y a veces por regiones, e</w:t>
      </w:r>
      <w:r>
        <w:t xml:space="preserve"> </w:t>
      </w:r>
      <w:r>
        <w:t xml:space="preserve">I</w:t>
      </w:r>
      <w:r>
        <w:t xml:space="preserve">, E y O quieren más de uno. Además, 2 bloques contiguos pueden valerle a</w:t>
      </w:r>
      <w:r>
        <w:t xml:space="preserve"> </w:t>
      </w:r>
      <w:r>
        <w:t xml:space="preserve">I</w:t>
      </w:r>
      <w:r>
        <w:t xml:space="preserve"> </w:t>
      </w:r>
      <w:r>
        <w:t xml:space="preserve">más que la suma de cada uno por separado, porque juntos le permiten dar más velocidad.</w:t>
      </w:r>
    </w:p>
    <w:p>
      <w:pPr>
        <w:keepNext/>
        <w:numPr>
          <w:ilvl w:val="0"/>
          <w:numId w:val="1193"/>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7</w:t>
        </w:r>
      </w:hyperlink>
      <w:r>
        <w:t xml:space="preserve">).</w:t>
      </w:r>
    </w:p>
    <w:p>
      <w:pPr>
        <w:numPr>
          <w:ilvl w:val="1"/>
          <w:numId w:val="1195"/>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95"/>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65"/>
      </w:r>
    </w:p>
    <w:p>
      <w:pPr>
        <w:keepNext/>
        <w:numPr>
          <w:ilvl w:val="0"/>
          <w:numId w:val="1193"/>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96"/>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96"/>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93"/>
        </w:numPr>
      </w:pPr>
      <w:r>
        <w:rPr>
          <w:i/>
          <w:iCs/>
        </w:rPr>
        <w:t xml:space="preserve">España y la UE</w:t>
      </w:r>
      <w:r>
        <w:t xml:space="preserve">:</w:t>
      </w:r>
    </w:p>
    <w:p>
      <w:pPr>
        <w:keepNext/>
        <w:numPr>
          <w:ilvl w:val="1"/>
          <w:numId w:val="1197"/>
        </w:numPr>
      </w:pPr>
      <w:r>
        <w:rPr>
          <w:i/>
          <w:iCs/>
        </w:rPr>
        <w:t xml:space="preserve">Deuda pública</w:t>
      </w:r>
      <w:r>
        <w:t xml:space="preserve">: el Tesoro emite con una subasta de varias unidades híbrida, que llama «convencional corregida»;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66">
        <w:r>
          <w:rPr>
            <w:rStyle w:val="Referenciaatema"/>
          </w:rPr>
          <w:t xml:space="preserve">[ver tema 4.B.26]</w:t>
        </w:r>
      </w:hyperlink>
      <w:r>
        <w:t xml:space="preserve">. En ella</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w:t>
      </w:r>
    </w:p>
    <w:p>
      <w:pPr>
        <w:numPr>
          <w:ilvl w:val="2"/>
          <w:numId w:val="1198"/>
        </w:numPr>
      </w:pPr>
      <w:r>
        <w:t xml:space="preserve">las pujas competitivas por encima del precio medio ponderado pagan ese precio medio;</w:t>
      </w:r>
    </w:p>
    <w:p>
      <w:pPr>
        <w:numPr>
          <w:ilvl w:val="2"/>
          <w:numId w:val="1198"/>
        </w:numPr>
      </w:pPr>
      <w:r>
        <w:t xml:space="preserve">las que quedan entre él y el precio mínimo aceptado pagan lo que ofrecieron, y</w:t>
      </w:r>
    </w:p>
    <w:p>
      <w:pPr>
        <w:numPr>
          <w:ilvl w:val="2"/>
          <w:numId w:val="1198"/>
        </w:numPr>
      </w:pPr>
      <w:r>
        <w:t xml:space="preserve">las no competitivas pagan el precio medio.</w:t>
      </w:r>
    </w:p>
    <w:p>
      <w:pPr>
        <w:numPr>
          <w:ilvl w:val="1"/>
          <w:numId w:val="1197"/>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67">
        <w:r>
          <w:rPr>
            <w:rStyle w:val="Referenciaatema"/>
          </w:rPr>
          <w:t xml:space="preserve">[ver tema 4.A.12]</w:t>
        </w:r>
      </w:hyperlink>
      <w:r>
        <w:t xml:space="preserve">.</w:t>
      </w:r>
    </w:p>
    <w:p>
      <w:pPr>
        <w:numPr>
          <w:ilvl w:val="1"/>
          <w:numId w:val="1197"/>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68">
        <w:r>
          <w:rPr>
            <w:rStyle w:val="Referenciaatema"/>
          </w:rPr>
          <w:t xml:space="preserve">[ver tema 4.A.5]</w:t>
        </w:r>
      </w:hyperlink>
      <w:r>
        <w:t xml:space="preserve"> </w:t>
      </w:r>
      <w:hyperlink r:id="rId169">
        <w:r>
          <w:rPr>
            <w:rStyle w:val="Referenciaatema"/>
          </w:rPr>
          <w:t xml:space="preserve">[ver tema 4.A.6]</w:t>
        </w:r>
      </w:hyperlink>
      <w:r>
        <w:t xml:space="preserve">.</w:t>
      </w:r>
    </w:p>
    <w:p>
      <w:pPr>
        <w:numPr>
          <w:ilvl w:val="1"/>
          <w:numId w:val="1197"/>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69">
        <w:r>
          <w:rPr>
            <w:rStyle w:val="Referenciaatema"/>
          </w:rPr>
          <w:t xml:space="preserve">[ver tema 4.A.6]</w:t>
        </w:r>
      </w:hyperlink>
      <w:r>
        <w:t xml:space="preserve">.</w:t>
      </w:r>
    </w:p>
    <w:bookmarkStart w:id="173" w:name="fig_multiunidad"/>
    <w:p>
      <w:pPr>
        <w:pStyle w:val="ImageCaption"/>
      </w:pPr>
      <w:r>
        <w:t xml:space="preserve">Gráfico 7.–</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7.– Subasta de varias unidades: precio uniforme frente a precio discriminatorio" title="" id="171" name="Picture"/>
            <a:graphic>
              <a:graphicData uri="http://schemas.openxmlformats.org/drawingml/2006/picture">
                <pic:pic>
                  <pic:nvPicPr>
                    <pic:cNvPr descr="C:\Users\vgutierrez\Documents\src\victorgutierrezmarcos.github.io-revision\oposicion\temario\fuentes\3A14\graficos/multiunidad.png" id="172" name="Picture"/>
                    <pic:cNvPicPr>
                      <a:picLocks noChangeArrowheads="1" noChangeAspect="1"/>
                    </pic:cNvPicPr>
                  </pic:nvPicPr>
                  <pic:blipFill>
                    <a:blip r:embed="rId170"/>
                    <a:stretch>
                      <a:fillRect/>
                    </a:stretch>
                  </pic:blipFill>
                  <pic:spPr bwMode="auto">
                    <a:xfrm>
                      <a:off x="0" y="0"/>
                      <a:ext cx="3282950" cy="2124261"/>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74"/>
    <w:bookmarkStart w:id="177" w:name="sec_colusion_subastas"/>
    <w:p>
      <w:pPr>
        <w:pStyle w:val="Heading3"/>
      </w:pPr>
      <w:r>
        <w:t xml:space="preserve">III.3.4.</w:t>
      </w:r>
      <w:r>
        <w:t xml:space="preserve"> </w:t>
      </w:r>
      <w:r>
        <w:t xml:space="preserve">Colusión en las subastas: la rotación de ofertas</w:t>
      </w:r>
    </w:p>
    <w:p>
      <w:pPr>
        <w:keepNext/>
        <w:numPr>
          <w:ilvl w:val="0"/>
          <w:numId w:val="1199"/>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keepNext/>
        <w:numPr>
          <w:ilvl w:val="1"/>
          <w:numId w:val="1200"/>
        </w:numPr>
      </w:pPr>
      <w:r>
        <w:t xml:space="preserve">Siguiendo con la subasta del 5G, supongamos que el Gobierno subasta una banda cada pocos años y que</w:t>
      </w:r>
      <w:r>
        <w:t xml:space="preserve"> </w:t>
      </w:r>
      <w:r>
        <w:t xml:space="preserve">I</w:t>
      </w:r>
      <w:r>
        <w:t xml:space="preserve"> </w:t>
      </w:r>
      <w:r>
        <w:t xml:space="preserve">y E acuerdan turnarse (tabla </w:t>
      </w:r>
      <w:hyperlink w:anchor="tab_rotacion">
        <w:r>
          <w:rPr>
            <w:rStyle w:val="Hyperlink"/>
          </w:rPr>
          <w:t xml:space="preserve">9</w:t>
        </w:r>
      </w:hyperlink>
      <w:r>
        <w:t xml:space="preserve">):</w:t>
      </w:r>
    </w:p>
    <w:p>
      <w:pPr>
        <w:numPr>
          <w:ilvl w:val="2"/>
          <w:numId w:val="1201"/>
        </w:numPr>
      </w:pPr>
      <w:r>
        <w:t xml:space="preserve">en esta subasta solo puja en serio</w:t>
      </w:r>
      <w:r>
        <w:t xml:space="preserve"> </w:t>
      </w:r>
      <w:r>
        <w:t xml:space="preserve">I</w:t>
      </w:r>
      <w:r>
        <w:t xml:space="preserve">, y lo hace al precio de reserva; en la próxima, solo E, y así sucesivamente;</w:t>
      </w:r>
    </w:p>
    <w:p>
      <w:pPr>
        <w:numPr>
          <w:ilvl w:val="2"/>
          <w:numId w:val="1201"/>
        </w:numPr>
      </w:pPr>
      <w:r>
        <w:t xml:space="preserve">quien gana se lleva una ganancia</w:t>
      </w:r>
      <w:r>
        <w:t xml:space="preserve"> </w:t>
      </w:r>
      <m:oMath>
        <m:r>
          <m:t>G</m:t>
        </m:r>
      </m:oMath>
      <w:r>
        <w:t xml:space="preserve"> </w:t>
      </w:r>
      <w:r>
        <w:t xml:space="preserve">(lo que vale la licencia menos el precio de reserva), y el otro, nada.</w:t>
      </w:r>
    </w:p>
    <w:p>
      <w:pPr>
        <w:keepNext/>
        <w:numPr>
          <w:ilvl w:val="1"/>
          <w:numId w:val="1200"/>
        </w:numPr>
      </w:pPr>
      <w:r>
        <w:t xml:space="preserve">¿Quién tiene la tentación de romper el acuerdo? El que tiene que esperar su turno: hoy, E.</w:t>
      </w:r>
    </w:p>
    <w:p>
      <w:pPr>
        <w:numPr>
          <w:ilvl w:val="2"/>
          <w:numId w:val="1202"/>
        </w:numPr>
      </w:pPr>
      <w:r>
        <w:t xml:space="preserve">Si E cumple, hoy no gana nada, cobra</w:t>
      </w:r>
      <w:r>
        <w:t xml:space="preserve"> </w:t>
      </w:r>
      <m:oMath>
        <m:r>
          <m:t>G</m:t>
        </m:r>
      </m:oMath>
      <w:r>
        <w:t xml:space="preserve"> </w:t>
      </w:r>
      <w:r>
        <w:t xml:space="preserve">en la próxima subasta, otra vez</w:t>
      </w:r>
      <w:r>
        <w:t xml:space="preserve"> </w:t>
      </w:r>
      <m:oMath>
        <m:r>
          <m:t>G</m:t>
        </m:r>
      </m:oMath>
      <w:r>
        <w:t xml:space="preserve"> </w:t>
      </w:r>
      <w:r>
        <w:t xml:space="preserve">2 subastas después, y así sucesivamente: hoy eso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w:t>
      </w:r>
    </w:p>
    <w:p>
      <w:pPr>
        <w:numPr>
          <w:ilvl w:val="2"/>
          <w:numId w:val="1202"/>
        </w:numPr>
      </w:pPr>
      <w:r>
        <w:t xml:space="preserve">Si E se desvía, puja un poco más que</w:t>
      </w:r>
      <w:r>
        <w:t xml:space="preserve"> </w:t>
      </w:r>
      <w:r>
        <w:t xml:space="preserve">I</w:t>
      </w:r>
      <w:r>
        <w:t xml:space="preserve"> </w:t>
      </w:r>
      <w:r>
        <w:t xml:space="preserve">y se queda hoy con</w:t>
      </w:r>
      <w:r>
        <w:t xml:space="preserve"> </w:t>
      </w:r>
      <m:oMath>
        <m:r>
          <m:t>G</m:t>
        </m:r>
      </m:oMath>
      <w:r>
        <w:t xml:space="preserve">; pero el acuerdo se rompe, vuelve la competencia, que se lleva toda la ganancia, y no vuelve a cobrar nada.</w:t>
      </w:r>
    </w:p>
    <w:p>
      <w:pPr>
        <w:numPr>
          <w:ilvl w:val="1"/>
          <w:numId w:val="1200"/>
        </w:numPr>
      </w:pPr>
      <w:r>
        <w:t xml:space="preserve">La rotación se sostiene si a E le vale más cumplir que desviarse,</w:t>
      </w:r>
      <w:r>
        <w:t xml:space="preserve"> </w:t>
      </w:r>
      <m:oMath>
        <m:r>
          <m:t>G</m:t>
        </m:r>
        <m:r>
          <m:t>β</m:t>
        </m:r>
        <m:r>
          <m:rPr>
            <m:sty m:val="p"/>
          </m:rPr>
          <m:t>/</m:t>
        </m:r>
        <m:d>
          <m:dPr>
            <m:begChr m:val="("/>
            <m:sepChr m:val=""/>
            <m:endChr m:val=")"/>
            <m:grow/>
          </m:dPr>
          <m:e>
            <m:r>
              <m:t>1</m:t>
            </m:r>
            <m:r>
              <m:rPr>
                <m:sty m:val="p"/>
              </m:rPr>
              <m:t>−</m:t>
            </m:r>
            <m:sSup>
              <m:e>
                <m:r>
                  <m:t>β</m:t>
                </m:r>
              </m:e>
              <m:sup>
                <m:r>
                  <m:t>2</m:t>
                </m:r>
              </m:sup>
            </m:sSup>
          </m:e>
        </m:d>
        <m:r>
          <m:rPr>
            <m:sty m:val="p"/>
          </m:rPr>
          <m:t>≥</m:t>
        </m:r>
        <m:r>
          <m:t>G</m:t>
        </m:r>
      </m:oMath>
      <w:r>
        <w:t xml:space="preserve">:</w:t>
      </w:r>
      <w:r>
        <w:t xml:space="preserve"> </w:t>
      </w:r>
      <w:bookmarkStart w:id="175" w:name="eq_rotacion"/>
      <w:bookmarkEnd w:id="175"/>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200"/>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200"/>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bookmarkStart w:id="176" w:name="tab_rotacion"/>
    <w:p>
      <w:pPr>
        <w:pStyle w:val="TableCaption"/>
      </w:pPr>
      <w:r>
        <w:t xml:space="preserve">Tabla 9.–</w:t>
      </w:r>
      <w:r>
        <w:t xml:space="preserve"> </w:t>
      </w:r>
      <w:r>
        <w:t xml:space="preserve">La rotación de</w:t>
      </w:r>
      <w:r>
        <w:t xml:space="preserve"> </w:t>
      </w:r>
      <w:r>
        <w:t xml:space="preserve">I</w:t>
      </w:r>
      <w:r>
        <w:t xml:space="preserve"> </w:t>
      </w:r>
      <w:r>
        <w:t xml:space="preserve">y E en las subastas del 5G: lo que gana cada uno en cada subasta y lo que vale hoy</w:t>
      </w:r>
    </w:p>
    <w:tbl>
      <w:tblPr>
        <w:tblStyle w:val="Table"/>
        <w:tblW w:type="auto" w:w="0"/>
        <w:tblLook w:firstRow="1" w:lastRow="0" w:firstColumn="0" w:lastColumn="0" w:noHBand="0" w:noVBand="0" w:val="0020"/>
        <w:tblCaption w:val="Tabla 9.– La rotación de I y E en las subastas del 5G: lo que gana cada uno en cada subasta y lo que vale hoy"/>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jc w:val="left"/>
            </w:pPr>
            <w:r>
              <w:rPr>
                <w:b/>
                <w:bCs/>
              </w:rPr>
              <w:t xml:space="preserve">Subasta</w:t>
            </w:r>
          </w:p>
        </w:tc>
        <w:tc>
          <w:tcPr>
            <w:shd w:val="clear" w:color="auto" w:fill="DDEBF7"/>
            <w:vAlign w:val="center"/>
          </w:tcPr>
          <w:p>
            <w:pPr>
              <w:pStyle w:val="Celdatceeazulpalido"/>
              <w:jc w:val="center"/>
            </w:pPr>
            <w:r>
              <w:rPr>
                <w:b/>
                <w:bCs/>
              </w:rPr>
              <w:t xml:space="preserve">Hoy</w:t>
            </w:r>
          </w:p>
        </w:tc>
        <w:tc>
          <w:tcPr>
            <w:shd w:val="clear" w:color="auto" w:fill="DDEBF7"/>
            <w:vAlign w:val="center"/>
          </w:tcPr>
          <w:p>
            <w:pPr>
              <w:pStyle w:val="Celdatceeazulpalido"/>
              <w:jc w:val="center"/>
            </w:pPr>
            <w:r>
              <w:rPr>
                <w:b/>
                <w:bCs/>
              </w:rPr>
              <w:t xml:space="preserve">2.ª</w:t>
            </w:r>
          </w:p>
        </w:tc>
        <w:tc>
          <w:tcPr>
            <w:shd w:val="clear" w:color="auto" w:fill="DDEBF7"/>
            <w:vAlign w:val="center"/>
          </w:tcPr>
          <w:p>
            <w:pPr>
              <w:pStyle w:val="Celdatceeazulpalido"/>
              <w:jc w:val="center"/>
            </w:pPr>
            <w:r>
              <w:rPr>
                <w:b/>
                <w:bCs/>
              </w:rPr>
              <w:t xml:space="preserve">3.ª</w:t>
            </w:r>
          </w:p>
        </w:tc>
        <w:tc>
          <w:tcPr>
            <w:shd w:val="clear" w:color="auto" w:fill="DDEBF7"/>
            <w:vAlign w:val="center"/>
          </w:tcPr>
          <w:p>
            <w:pPr>
              <w:pStyle w:val="Celdatceeazulpalido"/>
              <w:jc w:val="center"/>
            </w:pPr>
            <w:r>
              <w:rPr>
                <w:b/>
                <w:bCs/>
              </w:rPr>
              <w:t xml:space="preserve">4.ª</w:t>
            </w:r>
          </w:p>
        </w:tc>
        <w:tc>
          <w:tcPr>
            <w:shd w:val="clear" w:color="auto" w:fill="DDEBF7"/>
            <w:vAlign w:val="center"/>
          </w:tcPr>
          <w:p>
            <w:pPr>
              <w:pStyle w:val="Celdatceeazulpalido"/>
              <w:jc w:val="center"/>
            </w:pPr>
            <w:r>
              <w:rPr>
                <w:b/>
                <w:bCs/>
              </w:rPr>
              <w:t xml:space="preserve">…</w:t>
            </w:r>
          </w:p>
        </w:tc>
        <w:tc>
          <w:tcPr>
            <w:shd w:val="clear" w:color="auto" w:fill="DDEBF7"/>
            <w:vAlign w:val="center"/>
          </w:tcPr>
          <w:p>
            <w:pPr>
              <w:pStyle w:val="Celdatceeazulpalido"/>
              <w:jc w:val="center"/>
            </w:pPr>
            <w:r>
              <w:rPr>
                <w:b/>
                <w:bCs/>
              </w:rPr>
              <w:t xml:space="preserve">Valor hoy</w:t>
            </w:r>
          </w:p>
        </w:tc>
      </w:tr>
      <w:tr>
        <w:trPr>
          <w:cantSplit/>
        </w:trPr>
        <w:tc>
          <w:tcPr>
            <w:vAlign w:val="center"/>
          </w:tcPr>
          <w:p>
            <w:pPr>
              <w:pStyle w:val="Compact"/>
              <w:jc w:val="left"/>
            </w:pPr>
            <w:r>
              <w:t xml:space="preserve">I</w:t>
            </w:r>
            <w:r>
              <w:t xml:space="preserve">, a quien le toca hoy</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w:r>
              <w:t xml:space="preserve">…</w:t>
            </w:r>
          </w:p>
        </w:tc>
        <w:tc>
          <w:tcPr>
            <w:vAlign w:val="center"/>
          </w:tcPr>
          <w:p>
            <w:pPr>
              <w:pStyle w:val="Compact"/>
              <w:jc w:val="center"/>
            </w:pPr>
            <m:oMath>
              <m:r>
                <m:t>G</m:t>
              </m:r>
              <m:r>
                <m:rPr>
                  <m:sty m:val="p"/>
                </m:rPr>
                <m:t>/</m:t>
              </m:r>
              <m:d>
                <m:dPr>
                  <m:begChr m:val="("/>
                  <m:sepChr m:val=""/>
                  <m:endChr m:val=")"/>
                  <m:grow/>
                </m:dPr>
                <m:e>
                  <m:r>
                    <m:t>1</m:t>
                  </m:r>
                  <m:r>
                    <m:rPr>
                      <m:sty m:val="p"/>
                    </m:rPr>
                    <m:t>−</m:t>
                  </m:r>
                  <m:sSup>
                    <m:e>
                      <m:r>
                        <m:t>β</m:t>
                      </m:r>
                    </m:e>
                    <m:sup>
                      <m:r>
                        <m:t>2</m:t>
                      </m:r>
                    </m:sup>
                  </m:sSup>
                </m:e>
              </m:d>
            </m:oMath>
          </w:p>
        </w:tc>
      </w:tr>
      <w:tr>
        <w:trPr>
          <w:cantSplit/>
        </w:trPr>
        <w:tc>
          <w:tcPr>
            <w:vAlign w:val="center"/>
          </w:tcPr>
          <w:p>
            <w:pPr>
              <w:pStyle w:val="Compact"/>
              <w:jc w:val="left"/>
            </w:pPr>
            <w:r>
              <w:t xml:space="preserve">E, si cumple</w:t>
            </w:r>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0</w:t>
            </w:r>
          </w:p>
        </w:tc>
        <w:tc>
          <w:tcPr>
            <w:vAlign w:val="center"/>
          </w:tcPr>
          <w:p>
            <w:pPr>
              <w:pStyle w:val="Compact"/>
              <w:jc w:val="center"/>
            </w:pPr>
            <m:oMath>
              <m:r>
                <m:t>G</m:t>
              </m:r>
            </m:oMath>
          </w:p>
        </w:tc>
        <w:tc>
          <w:tcPr>
            <w:vAlign w:val="center"/>
          </w:tcPr>
          <w:p>
            <w:pPr>
              <w:pStyle w:val="Compact"/>
              <w:jc w:val="center"/>
            </w:pPr>
            <w:r>
              <w:t xml:space="preserve">…</w:t>
            </w:r>
          </w:p>
        </w:tc>
        <w:tc>
          <w:tcPr>
            <w:vAlign w:val="center"/>
          </w:tcPr>
          <w:p>
            <w:pPr>
              <w:pStyle w:val="Compact"/>
              <w:jc w:val="center"/>
            </w:pPr>
            <m:oMath>
              <m:r>
                <m:t>G</m:t>
              </m:r>
              <m:r>
                <m:t>β</m:t>
              </m:r>
              <m:r>
                <m:rPr>
                  <m:sty m:val="p"/>
                </m:rPr>
                <m:t>/</m:t>
              </m:r>
              <m:d>
                <m:dPr>
                  <m:begChr m:val="("/>
                  <m:sepChr m:val=""/>
                  <m:endChr m:val=")"/>
                  <m:grow/>
                </m:dPr>
                <m:e>
                  <m:r>
                    <m:t>1</m:t>
                  </m:r>
                  <m:r>
                    <m:rPr>
                      <m:sty m:val="p"/>
                    </m:rPr>
                    <m:t>−</m:t>
                  </m:r>
                  <m:sSup>
                    <m:e>
                      <m:r>
                        <m:t>β</m:t>
                      </m:r>
                    </m:e>
                    <m:sup>
                      <m:r>
                        <m:t>2</m:t>
                      </m:r>
                    </m:sup>
                  </m:sSup>
                </m:e>
              </m:d>
            </m:oMath>
          </w:p>
        </w:tc>
      </w:tr>
      <w:tr>
        <w:trPr>
          <w:cantSplit/>
        </w:trPr>
        <w:tc>
          <w:tcPr>
            <w:shd w:val="clear" w:color="auto" w:fill="E2EFD9"/>
            <w:vAlign w:val="center"/>
          </w:tcPr>
          <w:p>
            <w:pPr>
              <w:pStyle w:val="Celdatceesalvia"/>
              <w:jc w:val="left"/>
            </w:pPr>
            <w:r>
              <w:t xml:space="preserve">E, si se desvía hoy</w:t>
            </w:r>
          </w:p>
        </w:tc>
        <w:tc>
          <w:tcPr>
            <w:shd w:val="clear" w:color="auto" w:fill="E2EFD9"/>
            <w:vAlign w:val="center"/>
          </w:tcPr>
          <w:p>
            <w:pPr>
              <w:pStyle w:val="Celdatceesalvia"/>
              <w:jc w:val="center"/>
            </w:pPr>
            <m:oMath>
              <m:r>
                <m:t>G</m:t>
              </m:r>
            </m:oMath>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m:oMath>
              <m:r>
                <m:t>G</m:t>
              </m:r>
            </m:oMath>
          </w:p>
        </w:tc>
      </w:tr>
    </w:tbl>
    <w:bookmarkEnd w:id="176"/>
    <w:p>
      <w:pPr>
        <w:pStyle w:val="BodyText"/>
        <w:keepNext/>
      </w:pPr>
      <w:r>
        <w:rPr>
          <w:i/>
          <w:iCs/>
        </w:rPr>
        <w:t xml:space="preserve">Fuente: elaboración propia.</w:t>
      </w:r>
      <w:r>
        <w:rPr>
          <w:i/>
          <w:iCs/>
        </w:rPr>
        <w:t xml:space="preserve"> </w:t>
      </w:r>
      <m:oMath>
        <m:r>
          <m:t>G</m:t>
        </m:r>
      </m:oMath>
      <w:r>
        <w:rPr>
          <w:i/>
          <w:iCs/>
        </w:rPr>
        <w:t xml:space="preserve">: lo que vale la licencia menos el precio de reserva;</w:t>
      </w:r>
      <w:r>
        <w:rPr>
          <w:i/>
          <w:iCs/>
        </w:rPr>
        <w:t xml:space="preserve"> </w:t>
      </w:r>
      <m:oMath>
        <m:r>
          <m:t>β</m:t>
        </m:r>
      </m:oMath>
      <w:r>
        <w:rPr>
          <w:i/>
          <w:iCs/>
        </w:rPr>
        <w:t xml:space="preserve">: factor de descuento entre 2 subastas. Tras la desviación vuelve la competencia, que se lleva toda la ganancia.</w:t>
      </w:r>
    </w:p>
    <w:p>
      <w:pPr>
        <w:keepNext/>
        <w:numPr>
          <w:ilvl w:val="0"/>
          <w:numId w:val="1203"/>
        </w:numPr>
      </w:pPr>
      <w:r>
        <w:rPr>
          <w:i/>
          <w:iCs/>
        </w:rPr>
        <w:t xml:space="preserve">Cómo la dificulta el diseño</w:t>
      </w:r>
      <w:r>
        <w:t xml:space="preserve">: el objetivo es que no haya «mañana» que repartir.</w:t>
      </w:r>
    </w:p>
    <w:p>
      <w:pPr>
        <w:numPr>
          <w:ilvl w:val="1"/>
          <w:numId w:val="120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1"/>
          <w:numId w:val="120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20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204"/>
        </w:numPr>
      </w:pPr>
      <w:r>
        <w:rPr>
          <w:i/>
          <w:iCs/>
        </w:rPr>
        <w:t xml:space="preserve">Precio de reserva</w:t>
      </w:r>
      <w:r>
        <w:t xml:space="preserve">: pone un suelo a lo que el cártel paga, y limita lo que la colusión le quita al vendedor.</w:t>
      </w:r>
    </w:p>
    <w:p>
      <w:pPr>
        <w:numPr>
          <w:ilvl w:val="1"/>
          <w:numId w:val="120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203"/>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203"/>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keepNext/>
        <w:numPr>
          <w:ilvl w:val="0"/>
          <w:numId w:val="1205"/>
        </w:numPr>
      </w:pPr>
      <w:r>
        <w:rPr>
          <w:i/>
          <w:iCs/>
        </w:rPr>
        <w:t xml:space="preserve">Recapitulación del bloque III</w:t>
      </w:r>
      <w:r>
        <w:t xml:space="preserve">:</w:t>
      </w:r>
    </w:p>
    <w:p>
      <w:pPr>
        <w:numPr>
          <w:ilvl w:val="1"/>
          <w:numId w:val="1206"/>
        </w:numPr>
      </w:pPr>
      <w:r>
        <w:t xml:space="preserve">la teoría de juegos se aplica en casi toda la economía;</w:t>
      </w:r>
    </w:p>
    <w:p>
      <w:pPr>
        <w:numPr>
          <w:ilvl w:val="1"/>
          <w:numId w:val="1206"/>
        </w:numPr>
      </w:pPr>
      <w:r>
        <w:t xml:space="preserve">el diseño de mecanismos busca reglas en las que decir la verdad sea óptimo, y las subastas son su aplicación central;</w:t>
      </w:r>
    </w:p>
    <w:p>
      <w:pPr>
        <w:numPr>
          <w:ilvl w:val="1"/>
          <w:numId w:val="1206"/>
        </w:numPr>
      </w:pPr>
      <w:r>
        <w:t xml:space="preserve">con valores privados independientes, todos los formatos estándar asignan bien y recaudan lo mismo;</w:t>
      </w:r>
    </w:p>
    <w:p>
      <w:pPr>
        <w:numPr>
          <w:ilvl w:val="1"/>
          <w:numId w:val="1206"/>
        </w:numPr>
      </w:pPr>
      <w:r>
        <w:t xml:space="preserve">el precio de reserva sube el ingreso a costa de la eficiencia;</w:t>
      </w:r>
    </w:p>
    <w:p>
      <w:pPr>
        <w:numPr>
          <w:ilvl w:val="1"/>
          <w:numId w:val="1206"/>
        </w:numPr>
      </w:pPr>
      <w:r>
        <w:t xml:space="preserve">con valor común, ganar es una mala noticia, y revelar información ayuda.</w:t>
      </w:r>
    </w:p>
    <w:p>
      <w:pPr>
        <w:numPr>
          <w:ilvl w:val="0"/>
          <w:numId w:val="1205"/>
        </w:numPr>
      </w:pPr>
      <w:r>
        <w:t xml:space="preserve">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nuestro ejemplo ya sabe qué hacer: un formato en el que a I, E y O les convenga pujar lo que valoran, con suficientes pujadores, un precio de reserva y sin dar pistas para el reparto.</w:t>
      </w:r>
    </w:p>
    <w:bookmarkEnd w:id="177"/>
    <w:bookmarkEnd w:id="178"/>
    <w:bookmarkEnd w:id="179"/>
    <w:bookmarkStart w:id="180" w:name="conclusi__n"/>
    <w:p>
      <w:pPr>
        <w:pStyle w:val="Heading1"/>
      </w:pPr>
      <w:r>
        <w:t xml:space="preserve">Conclusión</w:t>
      </w:r>
      <w:r>
        <w:t xml:space="preserve"> </w:t>
      </w:r>
      <w:r>
        <w:rPr>
          <w:rStyle w:val="Minutos"/>
        </w:rPr>
        <w:t xml:space="preserve">1′</w:t>
      </w:r>
    </w:p>
    <w:p>
      <w:pPr>
        <w:keepNext/>
        <w:numPr>
          <w:ilvl w:val="0"/>
          <w:numId w:val="1207"/>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208"/>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208"/>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208"/>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keepNext/>
        <w:numPr>
          <w:ilvl w:val="1"/>
          <w:numId w:val="1208"/>
        </w:numPr>
      </w:pPr>
      <w:r>
        <w:t xml:space="preserve">I y E han recorrido todo el camino:</w:t>
      </w:r>
    </w:p>
    <w:p>
      <w:pPr>
        <w:numPr>
          <w:ilvl w:val="2"/>
          <w:numId w:val="1209"/>
        </w:numPr>
      </w:pPr>
      <w:r>
        <w:t xml:space="preserve">se han enfrentado en precios;</w:t>
      </w:r>
    </w:p>
    <w:p>
      <w:pPr>
        <w:numPr>
          <w:ilvl w:val="2"/>
          <w:numId w:val="1209"/>
        </w:numPr>
      </w:pPr>
      <w:r>
        <w:t xml:space="preserve">han medido la credibilidad de sus amenazas;</w:t>
      </w:r>
    </w:p>
    <w:p>
      <w:pPr>
        <w:numPr>
          <w:ilvl w:val="2"/>
          <w:numId w:val="1209"/>
        </w:numPr>
      </w:pPr>
      <w:r>
        <w:t xml:space="preserve">se han encontrado cada mes;</w:t>
      </w:r>
    </w:p>
    <w:p>
      <w:pPr>
        <w:numPr>
          <w:ilvl w:val="2"/>
          <w:numId w:val="1209"/>
        </w:numPr>
      </w:pPr>
      <w:r>
        <w:t xml:space="preserve">se han ocultado información;</w:t>
      </w:r>
    </w:p>
    <w:p>
      <w:pPr>
        <w:numPr>
          <w:ilvl w:val="2"/>
          <w:numId w:val="1209"/>
        </w:numPr>
      </w:pPr>
      <w:r>
        <w:t xml:space="preserve">han negociado, y</w:t>
      </w:r>
    </w:p>
    <w:p>
      <w:pPr>
        <w:numPr>
          <w:ilvl w:val="2"/>
          <w:numId w:val="1209"/>
        </w:numPr>
      </w:pPr>
      <w:r>
        <w:t xml:space="preserve">al final, han pujado por el espectro.</w:t>
      </w:r>
    </w:p>
    <w:p>
      <w:pPr>
        <w:keepNext/>
        <w:numPr>
          <w:ilvl w:val="0"/>
          <w:numId w:val="1207"/>
        </w:numPr>
      </w:pPr>
      <w:r>
        <w:rPr>
          <w:b/>
          <w:bCs/>
          <w:i/>
          <w:iCs/>
        </w:rPr>
        <w:t xml:space="preserve">Relevancia</w:t>
      </w:r>
      <w:r>
        <w:t xml:space="preserve">:</w:t>
      </w:r>
    </w:p>
    <w:p>
      <w:pPr>
        <w:keepNext/>
        <w:numPr>
          <w:ilvl w:val="1"/>
          <w:numId w:val="1210"/>
        </w:numPr>
      </w:pPr>
      <w:r>
        <w:t xml:space="preserve">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2"/>
          <w:numId w:val="1211"/>
        </w:numPr>
      </w:pPr>
      <w:r>
        <w:rPr>
          <w:smallCaps/>
        </w:rPr>
        <w:t xml:space="preserve">Wilson</w:t>
      </w:r>
      <w:r>
        <w:t xml:space="preserve"> </w:t>
      </w:r>
      <w:r>
        <w:t xml:space="preserve">explicó la maldición del ganador;</w:t>
      </w:r>
    </w:p>
    <w:p>
      <w:pPr>
        <w:numPr>
          <w:ilvl w:val="2"/>
          <w:numId w:val="1211"/>
        </w:numPr>
      </w:pPr>
      <w:r>
        <w:rPr>
          <w:smallCaps/>
        </w:rPr>
        <w:t xml:space="preserve">Milgrom</w:t>
      </w:r>
      <w:r>
        <w:t xml:space="preserve">, por qué los formatos que revelan información dan más ingreso esperado con valores afiliados, y</w:t>
      </w:r>
    </w:p>
    <w:p>
      <w:pPr>
        <w:numPr>
          <w:ilvl w:val="2"/>
          <w:numId w:val="1211"/>
        </w:numPr>
      </w:pPr>
      <w:r>
        <w:t xml:space="preserve">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210"/>
        </w:numPr>
      </w:pPr>
      <w:r>
        <w:t xml:space="preserve">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207"/>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6">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14">
        <w:r>
          <w:rPr>
            <w:rStyle w:val="Referenciaatema"/>
          </w:rPr>
          <w:t xml:space="preserve">[ver tema 3.A.1]</w:t>
        </w:r>
      </w:hyperlink>
      <w:r>
        <w:t xml:space="preserve">.</w:t>
      </w:r>
    </w:p>
    <w:p>
      <w:pPr>
        <w:numPr>
          <w:ilvl w:val="0"/>
          <w:numId w:val="1207"/>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207"/>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80"/>
    <w:bookmarkStart w:id="190" w:name="anexo_test"/>
    <w:p>
      <w:pPr>
        <w:pStyle w:val="Heading1"/>
      </w:pPr>
      <w:r>
        <w:t xml:space="preserve">A. Anexo: métodos y ejemplos para el test</w:t>
      </w:r>
    </w:p>
    <w:p>
      <w:pPr>
        <w:numPr>
          <w:ilvl w:val="0"/>
          <w:numId w:val="1212"/>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212"/>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10</w:t>
        </w:r>
      </w:hyperlink>
      <w:r>
        <w:t xml:space="preserve">).</w:t>
      </w:r>
    </w:p>
    <w:p>
      <w:pPr>
        <w:numPr>
          <w:ilvl w:val="0"/>
          <w:numId w:val="1212"/>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212"/>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213"/>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213"/>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213"/>
        </w:numPr>
      </w:pPr>
      <w:r>
        <w:t xml:space="preserve">(Fuera e Izquierda si entra; Derecha si entra) es EN de todo el juego, pero no ENPS, porque (Izquierda, Derecha) no es EN del subjuego.</w:t>
      </w:r>
    </w:p>
    <w:p>
      <w:pPr>
        <w:keepNext/>
        <w:numPr>
          <w:ilvl w:val="0"/>
          <w:numId w:val="1212"/>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w:t>
      </w:r>
      <w:r>
        <w:t xml:space="preserve">(ejemplo resuelto: la entrada con capacidad desconocida,</w:t>
      </w:r>
      <w:r>
        <w:t xml:space="preserve">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 en 3 pasos:</w:t>
      </w:r>
    </w:p>
    <w:p>
      <w:pPr>
        <w:numPr>
          <w:ilvl w:val="1"/>
          <w:numId w:val="1214"/>
        </w:numPr>
      </w:pPr>
      <w:r>
        <w:t xml:space="preserve">hallar la mejor respuesta de</w:t>
      </w:r>
      <w:r>
        <w:t xml:space="preserve"> </w:t>
      </w:r>
      <w:r>
        <w:rPr>
          <w:i/>
          <w:iCs/>
        </w:rPr>
        <w:t xml:space="preserve">cada tipo</w:t>
      </w:r>
      <w:r>
        <w:t xml:space="preserve"> </w:t>
      </w:r>
      <w:r>
        <w:t xml:space="preserve">del jugador informado;</w:t>
      </w:r>
    </w:p>
    <w:p>
      <w:pPr>
        <w:numPr>
          <w:ilvl w:val="1"/>
          <w:numId w:val="1214"/>
        </w:numPr>
      </w:pPr>
      <w:r>
        <w:t xml:space="preserve">calcular el pago esperado del no informado con la distribución a priori, y</w:t>
      </w:r>
    </w:p>
    <w:p>
      <w:pPr>
        <w:numPr>
          <w:ilvl w:val="1"/>
          <w:numId w:val="1214"/>
        </w:numPr>
      </w:pPr>
      <w:r>
        <w:t xml:space="preserve">comprobar para qué probabilidades cada perfil es equilibrio.</w:t>
      </w:r>
    </w:p>
    <w:p>
      <w:pPr>
        <w:numPr>
          <w:ilvl w:val="0"/>
          <w:numId w:val="1212"/>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keepNext/>
        <w:numPr>
          <w:ilvl w:val="0"/>
          <w:numId w:val="1212"/>
        </w:numPr>
      </w:pPr>
      <w:r>
        <w:rPr>
          <w:i/>
          <w:iCs/>
        </w:rPr>
        <w:t xml:space="preserve">Subastas</w:t>
      </w:r>
      <w:r>
        <w:t xml:space="preserve">:</w:t>
      </w:r>
    </w:p>
    <w:p>
      <w:pPr>
        <w:numPr>
          <w:ilvl w:val="1"/>
          <w:numId w:val="1215"/>
        </w:numPr>
      </w:pPr>
      <w:r>
        <w:t xml:space="preserve">en segundo precio (e inglesa con valores privados) se puja la valoración;</w:t>
      </w:r>
    </w:p>
    <w:p>
      <w:pPr>
        <w:numPr>
          <w:ilvl w:val="1"/>
          <w:numId w:val="1215"/>
        </w:numPr>
      </w:pPr>
      <w:r>
        <w:t xml:space="preserve">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w:t>
      </w:r>
    </w:p>
    <w:p>
      <w:pPr>
        <w:numPr>
          <w:ilvl w:val="1"/>
          <w:numId w:val="1215"/>
        </w:numPr>
      </w:pPr>
      <w:r>
        <w:t xml:space="preserve">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y</w:t>
      </w:r>
    </w:p>
    <w:p>
      <w:pPr>
        <w:numPr>
          <w:ilvl w:val="1"/>
          <w:numId w:val="1215"/>
        </w:numPr>
      </w:pPr>
      <w:r>
        <w:t xml:space="preserve">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86"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Los demás datos (tabla </w:t>
      </w:r>
      <w:hyperlink w:anchor="tab_inspeccion">
        <w:r>
          <w:rPr>
            <w:rStyle w:val="Hyperlink"/>
          </w:rPr>
          <w:t xml:space="preserve">10</w:t>
        </w:r>
      </w:hyperlink>
      <w:r>
        <w:t xml:space="preserve">):</w:t>
      </w:r>
    </w:p>
    <w:p>
      <w:pPr>
        <w:numPr>
          <w:ilvl w:val="0"/>
          <w:numId w:val="1216"/>
        </w:numPr>
      </w:pPr>
      <w:r>
        <w:t xml:space="preserve">el salario es 4 y esforzarse cuesta 2;</w:t>
      </w:r>
    </w:p>
    <w:p>
      <w:pPr>
        <w:numPr>
          <w:ilvl w:val="0"/>
          <w:numId w:val="1216"/>
        </w:numPr>
      </w:pPr>
      <w:r>
        <w:t xml:space="preserve">quien se escaquea y es descubierto no cobra, y</w:t>
      </w:r>
    </w:p>
    <w:p>
      <w:pPr>
        <w:numPr>
          <w:ilvl w:val="0"/>
          <w:numId w:val="1216"/>
        </w:numPr>
      </w:pPr>
      <w:r>
        <w:t xml:space="preserve">trabajar produce 6.</w:t>
      </w:r>
    </w:p>
    <w:p>
      <w:pPr>
        <w:pStyle w:val="FirstParagraph"/>
        <w:keepNext/>
      </w:pPr>
      <w:r>
        <w:t xml:space="preserve">No hay EN en puras: las mejores respuestas dan vueltas (gráfico </w:t>
      </w:r>
      <w:hyperlink w:anchor="fig_inspeccion">
        <w:r>
          <w:rPr>
            <w:rStyle w:val="Hyperlink"/>
          </w:rPr>
          <w:t xml:space="preserve">8</w:t>
        </w:r>
      </w:hyperlink>
      <w:r>
        <w:t xml:space="preserve">).</w:t>
      </w:r>
    </w:p>
    <w:p>
      <w:pPr>
        <w:numPr>
          <w:ilvl w:val="0"/>
          <w:numId w:val="1217"/>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217"/>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217"/>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81" w:name="tab_inspeccion"/>
    <w:p>
      <w:pPr>
        <w:pStyle w:val="TableCaption"/>
      </w:pPr>
      <w:r>
        <w:t xml:space="preserve">Tabla 10.–</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10.– El juego de la inspección (trabajador, filas; empresa, columnas): sin equilibrio en estrategias pura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rPr>
          <w:cantSplit/>
        </w:trP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rPr>
          <w:cantSplit/>
        </w:trP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81"/>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85" w:name="fig_inspeccion"/>
    <w:p>
      <w:pPr>
        <w:pStyle w:val="ImageCaption"/>
      </w:pPr>
      <w:r>
        <w:t xml:space="preserve">Gráfico 8.–</w:t>
      </w:r>
      <w:r>
        <w:t xml:space="preserve"> </w:t>
      </w:r>
      <w:r>
        <w:t xml:space="preserve">Mejores respuestas en el juego de la inspección y equilibrio en mixtas</w:t>
      </w:r>
    </w:p>
    <w:p>
      <w:pPr>
        <w:pStyle w:val="CaptionedFigure"/>
      </w:pPr>
      <w:r>
        <w:drawing>
          <wp:inline>
            <wp:extent cx="2776840" cy="2434322"/>
            <wp:effectExtent b="0" l="0" r="0" t="0"/>
            <wp:docPr descr="Gráfico 8.– Mejores respuestas en el juego de la inspección y equilibrio en mixtas" title="" id="183" name="Picture"/>
            <a:graphic>
              <a:graphicData uri="http://schemas.openxmlformats.org/drawingml/2006/picture">
                <pic:pic>
                  <pic:nvPicPr>
                    <pic:cNvPr descr="C:\Users\vgutierrez\Documents\src\victorgutierrezmarcos.github.io-revision\oposicion\temario\fuentes\3A14\graficos/inspeccion.png" id="184" name="Picture"/>
                    <pic:cNvPicPr>
                      <a:picLocks noChangeArrowheads="1" noChangeAspect="1"/>
                    </pic:cNvPicPr>
                  </pic:nvPicPr>
                  <pic:blipFill>
                    <a:blip r:embed="rId182"/>
                    <a:stretch>
                      <a:fillRect/>
                    </a:stretch>
                  </pic:blipFill>
                  <pic:spPr bwMode="auto">
                    <a:xfrm>
                      <a:off x="0" y="0"/>
                      <a:ext cx="2776840" cy="2434322"/>
                    </a:xfrm>
                    <a:prstGeom prst="rect">
                      <a:avLst/>
                    </a:prstGeom>
                    <a:noFill/>
                    <a:ln w="9525">
                      <a:noFill/>
                      <a:headEnd/>
                      <a:tailEnd/>
                    </a:ln>
                  </pic:spPr>
                </pic:pic>
              </a:graphicData>
            </a:graphic>
          </wp:inline>
        </w:drawing>
      </w:r>
    </w:p>
    <w:bookmarkEnd w:id="185"/>
    <w:p>
      <w:pPr>
        <w:pStyle w:val="Piedeimagen"/>
      </w:pPr>
      <w:r>
        <w:t xml:space="preserve">Fuente: elaboración propia.</w:t>
      </w:r>
    </w:p>
    <w:bookmarkEnd w:id="186"/>
    <w:bookmarkStart w:id="187"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218"/>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218"/>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218"/>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218"/>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87"/>
    <w:bookmarkStart w:id="189"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88">
        <w:r>
          <w:rPr>
            <w:rStyle w:val="Hyperlink"/>
          </w:rPr>
          <w:t xml:space="preserve">https://www.victorgutierrezmarcos.es/oposicion/temario/primer-ejercicio/test/simulador.html</w:t>
        </w:r>
      </w:hyperlink>
      <w:r>
        <w:t xml:space="preserve">.</w:t>
      </w:r>
    </w:p>
    <w:bookmarkEnd w:id="189"/>
    <w:bookmarkEnd w:id="190"/>
    <w:bookmarkStart w:id="191"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219"/>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219"/>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220"/>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220"/>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220"/>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219"/>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91"/>
    <w:bookmarkStart w:id="193" w:name="anexo_cooperativos"/>
    <w:p>
      <w:pPr>
        <w:pStyle w:val="Heading1"/>
      </w:pPr>
      <w:r>
        <w:t xml:space="preserve">C. Anexo: cálculo del núcleo y del valor de</w:t>
      </w:r>
      <w:r>
        <w:t xml:space="preserve"> </w:t>
      </w:r>
      <w:r>
        <w:rPr>
          <w:smallCaps/>
        </w:rPr>
        <w:t xml:space="preserve">Shapley</w:t>
      </w:r>
    </w:p>
    <w:p>
      <w:pPr>
        <w:numPr>
          <w:ilvl w:val="0"/>
          <w:numId w:val="1221"/>
        </w:numPr>
      </w:pPr>
      <w:r>
        <w:rPr>
          <w:i/>
          <w:iCs/>
        </w:rPr>
        <w:t xml:space="preserve">Núcleo del ejemplo</w:t>
      </w:r>
      <w:r>
        <w:t xml:space="preserve"> </w:t>
      </w:r>
      <w:r>
        <w:t xml:space="preserve">(</w:t>
      </w:r>
      <w:hyperlink w:anchor="sec_nucleo">
        <w:r>
          <w:rPr>
            <w:rStyle w:val="Hyperlink"/>
          </w:rPr>
          <w:t xml:space="preserve">II.3.2</w:t>
        </w:r>
      </w:hyperlink>
      <w:r>
        <w:t xml:space="preserve">; en el ejemplo, el vendedor 1 es</w:t>
      </w:r>
      <w:r>
        <w:t xml:space="preserve"> </w:t>
      </w:r>
      <w:r>
        <w:t xml:space="preserve">I</w:t>
      </w:r>
      <w:r>
        <w:t xml:space="preserve"> </w:t>
      </w:r>
      <w:r>
        <w:t xml:space="preserve">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221"/>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221"/>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11</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92" w:name="tab_shapley"/>
    <w:p>
      <w:pPr>
        <w:pStyle w:val="TableCaption"/>
      </w:pPr>
      <w:r>
        <w:t xml:space="preserve">Tabla 11.–</w:t>
      </w:r>
      <w:r>
        <w:t xml:space="preserve"> </w:t>
      </w:r>
      <w:r>
        <w:t xml:space="preserve">Aportaciones marginales en cada orden de llegada</w:t>
      </w:r>
    </w:p>
    <w:tbl>
      <w:tblPr>
        <w:tblStyle w:val="Table"/>
        <w:tblW w:type="auto" w:w="0"/>
        <w:tblLook w:firstRow="1" w:lastRow="0" w:firstColumn="0" w:lastColumn="0" w:noHBand="0" w:noVBand="0" w:val="0020"/>
        <w:tblCaption w:val="Tabla 11.– Aportaciones marginales en cada orden de llegada"/>
      </w:tblPr>
      <w:tblGrid>
        <w:gridCol w:w="1980"/>
        <w:gridCol w:w="1980"/>
        <w:gridCol w:w="1980"/>
        <w:gridCol w:w="1980"/>
      </w:tblGrid>
      <w:tr>
        <w:trPr>
          <w:cantSplit/>
          <w:tblHeader w:val="on"/>
        </w:trPr>
        <w:tc>
          <w:tcPr>
            <w:shd w:val="clear" w:color="auto" w:fill="DDEBF7"/>
            <w:vAlign w:val="center"/>
          </w:tcPr>
          <w:p>
            <w:pPr>
              <w:pStyle w:val="Celdatceeazulpalido"/>
              <w:jc w:val="center"/>
            </w:pPr>
            <w:r>
              <w:t xml:space="preserve"> </w:t>
            </w:r>
            <w:r>
              <w:rPr>
                <w:b/>
                <w:bCs/>
              </w:rPr>
              <w:t xml:space="preserve">Orden</w:t>
            </w:r>
          </w:p>
        </w:tc>
        <w:tc>
          <w:tcPr>
            <w:shd w:val="clear" w:color="auto" w:fill="DDEBF7"/>
            <w:vAlign w:val="center"/>
          </w:tcPr>
          <w:p>
            <w:pPr>
              <w:pStyle w:val="Celdatceeazulpalido"/>
              <w:jc w:val="center"/>
            </w:pPr>
            <w:r>
              <w:rPr>
                <w:b/>
                <w:bCs/>
              </w:rPr>
              <w:t xml:space="preserve">Vendedor (1)</w:t>
            </w:r>
          </w:p>
        </w:tc>
        <w:tc>
          <w:tcPr>
            <w:shd w:val="clear" w:color="auto" w:fill="DDEBF7"/>
            <w:vAlign w:val="center"/>
          </w:tcPr>
          <w:p>
            <w:pPr>
              <w:pStyle w:val="Celdatceeazulpalido"/>
              <w:jc w:val="center"/>
            </w:pPr>
            <w:r>
              <w:rPr>
                <w:b/>
                <w:bCs/>
              </w:rPr>
              <w:t xml:space="preserve">Comprador 2</w:t>
            </w:r>
          </w:p>
        </w:tc>
        <w:tc>
          <w:tcPr>
            <w:shd w:val="clear" w:color="auto" w:fill="DDEBF7"/>
            <w:vAlign w:val="center"/>
          </w:tcPr>
          <w:p>
            <w:pPr>
              <w:pStyle w:val="Celdatceeazulpalido"/>
              <w:jc w:val="center"/>
            </w:pPr>
            <w:r>
              <w:rPr>
                <w:b/>
                <w:bCs/>
              </w:rPr>
              <w:t xml:space="preserve">Comprador 3</w:t>
            </w:r>
          </w:p>
        </w:tc>
      </w:tr>
      <w:tr>
        <w:trPr>
          <w:cantSplit/>
        </w:trP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rPr>
          <w:cantSplit/>
        </w:trP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rPr>
          <w:cantSplit/>
        </w:trP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rPr>
          <w:cantSplit/>
        </w:trP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rPr>
          <w:cantSplit/>
        </w:trPr>
        <w:tc>
          <w:tcPr>
            <w:shd w:val="clear" w:color="auto" w:fill="E2EFD9"/>
            <w:vAlign w:val="center"/>
          </w:tcPr>
          <w:p>
            <w:pPr>
              <w:pStyle w:val="Celdatceesalvia"/>
              <w:jc w:val="center"/>
            </w:pPr>
            <w:r>
              <w:t xml:space="preserve"> </w:t>
            </w:r>
            <w:r>
              <w:rPr>
                <w:b/>
                <w:bCs/>
              </w:rPr>
              <w:t xml:space="preserve">Media</w:t>
            </w:r>
          </w:p>
        </w:tc>
        <w:tc>
          <w:tcPr>
            <w:shd w:val="clear" w:color="auto" w:fill="E2EFD9"/>
            <w:vAlign w:val="center"/>
          </w:tcPr>
          <w:p>
            <w:pPr>
              <w:pStyle w:val="Celdatceesalvia"/>
              <w:jc w:val="center"/>
            </w:pPr>
            <m:oMath>
              <m:r>
                <m:t>66</m:t>
              </m:r>
              <m:f>
                <m:fPr>
                  <m:type m:val="lin"/>
                </m:fPr>
                <m:num>
                  <m:r>
                    <m:t>2</m:t>
                  </m:r>
                </m:num>
                <m:den>
                  <m:r>
                    <m:t>3</m:t>
                  </m:r>
                </m:den>
              </m:f>
            </m:oMath>
          </w:p>
        </w:tc>
        <w:tc>
          <w:tcPr>
            <w:shd w:val="clear" w:color="auto" w:fill="E2EFD9"/>
            <w:vAlign w:val="center"/>
          </w:tcPr>
          <w:p>
            <w:pPr>
              <w:pStyle w:val="Celdatceesalvia"/>
              <w:jc w:val="center"/>
            </w:pPr>
            <m:oMath>
              <m:r>
                <m:t>6</m:t>
              </m:r>
              <m:f>
                <m:fPr>
                  <m:type m:val="lin"/>
                </m:fPr>
                <m:num>
                  <m:r>
                    <m:t>2</m:t>
                  </m:r>
                </m:num>
                <m:den>
                  <m:r>
                    <m:t>3</m:t>
                  </m:r>
                </m:den>
              </m:f>
            </m:oMath>
          </w:p>
        </w:tc>
        <w:tc>
          <w:tcPr>
            <w:shd w:val="clear" w:color="auto" w:fill="E2EFD9"/>
            <w:vAlign w:val="center"/>
          </w:tcPr>
          <w:p>
            <w:pPr>
              <w:pStyle w:val="Celdatceesalvia"/>
              <w:jc w:val="center"/>
            </w:pPr>
            <m:oMath>
              <m:r>
                <m:t>26</m:t>
              </m:r>
              <m:f>
                <m:fPr>
                  <m:type m:val="lin"/>
                </m:fPr>
                <m:num>
                  <m:r>
                    <m:t>2</m:t>
                  </m:r>
                </m:num>
                <m:den>
                  <m:r>
                    <m:t>3</m:t>
                  </m:r>
                </m:den>
              </m:f>
            </m:oMath>
          </w:p>
        </w:tc>
      </w:tr>
    </w:tbl>
    <w:bookmarkEnd w:id="192"/>
    <w:p>
      <w:pPr>
        <w:pStyle w:val="BodyText"/>
      </w:pPr>
      <w:r>
        <w:rPr>
          <w:i/>
          <w:iCs/>
        </w:rPr>
        <w:t xml:space="preserve">Fuente: elaboración propia.</w:t>
      </w:r>
    </w:p>
    <w:bookmarkEnd w:id="193"/>
    <w:bookmarkStart w:id="194" w:name="anexo_subastas"/>
    <w:p>
      <w:pPr>
        <w:pStyle w:val="Heading1"/>
      </w:pPr>
      <w:r>
        <w:t xml:space="preserve">D. Anexo: subastas, derivaciones</w:t>
      </w:r>
    </w:p>
    <w:p>
      <w:pPr>
        <w:numPr>
          <w:ilvl w:val="0"/>
          <w:numId w:val="1222"/>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222"/>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222"/>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222"/>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94"/>
    <w:bookmarkStart w:id="247" w:name="anexo_clasicos"/>
    <w:p>
      <w:pPr>
        <w:pStyle w:val="Heading1"/>
      </w:pPr>
      <w:r>
        <w:t xml:space="preserve">E. Anexo: ejemplos clásicos y su aplicación en otros temas</w:t>
      </w:r>
    </w:p>
    <w:p>
      <w:pPr>
        <w:numPr>
          <w:ilvl w:val="0"/>
          <w:numId w:val="1223"/>
        </w:numPr>
      </w:pPr>
      <w:r>
        <w:t xml:space="preserve">Cada concepto del cuerpo se ilustra primero con el ejemplo de los 2 operadores,</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96" w:name="el_dilema_del_prisionero_dominanci_85352"/>
    <w:p>
      <w:pPr>
        <w:pStyle w:val="Heading2"/>
      </w:pPr>
      <w:r>
        <w:t xml:space="preserve">El dilema del prisionero: dominancia y equilibrio ineficiente</w:t>
      </w:r>
    </w:p>
    <w:p>
      <w:pPr>
        <w:keepNext/>
        <w:numPr>
          <w:ilvl w:val="0"/>
          <w:numId w:val="1224"/>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12</w:t>
        </w:r>
      </w:hyperlink>
      <w:r>
        <w:t xml:space="preserve">):</w:t>
      </w:r>
    </w:p>
    <w:p>
      <w:pPr>
        <w:numPr>
          <w:ilvl w:val="1"/>
          <w:numId w:val="1225"/>
        </w:numPr>
      </w:pPr>
      <w:r>
        <w:t xml:space="preserve">si los 2 callan, solo se les puede condenar por un delito menor (1 año);</w:t>
      </w:r>
    </w:p>
    <w:p>
      <w:pPr>
        <w:numPr>
          <w:ilvl w:val="1"/>
          <w:numId w:val="1225"/>
        </w:numPr>
      </w:pPr>
      <w:r>
        <w:t xml:space="preserve">si uno confiesa y el otro calla, el que confiesa queda libre y el otro cumple 10 años, y</w:t>
      </w:r>
    </w:p>
    <w:p>
      <w:pPr>
        <w:numPr>
          <w:ilvl w:val="1"/>
          <w:numId w:val="1225"/>
        </w:numPr>
      </w:pPr>
      <w:r>
        <w:t xml:space="preserve">si los 2 confiesan, 5 años cada uno.</w:t>
      </w:r>
    </w:p>
    <w:p>
      <w:pPr>
        <w:numPr>
          <w:ilvl w:val="0"/>
          <w:numId w:val="1224"/>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224"/>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224"/>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95" w:name="tab_prisionero_clasico"/>
    <w:p>
      <w:pPr>
        <w:pStyle w:val="TableCaption"/>
      </w:pPr>
      <w:r>
        <w:t xml:space="preserve">Tabla 12.–</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12.– El dilema del prisionero (jugador 1, filas; pagos: años de cárcel con signo negativ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rPr>
          <w:cantSplit/>
        </w:trP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rPr>
          <w:cantSplit/>
        </w:trP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95"/>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96"/>
    <w:bookmarkStart w:id="199" w:name="la_batalla_de_los_sexos_coordinaci_61663"/>
    <w:p>
      <w:pPr>
        <w:pStyle w:val="Heading2"/>
      </w:pPr>
      <w:r>
        <w:t xml:space="preserve">La batalla de los sexos: coordinación y varios equilibrios</w:t>
      </w:r>
    </w:p>
    <w:p>
      <w:pPr>
        <w:numPr>
          <w:ilvl w:val="0"/>
          <w:numId w:val="1226"/>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13</w:t>
        </w:r>
      </w:hyperlink>
      <w:r>
        <w:t xml:space="preserve">).</w:t>
      </w:r>
    </w:p>
    <w:p>
      <w:pPr>
        <w:numPr>
          <w:ilvl w:val="0"/>
          <w:numId w:val="1226"/>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226"/>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226"/>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97">
        <w:r>
          <w:rPr>
            <w:rStyle w:val="Referenciaatema"/>
          </w:rPr>
          <w:t xml:space="preserve">[ver tema 3.B.45]</w:t>
        </w:r>
      </w:hyperlink>
      <w:r>
        <w:t xml:space="preserve">.</w:t>
      </w:r>
    </w:p>
    <w:bookmarkStart w:id="198" w:name="tab_batalla_sexos"/>
    <w:p>
      <w:pPr>
        <w:pStyle w:val="TableCaption"/>
      </w:pPr>
      <w:r>
        <w:t xml:space="preserve">Tabla 13.–</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13.– La batalla de los sexos (jugador 1, filas, prefiere el fútbol; jugador 2, columnas, el teatro)"/>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rPr>
          <w:cantSplit/>
        </w:trPr>
        <w:tc>
          <w:tcPr>
            <w:vAlign w:val="center"/>
          </w:tcPr>
          <w:p>
            <w:pPr>
              <w:pStyle w:val="Compact"/>
              <w:jc w:val="center"/>
            </w:pPr>
            <w:r>
              <w:rPr>
                <w:b/>
                <w:bCs/>
              </w:rPr>
              <w:t xml:space="preserve">Fútbol</w:t>
            </w:r>
          </w:p>
        </w:tc>
        <w:tc>
          <w:tcPr>
            <w:shd w:val="clear" w:color="auto" w:fill="E2EFD9"/>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rPr>
          <w:cantSplit/>
        </w:trP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98"/>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99"/>
    <w:bookmarkStart w:id="202" w:name="el_juego_de_la_gallina_qui__n_cede_22310"/>
    <w:p>
      <w:pPr>
        <w:pStyle w:val="Heading2"/>
      </w:pPr>
      <w:r>
        <w:t xml:space="preserve">El juego de la gallina: quién cede primero</w:t>
      </w:r>
    </w:p>
    <w:p>
      <w:pPr>
        <w:keepNext/>
        <w:numPr>
          <w:ilvl w:val="0"/>
          <w:numId w:val="1227"/>
        </w:numPr>
      </w:pPr>
      <w:r>
        <w:rPr>
          <w:i/>
          <w:iCs/>
        </w:rPr>
        <w:t xml:space="preserve">Juego</w:t>
      </w:r>
      <w:r>
        <w:t xml:space="preserve">: 2 conductores van de frente, y el que se aparta es «la gallina»:</w:t>
      </w:r>
    </w:p>
    <w:p>
      <w:pPr>
        <w:numPr>
          <w:ilvl w:val="1"/>
          <w:numId w:val="1228"/>
        </w:numPr>
      </w:pPr>
      <w:r>
        <w:t xml:space="preserve">si se aparta uno, gana el otro;</w:t>
      </w:r>
    </w:p>
    <w:p>
      <w:pPr>
        <w:numPr>
          <w:ilvl w:val="1"/>
          <w:numId w:val="1228"/>
        </w:numPr>
      </w:pPr>
      <w:r>
        <w:t xml:space="preserve">si se apartan los 2, empatan, y</w:t>
      </w:r>
    </w:p>
    <w:p>
      <w:pPr>
        <w:numPr>
          <w:ilvl w:val="1"/>
          <w:numId w:val="1228"/>
        </w:numPr>
      </w:pPr>
      <w:r>
        <w:t xml:space="preserve">si no se aparta ninguno, chocan, el peor resultado para los 2.</w:t>
      </w:r>
    </w:p>
    <w:p>
      <w:pPr>
        <w:numPr>
          <w:ilvl w:val="0"/>
          <w:numId w:val="1227"/>
        </w:numPr>
      </w:pPr>
      <w:r>
        <w:rPr>
          <w:i/>
          <w:iCs/>
        </w:rPr>
        <w:t xml:space="preserve">Una lectura de 2012: España y el BCE</w:t>
      </w:r>
      <w:r>
        <w:t xml:space="preserve"> </w:t>
      </w:r>
      <w:r>
        <w:t xml:space="preserve">(tabla </w:t>
      </w:r>
      <w:hyperlink w:anchor="tab_gallina">
        <w:r>
          <w:rPr>
            <w:rStyle w:val="Hyperlink"/>
          </w:rPr>
          <w:t xml:space="preserve">14</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227"/>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227"/>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227"/>
        </w:numPr>
      </w:pPr>
      <w:r>
        <w:rPr>
          <w:i/>
          <w:iCs/>
        </w:rPr>
        <w:t xml:space="preserve">En el temario</w:t>
      </w:r>
      <w:r>
        <w:t xml:space="preserve">: la crisis del sistema financiero español y su rescate</w:t>
      </w:r>
      <w:r>
        <w:t xml:space="preserve"> </w:t>
      </w:r>
      <w:hyperlink r:id="rId200">
        <w:r>
          <w:rPr>
            <w:rStyle w:val="Referenciaatema"/>
          </w:rPr>
          <w:t xml:space="preserve">[ver tema 4.A.18]</w:t>
        </w:r>
      </w:hyperlink>
      <w:r>
        <w:t xml:space="preserve">, los ataques especulativos con varios equilibrios</w:t>
      </w:r>
      <w:r>
        <w:t xml:space="preserve"> </w:t>
      </w:r>
      <w:hyperlink r:id="rId132">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201" w:name="tab_gallina"/>
    <w:p>
      <w:pPr>
        <w:pStyle w:val="TableCaption"/>
      </w:pPr>
      <w:r>
        <w:t xml:space="preserve">Tabla 14.–</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4.– El juego de la gallina entre el BCE (filas) y España (columnas) en 2012, en forma estilizada"/>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rPr>
          <w:cantSplit/>
        </w:trP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shd w:val="clear" w:color="auto" w:fill="E2EFD9"/>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rPr>
          <w:cantSplit/>
        </w:trPr>
        <w:tc>
          <w:tcPr>
            <w:vAlign w:val="center"/>
          </w:tcPr>
          <w:p>
            <w:pPr>
              <w:pStyle w:val="Compact"/>
              <w:jc w:val="center"/>
            </w:pPr>
            <w:r>
              <w:rPr>
                <w:b/>
                <w:bCs/>
              </w:rPr>
              <w:t xml:space="preserve">Dejar de financiar</w:t>
            </w:r>
          </w:p>
        </w:tc>
        <w:tc>
          <w:tcPr>
            <w:shd w:val="clear" w:color="auto" w:fill="E2EFD9"/>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201"/>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202"/>
    <w:bookmarkStart w:id="208" w:name="pares_o_nones_y_la_inspecci__n_est_30174"/>
    <w:p>
      <w:pPr>
        <w:pStyle w:val="Heading2"/>
      </w:pPr>
      <w:r>
        <w:t xml:space="preserve">Pares o nones y la inspección: estrategias mixtas</w:t>
      </w:r>
    </w:p>
    <w:p>
      <w:pPr>
        <w:numPr>
          <w:ilvl w:val="0"/>
          <w:numId w:val="1229"/>
        </w:numPr>
      </w:pPr>
      <w:r>
        <w:rPr>
          <w:i/>
          <w:iCs/>
        </w:rPr>
        <w:t xml:space="preserve">Juego</w:t>
      </w:r>
      <w:r>
        <w:t xml:space="preserve">: cada jugador saca a la vez 1 o 2 dedos; si la suma es par gana el 1 y, si es impar, el 2, que paga 1 al otro. Es de suma cero (tabla </w:t>
      </w:r>
      <w:hyperlink w:anchor="tab_pares_nones">
        <w:r>
          <w:rPr>
            <w:rStyle w:val="Hyperlink"/>
          </w:rPr>
          <w:t xml:space="preserve">15</w:t>
        </w:r>
      </w:hyperlink>
      <w:r>
        <w:t xml:space="preserve">).</w:t>
      </w:r>
    </w:p>
    <w:p>
      <w:pPr>
        <w:numPr>
          <w:ilvl w:val="0"/>
          <w:numId w:val="1229"/>
        </w:numPr>
      </w:pPr>
      <w:r>
        <w:rPr>
          <w:i/>
          <w:iCs/>
        </w:rPr>
        <w:t xml:space="preserve">Equilibrio</w:t>
      </w:r>
      <w:r>
        <w:t xml:space="preserve">: no hay EN en puras (el que pierde siempre quiere cambiar: en ninguna casilla están subrayados los 2 pagos);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Las mejores respuestas,</w:t>
      </w:r>
      <w:r>
        <w:t xml:space="preserve"> </w:t>
      </w:r>
      <m:oMath>
        <m:sSub>
          <m:e>
            <m:r>
              <m:t>R</m:t>
            </m:r>
          </m:e>
          <m:sub>
            <m:r>
              <m:t>1</m:t>
            </m:r>
          </m:sub>
        </m:sSub>
      </m:oMath>
      <w:r>
        <w:t xml:space="preserve"> </w:t>
      </w:r>
      <w:r>
        <w:t xml:space="preserve">y</w:t>
      </w:r>
      <w:r>
        <w:t xml:space="preserve"> </w:t>
      </w:r>
      <m:oMath>
        <m:sSub>
          <m:e>
            <m:r>
              <m:t>R</m:t>
            </m:r>
          </m:e>
          <m:sub>
            <m:r>
              <m:t>2</m:t>
            </m:r>
          </m:sub>
        </m:sSub>
      </m:oMath>
      <w:r>
        <w:t xml:space="preserve">, solo se cortan en</w:t>
      </w:r>
      <w:r>
        <w:t xml:space="preserve"> </w:t>
      </w:r>
      <m:oMath>
        <m:d>
          <m:dPr>
            <m:begChr m:val="("/>
            <m:sepChr m:val=""/>
            <m:endChr m:val=")"/>
            <m:grow/>
          </m:dPr>
          <m:e>
            <m:r>
              <m:t>1</m:t>
            </m:r>
            <m:r>
              <m:rPr>
                <m:sty m:val="p"/>
              </m:rPr>
              <m:t>/</m:t>
            </m:r>
            <m:r>
              <m:t>2</m:t>
            </m:r>
            <m:r>
              <m:rPr>
                <m:sty m:val="p"/>
              </m:rPr>
              <m:t>,</m:t>
            </m:r>
            <m:r>
              <m:t> </m:t>
            </m:r>
            <m:r>
              <m:t>1</m:t>
            </m:r>
            <m:r>
              <m:rPr>
                <m:sty m:val="p"/>
              </m:rPr>
              <m:t>/</m:t>
            </m:r>
            <m:r>
              <m:t>2</m:t>
            </m:r>
          </m:e>
        </m:d>
      </m:oMath>
      <w:r>
        <w:t xml:space="preserve"> </w:t>
      </w:r>
      <w:r>
        <w:t xml:space="preserve">(gráfico </w:t>
      </w:r>
      <w:hyperlink w:anchor="fig_pares_nones">
        <w:r>
          <w:rPr>
            <w:rStyle w:val="Hyperlink"/>
          </w:rPr>
          <w:t xml:space="preserve">9</w:t>
        </w:r>
      </w:hyperlink>
      <w:r>
        <w:t xml:space="preserve">): con</w:t>
      </w:r>
      <w:r>
        <w:t xml:space="preserve"> </w:t>
      </w:r>
      <m:oMath>
        <m:sSub>
          <m:e>
            <m:r>
              <m:t>π</m:t>
            </m:r>
          </m:e>
          <m:sub>
            <m:r>
              <m:t>2</m:t>
            </m:r>
          </m:sub>
        </m:sSub>
        <m:r>
          <m:rPr>
            <m:sty m:val="p"/>
          </m:rPr>
          <m:t>&gt;</m:t>
        </m:r>
        <m:r>
          <m:t>1</m:t>
        </m:r>
        <m:r>
          <m:rPr>
            <m:sty m:val="p"/>
          </m:rPr>
          <m:t>/</m:t>
        </m:r>
        <m:r>
          <m:t>2</m:t>
        </m:r>
      </m:oMath>
      <w:r>
        <w:t xml:space="preserve">, al 1 le conviene sacar 1 dedo siempre, y al 2, que quiere no coincidir, le conviene entonces sacar 2.</w:t>
      </w:r>
    </w:p>
    <w:p>
      <w:pPr>
        <w:numPr>
          <w:ilvl w:val="0"/>
          <w:numId w:val="1229"/>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10</w:t>
        </w:r>
      </w:hyperlink>
      <w:r>
        <w:t xml:space="preserve"> </w:t>
      </w:r>
      <w:r>
        <w:t xml:space="preserve">y gráfico </w:t>
      </w:r>
      <w:hyperlink w:anchor="fig_inspeccion">
        <w:r>
          <w:rPr>
            <w:rStyle w:val="Hyperlink"/>
          </w:rPr>
          <w:t xml:space="preserve">8</w:t>
        </w:r>
      </w:hyperlink>
      <w:r>
        <w:t xml:space="preserve">, con el EN en</w:t>
      </w:r>
      <w:r>
        <w:t xml:space="preserve"> </w:t>
      </w:r>
      <m:oMath>
        <m:d>
          <m:dPr>
            <m:begChr m:val="("/>
            <m:sepChr m:val=""/>
            <m:endChr m:val=")"/>
            <m:grow/>
          </m:dPr>
          <m:e>
            <m:r>
              <m:t>1</m:t>
            </m:r>
            <m:r>
              <m:rPr>
                <m:sty m:val="p"/>
              </m:rPr>
              <m:t>/</m:t>
            </m:r>
            <m:r>
              <m:t>2</m:t>
            </m:r>
            <m:r>
              <m:rPr>
                <m:sty m:val="p"/>
              </m:rPr>
              <m:t>,</m:t>
            </m:r>
            <m:r>
              <m:t> </m:t>
            </m:r>
            <m:r>
              <m:t>3</m:t>
            </m:r>
            <m:r>
              <m:rPr>
                <m:sty m:val="p"/>
              </m:rPr>
              <m:t>/</m:t>
            </m:r>
            <m:r>
              <m:t>4</m:t>
            </m:r>
          </m:e>
        </m:d>
      </m:oMath>
      <w:r>
        <w:t xml:space="preserve">), encarecer la vigilancia no cambia cuánto vigila la empresa, sino cuánto se escaquea el trabajador.</w:t>
      </w:r>
    </w:p>
    <w:p>
      <w:pPr>
        <w:keepNext/>
        <w:numPr>
          <w:ilvl w:val="0"/>
          <w:numId w:val="1229"/>
        </w:numPr>
      </w:pPr>
      <w:r>
        <w:rPr>
          <w:i/>
          <w:iCs/>
        </w:rPr>
        <w:t xml:space="preserve">En el temario</w:t>
      </w:r>
      <w:r>
        <w:t xml:space="preserve">:</w:t>
      </w:r>
    </w:p>
    <w:p>
      <w:pPr>
        <w:numPr>
          <w:ilvl w:val="1"/>
          <w:numId w:val="1230"/>
        </w:numPr>
      </w:pPr>
      <w:r>
        <w:t xml:space="preserve">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w:t>
      </w:r>
    </w:p>
    <w:p>
      <w:pPr>
        <w:numPr>
          <w:ilvl w:val="1"/>
          <w:numId w:val="1230"/>
        </w:numPr>
      </w:pPr>
      <w:r>
        <w:t xml:space="preserve">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y</w:t>
      </w:r>
    </w:p>
    <w:p>
      <w:pPr>
        <w:numPr>
          <w:ilvl w:val="1"/>
          <w:numId w:val="1230"/>
        </w:numPr>
      </w:pPr>
      <w:r>
        <w:t xml:space="preserve">la inspección tributaria y la evasión.</w:t>
      </w:r>
    </w:p>
    <w:bookmarkStart w:id="203" w:name="tab_pares_nones"/>
    <w:p>
      <w:pPr>
        <w:pStyle w:val="TableCaption"/>
      </w:pPr>
      <w:r>
        <w:t xml:space="preserve">Tabla 15.–</w:t>
      </w:r>
      <w:r>
        <w:t xml:space="preserve"> </w:t>
      </w:r>
      <w:r>
        <w:t xml:space="preserve">Pares o nones (jugador 1, filas, gana si la suma es par; jugador 2, columnas, si es impar)</w:t>
      </w:r>
    </w:p>
    <w:tbl>
      <w:tblPr>
        <w:tblStyle w:val="Table"/>
        <w:tblW w:type="auto" w:w="0"/>
        <w:tblLook w:firstRow="0" w:lastRow="0" w:firstColumn="0" w:lastColumn="0" w:noHBand="0" w:noVBand="0" w:val="0000"/>
        <w:tblCaption w:val="Tabla 15.– Pares o nones (jugador 1, filas, gana si la suma es par; jugador 2, columnas, si es impar)"/>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1 dedo</w:t>
            </w:r>
            <w:r>
              <w:t xml:space="preserve"> </w:t>
            </w:r>
            <w:r>
              <w:t xml:space="preserve">(</w:t>
            </w:r>
            <m:oMath>
              <m:sSub>
                <m:e>
                  <m:r>
                    <m:t>π</m:t>
                  </m:r>
                </m:e>
                <m:sub>
                  <m:r>
                    <m:t>2</m:t>
                  </m:r>
                </m:sub>
              </m:sSub>
            </m:oMath>
            <w:r>
              <w:t xml:space="preserve">)</w:t>
            </w:r>
          </w:p>
        </w:tc>
        <w:tc>
          <w:tcPr>
            <w:vAlign w:val="center"/>
          </w:tcPr>
          <w:p>
            <w:pPr>
              <w:pStyle w:val="Compact"/>
              <w:jc w:val="center"/>
            </w:pPr>
            <w:r>
              <w:rPr>
                <w:b/>
                <w:bCs/>
              </w:rPr>
              <w:t xml:space="preserve">2 dedos</w:t>
            </w:r>
          </w:p>
        </w:tc>
      </w:tr>
      <w:tr>
        <w:trPr>
          <w:cantSplit/>
        </w:trPr>
        <w:tc>
          <w:tcPr>
            <w:vAlign w:val="center"/>
          </w:tcPr>
          <w:p>
            <w:pPr>
              <w:pStyle w:val="Compact"/>
              <w:jc w:val="center"/>
            </w:pPr>
            <w:r>
              <w:rPr>
                <w:b/>
                <w:bCs/>
              </w:rPr>
              <w:t xml:space="preserve">1 dedo</w:t>
            </w:r>
            <w:r>
              <w:t xml:space="preserve"> </w:t>
            </w:r>
            <w:r>
              <w:t xml:space="preserve">(</w:t>
            </w:r>
            <m:oMath>
              <m:sSub>
                <m:e>
                  <m:r>
                    <m:t>π</m:t>
                  </m:r>
                </m:e>
                <m:sub>
                  <m:r>
                    <m:t>1</m:t>
                  </m:r>
                </m:sub>
              </m:sSub>
            </m:oMath>
            <w:r>
              <w:t xml:space="preserve">)</w:t>
            </w:r>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r>
      <w:tr>
        <w:trPr>
          <w:cantSplit/>
        </w:trPr>
        <w:tc>
          <w:tcPr>
            <w:vAlign w:val="center"/>
          </w:tcPr>
          <w:p>
            <w:pPr>
              <w:pStyle w:val="Compact"/>
              <w:jc w:val="center"/>
            </w:pPr>
            <w:r>
              <w:rPr>
                <w:b/>
                <w:bCs/>
              </w:rPr>
              <w:t xml:space="preserve">2 dedos</w:t>
            </w:r>
          </w:p>
        </w:tc>
        <w:tc>
          <w:tcPr>
            <w:vAlign w:val="center"/>
          </w:tcPr>
          <w:p>
            <w:pPr>
              <w:pStyle w:val="Compact"/>
              <w:jc w:val="center"/>
            </w:pPr>
            <m:oMath>
              <m:d>
                <m:dPr>
                  <m:begChr m:val="("/>
                  <m:sepChr m:val=""/>
                  <m:endChr m:val=")"/>
                  <m:grow/>
                </m:dPr>
                <m:e>
                  <m:r>
                    <m:rPr>
                      <m:sty m:val="p"/>
                    </m:rPr>
                    <m:t>−</m:t>
                  </m:r>
                  <m:r>
                    <m:t>1</m:t>
                  </m:r>
                  <m:r>
                    <m:rPr>
                      <m:sty m:val="p"/>
                    </m:rPr>
                    <m:t>,</m:t>
                  </m:r>
                  <m:bar>
                    <m:barPr>
                      <m:pos m:val="bot"/>
                    </m:barPr>
                    <m:e>
                      <m:r>
                        <m:t>1</m:t>
                      </m:r>
                    </m:e>
                  </m:bar>
                </m:e>
              </m:d>
            </m:oMath>
          </w:p>
        </w:tc>
        <w:tc>
          <w:tcPr>
            <w:vAlign w:val="center"/>
          </w:tcPr>
          <w:p>
            <w:pPr>
              <w:pStyle w:val="Compact"/>
              <w:jc w:val="center"/>
            </w:pPr>
            <m:oMath>
              <m:d>
                <m:dPr>
                  <m:begChr m:val="("/>
                  <m:sepChr m:val=""/>
                  <m:endChr m:val=")"/>
                  <m:grow/>
                </m:dPr>
                <m:e>
                  <m:bar>
                    <m:barPr>
                      <m:pos m:val="bot"/>
                    </m:barPr>
                    <m:e>
                      <m:r>
                        <m:t>1</m:t>
                      </m:r>
                    </m:e>
                  </m:bar>
                  <m:r>
                    <m:rPr>
                      <m:sty m:val="p"/>
                    </m:rPr>
                    <m:t>,</m:t>
                  </m:r>
                  <m:r>
                    <m:rPr>
                      <m:sty m:val="p"/>
                    </m:rPr>
                    <m:t>−</m:t>
                  </m:r>
                  <m:r>
                    <m:t>1</m:t>
                  </m:r>
                </m:e>
              </m:d>
            </m:oMath>
          </w:p>
        </w:tc>
      </w:tr>
    </w:tbl>
    <w:bookmarkEnd w:id="203"/>
    <w:p>
      <w:pPr>
        <w:pStyle w:val="BodyText"/>
      </w:pPr>
      <w:r>
        <w:rPr>
          <w:i/>
          <w:iCs/>
        </w:rPr>
        <w:t xml:space="preserve">Fuente: elaboración propia a partir de</w:t>
      </w:r>
      <w:r>
        <w:rPr>
          <w:i/>
          <w:iCs/>
        </w:rPr>
        <w:t xml:space="preserve"> </w:t>
      </w:r>
      <w:r>
        <w:rPr>
          <w:i/>
          <w:iCs/>
          <w:smallCaps/>
        </w:rPr>
        <w:t xml:space="preserve">von</w:t>
      </w:r>
      <w:r>
        <w:rPr>
          <w:i/>
          <w:iCs/>
        </w:rPr>
        <w:t xml:space="preserve"> </w:t>
      </w:r>
      <w:r>
        <w:rPr>
          <w:i/>
          <w:iCs/>
          <w:smallCaps/>
        </w:rPr>
        <w:t xml:space="preserve">Neumann</w:t>
      </w:r>
      <w:r>
        <w:rPr>
          <w:i/>
          <w:iCs/>
        </w:rPr>
        <w:t xml:space="preserve"> </w:t>
      </w:r>
      <w:r>
        <w:rPr>
          <w:i/>
          <w:iCs/>
        </w:rPr>
        <w:t xml:space="preserve">(</w:t>
      </w:r>
      <w:hyperlink w:anchor="ref_VonNeumann1928Theorie">
        <w:r>
          <w:rPr>
            <w:rStyle w:val="Hyperlink"/>
            <w:i/>
            <w:iCs/>
          </w:rPr>
          <w:t xml:space="preserve">1928</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ninguna casilla tiene las 2, así que no hay equilibrio en puras.</w:t>
      </w:r>
    </w:p>
    <w:bookmarkStart w:id="207" w:name="fig_pares_nones"/>
    <w:p>
      <w:pPr>
        <w:pStyle w:val="ImageCaption"/>
      </w:pPr>
      <w:r>
        <w:t xml:space="preserve">Gráfico 9.–</w:t>
      </w:r>
      <w:r>
        <w:t xml:space="preserve"> </w:t>
      </w:r>
      <w:r>
        <w:t xml:space="preserve">Mejores respuestas en pares o nones y equilibrio en mixtas</w:t>
      </w:r>
    </w:p>
    <w:p>
      <w:pPr>
        <w:pStyle w:val="CaptionedFigure"/>
      </w:pPr>
      <w:r>
        <w:drawing>
          <wp:inline>
            <wp:extent cx="2776840" cy="2434322"/>
            <wp:effectExtent b="0" l="0" r="0" t="0"/>
            <wp:docPr descr="Gráfico 9.– Mejores respuestas en pares o nones y equilibrio en mixtas" title="" id="205" name="Picture"/>
            <a:graphic>
              <a:graphicData uri="http://schemas.openxmlformats.org/drawingml/2006/picture">
                <pic:pic>
                  <pic:nvPicPr>
                    <pic:cNvPr descr="C:\Users\vgutierrez\Documents\src\victorgutierrezmarcos.github.io-revision\oposicion\temario\fuentes\3A14\graficos/pares-nones.png" id="206" name="Picture"/>
                    <pic:cNvPicPr>
                      <a:picLocks noChangeArrowheads="1" noChangeAspect="1"/>
                    </pic:cNvPicPr>
                  </pic:nvPicPr>
                  <pic:blipFill>
                    <a:blip r:embed="rId204"/>
                    <a:stretch>
                      <a:fillRect/>
                    </a:stretch>
                  </pic:blipFill>
                  <pic:spPr bwMode="auto">
                    <a:xfrm>
                      <a:off x="0" y="0"/>
                      <a:ext cx="2776840" cy="2434322"/>
                    </a:xfrm>
                    <a:prstGeom prst="rect">
                      <a:avLst/>
                    </a:prstGeom>
                    <a:noFill/>
                    <a:ln w="9525">
                      <a:noFill/>
                      <a:headEnd/>
                      <a:tailEnd/>
                    </a:ln>
                  </pic:spPr>
                </pic:pic>
              </a:graphicData>
            </a:graphic>
          </wp:inline>
        </w:drawing>
      </w:r>
    </w:p>
    <w:bookmarkEnd w:id="207"/>
    <w:p>
      <w:pPr>
        <w:pStyle w:val="Piedeimagen"/>
      </w:pPr>
      <w:r>
        <w:t xml:space="preserve">Fuente: elaboración propia.</w:t>
      </w:r>
      <w:r>
        <w:t xml:space="preserve"> </w:t>
      </w:r>
      <m:oMath>
        <m:sSub>
          <m:e>
            <m:r>
              <m:t>π</m:t>
            </m:r>
          </m:e>
          <m:sub>
            <m:r>
              <m:t>1</m:t>
            </m:r>
          </m:sub>
        </m:sSub>
      </m:oMath>
      <w:r>
        <w:t xml:space="preserve"> </w:t>
      </w:r>
      <w:r>
        <w:t xml:space="preserve">y</w:t>
      </w:r>
      <w:r>
        <w:t xml:space="preserve"> </w:t>
      </w:r>
      <m:oMath>
        <m:sSub>
          <m:e>
            <m:r>
              <m:t>π</m:t>
            </m:r>
          </m:e>
          <m:sub>
            <m:r>
              <m:t>2</m:t>
            </m:r>
          </m:sub>
        </m:sSub>
      </m:oMath>
      <w:r>
        <w:t xml:space="preserve">, probabilidades de que cada jugador saque 1 dedo.</w:t>
      </w:r>
    </w:p>
    <w:bookmarkEnd w:id="208"/>
    <w:bookmarkStart w:id="213" w:name="hern__n_cort__s_quema_las_naves_co_29073"/>
    <w:p>
      <w:pPr>
        <w:pStyle w:val="Heading2"/>
      </w:pPr>
      <w:r>
        <w:t xml:space="preserve">Hernán Cortés quema las naves: compromiso</w:t>
      </w:r>
    </w:p>
    <w:p>
      <w:pPr>
        <w:numPr>
          <w:ilvl w:val="0"/>
          <w:numId w:val="12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231"/>
        </w:numPr>
      </w:pPr>
      <w:r>
        <w:rPr>
          <w:i/>
          <w:iCs/>
        </w:rPr>
        <w:t xml:space="preserve">Equilibrio</w:t>
      </w:r>
      <w:r>
        <w:t xml:space="preserve"> </w:t>
      </w:r>
      <w:r>
        <w:t xml:space="preserve">(gráfico </w:t>
      </w:r>
      <w:hyperlink w:anchor="fig_quemar_naves">
        <w:r>
          <w:rPr>
            <w:rStyle w:val="Hyperlink"/>
          </w:rPr>
          <w:t xml:space="preserve">10</w:t>
        </w:r>
      </w:hyperlink>
      <w:r>
        <w:t xml:space="preserve">, con pagos ilustrativos): con barcos, ante el ataque, Cortés se retira (</w:t>
      </w:r>
      <m:oMath>
        <m:r>
          <m:t>0</m:t>
        </m:r>
        <m:r>
          <m:rPr>
            <m:sty m:val="p"/>
          </m:rPr>
          <m:t>&gt;</m:t>
        </m:r>
        <m:r>
          <m:rPr>
            <m:sty m:val="p"/>
          </m:rPr>
          <m:t>−</m:t>
        </m:r>
        <m:r>
          <m:t>1</m:t>
        </m:r>
      </m:oMath>
      <w:r>
        <w:t xml:space="preserve">), y el rival ataca (</w:t>
      </w:r>
      <m:oMath>
        <m:r>
          <m:t>1</m:t>
        </m:r>
        <m:r>
          <m:rPr>
            <m:sty m:val="p"/>
          </m:rPr>
          <m:t>&gt;</m:t>
        </m:r>
        <m:r>
          <m:t>0</m:t>
        </m:r>
      </m:oMath>
      <w:r>
        <w:t xml:space="preserve">); sin barcos, el rival no ataca (</w:t>
      </w:r>
      <m:oMath>
        <m:r>
          <m:t>0</m:t>
        </m:r>
        <m:r>
          <m:rPr>
            <m:sty m:val="p"/>
          </m:rPr>
          <m:t>&gt;</m:t>
        </m:r>
        <m:r>
          <m:rPr>
            <m:sty m:val="p"/>
          </m:rPr>
          <m:t>−</m:t>
        </m:r>
        <m:r>
          <m:t>1</m:t>
        </m:r>
      </m:oMath>
      <w:r>
        <w:t xml:space="preserve">). El ENPS empieza por destruir los barcos (</w:t>
      </w:r>
      <m:oMath>
        <m:r>
          <m:t>2</m:t>
        </m:r>
        <m:r>
          <m:rPr>
            <m:sty m:val="p"/>
          </m:rPr>
          <m:t>&gt;</m:t>
        </m:r>
        <m:r>
          <m:t>0</m:t>
        </m:r>
      </m:oMath>
      <w:r>
        <w:t xml:space="preserve">):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231"/>
        </w:numPr>
      </w:pPr>
      <w:r>
        <w:rPr>
          <w:i/>
          <w:iCs/>
        </w:rPr>
        <w:t xml:space="preserve">Moraleja</w:t>
      </w:r>
      <w:r>
        <w:t xml:space="preserve">: «Quemar las naves»: un compromiso es creíble cuando es irreversible y cambia lo que a uno le conviene hacer después.</w:t>
      </w:r>
    </w:p>
    <w:p>
      <w:pPr>
        <w:numPr>
          <w:ilvl w:val="0"/>
          <w:numId w:val="12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31">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Start w:id="212" w:name="fig_quemar_naves"/>
    <w:p>
      <w:pPr>
        <w:pStyle w:val="ImageCaption"/>
      </w:pPr>
      <w:r>
        <w:t xml:space="preserve">Gráfico 10.–</w:t>
      </w:r>
      <w:r>
        <w:t xml:space="preserve"> </w:t>
      </w:r>
      <w:r>
        <w:t xml:space="preserve">Hernán</w:t>
      </w:r>
      <w:r>
        <w:t xml:space="preserve"> </w:t>
      </w:r>
      <w:r>
        <w:rPr>
          <w:smallCaps/>
        </w:rPr>
        <w:t xml:space="preserve">Cortés</w:t>
      </w:r>
      <w:r>
        <w:t xml:space="preserve"> </w:t>
      </w:r>
      <w:r>
        <w:t xml:space="preserve">quema las naves: renunciar a la retirada disuade el ataque</w:t>
      </w:r>
    </w:p>
    <w:p>
      <w:pPr>
        <w:pStyle w:val="CaptionedFigure"/>
      </w:pPr>
      <w:r>
        <w:drawing>
          <wp:inline>
            <wp:extent cx="4775200" cy="2456078"/>
            <wp:effectExtent b="0" l="0" r="0" t="0"/>
            <wp:docPr descr="Gráfico 10.– Hernán Cortés quema las naves: renunciar a la retirada disuade el ataque" title="" id="210" name="Picture"/>
            <a:graphic>
              <a:graphicData uri="http://schemas.openxmlformats.org/drawingml/2006/picture">
                <pic:pic>
                  <pic:nvPicPr>
                    <pic:cNvPr descr="C:\Users\vgutierrez\Documents\src\victorgutierrezmarcos.github.io-revision\oposicion\temario\fuentes\3A14\graficos/quemar-naves.png" id="211" name="Picture"/>
                    <pic:cNvPicPr>
                      <a:picLocks noChangeArrowheads="1" noChangeAspect="1"/>
                    </pic:cNvPicPr>
                  </pic:nvPicPr>
                  <pic:blipFill>
                    <a:blip r:embed="rId209"/>
                    <a:stretch>
                      <a:fillRect/>
                    </a:stretch>
                  </pic:blipFill>
                  <pic:spPr bwMode="auto">
                    <a:xfrm>
                      <a:off x="0" y="0"/>
                      <a:ext cx="4775200" cy="2456078"/>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pagos ilustrativos, (Cortés; rival). En rojo, las ramas elegidas por inducción hacia atrás.</w:t>
      </w:r>
    </w:p>
    <w:bookmarkEnd w:id="213"/>
    <w:bookmarkStart w:id="222" w:name="la_paradoja_de_la_cadena_de_tienda_30762"/>
    <w:p>
      <w:pPr>
        <w:pStyle w:val="Heading2"/>
      </w:pPr>
      <w:r>
        <w:t xml:space="preserve">La paradoja de la cadena de tiendas: repetición finita y reputación</w:t>
      </w:r>
    </w:p>
    <w:p>
      <w:pPr>
        <w:numPr>
          <w:ilvl w:val="0"/>
          <w:numId w:val="12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w:t>
      </w:r>
      <w:r>
        <w:t xml:space="preserve">(gráfico </w:t>
      </w:r>
      <w:hyperlink w:anchor="fig_cadena_tiendas">
        <w:r>
          <w:rPr>
            <w:rStyle w:val="Hyperlink"/>
          </w:rPr>
          <w:t xml:space="preserve">11</w:t>
        </w:r>
      </w:hyperlink>
      <w:r>
        <w:t xml:space="preserve">): si el entrante no entra, gana 1 y la cadena 5; si entra, la cadena puede acomodar (2 cada uno) o luchar (0 cada uno).</w:t>
      </w:r>
    </w:p>
    <w:p>
      <w:pPr>
        <w:keepNext/>
        <w:numPr>
          <w:ilvl w:val="0"/>
          <w:numId w:val="1232"/>
        </w:numPr>
      </w:pPr>
      <w:r>
        <w:rPr>
          <w:i/>
          <w:iCs/>
        </w:rPr>
        <w:t xml:space="preserve">Equilibrio</w:t>
      </w:r>
      <w:r>
        <w:t xml:space="preserve"> </w:t>
      </w:r>
      <w:r>
        <w:t xml:space="preserve">(gráfico </w:t>
      </w:r>
      <w:hyperlink w:anchor="fig_cadena_induccion">
        <w:r>
          <w:rPr>
            <w:rStyle w:val="Hyperlink"/>
          </w:rPr>
          <w:t xml:space="preserve">12</w:t>
        </w:r>
      </w:hyperlink>
      <w:r>
        <w:t xml:space="preserve">):</w:t>
      </w:r>
    </w:p>
    <w:p>
      <w:pPr>
        <w:numPr>
          <w:ilvl w:val="1"/>
          <w:numId w:val="1233"/>
        </w:numPr>
      </w:pPr>
      <w:r>
        <w:t xml:space="preserve">en la ciudad 20 la cadena acomoda (</w:t>
      </w:r>
      <m:oMath>
        <m:r>
          <m:t>2</m:t>
        </m:r>
        <m:r>
          <m:rPr>
            <m:sty m:val="p"/>
          </m:rPr>
          <m:t>&gt;</m:t>
        </m:r>
        <m:r>
          <m:t>0</m:t>
        </m:r>
      </m:oMath>
      <w:r>
        <w:t xml:space="preserve">), porque ya no hay futuro que proteger, y el entrante entra (</w:t>
      </w:r>
      <m:oMath>
        <m:r>
          <m:t>2</m:t>
        </m:r>
        <m:r>
          <m:rPr>
            <m:sty m:val="p"/>
          </m:rPr>
          <m:t>&gt;</m:t>
        </m:r>
        <m:r>
          <m:t>1</m:t>
        </m:r>
      </m:oMath>
      <w:r>
        <w:t xml:space="preserve">);</w:t>
      </w:r>
    </w:p>
    <w:p>
      <w:pPr>
        <w:numPr>
          <w:ilvl w:val="1"/>
          <w:numId w:val="1233"/>
        </w:numPr>
      </w:pPr>
      <w:r>
        <w:t xml:space="preserve">sabiéndolo, en la 19 tampoco le sirve luchar: lo que pase en la 20 ya está decidido, y luchar no compra reputación;</w:t>
      </w:r>
    </w:p>
    <w:p>
      <w:pPr>
        <w:numPr>
          <w:ilvl w:val="1"/>
          <w:numId w:val="1233"/>
        </w:numPr>
      </w:pPr>
      <w:r>
        <w:t xml:space="preserve">y así hasta la primera. En el único ENPS, todos entran y la cadena acomoda siempre.</w:t>
      </w:r>
    </w:p>
    <w:p>
      <w:pPr>
        <w:numPr>
          <w:ilvl w:val="0"/>
          <w:numId w:val="12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2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Start w:id="217" w:name="fig_cadena_tiendas"/>
    <w:p>
      <w:pPr>
        <w:pStyle w:val="ImageCaption"/>
      </w:pPr>
      <w:r>
        <w:t xml:space="preserve">Gráfico 11.–</w:t>
      </w:r>
      <w:r>
        <w:t xml:space="preserve"> </w:t>
      </w:r>
      <w:r>
        <w:t xml:space="preserve">La cadena de tiendas: el juego de cada ciudad</w:t>
      </w:r>
    </w:p>
    <w:p>
      <w:pPr>
        <w:pStyle w:val="CaptionedFigure"/>
      </w:pPr>
      <w:r>
        <w:drawing>
          <wp:inline>
            <wp:extent cx="3244743" cy="1871614"/>
            <wp:effectExtent b="0" l="0" r="0" t="0"/>
            <wp:docPr descr="Gráfico 11.– La cadena de tiendas: el juego de cada ciudad" title="" id="215" name="Picture"/>
            <a:graphic>
              <a:graphicData uri="http://schemas.openxmlformats.org/drawingml/2006/picture">
                <pic:pic>
                  <pic:nvPicPr>
                    <pic:cNvPr descr="C:\Users\vgutierrez\Documents\src\victorgutierrezmarcos.github.io-revision\oposicion\temario\fuentes\3A14\graficos/cadena-tiendas.png" id="216" name="Picture"/>
                    <pic:cNvPicPr>
                      <a:picLocks noChangeArrowheads="1" noChangeAspect="1"/>
                    </pic:cNvPicPr>
                  </pic:nvPicPr>
                  <pic:blipFill>
                    <a:blip r:embed="rId214"/>
                    <a:stretch>
                      <a:fillRect/>
                    </a:stretch>
                  </pic:blipFill>
                  <pic:spPr bwMode="auto">
                    <a:xfrm>
                      <a:off x="0" y="0"/>
                      <a:ext cx="3244743" cy="1871614"/>
                    </a:xfrm>
                    <a:prstGeom prst="rect">
                      <a:avLst/>
                    </a:prstGeom>
                    <a:noFill/>
                    <a:ln w="9525">
                      <a:noFill/>
                      <a:headEnd/>
                      <a:tailEnd/>
                    </a:ln>
                  </pic:spPr>
                </pic:pic>
              </a:graphicData>
            </a:graphic>
          </wp:inline>
        </w:drawing>
      </w:r>
    </w:p>
    <w:bookmarkEnd w:id="217"/>
    <w:p>
      <w:pPr>
        <w:pStyle w:val="Piedeimagen"/>
      </w:pPr>
      <w:r>
        <w:t xml:space="preserve">Fuente: elaboración propia con los pagos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(entrante; cadena).</w:t>
      </w:r>
    </w:p>
    <w:bookmarkStart w:id="221" w:name="fig_cadena_induccion"/>
    <w:p>
      <w:pPr>
        <w:pStyle w:val="ImageCaption"/>
      </w:pPr>
      <w:r>
        <w:t xml:space="preserve">Gráfico 12.–</w:t>
      </w:r>
      <w:r>
        <w:t xml:space="preserve"> </w:t>
      </w:r>
      <w:r>
        <w:t xml:space="preserve">La cadena de tiendas: inducción hacia atrás de la ciudad 20 a la 1</w:t>
      </w:r>
    </w:p>
    <w:p>
      <w:pPr>
        <w:pStyle w:val="CaptionedFigure"/>
      </w:pPr>
      <w:r>
        <w:drawing>
          <wp:inline>
            <wp:extent cx="5372100" cy="1904490"/>
            <wp:effectExtent b="0" l="0" r="0" t="0"/>
            <wp:docPr descr="Gráfico 12.– La cadena de tiendas: inducción hacia atrás de la ciudad 20 a la 1" title="" id="219" name="Picture"/>
            <a:graphic>
              <a:graphicData uri="http://schemas.openxmlformats.org/drawingml/2006/picture">
                <pic:pic>
                  <pic:nvPicPr>
                    <pic:cNvPr descr="C:\Users\vgutierrez\Documents\src\victorgutierrezmarcos.github.io-revision\oposicion\temario\fuentes\3A14\graficos/cadena-tiendas-induccion.png" id="220" name="Picture"/>
                    <pic:cNvPicPr>
                      <a:picLocks noChangeArrowheads="1" noChangeAspect="1"/>
                    </pic:cNvPicPr>
                  </pic:nvPicPr>
                  <pic:blipFill>
                    <a:blip r:embed="rId218"/>
                    <a:stretch>
                      <a:fillRect/>
                    </a:stretch>
                  </pic:blipFill>
                  <pic:spPr bwMode="auto">
                    <a:xfrm>
                      <a:off x="0" y="0"/>
                      <a:ext cx="5372100" cy="1904490"/>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w:t>
      </w:r>
    </w:p>
    <w:bookmarkEnd w:id="222"/>
    <w:bookmarkStart w:id="228" w:name="el_juego_del_ultim__tum_negociaci__07282"/>
    <w:p>
      <w:pPr>
        <w:pStyle w:val="Heading2"/>
      </w:pPr>
      <w:r>
        <w:t xml:space="preserve">El juego del ultimátum: negociación y equidad</w:t>
      </w:r>
    </w:p>
    <w:p>
      <w:pPr>
        <w:numPr>
          <w:ilvl w:val="0"/>
          <w:numId w:val="1234"/>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por ejemplo 10 euros, y ofrece</w:t>
      </w:r>
      <w:r>
        <w:t xml:space="preserve"> </w:t>
      </w:r>
      <m:oMath>
        <m:r>
          <m:t>x</m:t>
        </m:r>
      </m:oMath>
      <w:r>
        <w:t xml:space="preserve"> </w:t>
      </w:r>
      <w:r>
        <w:t xml:space="preserve">al 2; el 2 acepta, y se reparte así,</w:t>
      </w:r>
      <w:r>
        <w:t xml:space="preserve"> </w:t>
      </w:r>
      <m:oMath>
        <m:d>
          <m:dPr>
            <m:begChr m:val="("/>
            <m:sepChr m:val=""/>
            <m:endChr m:val=")"/>
            <m:grow/>
          </m:dPr>
          <m:e>
            <m:r>
              <m:t>10</m:t>
            </m:r>
            <m:r>
              <m:rPr>
                <m:sty m:val="p"/>
              </m:rPr>
              <m:t>−</m:t>
            </m:r>
            <m:r>
              <m:t>x</m:t>
            </m:r>
            <m:r>
              <m:rPr>
                <m:sty m:val="p"/>
              </m:rPr>
              <m:t>,</m:t>
            </m:r>
            <m:r>
              <m:t> </m:t>
            </m:r>
            <m:r>
              <m:t>x</m:t>
            </m:r>
          </m:e>
        </m:d>
      </m:oMath>
      <w:r>
        <w:t xml:space="preserve">, o rechaza, y ninguno cobra nada (gráfico </w:t>
      </w:r>
      <w:hyperlink w:anchor="fig_ultimatum">
        <w:r>
          <w:rPr>
            <w:rStyle w:val="Hyperlink"/>
          </w:rPr>
          <w:t xml:space="preserve">13</w:t>
        </w:r>
      </w:hyperlink>
      <w:r>
        <w:t xml:space="preserve">; el abanico recoge todas las ofertas posibles).</w:t>
      </w:r>
    </w:p>
    <w:p>
      <w:pPr>
        <w:numPr>
          <w:ilvl w:val="0"/>
          <w:numId w:val="1234"/>
        </w:numPr>
      </w:pPr>
      <w:r>
        <w:rPr>
          <w:i/>
          <w:iCs/>
        </w:rPr>
        <w:t xml:space="preserve">Equilibrio</w:t>
      </w:r>
      <w:r>
        <w:t xml:space="preserve">: con jugadores que solo se preocupan por su dinero, el 2 acepta cualquier cantidad positiva (</w:t>
      </w:r>
      <m:oMath>
        <m:r>
          <m:t>x</m:t>
        </m:r>
        <m:r>
          <m:rPr>
            <m:sty m:val="p"/>
          </m:rPr>
          <m:t>&gt;</m:t>
        </m:r>
        <m:r>
          <m:t>0</m:t>
        </m:r>
      </m:oMath>
      <w:r>
        <w:t xml:space="preserve">) y el ENPS es ofrecerle lo mínimo. En el laboratorio, muchas propuestas se acercan a la mitad y las ofertas muy bajas se rechazan con frecuencia, aunque rechazar cueste dinero.</w:t>
      </w:r>
    </w:p>
    <w:p>
      <w:pPr>
        <w:numPr>
          <w:ilvl w:val="0"/>
          <w:numId w:val="1234"/>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234"/>
        </w:numPr>
      </w:pPr>
      <w:r>
        <w:rPr>
          <w:i/>
          <w:iCs/>
        </w:rPr>
        <w:t xml:space="preserve">En el temario</w:t>
      </w:r>
      <w:r>
        <w:t xml:space="preserve">: la economía conductual</w:t>
      </w:r>
      <w:r>
        <w:t xml:space="preserve"> </w:t>
      </w:r>
      <w:hyperlink r:id="rId114">
        <w:r>
          <w:rPr>
            <w:rStyle w:val="Referenciaatema"/>
          </w:rPr>
          <w:t xml:space="preserve">[ver tema 3.A.1]</w:t>
        </w:r>
      </w:hyperlink>
      <w:r>
        <w:t xml:space="preserve">, la negociación salarial</w:t>
      </w:r>
      <w:r>
        <w:t xml:space="preserve"> </w:t>
      </w:r>
      <w:hyperlink r:id="rId22">
        <w:r>
          <w:rPr>
            <w:rStyle w:val="Referenciaatema"/>
          </w:rPr>
          <w:t xml:space="preserve">[ver tema 3.A.27]</w:t>
        </w:r>
      </w:hyperlink>
      <w:r>
        <w:t xml:space="preserve"> </w:t>
      </w:r>
      <w:r>
        <w:t xml:space="preserve">y la crítica distributiva del criterio de</w:t>
      </w:r>
      <w:r>
        <w:t xml:space="preserve"> </w:t>
      </w:r>
      <w:r>
        <w:rPr>
          <w:smallCaps/>
        </w:rPr>
        <w:t xml:space="preserve">Pareto</w:t>
      </w:r>
      <w:r>
        <w:t xml:space="preserve"> </w:t>
      </w:r>
      <w:hyperlink r:id="rId223">
        <w:r>
          <w:rPr>
            <w:rStyle w:val="Referenciaatema"/>
          </w:rPr>
          <w:t xml:space="preserve">[ver tema 3.A.22]</w:t>
        </w:r>
      </w:hyperlink>
      <w:r>
        <w:t xml:space="preserve">.</w:t>
      </w:r>
    </w:p>
    <w:bookmarkStart w:id="227" w:name="fig_ultimatum"/>
    <w:p>
      <w:pPr>
        <w:pStyle w:val="ImageCaption"/>
      </w:pPr>
      <w:r>
        <w:t xml:space="preserve">Gráfico 13.–</w:t>
      </w:r>
      <w:r>
        <w:t xml:space="preserve"> </w:t>
      </w:r>
      <w:r>
        <w:t xml:space="preserve">El juego del ultimátum: el equilibrio frente al laboratorio</w:t>
      </w:r>
    </w:p>
    <w:p>
      <w:pPr>
        <w:pStyle w:val="CaptionedFigure"/>
      </w:pPr>
      <w:r>
        <w:drawing>
          <wp:inline>
            <wp:extent cx="3535272" cy="1871614"/>
            <wp:effectExtent b="0" l="0" r="0" t="0"/>
            <wp:docPr descr="Gráfico 13.– El juego del ultimátum: el equilibrio frente al laboratorio" title="" id="225" name="Picture"/>
            <a:graphic>
              <a:graphicData uri="http://schemas.openxmlformats.org/drawingml/2006/picture">
                <pic:pic>
                  <pic:nvPicPr>
                    <pic:cNvPr descr="C:\Users\vgutierrez\Documents\src\victorgutierrezmarcos.github.io-revision\oposicion\temario\fuentes\3A14\graficos/ultimatum.png" id="226" name="Picture"/>
                    <pic:cNvPicPr>
                      <a:picLocks noChangeArrowheads="1" noChangeAspect="1"/>
                    </pic:cNvPicPr>
                  </pic:nvPicPr>
                  <pic:blipFill>
                    <a:blip r:embed="rId224"/>
                    <a:stretch>
                      <a:fillRect/>
                    </a:stretch>
                  </pic:blipFill>
                  <pic:spPr bwMode="auto">
                    <a:xfrm>
                      <a:off x="0" y="0"/>
                      <a:ext cx="3535272" cy="1871614"/>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w:t>
      </w:r>
      <w:hyperlink w:anchor="ref_GuthSchmittbergerSchwarze1982U_53756">
        <w:r>
          <w:rPr>
            <w:rStyle w:val="Hyperlink"/>
          </w:rPr>
          <w:t xml:space="preserve">1982</w:t>
        </w:r>
      </w:hyperlink>
      <w:r>
        <w:t xml:space="preserve">)</w:t>
      </w:r>
      <w:r>
        <w:t xml:space="preserve">. Pagos (1, 2); en rojo, el ENPS, y en dorado, dónde se concentran las ofertas en el laboratorio.</w:t>
      </w:r>
    </w:p>
    <w:bookmarkEnd w:id="228"/>
    <w:bookmarkStart w:id="233" w:name="cerveza_o_quiche_se__alizaci__n_y__76658"/>
    <w:p>
      <w:pPr>
        <w:pStyle w:val="Heading2"/>
      </w:pPr>
      <w:r>
        <w:t xml:space="preserve">Cerveza o quiche: señalización y criterio intuitivo</w:t>
      </w:r>
    </w:p>
    <w:p>
      <w:pPr>
        <w:numPr>
          <w:ilvl w:val="0"/>
          <w:numId w:val="1235"/>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 al matón, acertar (retar a un débil o dejar en paz a un fuerte), 1 (gráfico </w:t>
      </w:r>
      <w:hyperlink w:anchor="fig_cerveza_quiche">
        <w:r>
          <w:rPr>
            <w:rStyle w:val="Hyperlink"/>
          </w:rPr>
          <w:t xml:space="preserve">14</w:t>
        </w:r>
      </w:hyperlink>
      <w:r>
        <w:t xml:space="preserve">).</w:t>
      </w:r>
    </w:p>
    <w:p>
      <w:pPr>
        <w:numPr>
          <w:ilvl w:val="0"/>
          <w:numId w:val="1235"/>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235"/>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235"/>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235"/>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Start w:id="232" w:name="fig_cerveza_quiche"/>
    <w:p>
      <w:pPr>
        <w:pStyle w:val="ImageCaption"/>
      </w:pPr>
      <w:r>
        <w:t xml:space="preserve">Gráfico 14.–</w:t>
      </w:r>
      <w:r>
        <w:t xml:space="preserve"> </w:t>
      </w:r>
      <w:r>
        <w:t xml:space="preserve">Cerveza o quiche: el equilibrio agrupador que supera el criterio intuitivo</w:t>
      </w:r>
    </w:p>
    <w:p>
      <w:pPr>
        <w:pStyle w:val="CaptionedFigure"/>
      </w:pPr>
      <w:r>
        <w:drawing>
          <wp:inline>
            <wp:extent cx="5073650" cy="2655152"/>
            <wp:effectExtent b="0" l="0" r="0" t="0"/>
            <wp:docPr descr="Gráfico 14.– Cerveza o quiche: el equilibrio agrupador que supera el criterio intuitivo" title="" id="230" name="Picture"/>
            <a:graphic>
              <a:graphicData uri="http://schemas.openxmlformats.org/drawingml/2006/picture">
                <pic:pic>
                  <pic:nvPicPr>
                    <pic:cNvPr descr="C:\Users\vgutierrez\Documents\src\victorgutierrezmarcos.github.io-revision\oposicion\temario\fuentes\3A14\graficos/cerveza-quiche.png" id="231" name="Picture"/>
                    <pic:cNvPicPr>
                      <a:picLocks noChangeArrowheads="1" noChangeAspect="1"/>
                    </pic:cNvPicPr>
                  </pic:nvPicPr>
                  <pic:blipFill>
                    <a:blip r:embed="rId229"/>
                    <a:stretch>
                      <a:fillRect/>
                    </a:stretch>
                  </pic:blipFill>
                  <pic:spPr bwMode="auto">
                    <a:xfrm>
                      <a:off x="0" y="0"/>
                      <a:ext cx="5073650" cy="2655152"/>
                    </a:xfrm>
                    <a:prstGeom prst="rect">
                      <a:avLst/>
                    </a:prstGeom>
                    <a:noFill/>
                    <a:ln w="9525">
                      <a:noFill/>
                      <a:headEnd/>
                      <a:tailEnd/>
                    </a:ln>
                  </pic:spPr>
                </pic:pic>
              </a:graphicData>
            </a:graphic>
          </wp:inline>
        </w:drawing>
      </w:r>
    </w:p>
    <w:bookmarkEnd w:id="232"/>
    <w:p>
      <w:pPr>
        <w:pStyle w:val="Piedeimagen"/>
      </w:pPr>
      <w:r>
        <w:t xml:space="preserve">Fuente: elaboración propia a partir de</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Pagos (forastero; matón); las líneas discontinuas unen los nodos que el matón no distingue. En rojo, el EBP en el que los 2 tipos piden cerveza: tras la quiche, que no se ve en equilibrio, el matón cree que el forastero es débil y retaría.</w:t>
      </w:r>
    </w:p>
    <w:bookmarkEnd w:id="233"/>
    <w:bookmarkStart w:id="235"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236"/>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236"/>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 (tabla </w:t>
      </w:r>
      <w:hyperlink w:anchor="tab_salomon">
        <w:r>
          <w:rPr>
            <w:rStyle w:val="Hyperlink"/>
          </w:rPr>
          <w:t xml:space="preserve">16</w:t>
        </w:r>
      </w:hyperlink>
      <w:r>
        <w:t xml:space="preserve">).</w:t>
      </w:r>
    </w:p>
    <w:p>
      <w:pPr>
        <w:numPr>
          <w:ilvl w:val="0"/>
          <w:numId w:val="1236"/>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236"/>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6">
        <w:r>
          <w:rPr>
            <w:rStyle w:val="Referenciaatema"/>
          </w:rPr>
          <w:t xml:space="preserve">[ver tema 3.A.24]</w:t>
        </w:r>
      </w:hyperlink>
      <w:r>
        <w:t xml:space="preserve">.</w:t>
      </w:r>
    </w:p>
    <w:bookmarkStart w:id="234" w:name="tab_salomon"/>
    <w:p>
      <w:pPr>
        <w:pStyle w:val="TableCaption"/>
      </w:pPr>
      <w:r>
        <w:t xml:space="preserve">Tabla 16.–</w:t>
      </w:r>
      <w:r>
        <w:t xml:space="preserve"> </w:t>
      </w:r>
      <w:r>
        <w:t xml:space="preserve">El juicio de</w:t>
      </w:r>
      <w:r>
        <w:t xml:space="preserve"> </w:t>
      </w:r>
      <w:r>
        <w:rPr>
          <w:smallCaps/>
        </w:rPr>
        <w:t xml:space="preserve">Salomón</w:t>
      </w:r>
      <w:r>
        <w:t xml:space="preserve"> </w:t>
      </w:r>
      <w:r>
        <w:t xml:space="preserve">como mecanismo: qué responde cada tipo y qué aprende el rey</w:t>
      </w:r>
    </w:p>
    <w:tbl>
      <w:tblPr>
        <w:tblStyle w:val="Table"/>
        <w:tblW w:type="auto" w:w="0"/>
        <w:tblLook w:firstRow="1" w:lastRow="0" w:firstColumn="0" w:lastColumn="0" w:noHBand="0" w:noVBand="0" w:val="0020"/>
        <w:tblCaption w:val="Tabla 16.– El juicio de Salomón como mecanismo: qué responde cada tipo y qué aprende el rey"/>
      </w:tblPr>
      <w:tblGrid>
        <w:gridCol w:w="1980"/>
        <w:gridCol w:w="1980"/>
        <w:gridCol w:w="1980"/>
        <w:gridCol w:w="1980"/>
      </w:tblGrid>
      <w:tr>
        <w:trPr>
          <w:cantSplit/>
          <w:tblHeader w:val="on"/>
        </w:trPr>
        <w:tc>
          <w:tcPr>
            <w:shd w:val="clear" w:color="auto" w:fill="DDEBF7"/>
          </w:tcPr>
          <w:tcPr/>
          <w:p>
            <w:pPr>
              <w:pStyle w:val="Celdatceeazulpalido"/>
              <w:jc w:val="left"/>
            </w:pPr>
            <w:r>
              <w:rPr>
                <w:b/>
                <w:bCs/>
              </w:rPr>
              <w:t xml:space="preserve">Tipo</w:t>
            </w:r>
          </w:p>
        </w:tc>
        <w:tc>
          <w:tcPr>
            <w:shd w:val="clear" w:color="auto" w:fill="DDEBF7"/>
          </w:tcPr>
          <w:tcPr/>
          <w:p>
            <w:pPr>
              <w:pStyle w:val="Celdatceeazulpalido"/>
              <w:jc w:val="left"/>
            </w:pPr>
            <w:r>
              <w:rPr>
                <w:b/>
                <w:bCs/>
              </w:rPr>
              <w:t xml:space="preserve">Qué prefiere</w:t>
            </w:r>
          </w:p>
        </w:tc>
        <w:tc>
          <w:tcPr>
            <w:shd w:val="clear" w:color="auto" w:fill="DDEBF7"/>
          </w:tcPr>
          <w:tcPr/>
          <w:p>
            <w:pPr>
              <w:pStyle w:val="Celdatceeazulpalido"/>
              <w:jc w:val="left"/>
            </w:pPr>
            <w:r>
              <w:rPr>
                <w:b/>
                <w:bCs/>
              </w:rPr>
              <w:t xml:space="preserve">Responde, si la orden la sorprende</w:t>
            </w:r>
          </w:p>
        </w:tc>
        <w:tc>
          <w:tcPr>
            <w:shd w:val="clear" w:color="auto" w:fill="DDEBF7"/>
          </w:tcPr>
          <w:tcPr/>
          <w:p>
            <w:pPr>
              <w:pStyle w:val="Celdatceeazulpalido"/>
              <w:jc w:val="left"/>
            </w:pPr>
            <w:r>
              <w:rPr>
                <w:b/>
                <w:bCs/>
              </w:rPr>
              <w:t xml:space="preserve">Responde, si entiende el mecanismo</w:t>
            </w:r>
          </w:p>
        </w:tc>
      </w:tr>
      <w:tr>
        <w:trPr>
          <w:cantSplit/>
        </w:trPr>
        <w:tc>
          <w:tcPr/>
          <w:p>
            <w:pPr>
              <w:pStyle w:val="Compact"/>
              <w:jc w:val="left"/>
            </w:pPr>
            <w:r>
              <w:t xml:space="preserve">Verdadera madre</w:t>
            </w:r>
          </w:p>
        </w:tc>
        <w:tc>
          <w:tcPr/>
          <w:p>
            <w:pPr>
              <w:pStyle w:val="Compact"/>
              <w:jc w:val="left"/>
            </w:pPr>
            <w:r>
              <w:t xml:space="preserve">que el niño viva, aunque sea con la otra</w:t>
            </w:r>
          </w:p>
        </w:tc>
        <w:tc>
          <w:tcPr/>
          <w:p>
            <w:pPr>
              <w:pStyle w:val="Compact"/>
              <w:jc w:val="left"/>
            </w:pPr>
            <w:r>
              <w:t xml:space="preserve">renuncia</w:t>
            </w:r>
          </w:p>
        </w:tc>
        <w:tc>
          <w:tcPr/>
          <w:p>
            <w:pPr>
              <w:pStyle w:val="Compact"/>
              <w:jc w:val="left"/>
            </w:pPr>
            <w:r>
              <w:t xml:space="preserve">renuncia</w:t>
            </w:r>
          </w:p>
        </w:tc>
      </w:tr>
      <w:tr>
        <w:trPr>
          <w:cantSplit/>
        </w:trPr>
        <w:tc>
          <w:tcPr/>
          <w:p>
            <w:pPr>
              <w:pStyle w:val="Compact"/>
              <w:jc w:val="left"/>
            </w:pPr>
            <w:r>
              <w:t xml:space="preserve">Falsa madre</w:t>
            </w:r>
          </w:p>
        </w:tc>
        <w:tc>
          <w:tcPr/>
          <w:p>
            <w:pPr>
              <w:pStyle w:val="Compact"/>
              <w:jc w:val="left"/>
            </w:pPr>
            <w:r>
              <w:t xml:space="preserve">que la otra no se quede con el niño</w:t>
            </w:r>
          </w:p>
        </w:tc>
        <w:tc>
          <w:tcPr/>
          <w:p>
            <w:pPr>
              <w:pStyle w:val="Compact"/>
              <w:jc w:val="left"/>
            </w:pPr>
            <w:r>
              <w:t xml:space="preserve">acepta el reparto</w:t>
            </w:r>
          </w:p>
        </w:tc>
        <w:tc>
          <w:tcPr/>
          <w:p>
            <w:pPr>
              <w:pStyle w:val="Compact"/>
              <w:jc w:val="left"/>
            </w:pPr>
            <w:r>
              <w:t xml:space="preserve">renuncia</w:t>
            </w:r>
          </w:p>
        </w:tc>
      </w:tr>
      <w:tr>
        <w:trPr>
          <w:cantSplit/>
        </w:trPr>
        <w:tc>
          <w:tcPr/>
          <w:p>
            <w:pPr>
              <w:pStyle w:val="Compact"/>
              <w:jc w:val="left"/>
            </w:pPr>
            <w:r>
              <w:rPr>
                <w:b/>
                <w:bCs/>
              </w:rPr>
              <w:t xml:space="preserve">Qué aprende el rey</w:t>
            </w:r>
          </w:p>
        </w:tc>
        <w:tc>
          <w:tcPr/>
          <w:p>
            <w:pPr>
              <w:pStyle w:val="Compact"/>
            </w:pPr>
          </w:p>
        </w:tc>
        <w:tc>
          <w:tcPr>
            <w:shd w:val="clear" w:color="auto" w:fill="E2EFD9"/>
          </w:tcPr>
          <w:tcPr/>
          <w:p>
            <w:pPr>
              <w:pStyle w:val="Celdatceesalvia"/>
              <w:jc w:val="left"/>
            </w:pPr>
            <w:r>
              <w:t xml:space="preserve">los mensajes separan los tipos: sabe quién es la madre</w:t>
            </w:r>
          </w:p>
        </w:tc>
        <w:tc>
          <w:tcPr/>
          <w:p>
            <w:pPr>
              <w:pStyle w:val="Compact"/>
              <w:jc w:val="left"/>
            </w:pPr>
            <w:r>
              <w:t xml:space="preserve">no distingue: los 2 mensajes son iguales</w:t>
            </w:r>
          </w:p>
        </w:tc>
      </w:tr>
    </w:tbl>
    <w:bookmarkEnd w:id="234"/>
    <w:p>
      <w:pPr>
        <w:pStyle w:val="BodyText"/>
      </w:pPr>
      <w:r>
        <w:rPr>
          <w:i/>
          <w:iCs/>
        </w:rPr>
        <w:t xml:space="preserve">Fuente: elaboración propia a partir de 1 Reyes 3, 16-28.</w:t>
      </w:r>
    </w:p>
    <w:bookmarkEnd w:id="235"/>
    <w:bookmarkStart w:id="240" w:name="las_licitaciones_de_petr__leo_del__01077"/>
    <w:p>
      <w:pPr>
        <w:pStyle w:val="Heading2"/>
      </w:pPr>
      <w:r>
        <w:t xml:space="preserve">Las licitaciones de petróleo del golfo de México: la maldición del ganador</w:t>
      </w:r>
    </w:p>
    <w:p>
      <w:pPr>
        <w:numPr>
          <w:ilvl w:val="0"/>
          <w:numId w:val="1237"/>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237"/>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(gráfico </w:t>
      </w:r>
      <w:hyperlink w:anchor="fig_maldicion_ganador">
        <w:r>
          <w:rPr>
            <w:rStyle w:val="Hyperlink"/>
          </w:rPr>
          <w:t xml:space="preserve">15</w:t>
        </w:r>
      </w:hyperlink>
      <w:r>
        <w:t xml:space="preserve">: la más alta de 5 estimaciones supera el valor real, en promedio, en</w:t>
      </w:r>
      <w:r>
        <w:t xml:space="preserve"> </w:t>
      </w:r>
      <m:oMath>
        <m:r>
          <m:t>2</m:t>
        </m:r>
        <m:r>
          <m:rPr>
            <m:sty m:val="p"/>
          </m:rPr>
          <m:t>/</m:t>
        </m:r>
        <m:r>
          <m:t>3</m:t>
        </m:r>
      </m:oMath>
      <w:r>
        <w:t xml:space="preserve"> </w:t>
      </w:r>
      <w:r>
        <w:t xml:space="preserve">del error máximo);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237"/>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keepNext/>
        <w:numPr>
          <w:ilvl w:val="0"/>
          <w:numId w:val="1237"/>
        </w:numPr>
      </w:pPr>
      <w:r>
        <w:rPr>
          <w:i/>
          <w:iCs/>
        </w:rPr>
        <w:t xml:space="preserve">En el temario</w:t>
      </w:r>
      <w:r>
        <w:t xml:space="preserve">:</w:t>
      </w:r>
    </w:p>
    <w:p>
      <w:pPr>
        <w:numPr>
          <w:ilvl w:val="1"/>
          <w:numId w:val="1238"/>
        </w:numPr>
      </w:pPr>
      <w:r>
        <w:t xml:space="preserve">la selección adversa, en la que también ser elegido es una mala noticia</w:t>
      </w:r>
      <w:r>
        <w:t xml:space="preserve"> </w:t>
      </w:r>
      <w:hyperlink r:id="rId31">
        <w:r>
          <w:rPr>
            <w:rStyle w:val="Referenciaatema"/>
          </w:rPr>
          <w:t xml:space="preserve">[ver tema 3.A.13]</w:t>
        </w:r>
      </w:hyperlink>
      <w:r>
        <w:t xml:space="preserve">;</w:t>
      </w:r>
    </w:p>
    <w:p>
      <w:pPr>
        <w:numPr>
          <w:ilvl w:val="1"/>
          <w:numId w:val="1238"/>
        </w:numPr>
      </w:pPr>
      <w:r>
        <w:t xml:space="preserve">la aversión al riesgo de los pujadores</w:t>
      </w:r>
      <w:r>
        <w:t xml:space="preserve"> </w:t>
      </w:r>
      <w:hyperlink r:id="rId26">
        <w:r>
          <w:rPr>
            <w:rStyle w:val="Referenciaatema"/>
          </w:rPr>
          <w:t xml:space="preserve">[ver tema 3.A.10]</w:t>
        </w:r>
      </w:hyperlink>
      <w:r>
        <w:t xml:space="preserve">, y</w:t>
      </w:r>
    </w:p>
    <w:p>
      <w:pPr>
        <w:numPr>
          <w:ilvl w:val="1"/>
          <w:numId w:val="1238"/>
        </w:numPr>
      </w:pPr>
      <w:r>
        <w:t xml:space="preserve">las subastas de espectro</w:t>
      </w:r>
      <w:r>
        <w:t xml:space="preserve"> </w:t>
      </w:r>
      <w:hyperlink r:id="rId167">
        <w:r>
          <w:rPr>
            <w:rStyle w:val="Referenciaatema"/>
          </w:rPr>
          <w:t xml:space="preserve">[ver tema 4.A.12]</w:t>
        </w:r>
      </w:hyperlink>
      <w:r>
        <w:t xml:space="preserve">.</w:t>
      </w:r>
    </w:p>
    <w:bookmarkStart w:id="239" w:name="fig_maldicion_ganador"/>
    <w:p>
      <w:pPr>
        <w:pStyle w:val="ImageCaption"/>
      </w:pPr>
      <w:r>
        <w:t xml:space="preserve">Gráfico 15.–</w:t>
      </w:r>
      <w:r>
        <w:t xml:space="preserve"> </w:t>
      </w:r>
      <w:r>
        <w:t xml:space="preserve">La maldición del ganador: la estimación más alta sobrestima el valor común</w:t>
      </w:r>
    </w:p>
    <w:p>
      <w:pPr>
        <w:pStyle w:val="CaptionedFigure"/>
      </w:pPr>
      <w:r>
        <w:drawing>
          <wp:inline>
            <wp:extent cx="3879850" cy="1921034"/>
            <wp:effectExtent b="0" l="0" r="0" t="0"/>
            <wp:docPr descr="Gráfico 15.– La maldición del ganador: la estimación más alta sobrestima el valor común" title="" id="237" name="Picture"/>
            <a:graphic>
              <a:graphicData uri="http://schemas.openxmlformats.org/drawingml/2006/picture">
                <pic:pic>
                  <pic:nvPicPr>
                    <pic:cNvPr descr="C:\Users\vgutierrez\Documents\src\victorgutierrezmarcos.github.io-revision\oposicion\temario\fuentes\3A14\graficos/maldicion-ganador.png" id="238" name="Picture"/>
                    <pic:cNvPicPr>
                      <a:picLocks noChangeArrowheads="1" noChangeAspect="1"/>
                    </pic:cNvPicPr>
                  </pic:nvPicPr>
                  <pic:blipFill>
                    <a:blip r:embed="rId236"/>
                    <a:stretch>
                      <a:fillRect/>
                    </a:stretch>
                  </pic:blipFill>
                  <pic:spPr bwMode="auto">
                    <a:xfrm>
                      <a:off x="0" y="0"/>
                      <a:ext cx="3879850" cy="1921034"/>
                    </a:xfrm>
                    <a:prstGeom prst="rect">
                      <a:avLst/>
                    </a:prstGeom>
                    <a:noFill/>
                    <a:ln w="9525">
                      <a:noFill/>
                      <a:headEnd/>
                      <a:tailEnd/>
                    </a:ln>
                  </pic:spPr>
                </pic:pic>
              </a:graphicData>
            </a:graphic>
          </wp:inline>
        </w:drawing>
      </w:r>
    </w:p>
    <w:bookmarkEnd w:id="239"/>
    <w:p>
      <w:pPr>
        <w:pStyle w:val="Piedeimagen"/>
      </w:pPr>
      <w:r>
        <w:t xml:space="preserve">Fuente: elaboración propia a partir de</w:t>
      </w:r>
      <w:r>
        <w:t xml:space="preserve"> </w:t>
      </w:r>
      <w:r>
        <w:rPr>
          <w:smallCaps/>
        </w:rPr>
        <w:t xml:space="preserve">Wilson</w:t>
      </w:r>
      <w:r>
        <w:t xml:space="preserve"> </w:t>
      </w:r>
      <w:r>
        <w:t xml:space="preserve">(</w:t>
      </w:r>
      <w:hyperlink w:anchor="ref_Wilson1977Bidding">
        <w:r>
          <w:rPr>
            <w:rStyle w:val="Hyperlink"/>
          </w:rPr>
          <w:t xml:space="preserve">1977</w:t>
        </w:r>
      </w:hyperlink>
      <w:r>
        <w:t xml:space="preserve">)</w:t>
      </w:r>
      <w:r>
        <w:t xml:space="preserve"> </w:t>
      </w:r>
      <w:r>
        <w:t xml:space="preserve">y</w:t>
      </w:r>
      <w:r>
        <w:t xml:space="preserve"> </w:t>
      </w:r>
      <w:r>
        <w:rPr>
          <w:smallCaps/>
        </w:rPr>
        <w:t xml:space="preserve">Krishna</w:t>
      </w:r>
      <w:r>
        <w:t xml:space="preserve"> </w:t>
      </w:r>
      <w:r>
        <w:t xml:space="preserve">(</w:t>
      </w:r>
      <w:hyperlink w:anchor="ref_Krishna2010Auction">
        <w:r>
          <w:rPr>
            <w:rStyle w:val="Hyperlink"/>
          </w:rPr>
          <w:t xml:space="preserve">2010, cap. 6</w:t>
        </w:r>
      </w:hyperlink>
      <w:r>
        <w:t xml:space="preserve">)</w:t>
      </w:r>
      <w:r>
        <w:t xml:space="preserve">. Cada estimación es el valor real</w:t>
      </w:r>
      <w:r>
        <w:t xml:space="preserve"> </w:t>
      </w:r>
      <m:oMath>
        <m:r>
          <m:t>V</m:t>
        </m:r>
      </m:oMath>
      <w:r>
        <w:t xml:space="preserve"> </w:t>
      </w:r>
      <w:r>
        <w:t xml:space="preserve">más un error uniforme entre</w:t>
      </w:r>
      <w:r>
        <w:t xml:space="preserve"> </w:t>
      </w:r>
      <m:oMath>
        <m:r>
          <m:rPr>
            <m:sty m:val="p"/>
          </m:rPr>
          <m:t>−</m:t>
        </m:r>
        <m:r>
          <m:t>a</m:t>
        </m:r>
      </m:oMath>
      <w:r>
        <w:t xml:space="preserve"> </w:t>
      </w:r>
      <w:r>
        <w:t xml:space="preserve">y</w:t>
      </w:r>
      <w:r>
        <w:t xml:space="preserve"> </w:t>
      </w:r>
      <m:oMath>
        <m:r>
          <m:t>a</m:t>
        </m:r>
      </m:oMath>
      <w:r>
        <w:t xml:space="preserve">; la más alta de</w:t>
      </w:r>
      <w:r>
        <w:t xml:space="preserve"> </w:t>
      </w:r>
      <m:oMath>
        <m:r>
          <m:t>n</m:t>
        </m:r>
      </m:oMath>
      <w:r>
        <w:t xml:space="preserve"> </w:t>
      </w:r>
      <w:r>
        <w:t xml:space="preserve">supera</w:t>
      </w:r>
      <w:r>
        <w:t xml:space="preserve"> </w:t>
      </w:r>
      <m:oMath>
        <m:r>
          <m:t>V</m:t>
        </m:r>
      </m:oMath>
      <w:r>
        <w:t xml:space="preserve">, en promedio, en</w:t>
      </w:r>
      <w:r>
        <w:t xml:space="preserve"> </w:t>
      </w:r>
      <m:oMath>
        <m:r>
          <m:t>a</m:t>
        </m:r>
        <m:r>
          <m:t> </m:t>
        </m:r>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tanto más cuantos más pujadores.</w:t>
      </w:r>
    </w:p>
    <w:bookmarkEnd w:id="240"/>
    <w:bookmarkStart w:id="242" w:name="la_jarra_de_monedas_la_maldici__n__34283"/>
    <w:p>
      <w:pPr>
        <w:pStyle w:val="Heading2"/>
      </w:pPr>
      <w:r>
        <w:t xml:space="preserve">La jarra de monedas: la maldición del ganador en el aula</w:t>
      </w:r>
    </w:p>
    <w:p>
      <w:pPr>
        <w:numPr>
          <w:ilvl w:val="0"/>
          <w:numId w:val="1239"/>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239"/>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(tabla </w:t>
      </w:r>
      <w:hyperlink w:anchor="tab_jarra">
        <w:r>
          <w:rPr>
            <w:rStyle w:val="Hyperlink"/>
          </w:rPr>
          <w:t xml:space="preserve">17</w:t>
        </w:r>
      </w:hyperlink>
      <w:r>
        <w:t xml:space="preserve">). Ganaba quien más había sobrestimado, y no lo descontaba al pujar.</w:t>
      </w:r>
    </w:p>
    <w:p>
      <w:pPr>
        <w:numPr>
          <w:ilvl w:val="0"/>
          <w:numId w:val="1239"/>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239"/>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Start w:id="241" w:name="tab_jarra"/>
    <w:p>
      <w:pPr>
        <w:pStyle w:val="TableCaption"/>
      </w:pPr>
      <w:r>
        <w:t xml:space="preserve">Tabla 17.–</w:t>
      </w:r>
      <w:r>
        <w:t xml:space="preserve"> </w:t>
      </w:r>
      <w:r>
        <w:t xml:space="preserve">La jarra de monedas: medias de las subastas en clase (dólares)</w:t>
      </w:r>
    </w:p>
    <w:tbl>
      <w:tblPr>
        <w:tblStyle w:val="Table"/>
        <w:tblW w:type="auto" w:w="0"/>
        <w:tblLook w:firstRow="1" w:lastRow="0" w:firstColumn="0" w:lastColumn="0" w:noHBand="0" w:noVBand="0" w:val="0020"/>
        <w:tblCaption w:val="Tabla 17.– La jarra de monedas: medias de las subastas en clase (dólares)"/>
      </w:tblPr>
      <w:tblGrid>
        <w:gridCol w:w="3960"/>
        <w:gridCol w:w="3960"/>
      </w:tblGrid>
      <w:tr>
        <w:trPr>
          <w:cantSplit/>
          <w:tblHeader w:val="on"/>
        </w:trPr>
        <w:tc>
          <w:tcPr>
            <w:shd w:val="clear" w:color="auto" w:fill="DDEBF7"/>
            <w:vAlign w:val="center"/>
          </w:tcPr>
          <w:p>
            <w:pPr>
              <w:pStyle w:val="Celdatceeazulpalido"/>
              <w:jc w:val="left"/>
            </w:pPr>
            <w:r>
              <w:rPr>
                <w:b/>
                <w:bCs/>
              </w:rPr>
              <w:t xml:space="preserve">Concepto</w:t>
            </w:r>
          </w:p>
        </w:tc>
        <w:tc>
          <w:tcPr>
            <w:shd w:val="clear" w:color="auto" w:fill="DDEBF7"/>
            <w:vAlign w:val="center"/>
          </w:tcPr>
          <w:p>
            <w:pPr>
              <w:pStyle w:val="Celdatceeazulpalido"/>
              <w:jc w:val="center"/>
            </w:pPr>
            <w:r>
              <w:rPr>
                <w:b/>
                <w:bCs/>
              </w:rPr>
              <w:t xml:space="preserve">Dólares</w:t>
            </w:r>
          </w:p>
        </w:tc>
      </w:tr>
      <w:tr>
        <w:trPr>
          <w:cantSplit/>
        </w:trPr>
        <w:tc>
          <w:tcPr>
            <w:vAlign w:val="center"/>
          </w:tcPr>
          <w:p>
            <w:pPr>
              <w:pStyle w:val="Compact"/>
              <w:jc w:val="left"/>
            </w:pPr>
            <w:r>
              <w:t xml:space="preserve">Valor de la jarra</w:t>
            </w:r>
          </w:p>
        </w:tc>
        <w:tc>
          <w:tcPr>
            <w:vAlign w:val="center"/>
          </w:tcPr>
          <w:p>
            <w:pPr>
              <w:pStyle w:val="Compact"/>
              <w:jc w:val="center"/>
            </w:pPr>
            <w:r>
              <w:t xml:space="preserve">8,00</w:t>
            </w:r>
          </w:p>
        </w:tc>
      </w:tr>
      <w:tr>
        <w:trPr>
          <w:cantSplit/>
        </w:trPr>
        <w:tc>
          <w:tcPr>
            <w:vAlign w:val="center"/>
          </w:tcPr>
          <w:p>
            <w:pPr>
              <w:pStyle w:val="Compact"/>
              <w:jc w:val="left"/>
            </w:pPr>
            <w:r>
              <w:t xml:space="preserve">Estimación media de los alumnos</w:t>
            </w:r>
          </w:p>
        </w:tc>
        <w:tc>
          <w:tcPr>
            <w:vAlign w:val="center"/>
          </w:tcPr>
          <w:p>
            <w:pPr>
              <w:pStyle w:val="Compact"/>
              <w:jc w:val="center"/>
            </w:pPr>
            <w:r>
              <w:t xml:space="preserve">5,13</w:t>
            </w:r>
          </w:p>
        </w:tc>
      </w:tr>
      <w:tr>
        <w:trPr>
          <w:cantSplit/>
        </w:trPr>
        <w:tc>
          <w:tcPr>
            <w:vAlign w:val="center"/>
          </w:tcPr>
          <w:p>
            <w:pPr>
              <w:pStyle w:val="Compact"/>
              <w:jc w:val="left"/>
            </w:pPr>
            <w:r>
              <w:t xml:space="preserve">Puja ganadora media</w:t>
            </w:r>
          </w:p>
        </w:tc>
        <w:tc>
          <w:tcPr>
            <w:vAlign w:val="center"/>
          </w:tcPr>
          <w:p>
            <w:pPr>
              <w:pStyle w:val="Compact"/>
              <w:jc w:val="center"/>
            </w:pPr>
            <w:r>
              <w:t xml:space="preserve">10,01</w:t>
            </w:r>
          </w:p>
        </w:tc>
      </w:tr>
      <w:tr>
        <w:trPr>
          <w:cantSplit/>
        </w:trPr>
        <w:tc>
          <w:tcPr>
            <w:shd w:val="clear" w:color="auto" w:fill="E2EFD9"/>
            <w:vAlign w:val="center"/>
          </w:tcPr>
          <w:p>
            <w:pPr>
              <w:pStyle w:val="Celdatceesalvia"/>
              <w:jc w:val="left"/>
            </w:pPr>
            <w:r>
              <w:rPr>
                <w:b/>
                <w:bCs/>
              </w:rPr>
              <w:t xml:space="preserve">Ganancia media del ganador</w:t>
            </w:r>
          </w:p>
        </w:tc>
        <w:tc>
          <w:tcPr>
            <w:shd w:val="clear" w:color="auto" w:fill="E2EFD9"/>
            <w:vAlign w:val="center"/>
          </w:tcPr>
          <w:p>
            <w:pPr>
              <w:pStyle w:val="Celdatceesalvia"/>
              <w:jc w:val="center"/>
            </w:pPr>
            <m:oMath>
              <m:r>
                <m:rPr>
                  <m:sty m:val="p"/>
                </m:rPr>
                <m:t>−</m:t>
              </m:r>
              <m:r>
                <m:t>2</m:t>
              </m:r>
              <m:r>
                <m:rPr>
                  <m:sty m:val="p"/>
                </m:rPr>
                <m:t>,</m:t>
              </m:r>
              <m:r>
                <m:t>01</m:t>
              </m:r>
            </m:oMath>
          </w:p>
        </w:tc>
      </w:tr>
    </w:tbl>
    <w:bookmarkEnd w:id="241"/>
    <w:p>
      <w:pPr>
        <w:pStyle w:val="BodyText"/>
      </w:pPr>
      <w:r>
        <w:rPr>
          <w:i/>
          <w:iCs/>
        </w:rPr>
        <w:t xml:space="preserve">Fuente:</w:t>
      </w:r>
      <w:r>
        <w:rPr>
          <w:i/>
          <w:iCs/>
        </w:rPr>
        <w:t xml:space="preserve"> </w:t>
      </w:r>
      <w:r>
        <w:rPr>
          <w:i/>
          <w:iCs/>
          <w:smallCaps/>
        </w:rPr>
        <w:t xml:space="preserve">Bazerman</w:t>
      </w:r>
      <w:r>
        <w:rPr>
          <w:i/>
          <w:iCs/>
        </w:rPr>
        <w:t xml:space="preserve"> </w:t>
      </w:r>
      <w:r>
        <w:rPr>
          <w:i/>
          <w:iCs/>
        </w:rPr>
        <w:t xml:space="preserve">y</w:t>
      </w:r>
      <w:r>
        <w:rPr>
          <w:i/>
          <w:iCs/>
        </w:rPr>
        <w:t xml:space="preserve"> </w:t>
      </w:r>
      <w:r>
        <w:rPr>
          <w:i/>
          <w:iCs/>
          <w:smallCaps/>
        </w:rPr>
        <w:t xml:space="preserve">Samuelson</w:t>
      </w:r>
      <w:r>
        <w:rPr>
          <w:i/>
          <w:iCs/>
        </w:rPr>
        <w:t xml:space="preserve"> </w:t>
      </w:r>
      <w:r>
        <w:rPr>
          <w:i/>
          <w:iCs/>
        </w:rPr>
        <w:t xml:space="preserve">(</w:t>
      </w:r>
      <w:hyperlink w:anchor="ref_BazermanSamuelson1983Won">
        <w:r>
          <w:rPr>
            <w:rStyle w:val="Hyperlink"/>
            <w:i/>
            <w:iCs/>
          </w:rPr>
          <w:t xml:space="preserve">1983</w:t>
        </w:r>
      </w:hyperlink>
      <w:r>
        <w:rPr>
          <w:i/>
          <w:iCs/>
        </w:rPr>
        <w:t xml:space="preserve">)</w:t>
      </w:r>
      <w:r>
        <w:rPr>
          <w:i/>
          <w:iCs/>
        </w:rPr>
        <w:t xml:space="preserve">, recogido en</w:t>
      </w:r>
      <w:r>
        <w:rPr>
          <w:i/>
          <w:iCs/>
        </w:rPr>
        <w:t xml:space="preserve"> </w:t>
      </w:r>
      <w:r>
        <w:rPr>
          <w:i/>
          <w:iCs/>
          <w:smallCaps/>
        </w:rPr>
        <w:t xml:space="preserve">Thaler</w:t>
      </w:r>
      <w:r>
        <w:rPr>
          <w:i/>
          <w:iCs/>
        </w:rPr>
        <w:t xml:space="preserve"> </w:t>
      </w:r>
      <w:r>
        <w:rPr>
          <w:i/>
          <w:iCs/>
        </w:rPr>
        <w:t xml:space="preserve">(</w:t>
      </w:r>
      <w:hyperlink w:anchor="ref_Thaler1988Anomalies">
        <w:r>
          <w:rPr>
            <w:rStyle w:val="Hyperlink"/>
            <w:i/>
            <w:iCs/>
          </w:rPr>
          <w:t xml:space="preserve">1988</w:t>
        </w:r>
      </w:hyperlink>
      <w:r>
        <w:rPr>
          <w:i/>
          <w:iCs/>
        </w:rPr>
        <w:t xml:space="preserve">)</w:t>
      </w:r>
      <w:r>
        <w:rPr>
          <w:i/>
          <w:iCs/>
        </w:rPr>
        <w:t xml:space="preserve">: 48 subastas a sobre cerrado en 12 clases de MBA.</w:t>
      </w:r>
    </w:p>
    <w:bookmarkEnd w:id="242"/>
    <w:bookmarkStart w:id="244" w:name="las_subastas_del_3g_de_2000_atraer_81492"/>
    <w:p>
      <w:pPr>
        <w:pStyle w:val="Heading2"/>
      </w:pPr>
      <w:r>
        <w:t xml:space="preserve">Las subastas del 3G de 2000: atraer pujadores</w:t>
      </w:r>
    </w:p>
    <w:p>
      <w:pPr>
        <w:numPr>
          <w:ilvl w:val="0"/>
          <w:numId w:val="1240"/>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r>
        <w:t xml:space="preserve">(tabla </w:t>
      </w:r>
      <w:hyperlink w:anchor="tab_subastas_3g">
        <w:r>
          <w:rPr>
            <w:rStyle w:val="Hyperlink"/>
          </w:rPr>
          <w:t xml:space="preserve">18</w:t>
        </w:r>
      </w:hyperlink>
      <w:r>
        <w:t xml:space="preserve">).</w:t>
      </w:r>
    </w:p>
    <w:p>
      <w:pPr>
        <w:keepNext/>
        <w:numPr>
          <w:ilvl w:val="0"/>
          <w:numId w:val="1240"/>
        </w:numPr>
      </w:pPr>
      <w:r>
        <w:rPr>
          <w:i/>
          <w:iCs/>
        </w:rPr>
        <w:t xml:space="preserve">Qué pasó</w:t>
      </w:r>
      <w:r>
        <w:t xml:space="preserve">:</w:t>
      </w:r>
    </w:p>
    <w:p>
      <w:pPr>
        <w:numPr>
          <w:ilvl w:val="1"/>
          <w:numId w:val="1241"/>
        </w:numPr>
      </w:pPr>
      <w:r>
        <w:t xml:space="preserve">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w:t>
      </w:r>
    </w:p>
    <w:p>
      <w:pPr>
        <w:numPr>
          <w:ilvl w:val="1"/>
          <w:numId w:val="1241"/>
        </w:numPr>
      </w:pPr>
      <w:r>
        <w:t xml:space="preserve">en los Países Bajos había tantas licencias como operadores instalados, y los entrantes apenas tenían opciones;</w:t>
      </w:r>
    </w:p>
    <w:p>
      <w:pPr>
        <w:numPr>
          <w:ilvl w:val="1"/>
          <w:numId w:val="1241"/>
        </w:numPr>
      </w:pPr>
      <w:r>
        <w:t xml:space="preserve">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240"/>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240"/>
        </w:numPr>
      </w:pPr>
      <w:r>
        <w:rPr>
          <w:i/>
          <w:iCs/>
        </w:rPr>
        <w:t xml:space="preserve">En el temario</w:t>
      </w:r>
      <w:r>
        <w:t xml:space="preserve">: las telecomunicaciones</w:t>
      </w:r>
      <w:r>
        <w:t xml:space="preserve"> </w:t>
      </w:r>
      <w:hyperlink r:id="rId167">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Start w:id="243" w:name="tab_subastas_3g"/>
    <w:p>
      <w:pPr>
        <w:pStyle w:val="TableCaption"/>
      </w:pPr>
      <w:r>
        <w:t xml:space="preserve">Tabla 18.–</w:t>
      </w:r>
      <w:r>
        <w:t xml:space="preserve"> </w:t>
      </w:r>
      <w:r>
        <w:t xml:space="preserve">Las subastas europeas del 3G de 2000: recaudación y número de pujadores</w:t>
      </w:r>
    </w:p>
    <w:tbl>
      <w:tblPr>
        <w:tblStyle w:val="Table"/>
        <w:tblW w:type="auto" w:w="0"/>
        <w:tblLook w:firstRow="1" w:lastRow="0" w:firstColumn="0" w:lastColumn="0" w:noHBand="0" w:noVBand="0" w:val="0020"/>
        <w:tblCaption w:val="Tabla 18.– Las subastas europeas del 3G de 2000: recaudación y número de pujadores"/>
      </w:tblPr>
      <w:tblGrid>
        <w:gridCol w:w="2640"/>
        <w:gridCol w:w="2640"/>
        <w:gridCol w:w="2640"/>
      </w:tblGrid>
      <w:tr>
        <w:trPr>
          <w:cantSplit/>
          <w:tblHeader w:val="on"/>
        </w:trPr>
        <w:tc>
          <w:tcPr>
            <w:shd w:val="clear" w:color="auto" w:fill="DDEBF7"/>
            <w:vAlign w:val="center"/>
          </w:tcPr>
          <w:p>
            <w:pPr>
              <w:pStyle w:val="Celdatceeazulpalido"/>
              <w:jc w:val="left"/>
            </w:pPr>
            <w:r>
              <w:rPr>
                <w:b/>
                <w:bCs/>
              </w:rPr>
              <w:t xml:space="preserve">País</w:t>
            </w:r>
          </w:p>
        </w:tc>
        <w:tc>
          <w:tcPr>
            <w:shd w:val="clear" w:color="auto" w:fill="DDEBF7"/>
            <w:vAlign w:val="center"/>
          </w:tcPr>
          <w:p>
            <w:pPr>
              <w:pStyle w:val="Celdatceeazulpalido"/>
              <w:jc w:val="center"/>
            </w:pPr>
            <w:r>
              <w:rPr>
                <w:b/>
                <w:bCs/>
              </w:rPr>
              <w:t xml:space="preserve">Euros por habitante</w:t>
            </w:r>
          </w:p>
        </w:tc>
        <w:tc>
          <w:tcPr>
            <w:shd w:val="clear" w:color="auto" w:fill="DDEBF7"/>
            <w:vAlign w:val="center"/>
          </w:tcPr>
          <w:p>
            <w:pPr>
              <w:pStyle w:val="Celdatceeazulpalido"/>
              <w:jc w:val="left"/>
            </w:pPr>
            <w:r>
              <w:rPr>
                <w:b/>
                <w:bCs/>
              </w:rPr>
              <w:t xml:space="preserve">Qué la explica</w:t>
            </w:r>
          </w:p>
        </w:tc>
      </w:tr>
      <w:tr>
        <w:trPr>
          <w:cantSplit/>
        </w:trPr>
        <w:tc>
          <w:tcPr>
            <w:vAlign w:val="center"/>
          </w:tcPr>
          <w:p>
            <w:pPr>
              <w:pStyle w:val="Compact"/>
              <w:jc w:val="left"/>
            </w:pPr>
            <w:r>
              <w:t xml:space="preserve">Reino Unido</w:t>
            </w:r>
          </w:p>
        </w:tc>
        <w:tc>
          <w:tcPr>
            <w:shd w:val="clear" w:color="auto" w:fill="E2EFD9"/>
            <w:vAlign w:val="center"/>
          </w:tcPr>
          <w:p>
            <w:pPr>
              <w:pStyle w:val="Celdatceesalvia"/>
              <w:jc w:val="center"/>
            </w:pPr>
            <w:r>
              <w:t xml:space="preserve">650</w:t>
            </w:r>
          </w:p>
        </w:tc>
        <w:tc>
          <w:tcPr>
            <w:vAlign w:val="center"/>
          </w:tcPr>
          <w:p>
            <w:pPr>
              <w:pStyle w:val="Compact"/>
              <w:jc w:val="left"/>
            </w:pPr>
            <w:r>
              <w:t xml:space="preserve">licencias para 4 instalados: al menos una iba a un entrante, y los entrantes acudieron</w:t>
            </w:r>
          </w:p>
        </w:tc>
      </w:tr>
      <w:tr>
        <w:trPr>
          <w:cantSplit/>
        </w:trPr>
        <w:tc>
          <w:tcPr>
            <w:vAlign w:val="center"/>
          </w:tcPr>
          <w:p>
            <w:pPr>
              <w:pStyle w:val="Compact"/>
              <w:jc w:val="left"/>
            </w:pPr>
            <w:r>
              <w:t xml:space="preserve">Alemania</w:t>
            </w:r>
          </w:p>
        </w:tc>
        <w:tc>
          <w:tcPr>
            <w:shd w:val="clear" w:color="auto" w:fill="E2EFD9"/>
            <w:vAlign w:val="center"/>
          </w:tcPr>
          <w:p>
            <w:pPr>
              <w:pStyle w:val="Celdatceesalvia"/>
              <w:jc w:val="center"/>
            </w:pPr>
            <w:r>
              <w:t xml:space="preserve">615</w:t>
            </w:r>
          </w:p>
        </w:tc>
        <w:tc>
          <w:tcPr>
            <w:vAlign w:val="center"/>
          </w:tcPr>
          <w:p>
            <w:pPr>
              <w:pStyle w:val="Compact"/>
              <w:jc w:val="left"/>
            </w:pPr>
            <w:r>
              <w:t xml:space="preserve">más pujadores que licencias</w:t>
            </w:r>
          </w:p>
        </w:tc>
      </w:tr>
      <w:tr>
        <w:trPr>
          <w:cantSplit/>
        </w:trPr>
        <w:tc>
          <w:tcPr>
            <w:vAlign w:val="center"/>
          </w:tcPr>
          <w:p>
            <w:pPr>
              <w:pStyle w:val="Compact"/>
              <w:jc w:val="left"/>
            </w:pPr>
            <w:r>
              <w:t xml:space="preserve">Países Bajos</w:t>
            </w:r>
          </w:p>
        </w:tc>
        <w:tc>
          <w:tcPr>
            <w:vAlign w:val="center"/>
          </w:tcPr>
          <w:p>
            <w:pPr>
              <w:pStyle w:val="Compact"/>
              <w:jc w:val="center"/>
            </w:pPr>
            <w:r>
              <w:t xml:space="preserve">170</w:t>
            </w:r>
          </w:p>
        </w:tc>
        <w:tc>
          <w:tcPr>
            <w:vAlign w:val="center"/>
          </w:tcPr>
          <w:p>
            <w:pPr>
              <w:pStyle w:val="Compact"/>
              <w:jc w:val="left"/>
            </w:pPr>
            <w:r>
              <w:t xml:space="preserve">tantas licencias como instalados: los entrantes apenas tenían opciones</w:t>
            </w:r>
          </w:p>
        </w:tc>
      </w:tr>
      <w:tr>
        <w:trPr>
          <w:cantSplit/>
        </w:trPr>
        <w:tc>
          <w:tcPr>
            <w:vAlign w:val="center"/>
          </w:tcPr>
          <w:p>
            <w:pPr>
              <w:pStyle w:val="Compact"/>
              <w:jc w:val="left"/>
            </w:pPr>
            <w:r>
              <w:t xml:space="preserve">Suiza</w:t>
            </w:r>
          </w:p>
        </w:tc>
        <w:tc>
          <w:tcPr>
            <w:vAlign w:val="center"/>
          </w:tcPr>
          <w:p>
            <w:pPr>
              <w:pStyle w:val="Compact"/>
              <w:jc w:val="center"/>
            </w:pPr>
            <w:r>
              <w:t xml:space="preserve">20</w:t>
            </w:r>
          </w:p>
        </w:tc>
        <w:tc>
          <w:tcPr>
            <w:vAlign w:val="center"/>
          </w:tcPr>
          <w:p>
            <w:pPr>
              <w:pStyle w:val="Compact"/>
              <w:jc w:val="left"/>
            </w:pPr>
            <w:r>
              <w:t xml:space="preserve">uniones y retiradas de última hora: tantos pujadores como licencias, casi al precio de salida</w:t>
            </w:r>
          </w:p>
        </w:tc>
      </w:tr>
    </w:tbl>
    <w:bookmarkEnd w:id="243"/>
    <w:p>
      <w:pPr>
        <w:pStyle w:val="BodyText"/>
      </w:pPr>
      <w:r>
        <w:rPr>
          <w:i/>
          <w:iCs/>
        </w:rPr>
        <w:t xml:space="preserve">Fuente: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w:t>
        </w:r>
      </w:hyperlink>
      <w:r>
        <w:rPr>
          <w:i/>
          <w:iCs/>
        </w:rPr>
        <w:t xml:space="preserve">, tabla 1)</w:t>
      </w:r>
      <w:r>
        <w:rPr>
          <w:i/>
          <w:iCs/>
        </w:rPr>
        <w:t xml:space="preserve"> </w:t>
      </w:r>
      <w:r>
        <w:rPr>
          <w:i/>
          <w:iCs/>
        </w:rPr>
        <w:t xml:space="preserve">y</w:t>
      </w:r>
      <w:r>
        <w:rPr>
          <w:i/>
          <w:iCs/>
        </w:rPr>
        <w:t xml:space="preserve"> </w:t>
      </w:r>
      <w:r>
        <w:rPr>
          <w:i/>
          <w:iCs/>
          <w:smallCaps/>
        </w:rPr>
        <w:t xml:space="preserve">Binmore</w:t>
      </w:r>
      <w:r>
        <w:rPr>
          <w:i/>
          <w:iCs/>
        </w:rPr>
        <w:t xml:space="preserve"> </w:t>
      </w:r>
      <w:r>
        <w:rPr>
          <w:i/>
          <w:iCs/>
        </w:rPr>
        <w:t xml:space="preserve">y</w:t>
      </w:r>
      <w:r>
        <w:rPr>
          <w:i/>
          <w:iCs/>
        </w:rPr>
        <w:t xml:space="preserve"> </w:t>
      </w:r>
      <w:r>
        <w:rPr>
          <w:i/>
          <w:iCs/>
          <w:smallCaps/>
        </w:rPr>
        <w:t xml:space="preserve">Klemperer</w:t>
      </w:r>
      <w:r>
        <w:rPr>
          <w:i/>
          <w:iCs/>
        </w:rPr>
        <w:t xml:space="preserve"> </w:t>
      </w:r>
      <w:r>
        <w:rPr>
          <w:i/>
          <w:iCs/>
        </w:rPr>
        <w:t xml:space="preserve">(</w:t>
      </w:r>
      <w:hyperlink w:anchor="ref_BinmoreKlemperer2002Biggest">
        <w:r>
          <w:rPr>
            <w:rStyle w:val="Hyperlink"/>
            <w:i/>
            <w:iCs/>
          </w:rPr>
          <w:t xml:space="preserve">2002</w:t>
        </w:r>
      </w:hyperlink>
      <w:r>
        <w:rPr>
          <w:i/>
          <w:iCs/>
        </w:rPr>
        <w:t xml:space="preserve">)</w:t>
      </w:r>
      <w:r>
        <w:rPr>
          <w:i/>
          <w:iCs/>
        </w:rPr>
        <w:t xml:space="preserve">.</w:t>
      </w:r>
    </w:p>
    <w:bookmarkEnd w:id="244"/>
    <w:bookmarkStart w:id="246" w:name="la_subasta_alemana_de_espectro_de__02641"/>
    <w:p>
      <w:pPr>
        <w:pStyle w:val="Heading2"/>
      </w:pPr>
      <w:r>
        <w:t xml:space="preserve">La subasta alemana de espectro de 1999: pujas que hablan</w:t>
      </w:r>
    </w:p>
    <w:p>
      <w:pPr>
        <w:numPr>
          <w:ilvl w:val="0"/>
          <w:numId w:val="1242"/>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242"/>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r>
        <w:t xml:space="preserve">(tabla </w:t>
      </w:r>
      <w:hyperlink w:anchor="tab_subasta_alemana">
        <w:r>
          <w:rPr>
            <w:rStyle w:val="Hyperlink"/>
          </w:rPr>
          <w:t xml:space="preserve">19</w:t>
        </w:r>
      </w:hyperlink>
      <w:r>
        <w:t xml:space="preserve">).</w:t>
      </w:r>
    </w:p>
    <w:p>
      <w:pPr>
        <w:numPr>
          <w:ilvl w:val="0"/>
          <w:numId w:val="1242"/>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242"/>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67">
        <w:r>
          <w:rPr>
            <w:rStyle w:val="Referenciaatema"/>
          </w:rPr>
          <w:t xml:space="preserve">[ver tema 4.A.12]</w:t>
        </w:r>
      </w:hyperlink>
      <w:r>
        <w:t xml:space="preserve">.</w:t>
      </w:r>
    </w:p>
    <w:bookmarkStart w:id="245" w:name="tab_subasta_alemana"/>
    <w:p>
      <w:pPr>
        <w:pStyle w:val="TableCaption"/>
      </w:pPr>
      <w:r>
        <w:t xml:space="preserve">Tabla 19.–</w:t>
      </w:r>
      <w:r>
        <w:t xml:space="preserve"> </w:t>
      </w:r>
      <w:r>
        <w:t xml:space="preserve">La subasta alemana de espectro de 1999, ronda a ronda (millones de marcos por megahercio)</w:t>
      </w:r>
    </w:p>
    <w:tbl>
      <w:tblPr>
        <w:tblStyle w:val="Table"/>
        <w:tblW w:type="auto" w:w="0"/>
        <w:tblLook w:firstRow="1" w:lastRow="0" w:firstColumn="0" w:lastColumn="0" w:noHBand="0" w:noVBand="0" w:val="0020"/>
        <w:tblCaption w:val="Tabla 19.– La subasta alemana de espectro de 1999, ronda a ronda (millones de marcos por megahercio)"/>
      </w:tblPr>
      <w:tblGrid>
        <w:gridCol w:w="1584"/>
        <w:gridCol w:w="1584"/>
        <w:gridCol w:w="1584"/>
        <w:gridCol w:w="1584"/>
        <w:gridCol w:w="1584"/>
      </w:tblGrid>
      <w:tr>
        <w:trPr>
          <w:cantSplit/>
          <w:tblHeader w:val="on"/>
        </w:trPr>
        <w:tc>
          <w:tcPr>
            <w:shd w:val="clear" w:color="auto" w:fill="DDEBF7"/>
            <w:vAlign w:val="center"/>
          </w:tcPr>
          <w:p>
            <w:pPr>
              <w:pStyle w:val="Celdatceeazulpalido"/>
              <w:jc w:val="left"/>
            </w:pPr>
            <w:r>
              <w:rPr>
                <w:b/>
                <w:bCs/>
              </w:rPr>
              <w:t xml:space="preserve">Ronda</w:t>
            </w:r>
          </w:p>
        </w:tc>
        <w:tc>
          <w:tcPr>
            <w:shd w:val="clear" w:color="auto" w:fill="DDEBF7"/>
            <w:vAlign w:val="center"/>
          </w:tcPr>
          <w:p>
            <w:pPr>
              <w:pStyle w:val="Celdatceeazulpalido"/>
              <w:jc w:val="left"/>
            </w:pPr>
            <w:r>
              <w:rPr>
                <w:b/>
                <w:bCs/>
              </w:rPr>
              <w:t xml:space="preserve">Puja</w:t>
            </w:r>
          </w:p>
        </w:tc>
        <w:tc>
          <w:tcPr>
            <w:shd w:val="clear" w:color="auto" w:fill="DDEBF7"/>
            <w:vAlign w:val="center"/>
          </w:tcPr>
          <w:p>
            <w:pPr>
              <w:pStyle w:val="Celdatceeazulpalido"/>
              <w:jc w:val="center"/>
            </w:pPr>
            <w:r>
              <w:rPr>
                <w:b/>
                <w:bCs/>
              </w:rPr>
              <w:t xml:space="preserve">Bloques 1 a 5</w:t>
            </w:r>
          </w:p>
        </w:tc>
        <w:tc>
          <w:tcPr>
            <w:shd w:val="clear" w:color="auto" w:fill="DDEBF7"/>
            <w:vAlign w:val="center"/>
          </w:tcPr>
          <w:p>
            <w:pPr>
              <w:pStyle w:val="Celdatceeazulpalido"/>
              <w:jc w:val="center"/>
            </w:pPr>
            <w:r>
              <w:rPr>
                <w:b/>
                <w:bCs/>
              </w:rPr>
              <w:t xml:space="preserve">Bloques 6 a 10</w:t>
            </w:r>
          </w:p>
        </w:tc>
        <w:tc>
          <w:tcPr>
            <w:shd w:val="clear" w:color="auto" w:fill="DDEBF7"/>
            <w:vAlign w:val="center"/>
          </w:tcPr>
          <w:p>
            <w:pPr>
              <w:pStyle w:val="Celdatceeazulpalido"/>
              <w:jc w:val="left"/>
            </w:pPr>
            <w:r>
              <w:rPr>
                <w:b/>
                <w:bCs/>
              </w:rPr>
              <w:t xml:space="preserve">Mensaje</w:t>
            </w:r>
          </w:p>
        </w:tc>
      </w:tr>
      <w:tr>
        <w:trPr>
          <w:cantSplit/>
        </w:trPr>
        <w:tc>
          <w:tcPr>
            <w:vAlign w:val="center"/>
          </w:tcPr>
          <w:p>
            <w:pPr>
              <w:pStyle w:val="Compact"/>
            </w:pPr>
          </w:p>
        </w:tc>
        <w:tc>
          <w:tcPr>
            <w:vAlign w:val="center"/>
          </w:tcPr>
          <w:p>
            <w:pPr>
              <w:pStyle w:val="Compact"/>
              <w:jc w:val="left"/>
            </w:pPr>
            <w:r>
              <w:t xml:space="preserve">Mannesmann</w:t>
            </w:r>
          </w:p>
        </w:tc>
        <w:tc>
          <w:tcPr>
            <w:vAlign w:val="center"/>
          </w:tcPr>
          <w:p>
            <w:pPr>
              <w:pStyle w:val="Compact"/>
              <w:jc w:val="center"/>
            </w:pPr>
            <w:r>
              <w:t xml:space="preserve">18,18</w:t>
            </w:r>
          </w:p>
        </w:tc>
        <w:tc>
          <w:tcPr>
            <w:vAlign w:val="center"/>
          </w:tcPr>
          <w:p>
            <w:pPr>
              <w:pStyle w:val="Compact"/>
              <w:jc w:val="center"/>
            </w:pPr>
            <w:r>
              <w:t xml:space="preserve">20</w:t>
            </w:r>
          </w:p>
        </w:tc>
        <w:tc>
          <w:tcPr>
            <w:vAlign w:val="center"/>
          </w:tcPr>
          <w:p>
            <w:pPr>
              <w:pStyle w:val="Compact"/>
              <w:jc w:val="left"/>
            </w:pPr>
            <w:r>
              <w:t xml:space="preserve">«con un 10 % más en los bloques 1 a 5, los 2 pagamos 20»</w:t>
            </w:r>
          </w:p>
        </w:tc>
      </w:tr>
      <w:tr>
        <w:trPr>
          <w:cantSplit/>
        </w:trPr>
        <w:tc>
          <w:tcPr>
            <w:vAlign w:val="center"/>
          </w:tcPr>
          <w:p>
            <w:pPr>
              <w:pStyle w:val="Compact"/>
            </w:pPr>
          </w:p>
        </w:tc>
        <w:tc>
          <w:tcPr>
            <w:vAlign w:val="center"/>
          </w:tcPr>
          <w:p>
            <w:pPr>
              <w:pStyle w:val="Compact"/>
              <w:jc w:val="left"/>
            </w:pPr>
            <w:r>
              <w:t xml:space="preserve">T-Mobil</w:t>
            </w:r>
          </w:p>
        </w:tc>
        <w:tc>
          <w:tcPr>
            <w:vAlign w:val="center"/>
          </w:tcPr>
          <w:p>
            <w:pPr>
              <w:pStyle w:val="Compact"/>
              <w:jc w:val="center"/>
            </w:pPr>
            <w:r>
              <w:t xml:space="preserve">20</w:t>
            </w:r>
          </w:p>
        </w:tc>
        <w:tc>
          <w:tcPr>
            <w:vAlign w:val="center"/>
          </w:tcPr>
          <w:p>
            <w:pPr>
              <w:pStyle w:val="Compact"/>
              <w:jc w:val="center"/>
            </w:pPr>
            <w:r>
              <w:t xml:space="preserve">—</w:t>
            </w:r>
          </w:p>
        </w:tc>
        <w:tc>
          <w:tcPr>
            <w:vAlign w:val="center"/>
          </w:tcPr>
          <w:p>
            <w:pPr>
              <w:pStyle w:val="Compact"/>
              <w:jc w:val="left"/>
            </w:pPr>
            <w:r>
              <w:t xml:space="preserve">mensaje recibido</w:t>
            </w:r>
          </w:p>
        </w:tc>
      </w:tr>
      <w:tr>
        <w:trPr>
          <w:cantSplit/>
        </w:trPr>
        <w:tc>
          <w:tcPr>
            <w:vAlign w:val="center"/>
          </w:tcPr>
          <w:p>
            <w:pPr>
              <w:pStyle w:val="Compact"/>
              <w:jc w:val="left"/>
            </w:pPr>
            <w:r>
              <w:rPr>
                <w:b/>
                <w:bCs/>
              </w:rPr>
              <w:t xml:space="preserve">Final</w:t>
            </w:r>
          </w:p>
        </w:tc>
        <w:tc>
          <w:tcPr>
            <w:vAlign w:val="center"/>
          </w:tcPr>
          <w:p>
            <w:pPr>
              <w:pStyle w:val="Compact"/>
              <w:jc w:val="left"/>
            </w:pPr>
            <w:r>
              <w:t xml:space="preserve">nadie más puja</w:t>
            </w:r>
          </w:p>
        </w:tc>
        <w:tc>
          <w:tcPr>
            <w:shd w:val="clear" w:color="auto" w:fill="E2EFD9"/>
            <w:vAlign w:val="center"/>
          </w:tcPr>
          <w:p>
            <w:pPr>
              <w:pStyle w:val="Celdatceesalvia"/>
              <w:jc w:val="center"/>
            </w:pPr>
            <w:r>
              <w:t xml:space="preserve">T-Mobil,</w:t>
            </w:r>
            <w:r>
              <w:br/>
            </w:r>
            <w:r>
              <w:t xml:space="preserve">a 20</w:t>
            </w:r>
          </w:p>
        </w:tc>
        <w:tc>
          <w:tcPr>
            <w:shd w:val="clear" w:color="auto" w:fill="E2EFD9"/>
            <w:vAlign w:val="center"/>
          </w:tcPr>
          <w:p>
            <w:pPr>
              <w:pStyle w:val="Celdatceesalvia"/>
              <w:jc w:val="center"/>
            </w:pPr>
            <w:r>
              <w:t xml:space="preserve">Mannesmann,</w:t>
            </w:r>
            <w:r>
              <w:br/>
            </w:r>
            <w:r>
              <w:t xml:space="preserve">a 20</w:t>
            </w:r>
          </w:p>
        </w:tc>
        <w:tc>
          <w:tcPr>
            <w:vAlign w:val="center"/>
          </w:tcPr>
          <w:p>
            <w:pPr>
              <w:pStyle w:val="Compact"/>
              <w:jc w:val="left"/>
            </w:pPr>
            <w:r>
              <w:t xml:space="preserve">reparto a partes iguales, sin competir</w:t>
            </w:r>
          </w:p>
        </w:tc>
      </w:tr>
    </w:tbl>
    <w:bookmarkEnd w:id="245"/>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2WhatReallyMatters">
        <w:r>
          <w:rPr>
            <w:rStyle w:val="Hyperlink"/>
            <w:i/>
            <w:iCs/>
          </w:rPr>
          <w:t xml:space="preserve">2002</w:t>
        </w:r>
      </w:hyperlink>
      <w:r>
        <w:rPr>
          <w:i/>
          <w:iCs/>
        </w:rPr>
        <w:t xml:space="preserve">)</w:t>
      </w:r>
      <w:r>
        <w:rPr>
          <w:i/>
          <w:iCs/>
        </w:rP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6"/>
    <w:bookmarkEnd w:id="247"/>
    <w:bookmarkStart w:id="458" w:name="bibliografia"/>
    <w:p>
      <w:pPr>
        <w:pStyle w:val="Heading1"/>
      </w:pPr>
      <w:r>
        <w:t xml:space="preserve">Bibliografía</w:t>
      </w:r>
    </w:p>
    <w:bookmarkStart w:id="457" w:name="refs"/>
    <w:bookmarkStart w:id="249"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48">
        <w:r>
          <w:rPr>
            <w:rStyle w:val="Hyperlink"/>
          </w:rPr>
          <w:t xml:space="preserve">https://doi.org/10.1257/aer.100.3.724</w:t>
        </w:r>
      </w:hyperlink>
      <w:r>
        <w:t xml:space="preserve">.</w:t>
      </w:r>
    </w:p>
    <w:bookmarkEnd w:id="249"/>
    <w:bookmarkStart w:id="250"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50"/>
    <w:bookmarkStart w:id="252"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51">
        <w:r>
          <w:rPr>
            <w:rStyle w:val="Hyperlink"/>
          </w:rPr>
          <w:t xml:space="preserve">https://doi.org/10.1214/aos/1176343654</w:t>
        </w:r>
      </w:hyperlink>
      <w:r>
        <w:t xml:space="preserve">.</w:t>
      </w:r>
    </w:p>
    <w:bookmarkEnd w:id="252"/>
    <w:bookmarkStart w:id="253"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53"/>
    <w:bookmarkStart w:id="255"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54">
        <w:r>
          <w:rPr>
            <w:rStyle w:val="Hyperlink"/>
          </w:rPr>
          <w:t xml:space="preserve">https://doi.org/10.1093/restud/rdu023</w:t>
        </w:r>
      </w:hyperlink>
      <w:r>
        <w:t xml:space="preserve">.</w:t>
      </w:r>
    </w:p>
    <w:bookmarkEnd w:id="255"/>
    <w:bookmarkStart w:id="256"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56"/>
    <w:bookmarkStart w:id="258"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57">
        <w:r>
          <w:rPr>
            <w:rStyle w:val="Hyperlink"/>
          </w:rPr>
          <w:t xml:space="preserve">https://www.ecb.europa.eu/press/pr/date/2012/html/pr120906_1.en.html</w:t>
        </w:r>
      </w:hyperlink>
      <w:r>
        <w:t xml:space="preserve">.</w:t>
      </w:r>
    </w:p>
    <w:bookmarkEnd w:id="258"/>
    <w:bookmarkStart w:id="260"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59">
        <w:r>
          <w:rPr>
            <w:rStyle w:val="Hyperlink"/>
          </w:rPr>
          <w:t xml:space="preserve">https://doi.org/10.1016/0304-3932(83)90051-X</w:t>
        </w:r>
      </w:hyperlink>
      <w:r>
        <w:t xml:space="preserve">.</w:t>
      </w:r>
    </w:p>
    <w:bookmarkEnd w:id="260"/>
    <w:bookmarkStart w:id="262"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61">
        <w:r>
          <w:rPr>
            <w:rStyle w:val="Hyperlink"/>
          </w:rPr>
          <w:t xml:space="preserve">https://doi.org/10.1177/0022002783027004003</w:t>
        </w:r>
      </w:hyperlink>
      <w:r>
        <w:t xml:space="preserve">.</w:t>
      </w:r>
    </w:p>
    <w:bookmarkEnd w:id="262"/>
    <w:bookmarkStart w:id="264"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63">
        <w:r>
          <w:rPr>
            <w:rStyle w:val="Hyperlink"/>
          </w:rPr>
          <w:t xml:space="preserve">https://doi.org/10.1111/1468-0297.00020</w:t>
        </w:r>
      </w:hyperlink>
      <w:r>
        <w:t xml:space="preserve">.</w:t>
      </w:r>
    </w:p>
    <w:bookmarkEnd w:id="264"/>
    <w:bookmarkStart w:id="266"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65">
        <w:r>
          <w:rPr>
            <w:rStyle w:val="Hyperlink"/>
          </w:rPr>
          <w:t xml:space="preserve">https://doi.org/10.2307/2555382</w:t>
        </w:r>
      </w:hyperlink>
      <w:r>
        <w:t xml:space="preserve">.</w:t>
      </w:r>
    </w:p>
    <w:bookmarkEnd w:id="266"/>
    <w:bookmarkStart w:id="267"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67"/>
    <w:bookmarkStart w:id="268"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68"/>
    <w:bookmarkStart w:id="270"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69">
        <w:r>
          <w:rPr>
            <w:rStyle w:val="Hyperlink"/>
          </w:rPr>
          <w:t xml:space="preserve">https://doi.org/10.1016/0022-1996(85)90006-6</w:t>
        </w:r>
      </w:hyperlink>
      <w:r>
        <w:t xml:space="preserve">.</w:t>
      </w:r>
    </w:p>
    <w:bookmarkEnd w:id="270"/>
    <w:bookmarkStart w:id="271"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71"/>
    <w:bookmarkStart w:id="273"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72">
        <w:r>
          <w:rPr>
            <w:rStyle w:val="Hyperlink"/>
          </w:rPr>
          <w:t xml:space="preserve">https://doi.org/10.2118/2993-PA</w:t>
        </w:r>
      </w:hyperlink>
      <w:r>
        <w:t xml:space="preserve">.</w:t>
      </w:r>
    </w:p>
    <w:bookmarkEnd w:id="273"/>
    <w:bookmarkStart w:id="274"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74"/>
    <w:bookmarkStart w:id="27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75">
        <w:r>
          <w:rPr>
            <w:rStyle w:val="Hyperlink"/>
          </w:rPr>
          <w:t xml:space="preserve">https://doi.org/10.1007/BF01726210</w:t>
        </w:r>
      </w:hyperlink>
      <w:r>
        <w:t xml:space="preserve">.</w:t>
      </w:r>
    </w:p>
    <w:bookmarkEnd w:id="276"/>
    <w:bookmarkStart w:id="278"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77">
        <w:r>
          <w:rPr>
            <w:rStyle w:val="Hyperlink"/>
          </w:rPr>
          <w:t xml:space="preserve">https://doi.org/10.1086/466731</w:t>
        </w:r>
      </w:hyperlink>
      <w:r>
        <w:t xml:space="preserve">.</w:t>
      </w:r>
    </w:p>
    <w:bookmarkEnd w:id="278"/>
    <w:bookmarkStart w:id="280"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79">
        <w:r>
          <w:rPr>
            <w:rStyle w:val="Hyperlink"/>
          </w:rPr>
          <w:t xml:space="preserve">https://www.boe.es/doue/2023/2830/L00001-00056.pdf</w:t>
        </w:r>
      </w:hyperlink>
      <w:r>
        <w:t xml:space="preserve">.</w:t>
      </w:r>
    </w:p>
    <w:bookmarkEnd w:id="280"/>
    <w:bookmarkStart w:id="282"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81">
        <w:r>
          <w:rPr>
            <w:rStyle w:val="Hyperlink"/>
          </w:rPr>
          <w:t xml:space="preserve">https://www.cnmc.es/prensa/sancionador-obra-civil-20220707</w:t>
        </w:r>
      </w:hyperlink>
      <w:r>
        <w:t xml:space="preserve">.</w:t>
      </w:r>
    </w:p>
    <w:bookmarkEnd w:id="282"/>
    <w:bookmarkStart w:id="284"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83">
        <w:r>
          <w:rPr>
            <w:rStyle w:val="Hyperlink"/>
          </w:rPr>
          <w:t xml:space="preserve">https://www.nobelprize.org/uploads/2020/09/advanced-economicsciencesprize2020.pdf</w:t>
        </w:r>
      </w:hyperlink>
      <w:r>
        <w:t xml:space="preserve">.</w:t>
      </w:r>
    </w:p>
    <w:bookmarkEnd w:id="284"/>
    <w:bookmarkStart w:id="28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85"/>
    <w:bookmarkStart w:id="287"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86">
        <w:r>
          <w:rPr>
            <w:rStyle w:val="Hyperlink"/>
          </w:rPr>
          <w:t xml:space="preserve">https://doi.org/10.1257/000282805775014434</w:t>
        </w:r>
      </w:hyperlink>
      <w:r>
        <w:t xml:space="preserve">.</w:t>
      </w:r>
    </w:p>
    <w:bookmarkEnd w:id="287"/>
    <w:bookmarkStart w:id="28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88"/>
    <w:bookmarkStart w:id="290"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89">
        <w:r>
          <w:rPr>
            <w:rStyle w:val="Hyperlink"/>
          </w:rPr>
          <w:t xml:space="preserve">https://doi.org/10.2307/2525306</w:t>
        </w:r>
      </w:hyperlink>
      <w:r>
        <w:t xml:space="preserve">.</w:t>
      </w:r>
    </w:p>
    <w:bookmarkEnd w:id="290"/>
    <w:bookmarkStart w:id="292"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91">
        <w:r>
          <w:rPr>
            <w:rStyle w:val="Hyperlink"/>
          </w:rPr>
          <w:t xml:space="preserve">https://doi.org/10.2307/2231658</w:t>
        </w:r>
      </w:hyperlink>
      <w:r>
        <w:t xml:space="preserve">.</w:t>
      </w:r>
    </w:p>
    <w:bookmarkEnd w:id="292"/>
    <w:bookmarkStart w:id="294"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93">
        <w:r>
          <w:rPr>
            <w:rStyle w:val="Hyperlink"/>
          </w:rPr>
          <w:t xml:space="preserve">https://doi.org/10.2307/2296617</w:t>
        </w:r>
      </w:hyperlink>
      <w:r>
        <w:t xml:space="preserve">.</w:t>
      </w:r>
    </w:p>
    <w:bookmarkEnd w:id="294"/>
    <w:bookmarkStart w:id="296"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95">
        <w:r>
          <w:rPr>
            <w:rStyle w:val="Hyperlink"/>
          </w:rPr>
          <w:t xml:space="preserve">https://doi.org/10.2307/1911307</w:t>
        </w:r>
      </w:hyperlink>
      <w:r>
        <w:t xml:space="preserve">.</w:t>
      </w:r>
    </w:p>
    <w:bookmarkEnd w:id="296"/>
    <w:bookmarkStart w:id="297"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97"/>
    <w:bookmarkStart w:id="299"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98">
        <w:r>
          <w:rPr>
            <w:rStyle w:val="Hyperlink"/>
          </w:rPr>
          <w:t xml:space="preserve">https://doi.org/10.1080/00029890.1962.11989827</w:t>
        </w:r>
      </w:hyperlink>
      <w:r>
        <w:t xml:space="preserve">.</w:t>
      </w:r>
    </w:p>
    <w:bookmarkEnd w:id="299"/>
    <w:bookmarkStart w:id="301"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0">
        <w:r>
          <w:rPr>
            <w:rStyle w:val="Hyperlink"/>
          </w:rPr>
          <w:t xml:space="preserve">https://doi.org/10.2307/1914083</w:t>
        </w:r>
      </w:hyperlink>
      <w:r>
        <w:t xml:space="preserve">.</w:t>
      </w:r>
    </w:p>
    <w:bookmarkEnd w:id="301"/>
    <w:bookmarkStart w:id="303"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302">
        <w:r>
          <w:rPr>
            <w:rStyle w:val="Hyperlink"/>
          </w:rPr>
          <w:t xml:space="preserve">https://doi.org/10.1515/9781400835881</w:t>
        </w:r>
      </w:hyperlink>
      <w:r>
        <w:t xml:space="preserve">.</w:t>
      </w:r>
    </w:p>
    <w:bookmarkEnd w:id="303"/>
    <w:bookmarkStart w:id="304"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04"/>
    <w:bookmarkStart w:id="306"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305">
        <w:r>
          <w:rPr>
            <w:rStyle w:val="Hyperlink"/>
          </w:rPr>
          <w:t xml:space="preserve">https://doi.org/10.2307/1911219</w:t>
        </w:r>
      </w:hyperlink>
      <w:r>
        <w:t xml:space="preserve">.</w:t>
      </w:r>
    </w:p>
    <w:bookmarkEnd w:id="306"/>
    <w:bookmarkStart w:id="308"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07">
        <w:r>
          <w:rPr>
            <w:rStyle w:val="Hyperlink"/>
          </w:rPr>
          <w:t xml:space="preserve">https://doi.org/10.2307/1914085</w:t>
        </w:r>
      </w:hyperlink>
      <w:r>
        <w:t xml:space="preserve">.</w:t>
      </w:r>
    </w:p>
    <w:bookmarkEnd w:id="308"/>
    <w:bookmarkStart w:id="310"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09">
        <w:r>
          <w:rPr>
            <w:rStyle w:val="Hyperlink"/>
          </w:rPr>
          <w:t xml:space="preserve">https://doi.org/10.1016/0167-2681(82)90011-7</w:t>
        </w:r>
      </w:hyperlink>
      <w:r>
        <w:t xml:space="preserve">.</w:t>
      </w:r>
    </w:p>
    <w:bookmarkEnd w:id="310"/>
    <w:bookmarkStart w:id="311"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311"/>
    <w:bookmarkStart w:id="313"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312">
        <w:r>
          <w:rPr>
            <w:rStyle w:val="Hyperlink"/>
          </w:rPr>
          <w:t xml:space="preserve">https://doi.org/10.1007/BF01737554</w:t>
        </w:r>
      </w:hyperlink>
      <w:r>
        <w:t xml:space="preserve">.</w:t>
      </w:r>
    </w:p>
    <w:bookmarkEnd w:id="313"/>
    <w:bookmarkStart w:id="315"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314">
        <w:r>
          <w:rPr>
            <w:rStyle w:val="Hyperlink"/>
          </w:rPr>
          <w:t xml:space="preserve">https://doi.org/10.1086/260878</w:t>
        </w:r>
      </w:hyperlink>
      <w:r>
        <w:t xml:space="preserve">.</w:t>
      </w:r>
    </w:p>
    <w:bookmarkEnd w:id="315"/>
    <w:bookmarkStart w:id="316"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316"/>
    <w:bookmarkStart w:id="317"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17"/>
    <w:bookmarkStart w:id="319"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318">
        <w:r>
          <w:rPr>
            <w:rStyle w:val="Hyperlink"/>
          </w:rPr>
          <w:t xml:space="preserve">https://doi.org/10.2307/2296006</w:t>
        </w:r>
      </w:hyperlink>
      <w:r>
        <w:t xml:space="preserve">.</w:t>
      </w:r>
    </w:p>
    <w:bookmarkEnd w:id="319"/>
    <w:bookmarkStart w:id="320"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320"/>
    <w:bookmarkStart w:id="322"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321">
        <w:r>
          <w:rPr>
            <w:rStyle w:val="Hyperlink"/>
          </w:rPr>
          <w:t xml:space="preserve">https://doi.org/10.2307/2234706</w:t>
        </w:r>
      </w:hyperlink>
      <w:r>
        <w:t xml:space="preserve">.</w:t>
      </w:r>
    </w:p>
    <w:bookmarkEnd w:id="322"/>
    <w:bookmarkStart w:id="324"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23">
        <w:r>
          <w:rPr>
            <w:rStyle w:val="Hyperlink"/>
          </w:rPr>
          <w:t xml:space="preserve">https://doi.org/10.1215/S0012-7094-41-00838-4</w:t>
        </w:r>
      </w:hyperlink>
      <w:r>
        <w:t xml:space="preserve">.</w:t>
      </w:r>
    </w:p>
    <w:bookmarkEnd w:id="324"/>
    <w:bookmarkStart w:id="326"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325">
        <w:r>
          <w:rPr>
            <w:rStyle w:val="Hyperlink"/>
          </w:rPr>
          <w:t xml:space="preserve">https://doi.org/10.1007/BF01242860</w:t>
        </w:r>
      </w:hyperlink>
      <w:r>
        <w:t xml:space="preserve">.</w:t>
      </w:r>
    </w:p>
    <w:bookmarkEnd w:id="326"/>
    <w:bookmarkStart w:id="328"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327">
        <w:r>
          <w:rPr>
            <w:rStyle w:val="Hyperlink"/>
          </w:rPr>
          <w:t xml:space="preserve">https://doi.org/10.1257/0895330027166</w:t>
        </w:r>
      </w:hyperlink>
      <w:r>
        <w:t xml:space="preserve">.</w:t>
      </w:r>
    </w:p>
    <w:bookmarkEnd w:id="328"/>
    <w:bookmarkStart w:id="330"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329">
        <w:r>
          <w:rPr>
            <w:rStyle w:val="Hyperlink"/>
          </w:rPr>
          <w:t xml:space="preserve">https://doi.org/10.1515/9780691186290</w:t>
        </w:r>
      </w:hyperlink>
      <w:r>
        <w:t xml:space="preserve">.</w:t>
      </w:r>
    </w:p>
    <w:bookmarkEnd w:id="330"/>
    <w:bookmarkStart w:id="332"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331">
        <w:r>
          <w:rPr>
            <w:rStyle w:val="Hyperlink"/>
          </w:rPr>
          <w:t xml:space="preserve">https://doi.org/10.1016/0022-0531(82)90029-1</w:t>
        </w:r>
      </w:hyperlink>
      <w:r>
        <w:t xml:space="preserve">.</w:t>
      </w:r>
    </w:p>
    <w:bookmarkEnd w:id="332"/>
    <w:bookmarkStart w:id="334"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333">
        <w:r>
          <w:rPr>
            <w:rStyle w:val="Hyperlink"/>
          </w:rPr>
          <w:t xml:space="preserve">https://doi.org/10.1016/0022-0531(82)90030-8</w:t>
        </w:r>
      </w:hyperlink>
      <w:r>
        <w:t xml:space="preserve">.</w:t>
      </w:r>
    </w:p>
    <w:bookmarkEnd w:id="334"/>
    <w:bookmarkStart w:id="336"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335">
        <w:r>
          <w:rPr>
            <w:rStyle w:val="Hyperlink"/>
          </w:rPr>
          <w:t xml:space="preserve">https://doi.org/10.2307/1912767</w:t>
        </w:r>
      </w:hyperlink>
      <w:r>
        <w:t xml:space="preserve">.</w:t>
      </w:r>
    </w:p>
    <w:bookmarkEnd w:id="336"/>
    <w:bookmarkStart w:id="337"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337"/>
    <w:bookmarkStart w:id="338"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338"/>
    <w:bookmarkStart w:id="340"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339">
        <w:r>
          <w:rPr>
            <w:rStyle w:val="Hyperlink"/>
          </w:rPr>
          <w:t xml:space="preserve">https://doi.org/10.1086/260580</w:t>
        </w:r>
      </w:hyperlink>
      <w:r>
        <w:t xml:space="preserve">.</w:t>
      </w:r>
    </w:p>
    <w:bookmarkEnd w:id="340"/>
    <w:bookmarkStart w:id="341"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341"/>
    <w:bookmarkStart w:id="342"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2"/>
    <w:bookmarkStart w:id="344"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343">
        <w:r>
          <w:rPr>
            <w:rStyle w:val="Hyperlink"/>
          </w:rPr>
          <w:t xml:space="preserve">https://doi.org/10.1111/1467-937X.00076</w:t>
        </w:r>
      </w:hyperlink>
      <w:r>
        <w:t xml:space="preserve">.</w:t>
      </w:r>
    </w:p>
    <w:bookmarkEnd w:id="344"/>
    <w:bookmarkStart w:id="345"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345"/>
    <w:bookmarkStart w:id="347"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346">
        <w:r>
          <w:rPr>
            <w:rStyle w:val="Hyperlink"/>
          </w:rPr>
          <w:t xml:space="preserve">https://doi.org/10.1111/1467-937X.00137</w:t>
        </w:r>
      </w:hyperlink>
      <w:r>
        <w:t xml:space="preserve">.</w:t>
      </w:r>
    </w:p>
    <w:bookmarkEnd w:id="347"/>
    <w:bookmarkStart w:id="349"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48">
        <w:r>
          <w:rPr>
            <w:rStyle w:val="Hyperlink"/>
          </w:rPr>
          <w:t xml:space="preserve">https://doi.org/10.1038/246015a0</w:t>
        </w:r>
      </w:hyperlink>
      <w:r>
        <w:t xml:space="preserve">.</w:t>
      </w:r>
    </w:p>
    <w:bookmarkEnd w:id="349"/>
    <w:bookmarkStart w:id="351"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50">
        <w:r>
          <w:rPr>
            <w:rStyle w:val="Hyperlink"/>
          </w:rPr>
          <w:t xml:space="preserve">https://doi.org/10.2307/2951567</w:t>
        </w:r>
      </w:hyperlink>
      <w:r>
        <w:t xml:space="preserve">.</w:t>
      </w:r>
    </w:p>
    <w:bookmarkEnd w:id="351"/>
    <w:bookmarkStart w:id="353" w:name="ref_MEDE2026Espana"/>
    <w:p>
      <w:pPr>
        <w:pStyle w:val="Bibliography"/>
      </w:pPr>
      <w:r>
        <w:t xml:space="preserve">Mecanismo Europeo de Estabilidad (2026).</w:t>
      </w:r>
      <w:r>
        <w:t xml:space="preserve"> </w:t>
      </w:r>
      <w:r>
        <w:t xml:space="preserve">«Spain»</w:t>
      </w:r>
      <w:r>
        <w:t xml:space="preserve">. 2026.</w:t>
      </w:r>
      <w:r>
        <w:t xml:space="preserve"> </w:t>
      </w:r>
      <w:hyperlink r:id="rId352">
        <w:r>
          <w:rPr>
            <w:rStyle w:val="Hyperlink"/>
          </w:rPr>
          <w:t xml:space="preserve">https://www.esm.europa.eu/assistance/spain</w:t>
        </w:r>
      </w:hyperlink>
      <w:r>
        <w:t xml:space="preserve">.</w:t>
      </w:r>
    </w:p>
    <w:bookmarkEnd w:id="353"/>
    <w:bookmarkStart w:id="355"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54">
        <w:r>
          <w:rPr>
            <w:rStyle w:val="Hyperlink"/>
          </w:rPr>
          <w:t xml:space="preserve">https://doi.org/10.1017/CBO9780511813825</w:t>
        </w:r>
      </w:hyperlink>
      <w:r>
        <w:t xml:space="preserve">.</w:t>
      </w:r>
    </w:p>
    <w:bookmarkEnd w:id="355"/>
    <w:bookmarkStart w:id="357"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56">
        <w:r>
          <w:rPr>
            <w:rStyle w:val="Hyperlink"/>
          </w:rPr>
          <w:t xml:space="preserve">https://doi.org/10.2307/1912637</w:t>
        </w:r>
      </w:hyperlink>
      <w:r>
        <w:t xml:space="preserve">.</w:t>
      </w:r>
    </w:p>
    <w:bookmarkEnd w:id="357"/>
    <w:bookmarkStart w:id="359"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58">
        <w:r>
          <w:rPr>
            <w:rStyle w:val="Hyperlink"/>
          </w:rPr>
          <w:t xml:space="preserve">https://doi.org/10.1016/0022-0531(82)90031-X</w:t>
        </w:r>
      </w:hyperlink>
      <w:r>
        <w:t xml:space="preserve">.</w:t>
      </w:r>
    </w:p>
    <w:bookmarkEnd w:id="359"/>
    <w:bookmarkStart w:id="361"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60">
        <w:r>
          <w:rPr>
            <w:rStyle w:val="Hyperlink"/>
          </w:rPr>
          <w:t xml:space="preserve">https://doi.org/10.1086/704074</w:t>
        </w:r>
      </w:hyperlink>
      <w:r>
        <w:t xml:space="preserve">.</w:t>
      </w:r>
    </w:p>
    <w:bookmarkEnd w:id="361"/>
    <w:bookmarkStart w:id="363"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62">
        <w:r>
          <w:rPr>
            <w:rStyle w:val="Hyperlink"/>
          </w:rPr>
          <w:t xml:space="preserve">https://doi.org/10.2307/1911865</w:t>
        </w:r>
      </w:hyperlink>
      <w:r>
        <w:t xml:space="preserve">.</w:t>
      </w:r>
    </w:p>
    <w:bookmarkEnd w:id="363"/>
    <w:bookmarkStart w:id="365"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64">
        <w:r>
          <w:rPr>
            <w:rStyle w:val="Hyperlink"/>
          </w:rPr>
          <w:t xml:space="preserve">https://digital.gob.es/comunicacion/notas-prensa/secretaria-estado-telecomunicaciones-e-infraestructuras-digitales/2021/07/210721_np_-subasta_</w:t>
        </w:r>
      </w:hyperlink>
      <w:r>
        <w:t xml:space="preserve">.</w:t>
      </w:r>
    </w:p>
    <w:bookmarkEnd w:id="365"/>
    <w:bookmarkStart w:id="367"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66">
        <w:r>
          <w:rPr>
            <w:rStyle w:val="Hyperlink"/>
          </w:rPr>
          <w:t xml:space="preserve">https://digital.gob.es/comunicacion/notas-prensa/secretaria-estado-telecomunicaciones-e-infraestructuras-digitales/2021/07/210720_np_subasta</w:t>
        </w:r>
      </w:hyperlink>
      <w:r>
        <w:t xml:space="preserve">.</w:t>
      </w:r>
    </w:p>
    <w:bookmarkEnd w:id="367"/>
    <w:bookmarkStart w:id="369"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68">
        <w:r>
          <w:rPr>
            <w:rStyle w:val="Hyperlink"/>
          </w:rPr>
          <w:t xml:space="preserve">https://digital.gob.es/comunicacion/notas-prensa/secretaria-estado-telecomunicaciones-e-infraestructuras-digitales/2022/12/subasta-de-26-ghz</w:t>
        </w:r>
      </w:hyperlink>
      <w:r>
        <w:t xml:space="preserve">.</w:t>
      </w:r>
    </w:p>
    <w:bookmarkEnd w:id="369"/>
    <w:bookmarkStart w:id="371"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70">
        <w:r>
          <w:rPr>
            <w:rStyle w:val="Hyperlink"/>
          </w:rPr>
          <w:t xml:space="preserve">https://www.boe.es/diario_boe/txt.php?id=BOE-A-2026-678</w:t>
        </w:r>
      </w:hyperlink>
      <w:r>
        <w:t xml:space="preserve">.</w:t>
      </w:r>
    </w:p>
    <w:bookmarkEnd w:id="371"/>
    <w:bookmarkStart w:id="373"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72">
        <w:r>
          <w:rPr>
            <w:rStyle w:val="Hyperlink"/>
          </w:rPr>
          <w:t xml:space="preserve">https://digital.gob.es/comunicacion/notas-prensa/secretaria-estado-telecomunicaciones-e-infraestructuras-digitales/2018/07/180717_np_subasta5g</w:t>
        </w:r>
      </w:hyperlink>
      <w:r>
        <w:t xml:space="preserve">.</w:t>
      </w:r>
    </w:p>
    <w:bookmarkEnd w:id="373"/>
    <w:bookmarkStart w:id="375"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74">
        <w:r>
          <w:rPr>
            <w:rStyle w:val="Hyperlink"/>
          </w:rPr>
          <w:t xml:space="preserve">https://www.boe.es/buscar/act.php?id=BOE-A-2020-15689</w:t>
        </w:r>
      </w:hyperlink>
      <w:r>
        <w:t xml:space="preserve">.</w:t>
      </w:r>
    </w:p>
    <w:bookmarkEnd w:id="375"/>
    <w:bookmarkStart w:id="377"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76">
        <w:r>
          <w:rPr>
            <w:rStyle w:val="Hyperlink"/>
          </w:rPr>
          <w:t xml:space="preserve">https://www.boe.es/buscar/act.php?id=BOE-A-2020-13591</w:t>
        </w:r>
      </w:hyperlink>
      <w:r>
        <w:t xml:space="preserve">.</w:t>
      </w:r>
    </w:p>
    <w:bookmarkEnd w:id="377"/>
    <w:bookmarkStart w:id="379"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78">
        <w:r>
          <w:rPr>
            <w:rStyle w:val="Hyperlink"/>
          </w:rPr>
          <w:t xml:space="preserve">https://www.miteco.gob.es/es/prensa/210126resultadosprimerasubastaderenovablesd_tcm30-522089.pdf</w:t>
        </w:r>
      </w:hyperlink>
      <w:r>
        <w:t xml:space="preserve">.</w:t>
      </w:r>
    </w:p>
    <w:bookmarkEnd w:id="379"/>
    <w:bookmarkStart w:id="381"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80">
        <w:r>
          <w:rPr>
            <w:rStyle w:val="Hyperlink"/>
          </w:rPr>
          <w:t xml:space="preserve">https://www.miteco.gob.es/es/prensa/221123_ndpelmitecocelebralacuartasubastadeasignacionderegimeneconomicodeenergiasrenovables_tcm30-548346.pdf</w:t>
        </w:r>
      </w:hyperlink>
      <w:r>
        <w:t xml:space="preserve">.</w:t>
      </w:r>
    </w:p>
    <w:bookmarkEnd w:id="381"/>
    <w:bookmarkStart w:id="382"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2"/>
    <w:bookmarkStart w:id="384"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83">
        <w:r>
          <w:rPr>
            <w:rStyle w:val="Hyperlink"/>
          </w:rPr>
          <w:t xml:space="preserve">https://doi.org/10.1287/moor.6.1.58</w:t>
        </w:r>
      </w:hyperlink>
      <w:r>
        <w:t xml:space="preserve">.</w:t>
      </w:r>
    </w:p>
    <w:bookmarkEnd w:id="384"/>
    <w:bookmarkStart w:id="386"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85">
        <w:r>
          <w:rPr>
            <w:rStyle w:val="Hyperlink"/>
          </w:rPr>
          <w:t xml:space="preserve">https://doi.org/10.1016/0022-0531(83)90048-0</w:t>
        </w:r>
      </w:hyperlink>
      <w:r>
        <w:t xml:space="preserve">.</w:t>
      </w:r>
    </w:p>
    <w:bookmarkEnd w:id="386"/>
    <w:bookmarkStart w:id="388"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7">
        <w:r>
          <w:rPr>
            <w:rStyle w:val="Hyperlink"/>
          </w:rPr>
          <w:t xml:space="preserve">https://doi.org/10.1073/pnas.36.1.48</w:t>
        </w:r>
      </w:hyperlink>
      <w:r>
        <w:t xml:space="preserve">.</w:t>
      </w:r>
    </w:p>
    <w:bookmarkEnd w:id="388"/>
    <w:bookmarkStart w:id="390"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9">
        <w:r>
          <w:rPr>
            <w:rStyle w:val="Hyperlink"/>
          </w:rPr>
          <w:t xml:space="preserve">https://doi.org/10.2307/1907266</w:t>
        </w:r>
      </w:hyperlink>
      <w:r>
        <w:t xml:space="preserve">.</w:t>
      </w:r>
    </w:p>
    <w:bookmarkEnd w:id="390"/>
    <w:bookmarkStart w:id="392"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91">
        <w:r>
          <w:rPr>
            <w:rStyle w:val="Hyperlink"/>
          </w:rPr>
          <w:t xml:space="preserve">https://doi.org/10.2307/1969529</w:t>
        </w:r>
      </w:hyperlink>
      <w:r>
        <w:t xml:space="preserve">.</w:t>
      </w:r>
    </w:p>
    <w:bookmarkEnd w:id="392"/>
    <w:bookmarkStart w:id="394"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93">
        <w:r>
          <w:rPr>
            <w:rStyle w:val="Hyperlink"/>
          </w:rPr>
          <w:t xml:space="preserve">https://doi.org/10.1007/BF01448847</w:t>
        </w:r>
      </w:hyperlink>
      <w:r>
        <w:t xml:space="preserve">.</w:t>
      </w:r>
    </w:p>
    <w:bookmarkEnd w:id="394"/>
    <w:bookmarkStart w:id="395"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95"/>
    <w:bookmarkStart w:id="397"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96">
        <w:r>
          <w:rPr>
            <w:rStyle w:val="Hyperlink"/>
          </w:rPr>
          <w:t xml:space="preserve">https://doi.org/10.1038/364056a0</w:t>
        </w:r>
      </w:hyperlink>
      <w:r>
        <w:t xml:space="preserve">.</w:t>
      </w:r>
    </w:p>
    <w:bookmarkEnd w:id="397"/>
    <w:bookmarkStart w:id="399"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98">
        <w:r>
          <w:rPr>
            <w:rStyle w:val="Hyperlink"/>
          </w:rPr>
          <w:t xml:space="preserve">https://doi.org/10.1111/1467-937X.00249</w:t>
        </w:r>
      </w:hyperlink>
      <w:r>
        <w:t xml:space="preserve">.</w:t>
      </w:r>
    </w:p>
    <w:bookmarkEnd w:id="399"/>
    <w:bookmarkStart w:id="401"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400">
        <w:r>
          <w:rPr>
            <w:rStyle w:val="Hyperlink"/>
          </w:rPr>
          <w:t xml:space="preserve">https://www.nobelprize.org/prizes/economic-sciences/2020/press-release/</w:t>
        </w:r>
      </w:hyperlink>
      <w:r>
        <w:t xml:space="preserve">.</w:t>
      </w:r>
    </w:p>
    <w:bookmarkEnd w:id="401"/>
    <w:bookmarkStart w:id="403"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402">
        <w:r>
          <w:rPr>
            <w:rStyle w:val="Hyperlink"/>
          </w:rPr>
          <w:t xml:space="preserve">https://www.nobelprize.org/prizes/economic-sciences/2020/popular-information/</w:t>
        </w:r>
      </w:hyperlink>
      <w:r>
        <w:t xml:space="preserve">.</w:t>
      </w:r>
    </w:p>
    <w:bookmarkEnd w:id="403"/>
    <w:bookmarkStart w:id="404"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404"/>
    <w:bookmarkStart w:id="406"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405">
        <w:r>
          <w:rPr>
            <w:rStyle w:val="Hyperlink"/>
          </w:rPr>
          <w:t xml:space="preserve">https://doi.org/10.1016/0022-0531(81)90018-1</w:t>
        </w:r>
      </w:hyperlink>
      <w:r>
        <w:t xml:space="preserve">.</w:t>
      </w:r>
    </w:p>
    <w:bookmarkEnd w:id="406"/>
    <w:bookmarkStart w:id="40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7">
        <w:r>
          <w:rPr>
            <w:rStyle w:val="Hyperlink"/>
          </w:rPr>
          <w:t xml:space="preserve">https://doi.org/10.2307/1912531</w:t>
        </w:r>
      </w:hyperlink>
      <w:r>
        <w:t xml:space="preserve">.</w:t>
      </w:r>
    </w:p>
    <w:bookmarkEnd w:id="408"/>
    <w:bookmarkStart w:id="410"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09">
        <w:r>
          <w:rPr>
            <w:rStyle w:val="Hyperlink"/>
          </w:rPr>
          <w:t xml:space="preserve">https://doi.org/10.1016/0022-0531(75)90050-2</w:t>
        </w:r>
      </w:hyperlink>
      <w:r>
        <w:t xml:space="preserve">.</w:t>
      </w:r>
    </w:p>
    <w:bookmarkEnd w:id="410"/>
    <w:bookmarkStart w:id="411"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411"/>
    <w:bookmarkStart w:id="412"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412"/>
    <w:bookmarkStart w:id="414"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413">
        <w:r>
          <w:rPr>
            <w:rStyle w:val="Hyperlink"/>
          </w:rPr>
          <w:t xml:space="preserve">https://doi.org/10.1007/BF01766400</w:t>
        </w:r>
      </w:hyperlink>
      <w:r>
        <w:t xml:space="preserve">.</w:t>
      </w:r>
    </w:p>
    <w:bookmarkEnd w:id="414"/>
    <w:bookmarkStart w:id="416"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415">
        <w:r>
          <w:rPr>
            <w:rStyle w:val="Hyperlink"/>
          </w:rPr>
          <w:t xml:space="preserve">https://doi.org/10.1007/BF00131770</w:t>
        </w:r>
      </w:hyperlink>
      <w:r>
        <w:t xml:space="preserve">.</w:t>
      </w:r>
    </w:p>
    <w:bookmarkEnd w:id="416"/>
    <w:bookmarkStart w:id="418"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417">
        <w:r>
          <w:rPr>
            <w:rStyle w:val="Hyperlink"/>
          </w:rPr>
          <w:t xml:space="preserve">https://doi.org/10.1515/9781400881970-018</w:t>
        </w:r>
      </w:hyperlink>
      <w:r>
        <w:t xml:space="preserve">.</w:t>
      </w:r>
    </w:p>
    <w:bookmarkEnd w:id="418"/>
    <w:bookmarkStart w:id="420"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419">
        <w:r>
          <w:rPr>
            <w:rStyle w:val="Hyperlink"/>
          </w:rPr>
          <w:t xml:space="preserve">https://doi.org/10.1002/nav.3800140404</w:t>
        </w:r>
      </w:hyperlink>
      <w:r>
        <w:t xml:space="preserve">.</w:t>
      </w:r>
    </w:p>
    <w:bookmarkEnd w:id="420"/>
    <w:bookmarkStart w:id="422"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421">
        <w:r>
          <w:rPr>
            <w:rStyle w:val="Hyperlink"/>
          </w:rPr>
          <w:t xml:space="preserve">https://doi.org/10.1007/BF01753431</w:t>
        </w:r>
      </w:hyperlink>
      <w:r>
        <w:t xml:space="preserve">.</w:t>
      </w:r>
    </w:p>
    <w:bookmarkEnd w:id="422"/>
    <w:bookmarkStart w:id="424"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3">
        <w:r>
          <w:rPr>
            <w:rStyle w:val="Hyperlink"/>
          </w:rPr>
          <w:t xml:space="preserve">https://doi.org/10.2307/1951053</w:t>
        </w:r>
      </w:hyperlink>
      <w:r>
        <w:t xml:space="preserve">.</w:t>
      </w:r>
    </w:p>
    <w:bookmarkEnd w:id="424"/>
    <w:bookmarkStart w:id="426"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425">
        <w:r>
          <w:rPr>
            <w:rStyle w:val="Hyperlink"/>
          </w:rPr>
          <w:t xml:space="preserve">https://doi.org/10.2307/3003302</w:t>
        </w:r>
      </w:hyperlink>
      <w:r>
        <w:t xml:space="preserve">.</w:t>
      </w:r>
    </w:p>
    <w:bookmarkEnd w:id="426"/>
    <w:bookmarkStart w:id="428"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427">
        <w:r>
          <w:rPr>
            <w:rStyle w:val="Hyperlink"/>
          </w:rPr>
          <w:t xml:space="preserve">https://doi.org/10.2307/1882010</w:t>
        </w:r>
      </w:hyperlink>
      <w:r>
        <w:t xml:space="preserve">.</w:t>
      </w:r>
    </w:p>
    <w:bookmarkEnd w:id="428"/>
    <w:bookmarkStart w:id="430"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429">
        <w:r>
          <w:rPr>
            <w:rStyle w:val="Hyperlink"/>
          </w:rPr>
          <w:t xml:space="preserve">https://www.tesoro.es/documents/d/tesoro/estrategia_tesoro_publico_2026_espanol</w:t>
        </w:r>
      </w:hyperlink>
      <w:r>
        <w:t xml:space="preserve">.</w:t>
      </w:r>
    </w:p>
    <w:bookmarkEnd w:id="430"/>
    <w:bookmarkStart w:id="432" w:name="ref_Tesoro2026Subasta"/>
    <w:p>
      <w:pPr>
        <w:pStyle w:val="Bibliography"/>
      </w:pPr>
      <w:r>
        <w:t xml:space="preserve">Tesoro Público (2026b).</w:t>
      </w:r>
      <w:r>
        <w:t xml:space="preserve"> </w:t>
      </w:r>
      <w:r>
        <w:t xml:space="preserve">«La subasta»</w:t>
      </w:r>
      <w:r>
        <w:t xml:space="preserve">. 2026.</w:t>
      </w:r>
      <w:r>
        <w:t xml:space="preserve"> </w:t>
      </w:r>
      <w:hyperlink r:id="rId431">
        <w:r>
          <w:rPr>
            <w:rStyle w:val="Hyperlink"/>
          </w:rPr>
          <w:t xml:space="preserve">https://www.tesoro.es/deuda-publica/mercado/mercado-primario/procedimiento-de-emision-y-subasta-de-los-valores-del-tesoro/la-subasta</w:t>
        </w:r>
      </w:hyperlink>
      <w:r>
        <w:t xml:space="preserve">.</w:t>
      </w:r>
    </w:p>
    <w:bookmarkEnd w:id="432"/>
    <w:bookmarkStart w:id="434"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433">
        <w:r>
          <w:rPr>
            <w:rStyle w:val="Hyperlink"/>
          </w:rPr>
          <w:t xml:space="preserve">https://doi.org/10.1257/jep.2.1.191</w:t>
        </w:r>
      </w:hyperlink>
      <w:r>
        <w:t xml:space="preserve">.</w:t>
      </w:r>
    </w:p>
    <w:bookmarkEnd w:id="434"/>
    <w:bookmarkStart w:id="436"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435">
        <w:r>
          <w:rPr>
            <w:rStyle w:val="Hyperlink"/>
          </w:rPr>
          <w:t xml:space="preserve">https://www.nobelprize.org/prizes/economic-sciences/1994/summary/</w:t>
        </w:r>
      </w:hyperlink>
      <w:r>
        <w:t xml:space="preserve">.</w:t>
      </w:r>
    </w:p>
    <w:bookmarkEnd w:id="436"/>
    <w:bookmarkStart w:id="438"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437">
        <w:r>
          <w:rPr>
            <w:rStyle w:val="Hyperlink"/>
          </w:rPr>
          <w:t xml:space="preserve">https://www.nobelprize.org/prizes/economic-sciences/1996/summary/</w:t>
        </w:r>
      </w:hyperlink>
      <w:r>
        <w:t xml:space="preserve">.</w:t>
      </w:r>
    </w:p>
    <w:bookmarkEnd w:id="438"/>
    <w:bookmarkStart w:id="440"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439">
        <w:r>
          <w:rPr>
            <w:rStyle w:val="Hyperlink"/>
          </w:rPr>
          <w:t xml:space="preserve">https://www.nobelprize.org/prizes/economic-sciences/2005/summary/</w:t>
        </w:r>
      </w:hyperlink>
      <w:r>
        <w:t xml:space="preserve">.</w:t>
      </w:r>
    </w:p>
    <w:bookmarkEnd w:id="440"/>
    <w:bookmarkStart w:id="442"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1">
        <w:r>
          <w:rPr>
            <w:rStyle w:val="Hyperlink"/>
          </w:rPr>
          <w:t xml:space="preserve">https://www.nobelprize.org/prizes/economic-sciences/2007/summary/</w:t>
        </w:r>
      </w:hyperlink>
      <w:r>
        <w:t xml:space="preserve">.</w:t>
      </w:r>
    </w:p>
    <w:bookmarkEnd w:id="442"/>
    <w:bookmarkStart w:id="444"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443">
        <w:r>
          <w:rPr>
            <w:rStyle w:val="Hyperlink"/>
          </w:rPr>
          <w:t xml:space="preserve">https://www.nobelprize.org/prizes/economic-sciences/2012/summary/</w:t>
        </w:r>
      </w:hyperlink>
      <w:r>
        <w:t xml:space="preserve">.</w:t>
      </w:r>
    </w:p>
    <w:bookmarkEnd w:id="444"/>
    <w:bookmarkStart w:id="446"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445">
        <w:r>
          <w:rPr>
            <w:rStyle w:val="Hyperlink"/>
          </w:rPr>
          <w:t xml:space="preserve">https://www.nobelprize.org/prizes/economic-sciences/2020/summary/</w:t>
        </w:r>
      </w:hyperlink>
      <w:r>
        <w:t xml:space="preserve">.</w:t>
      </w:r>
    </w:p>
    <w:bookmarkEnd w:id="446"/>
    <w:bookmarkStart w:id="447"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47"/>
    <w:bookmarkStart w:id="448" w:name="ref_Tucker1950TwoPerson"/>
    <w:p>
      <w:pPr>
        <w:pStyle w:val="Bibliography"/>
      </w:pPr>
      <w:r>
        <w:t xml:space="preserve">Tucker, Albert W. (1950).</w:t>
      </w:r>
      <w:r>
        <w:t xml:space="preserve"> </w:t>
      </w:r>
      <w:r>
        <w:t xml:space="preserve">«A Two-Person Dilemma»</w:t>
      </w:r>
      <w:r>
        <w:t xml:space="preserve">.</w:t>
      </w:r>
    </w:p>
    <w:bookmarkEnd w:id="448"/>
    <w:bookmarkStart w:id="450"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49">
        <w:r>
          <w:rPr>
            <w:rStyle w:val="Hyperlink"/>
          </w:rPr>
          <w:t xml:space="preserve">https://doi.org/10.1111/j.1540-6261.1961.tb02789.x</w:t>
        </w:r>
      </w:hyperlink>
      <w:r>
        <w:t xml:space="preserve">.</w:t>
      </w:r>
    </w:p>
    <w:bookmarkEnd w:id="450"/>
    <w:bookmarkStart w:id="452"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51">
        <w:r>
          <w:rPr>
            <w:rStyle w:val="Hyperlink"/>
          </w:rPr>
          <w:t xml:space="preserve">https://doi.org/10.1287/mnsc.15.7.446</w:t>
        </w:r>
      </w:hyperlink>
      <w:r>
        <w:t xml:space="preserve">.</w:t>
      </w:r>
    </w:p>
    <w:bookmarkEnd w:id="452"/>
    <w:bookmarkStart w:id="454"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53">
        <w:r>
          <w:rPr>
            <w:rStyle w:val="Hyperlink"/>
          </w:rPr>
          <w:t xml:space="preserve">https://doi.org/10.2307/2296904</w:t>
        </w:r>
      </w:hyperlink>
      <w:r>
        <w:t xml:space="preserve">.</w:t>
      </w:r>
    </w:p>
    <w:bookmarkEnd w:id="454"/>
    <w:bookmarkStart w:id="455"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55"/>
    <w:bookmarkStart w:id="456"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56"/>
    <w:bookmarkEnd w:id="457"/>
    <w:bookmarkEnd w:id="45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73">
    <w:p>
      <w:pPr>
        <w:pStyle w:val="FootnoteText"/>
      </w:pPr>
      <w:r>
        <w:rPr>
          <w:rStyle w:val="FootnoteReference"/>
        </w:rPr>
        <w:footnoteRef/>
      </w:r>
      <w:r>
        <w:t xml:space="preserve"> </w:t>
      </w:r>
      <w:r>
        <w:t xml:space="preserve">Gráficamente, con los pagos de cada etapa ya descontados,</w:t>
      </w:r>
      <w:r>
        <w:t xml:space="preserve"> </w:t>
      </w:r>
      <m:oMath>
        <m:sSup>
          <m:e>
            <m:r>
              <m:t>β</m:t>
            </m:r>
          </m:e>
          <m:sup>
            <m:r>
              <m:t>t</m:t>
            </m:r>
          </m:sup>
        </m:sSup>
        <m:r>
          <m:t>u</m:t>
        </m:r>
      </m:oMath>
      <w:r>
        <w:t xml:space="preserve">, se comparan 2 áreas: lo que se gana desviándose hoy, hasta que el otro reacciona (en rojo), y lo que se pierde por el castigo desde entonces y para siempre (en azul). Cooperar compensa si la azul es mayor, y lo es tanto más cuanto más paciente es el jugador, porque un</w:t>
      </w:r>
      <w:r>
        <w:t xml:space="preserve"> </w:t>
      </w:r>
      <m:oMath>
        <m:r>
          <m:t>β</m:t>
        </m:r>
      </m:oMath>
      <w:r>
        <w:t xml:space="preserve"> </w:t>
      </w:r>
      <w:r>
        <w:t xml:space="preserve">más alto pesa más el futuro. Es el mismo gráfico con el que se estudia la colusión tácita, con el retraso en detectar la desviación</w:t>
      </w:r>
      <w:r>
        <w:t xml:space="preserve"> </w:t>
      </w:r>
      <w:hyperlink r:id="rId21">
        <w:r>
          <w:rPr>
            <w:rStyle w:val="Referenciaatema"/>
          </w:rPr>
          <w:t xml:space="preserve">[ver tema 3.A.19]</w:t>
        </w:r>
      </w:hyperlink>
      <w:r>
        <w:t xml:space="preserve">.</w:t>
      </w:r>
    </w:p>
    <w:p>
      <w:pPr>
        <w:pStyle w:val="Graficonota"/>
      </w:pPr>
      <w:r>
        <w:drawing>
          <wp:inline>
            <wp:extent cx="3581400" cy="1514383"/>
            <wp:effectExtent b="0" l="0" r="0" t="0"/>
            <wp:docPr descr="" title="" id="75" name="Picture"/>
            <a:graphic>
              <a:graphicData uri="http://schemas.openxmlformats.org/drawingml/2006/picture">
                <pic:pic>
                  <pic:nvPicPr>
                    <pic:cNvPr descr="C:\Users\vgutierrez\Documents\src\victorgutierrezmarcos.github.io-revision\oposicion\temario\fuentes\3A14\graficos/colusion-tiempo.png" id="76" name="Picture"/>
                    <pic:cNvPicPr>
                      <a:picLocks noChangeArrowheads="1" noChangeAspect="1"/>
                    </pic:cNvPicPr>
                  </pic:nvPicPr>
                  <pic:blipFill>
                    <a:blip r:embed="rId74"/>
                    <a:stretch>
                      <a:fillRect/>
                    </a:stretch>
                  </pic:blipFill>
                  <pic:spPr bwMode="auto">
                    <a:xfrm>
                      <a:off x="0" y="0"/>
                      <a:ext cx="3581400" cy="1514383"/>
                    </a:xfrm>
                    <a:prstGeom prst="rect">
                      <a:avLst/>
                    </a:prstGeom>
                    <a:noFill/>
                    <a:ln w="9525">
                      <a:noFill/>
                      <a:headEnd/>
                      <a:tailEnd/>
                    </a:ln>
                  </pic:spPr>
                </pic:pic>
              </a:graphicData>
            </a:graphic>
          </wp:inline>
        </w:drawing>
      </w:r>
    </w:p>
  </w:footnote>
  <w:footnote w:id="124">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58">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el operador instalado,</w:t>
      </w:r>
      <w:r>
        <w:t xml:space="preserve"> </w:t>
      </w:r>
      <w:r>
        <w:t xml:space="preserve">I</w:t>
      </w:r>
      <w:r>
        <w:t xml:space="preserve">, del ejemplo que acompaña a la exposición.</w:t>
      </w:r>
    </w:p>
  </w:footnote>
  <w:footnote w:id="165">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218" Target="media/rId218.png" /><Relationship Type="http://schemas.openxmlformats.org/officeDocument/2006/relationships/image" Id="rId214" Target="media/rId214.png" /><Relationship Type="http://schemas.openxmlformats.org/officeDocument/2006/relationships/image" Id="rId229" Target="media/rId229.png" /><Relationship Type="http://schemas.openxmlformats.org/officeDocument/2006/relationships/image" Id="rId74" Target="media/rId74.png" /><Relationship Type="http://schemas.openxmlformats.org/officeDocument/2006/relationships/image" Id="rId182" Target="media/rId182.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236" Target="media/rId236.png" /><Relationship Type="http://schemas.openxmlformats.org/officeDocument/2006/relationships/image" Id="rId170" Target="media/rId170.png" /><Relationship Type="http://schemas.openxmlformats.org/officeDocument/2006/relationships/image" Id="rId119" Target="media/rId119.png" /><Relationship Type="http://schemas.openxmlformats.org/officeDocument/2006/relationships/image" Id="rId204" Target="media/rId204.png" /><Relationship Type="http://schemas.openxmlformats.org/officeDocument/2006/relationships/image" Id="rId152" Target="media/rId152.png" /><Relationship Type="http://schemas.openxmlformats.org/officeDocument/2006/relationships/image" Id="rId209" Target="media/rId209.png" /><Relationship Type="http://schemas.openxmlformats.org/officeDocument/2006/relationships/image" Id="rId146" Target="media/rId146.png" /><Relationship Type="http://schemas.openxmlformats.org/officeDocument/2006/relationships/image" Id="rId224" Target="media/rId224.png" /><Relationship Type="http://schemas.openxmlformats.org/officeDocument/2006/relationships/hyperlink" Id="rId372" Target="https://digital.gob.es/comunicacion/notas-prensa/secretaria-estado-telecomunicaciones-e-infraestructuras-digitales/2018/07/180717_np_subasta5g" TargetMode="External" /><Relationship Type="http://schemas.openxmlformats.org/officeDocument/2006/relationships/hyperlink" Id="rId366" Target="https://digital.gob.es/comunicacion/notas-prensa/secretaria-estado-telecomunicaciones-e-infraestructuras-digitales/2021/07/210720_np_subasta" TargetMode="External" /><Relationship Type="http://schemas.openxmlformats.org/officeDocument/2006/relationships/hyperlink" Id="rId364" Target="https://digital.gob.es/comunicacion/notas-prensa/secretaria-estado-telecomunicaciones-e-infraestructuras-digitales/2021/07/210721_np_-subasta_" TargetMode="External" /><Relationship Type="http://schemas.openxmlformats.org/officeDocument/2006/relationships/hyperlink" Id="rId368" Target="https://digital.gob.es/comunicacion/notas-prensa/secretaria-estado-telecomunicaciones-e-infraestructuras-digitales/2022/12/subasta-de-26-ghz" TargetMode="External" /><Relationship Type="http://schemas.openxmlformats.org/officeDocument/2006/relationships/hyperlink" Id="rId419" Target="https://doi.org/10.1002/nav.3800140404" TargetMode="External" /><Relationship Type="http://schemas.openxmlformats.org/officeDocument/2006/relationships/hyperlink" Id="rId415"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3"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1" Target="https://doi.org/10.1007/BF01753431" TargetMode="External" /><Relationship Type="http://schemas.openxmlformats.org/officeDocument/2006/relationships/hyperlink" Id="rId413" Target="https://doi.org/10.1007/BF01766400" TargetMode="External" /><Relationship Type="http://schemas.openxmlformats.org/officeDocument/2006/relationships/hyperlink" Id="rId409" Target="https://doi.org/10.1016/0022-0531(75)90050-2" TargetMode="External" /><Relationship Type="http://schemas.openxmlformats.org/officeDocument/2006/relationships/hyperlink" Id="rId405" Target="https://doi.org/10.1016/0022-0531(81)90018-1" TargetMode="External" /><Relationship Type="http://schemas.openxmlformats.org/officeDocument/2006/relationships/hyperlink" Id="rId331" Target="https://doi.org/10.1016/0022-0531(82)90029-1" TargetMode="External" /><Relationship Type="http://schemas.openxmlformats.org/officeDocument/2006/relationships/hyperlink" Id="rId333" Target="https://doi.org/10.1016/0022-0531(82)90030-8" TargetMode="External" /><Relationship Type="http://schemas.openxmlformats.org/officeDocument/2006/relationships/hyperlink" Id="rId358" Target="https://doi.org/10.1016/0022-0531(82)90031-X" TargetMode="External" /><Relationship Type="http://schemas.openxmlformats.org/officeDocument/2006/relationships/hyperlink" Id="rId385"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54" Target="https://doi.org/10.1017/CBO9780511813825" TargetMode="External" /><Relationship Type="http://schemas.openxmlformats.org/officeDocument/2006/relationships/hyperlink" Id="rId348" Target="https://doi.org/10.1038/246015a0" TargetMode="External" /><Relationship Type="http://schemas.openxmlformats.org/officeDocument/2006/relationships/hyperlink" Id="rId396" Target="https://doi.org/10.1038/364056a0" TargetMode="External" /><Relationship Type="http://schemas.openxmlformats.org/officeDocument/2006/relationships/hyperlink" Id="rId387"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39"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0"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3" Target="https://doi.org/10.1111/1467-937X.00076" TargetMode="External" /><Relationship Type="http://schemas.openxmlformats.org/officeDocument/2006/relationships/hyperlink" Id="rId346" Target="https://doi.org/10.1111/1467-937X.00137" TargetMode="External" /><Relationship Type="http://schemas.openxmlformats.org/officeDocument/2006/relationships/hyperlink" Id="rId398"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49"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7"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3" Target="https://doi.org/10.1257/jep.2.1.191" TargetMode="External" /><Relationship Type="http://schemas.openxmlformats.org/officeDocument/2006/relationships/hyperlink" Id="rId451" Target="https://doi.org/10.1287/mnsc.15.7.446" TargetMode="External" /><Relationship Type="http://schemas.openxmlformats.org/officeDocument/2006/relationships/hyperlink" Id="rId383" Target="https://doi.org/10.1287/moor.6.1.58" TargetMode="External" /><Relationship Type="http://schemas.openxmlformats.org/officeDocument/2006/relationships/hyperlink" Id="rId329"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7"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7" Target="https://doi.org/10.2307/1882010" TargetMode="External" /><Relationship Type="http://schemas.openxmlformats.org/officeDocument/2006/relationships/hyperlink" Id="rId389"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2" Target="https://doi.org/10.2307/1911865" TargetMode="External" /><Relationship Type="http://schemas.openxmlformats.org/officeDocument/2006/relationships/hyperlink" Id="rId407" Target="https://doi.org/10.2307/1912531" TargetMode="External" /><Relationship Type="http://schemas.openxmlformats.org/officeDocument/2006/relationships/hyperlink" Id="rId356" Target="https://doi.org/10.2307/1912637" TargetMode="External" /><Relationship Type="http://schemas.openxmlformats.org/officeDocument/2006/relationships/hyperlink" Id="rId335"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3" Target="https://doi.org/10.2307/1951053" TargetMode="External" /><Relationship Type="http://schemas.openxmlformats.org/officeDocument/2006/relationships/hyperlink" Id="rId391"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3"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0" Target="https://doi.org/10.2307/2951567" TargetMode="External" /><Relationship Type="http://schemas.openxmlformats.org/officeDocument/2006/relationships/hyperlink" Id="rId425" Target="https://doi.org/10.2307/3003302" TargetMode="External" /><Relationship Type="http://schemas.openxmlformats.org/officeDocument/2006/relationships/hyperlink" Id="rId376" Target="https://www.boe.es/buscar/act.php?id=BOE-A-2020-13591" TargetMode="External" /><Relationship Type="http://schemas.openxmlformats.org/officeDocument/2006/relationships/hyperlink" Id="rId374" Target="https://www.boe.es/buscar/act.php?id=BOE-A-2020-15689" TargetMode="External" /><Relationship Type="http://schemas.openxmlformats.org/officeDocument/2006/relationships/hyperlink" Id="rId370"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2" Target="https://www.esm.europa.eu/assistance/spain" TargetMode="External" /><Relationship Type="http://schemas.openxmlformats.org/officeDocument/2006/relationships/hyperlink" Id="rId378" Target="https://www.miteco.gob.es/es/prensa/210126resultadosprimerasubastaderenovablesd_tcm30-522089.pdf" TargetMode="External" /><Relationship Type="http://schemas.openxmlformats.org/officeDocument/2006/relationships/hyperlink" Id="rId380" Target="https://www.miteco.gob.es/es/prensa/221123_ndpelmitecocelebralacuartasubastadeasignacionderegimeneconomicodeenergiasrenovables_tcm30-548346.pdf" TargetMode="External" /><Relationship Type="http://schemas.openxmlformats.org/officeDocument/2006/relationships/hyperlink" Id="rId435" Target="https://www.nobelprize.org/prizes/economic-sciences/1994/summary/" TargetMode="External" /><Relationship Type="http://schemas.openxmlformats.org/officeDocument/2006/relationships/hyperlink" Id="rId437" Target="https://www.nobelprize.org/prizes/economic-sciences/1996/summary/" TargetMode="External" /><Relationship Type="http://schemas.openxmlformats.org/officeDocument/2006/relationships/hyperlink" Id="rId439" Target="https://www.nobelprize.org/prizes/economic-sciences/2005/summary/" TargetMode="External" /><Relationship Type="http://schemas.openxmlformats.org/officeDocument/2006/relationships/hyperlink" Id="rId441" Target="https://www.nobelprize.org/prizes/economic-sciences/2007/summary/" TargetMode="External" /><Relationship Type="http://schemas.openxmlformats.org/officeDocument/2006/relationships/hyperlink" Id="rId443" Target="https://www.nobelprize.org/prizes/economic-sciences/2012/summary/" TargetMode="External" /><Relationship Type="http://schemas.openxmlformats.org/officeDocument/2006/relationships/hyperlink" Id="rId402" Target="https://www.nobelprize.org/prizes/economic-sciences/2020/popular-information/" TargetMode="External" /><Relationship Type="http://schemas.openxmlformats.org/officeDocument/2006/relationships/hyperlink" Id="rId400" Target="https://www.nobelprize.org/prizes/economic-sciences/2020/press-release/" TargetMode="External" /><Relationship Type="http://schemas.openxmlformats.org/officeDocument/2006/relationships/hyperlink" Id="rId445"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1" Target="https://www.tesoro.es/deuda-publica/mercado/mercado-primario/procedimiento-de-emision-y-subasta-de-los-valores-del-tesoro/la-subasta" TargetMode="External" /><Relationship Type="http://schemas.openxmlformats.org/officeDocument/2006/relationships/hyperlink" Id="rId429"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72" Target="https://digital.gob.es/comunicacion/notas-prensa/secretaria-estado-telecomunicaciones-e-infraestructuras-digitales/2018/07/180717_np_subasta5g" TargetMode="External" /><Relationship Type="http://schemas.openxmlformats.org/officeDocument/2006/relationships/hyperlink" Id="rId366" Target="https://digital.gob.es/comunicacion/notas-prensa/secretaria-estado-telecomunicaciones-e-infraestructuras-digitales/2021/07/210720_np_subasta" TargetMode="External" /><Relationship Type="http://schemas.openxmlformats.org/officeDocument/2006/relationships/hyperlink" Id="rId364" Target="https://digital.gob.es/comunicacion/notas-prensa/secretaria-estado-telecomunicaciones-e-infraestructuras-digitales/2021/07/210721_np_-subasta_" TargetMode="External" /><Relationship Type="http://schemas.openxmlformats.org/officeDocument/2006/relationships/hyperlink" Id="rId368" Target="https://digital.gob.es/comunicacion/notas-prensa/secretaria-estado-telecomunicaciones-e-infraestructuras-digitales/2022/12/subasta-de-26-ghz" TargetMode="External" /><Relationship Type="http://schemas.openxmlformats.org/officeDocument/2006/relationships/hyperlink" Id="rId419" Target="https://doi.org/10.1002/nav.3800140404" TargetMode="External" /><Relationship Type="http://schemas.openxmlformats.org/officeDocument/2006/relationships/hyperlink" Id="rId415" Target="https://doi.org/10.1007/BF00131770" TargetMode="External" /><Relationship Type="http://schemas.openxmlformats.org/officeDocument/2006/relationships/hyperlink" Id="rId325" Target="https://doi.org/10.1007/BF01242860" TargetMode="External" /><Relationship Type="http://schemas.openxmlformats.org/officeDocument/2006/relationships/hyperlink" Id="rId393" Target="https://doi.org/10.1007/BF01448847" TargetMode="External" /><Relationship Type="http://schemas.openxmlformats.org/officeDocument/2006/relationships/hyperlink" Id="rId275" Target="https://doi.org/10.1007/BF01726210" TargetMode="External" /><Relationship Type="http://schemas.openxmlformats.org/officeDocument/2006/relationships/hyperlink" Id="rId312" Target="https://doi.org/10.1007/BF01737554" TargetMode="External" /><Relationship Type="http://schemas.openxmlformats.org/officeDocument/2006/relationships/hyperlink" Id="rId421" Target="https://doi.org/10.1007/BF01753431" TargetMode="External" /><Relationship Type="http://schemas.openxmlformats.org/officeDocument/2006/relationships/hyperlink" Id="rId413" Target="https://doi.org/10.1007/BF01766400" TargetMode="External" /><Relationship Type="http://schemas.openxmlformats.org/officeDocument/2006/relationships/hyperlink" Id="rId409" Target="https://doi.org/10.1016/0022-0531(75)90050-2" TargetMode="External" /><Relationship Type="http://schemas.openxmlformats.org/officeDocument/2006/relationships/hyperlink" Id="rId405" Target="https://doi.org/10.1016/0022-0531(81)90018-1" TargetMode="External" /><Relationship Type="http://schemas.openxmlformats.org/officeDocument/2006/relationships/hyperlink" Id="rId331" Target="https://doi.org/10.1016/0022-0531(82)90029-1" TargetMode="External" /><Relationship Type="http://schemas.openxmlformats.org/officeDocument/2006/relationships/hyperlink" Id="rId333" Target="https://doi.org/10.1016/0022-0531(82)90030-8" TargetMode="External" /><Relationship Type="http://schemas.openxmlformats.org/officeDocument/2006/relationships/hyperlink" Id="rId358" Target="https://doi.org/10.1016/0022-0531(82)90031-X" TargetMode="External" /><Relationship Type="http://schemas.openxmlformats.org/officeDocument/2006/relationships/hyperlink" Id="rId385" Target="https://doi.org/10.1016/0022-0531(83)90048-0" TargetMode="External" /><Relationship Type="http://schemas.openxmlformats.org/officeDocument/2006/relationships/hyperlink" Id="rId269" Target="https://doi.org/10.1016/0022-1996(85)90006-6" TargetMode="External" /><Relationship Type="http://schemas.openxmlformats.org/officeDocument/2006/relationships/hyperlink" Id="rId309" Target="https://doi.org/10.1016/0167-2681(82)90011-7" TargetMode="External" /><Relationship Type="http://schemas.openxmlformats.org/officeDocument/2006/relationships/hyperlink" Id="rId259" Target="https://doi.org/10.1016/0304-3932(83)90051-X" TargetMode="External" /><Relationship Type="http://schemas.openxmlformats.org/officeDocument/2006/relationships/hyperlink" Id="rId354" Target="https://doi.org/10.1017/CBO9780511813825" TargetMode="External" /><Relationship Type="http://schemas.openxmlformats.org/officeDocument/2006/relationships/hyperlink" Id="rId348" Target="https://doi.org/10.1038/246015a0" TargetMode="External" /><Relationship Type="http://schemas.openxmlformats.org/officeDocument/2006/relationships/hyperlink" Id="rId396" Target="https://doi.org/10.1038/364056a0" TargetMode="External" /><Relationship Type="http://schemas.openxmlformats.org/officeDocument/2006/relationships/hyperlink" Id="rId387" Target="https://doi.org/10.1073/pnas.36.1.48" TargetMode="External" /><Relationship Type="http://schemas.openxmlformats.org/officeDocument/2006/relationships/hyperlink" Id="rId298" Target="https://doi.org/10.1080/00029890.1962.11989827" TargetMode="External" /><Relationship Type="http://schemas.openxmlformats.org/officeDocument/2006/relationships/hyperlink" Id="rId339" Target="https://doi.org/10.1086/260580" TargetMode="External" /><Relationship Type="http://schemas.openxmlformats.org/officeDocument/2006/relationships/hyperlink" Id="rId314" Target="https://doi.org/10.1086/260878" TargetMode="External" /><Relationship Type="http://schemas.openxmlformats.org/officeDocument/2006/relationships/hyperlink" Id="rId277" Target="https://doi.org/10.1086/466731" TargetMode="External" /><Relationship Type="http://schemas.openxmlformats.org/officeDocument/2006/relationships/hyperlink" Id="rId360" Target="https://doi.org/10.1086/704074" TargetMode="External" /><Relationship Type="http://schemas.openxmlformats.org/officeDocument/2006/relationships/hyperlink" Id="rId254" Target="https://doi.org/10.1093/restud/rdu023" TargetMode="External" /><Relationship Type="http://schemas.openxmlformats.org/officeDocument/2006/relationships/hyperlink" Id="rId343" Target="https://doi.org/10.1111/1467-937X.00076" TargetMode="External" /><Relationship Type="http://schemas.openxmlformats.org/officeDocument/2006/relationships/hyperlink" Id="rId346" Target="https://doi.org/10.1111/1467-937X.00137" TargetMode="External" /><Relationship Type="http://schemas.openxmlformats.org/officeDocument/2006/relationships/hyperlink" Id="rId398" Target="https://doi.org/10.1111/1467-937X.00249" TargetMode="External" /><Relationship Type="http://schemas.openxmlformats.org/officeDocument/2006/relationships/hyperlink" Id="rId263" Target="https://doi.org/10.1111/1468-0297.00020" TargetMode="External" /><Relationship Type="http://schemas.openxmlformats.org/officeDocument/2006/relationships/hyperlink" Id="rId449" Target="https://doi.org/10.1111/j.1540-6261.1961.tb02789.x" TargetMode="External" /><Relationship Type="http://schemas.openxmlformats.org/officeDocument/2006/relationships/hyperlink" Id="rId261" Target="https://doi.org/10.1177/0022002783027004003" TargetMode="External" /><Relationship Type="http://schemas.openxmlformats.org/officeDocument/2006/relationships/hyperlink" Id="rId251" Target="https://doi.org/10.1214/aos/1176343654" TargetMode="External" /><Relationship Type="http://schemas.openxmlformats.org/officeDocument/2006/relationships/hyperlink" Id="rId323" Target="https://doi.org/10.1215/S0012-7094-41-00838-4" TargetMode="External" /><Relationship Type="http://schemas.openxmlformats.org/officeDocument/2006/relationships/hyperlink" Id="rId286" Target="https://doi.org/10.1257/000282805775014434" TargetMode="External" /><Relationship Type="http://schemas.openxmlformats.org/officeDocument/2006/relationships/hyperlink" Id="rId327" Target="https://doi.org/10.1257/0895330027166" TargetMode="External" /><Relationship Type="http://schemas.openxmlformats.org/officeDocument/2006/relationships/hyperlink" Id="rId248" Target="https://doi.org/10.1257/aer.100.3.724" TargetMode="External" /><Relationship Type="http://schemas.openxmlformats.org/officeDocument/2006/relationships/hyperlink" Id="rId433" Target="https://doi.org/10.1257/jep.2.1.191" TargetMode="External" /><Relationship Type="http://schemas.openxmlformats.org/officeDocument/2006/relationships/hyperlink" Id="rId451" Target="https://doi.org/10.1287/mnsc.15.7.446" TargetMode="External" /><Relationship Type="http://schemas.openxmlformats.org/officeDocument/2006/relationships/hyperlink" Id="rId383" Target="https://doi.org/10.1287/moor.6.1.58" TargetMode="External" /><Relationship Type="http://schemas.openxmlformats.org/officeDocument/2006/relationships/hyperlink" Id="rId329" Target="https://doi.org/10.1515/9780691186290" TargetMode="External" /><Relationship Type="http://schemas.openxmlformats.org/officeDocument/2006/relationships/hyperlink" Id="rId302" Target="https://doi.org/10.1515/9781400835881" TargetMode="External" /><Relationship Type="http://schemas.openxmlformats.org/officeDocument/2006/relationships/hyperlink" Id="rId417" Target="https://doi.org/10.1515/9781400881970-018" TargetMode="External" /><Relationship Type="http://schemas.openxmlformats.org/officeDocument/2006/relationships/hyperlink" Id="rId272" Target="https://doi.org/10.2118/2993-PA" TargetMode="External" /><Relationship Type="http://schemas.openxmlformats.org/officeDocument/2006/relationships/hyperlink" Id="rId427" Target="https://doi.org/10.2307/1882010" TargetMode="External" /><Relationship Type="http://schemas.openxmlformats.org/officeDocument/2006/relationships/hyperlink" Id="rId389" Target="https://doi.org/10.2307/1907266" TargetMode="External" /><Relationship Type="http://schemas.openxmlformats.org/officeDocument/2006/relationships/hyperlink" Id="rId305" Target="https://doi.org/10.2307/1911219" TargetMode="External" /><Relationship Type="http://schemas.openxmlformats.org/officeDocument/2006/relationships/hyperlink" Id="rId295" Target="https://doi.org/10.2307/1911307" TargetMode="External" /><Relationship Type="http://schemas.openxmlformats.org/officeDocument/2006/relationships/hyperlink" Id="rId362" Target="https://doi.org/10.2307/1911865" TargetMode="External" /><Relationship Type="http://schemas.openxmlformats.org/officeDocument/2006/relationships/hyperlink" Id="rId407" Target="https://doi.org/10.2307/1912531" TargetMode="External" /><Relationship Type="http://schemas.openxmlformats.org/officeDocument/2006/relationships/hyperlink" Id="rId356" Target="https://doi.org/10.2307/1912637" TargetMode="External" /><Relationship Type="http://schemas.openxmlformats.org/officeDocument/2006/relationships/hyperlink" Id="rId335" Target="https://doi.org/10.2307/1912767" TargetMode="External" /><Relationship Type="http://schemas.openxmlformats.org/officeDocument/2006/relationships/hyperlink" Id="rId300" Target="https://doi.org/10.2307/1914083" TargetMode="External" /><Relationship Type="http://schemas.openxmlformats.org/officeDocument/2006/relationships/hyperlink" Id="rId307" Target="https://doi.org/10.2307/1914085" TargetMode="External" /><Relationship Type="http://schemas.openxmlformats.org/officeDocument/2006/relationships/hyperlink" Id="rId423" Target="https://doi.org/10.2307/1951053" TargetMode="External" /><Relationship Type="http://schemas.openxmlformats.org/officeDocument/2006/relationships/hyperlink" Id="rId391" Target="https://doi.org/10.2307/1969529" TargetMode="External" /><Relationship Type="http://schemas.openxmlformats.org/officeDocument/2006/relationships/hyperlink" Id="rId291" Target="https://doi.org/10.2307/2231658" TargetMode="External" /><Relationship Type="http://schemas.openxmlformats.org/officeDocument/2006/relationships/hyperlink" Id="rId321" Target="https://doi.org/10.2307/2234706" TargetMode="External" /><Relationship Type="http://schemas.openxmlformats.org/officeDocument/2006/relationships/hyperlink" Id="rId318" Target="https://doi.org/10.2307/2296006" TargetMode="External" /><Relationship Type="http://schemas.openxmlformats.org/officeDocument/2006/relationships/hyperlink" Id="rId293" Target="https://doi.org/10.2307/2296617" TargetMode="External" /><Relationship Type="http://schemas.openxmlformats.org/officeDocument/2006/relationships/hyperlink" Id="rId453" Target="https://doi.org/10.2307/2296904" TargetMode="External" /><Relationship Type="http://schemas.openxmlformats.org/officeDocument/2006/relationships/hyperlink" Id="rId289" Target="https://doi.org/10.2307/2525306" TargetMode="External" /><Relationship Type="http://schemas.openxmlformats.org/officeDocument/2006/relationships/hyperlink" Id="rId265" Target="https://doi.org/10.2307/2555382" TargetMode="External" /><Relationship Type="http://schemas.openxmlformats.org/officeDocument/2006/relationships/hyperlink" Id="rId350" Target="https://doi.org/10.2307/2951567" TargetMode="External" /><Relationship Type="http://schemas.openxmlformats.org/officeDocument/2006/relationships/hyperlink" Id="rId425" Target="https://doi.org/10.2307/3003302" TargetMode="External" /><Relationship Type="http://schemas.openxmlformats.org/officeDocument/2006/relationships/hyperlink" Id="rId376" Target="https://www.boe.es/buscar/act.php?id=BOE-A-2020-13591" TargetMode="External" /><Relationship Type="http://schemas.openxmlformats.org/officeDocument/2006/relationships/hyperlink" Id="rId374" Target="https://www.boe.es/buscar/act.php?id=BOE-A-2020-15689" TargetMode="External" /><Relationship Type="http://schemas.openxmlformats.org/officeDocument/2006/relationships/hyperlink" Id="rId370" Target="https://www.boe.es/diario_boe/txt.php?id=BOE-A-2026-678" TargetMode="External" /><Relationship Type="http://schemas.openxmlformats.org/officeDocument/2006/relationships/hyperlink" Id="rId279" Target="https://www.boe.es/doue/2023/2830/L00001-00056.pdf" TargetMode="External" /><Relationship Type="http://schemas.openxmlformats.org/officeDocument/2006/relationships/hyperlink" Id="rId281" Target="https://www.cnmc.es/prensa/sancionador-obra-civil-20220707" TargetMode="External" /><Relationship Type="http://schemas.openxmlformats.org/officeDocument/2006/relationships/hyperlink" Id="rId257" Target="https://www.ecb.europa.eu/press/pr/date/2012/html/pr120906_1.en.html" TargetMode="External" /><Relationship Type="http://schemas.openxmlformats.org/officeDocument/2006/relationships/hyperlink" Id="rId352" Target="https://www.esm.europa.eu/assistance/spain" TargetMode="External" /><Relationship Type="http://schemas.openxmlformats.org/officeDocument/2006/relationships/hyperlink" Id="rId378" Target="https://www.miteco.gob.es/es/prensa/210126resultadosprimerasubastaderenovablesd_tcm30-522089.pdf" TargetMode="External" /><Relationship Type="http://schemas.openxmlformats.org/officeDocument/2006/relationships/hyperlink" Id="rId380" Target="https://www.miteco.gob.es/es/prensa/221123_ndpelmitecocelebralacuartasubastadeasignacionderegimeneconomicodeenergiasrenovables_tcm30-548346.pdf" TargetMode="External" /><Relationship Type="http://schemas.openxmlformats.org/officeDocument/2006/relationships/hyperlink" Id="rId435" Target="https://www.nobelprize.org/prizes/economic-sciences/1994/summary/" TargetMode="External" /><Relationship Type="http://schemas.openxmlformats.org/officeDocument/2006/relationships/hyperlink" Id="rId437" Target="https://www.nobelprize.org/prizes/economic-sciences/1996/summary/" TargetMode="External" /><Relationship Type="http://schemas.openxmlformats.org/officeDocument/2006/relationships/hyperlink" Id="rId439" Target="https://www.nobelprize.org/prizes/economic-sciences/2005/summary/" TargetMode="External" /><Relationship Type="http://schemas.openxmlformats.org/officeDocument/2006/relationships/hyperlink" Id="rId441" Target="https://www.nobelprize.org/prizes/economic-sciences/2007/summary/" TargetMode="External" /><Relationship Type="http://schemas.openxmlformats.org/officeDocument/2006/relationships/hyperlink" Id="rId443" Target="https://www.nobelprize.org/prizes/economic-sciences/2012/summary/" TargetMode="External" /><Relationship Type="http://schemas.openxmlformats.org/officeDocument/2006/relationships/hyperlink" Id="rId402" Target="https://www.nobelprize.org/prizes/economic-sciences/2020/popular-information/" TargetMode="External" /><Relationship Type="http://schemas.openxmlformats.org/officeDocument/2006/relationships/hyperlink" Id="rId400" Target="https://www.nobelprize.org/prizes/economic-sciences/2020/press-release/" TargetMode="External" /><Relationship Type="http://schemas.openxmlformats.org/officeDocument/2006/relationships/hyperlink" Id="rId445" Target="https://www.nobelprize.org/prizes/economic-sciences/2020/summary/" TargetMode="External" /><Relationship Type="http://schemas.openxmlformats.org/officeDocument/2006/relationships/hyperlink" Id="rId283" Target="https://www.nobelprize.org/uploads/2020/09/advanced-economicsciencesprize2020.pdf" TargetMode="External" /><Relationship Type="http://schemas.openxmlformats.org/officeDocument/2006/relationships/hyperlink" Id="rId431" Target="https://www.tesoro.es/deuda-publica/mercado/mercado-primario/procedimiento-de-emision-y-subasta-de-los-valores-del-tesoro/la-subasta" TargetMode="External" /><Relationship Type="http://schemas.openxmlformats.org/officeDocument/2006/relationships/hyperlink" Id="rId429" Target="https://www.tesoro.es/documents/d/tesoro/estrategia_tesoro_publico_2026_espanol" TargetMode="External" /><Relationship Type="http://schemas.openxmlformats.org/officeDocument/2006/relationships/hyperlink" Id="rId167"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200" Target="https://www.victorgutierrezmarcos.es/oposicion/temario/cuarto-ejercicio/4A18.pdf" TargetMode="External" /><Relationship Type="http://schemas.openxmlformats.org/officeDocument/2006/relationships/hyperlink" Id="rId130" Target="https://www.victorgutierrezmarcos.es/oposicion/temario/cuarto-ejercicio/4B11.pdf" TargetMode="External" /><Relationship Type="http://schemas.openxmlformats.org/officeDocument/2006/relationships/hyperlink" Id="rId166" Target="https://www.victorgutierrezmarcos.es/oposicion/temario/cuarto-ejercicio/4B26.pdf" TargetMode="External" /><Relationship Type="http://schemas.openxmlformats.org/officeDocument/2006/relationships/hyperlink" Id="rId188" Target="https://www.victorgutierrezmarcos.es/oposicion/temario/primer-ejercicio/test/simulador.html" TargetMode="External" /><Relationship Type="http://schemas.openxmlformats.org/officeDocument/2006/relationships/hyperlink" Id="rId197" Target="https://www.victorgutierrezmarcos.es/oposicion/temario/tema-no-disponible.html?tema=3.B.45" TargetMode="External" /><Relationship Type="http://schemas.openxmlformats.org/officeDocument/2006/relationships/hyperlink" Id="rId168" Target="https://www.victorgutierrezmarcos.es/oposicion/temario/tema-no-disponible.html?tema=4.A.5" TargetMode="External" /><Relationship Type="http://schemas.openxmlformats.org/officeDocument/2006/relationships/hyperlink" Id="rId169" Target="https://www.victorgutierrezmarcos.es/oposicion/temario/tema-no-disponible.html?tema=4.A.6" TargetMode="External" /><Relationship Type="http://schemas.openxmlformats.org/officeDocument/2006/relationships/hyperlink" Id="rId114"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223" Target="https://www.victorgutierrezmarcos.es/oposicion/temario/tercer-ejercicio/3A22.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6"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31" Target="https://www.victorgutierrezmarcos.es/oposicion/temario/tercer-ejercicio/3B08.pdf" TargetMode="External" /><Relationship Type="http://schemas.openxmlformats.org/officeDocument/2006/relationships/hyperlink" Id="rId132" Target="https://www.victorgutierrezmarcos.es/oposicion/temario/tercer-ejercicio/3B17.pdf" TargetMode="External" /><Relationship Type="http://schemas.openxmlformats.org/officeDocument/2006/relationships/image" Id="rId74" Target="media/rId74.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2026-10-21T08:52:48Z</dcterms:created>
  <dcterms:modified xsi:type="dcterms:W3CDTF">2026-10-21T08:52:48Z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45 págs. · Anexos: 16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