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_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m:oMath>
        <m:r>
          <m:rPr>
            <m:sty m:val="p"/>
          </m:rPr>
          <m:t>◼</m:t>
        </m:r>
      </m:oMath>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p>
    <w:bookmarkStart w:id="73" w:name="eq_concavidad_fg"/>
    <w:bookmarkEnd w:id="73"/>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_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_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_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_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m:oMath>
        <m:r>
          <m:rPr>
            <m:sty m:val="p"/>
          </m:rPr>
          <m:t>◼</m:t>
        </m:r>
      </m:oMath>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_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w:t>
      </w:r>
      <m:oMath>
        <m:r>
          <m:rPr>
            <m:sty m:val="p"/>
          </m:rPr>
          <m:t>◼</m:t>
        </m:r>
      </m:oMath>
      <w:r>
        <w:t xml:space="preserve">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_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_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m:oMath>
        <m:r>
          <m:rPr>
            <m:sty m:val="p"/>
          </m:rPr>
          <m:t>◼</m:t>
        </m:r>
      </m:oMath>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m:oMath>
        <m:r>
          <m:rPr>
            <m:sty m:val="p"/>
          </m:rPr>
          <m:t>◼</m:t>
        </m:r>
      </m:oMath>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m:oMath>
        <m:r>
          <m:rPr>
            <m:sty m:val="p"/>
          </m:rPr>
          <m:t>◼</m:t>
        </m:r>
      </m:oMath>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m:oMath>
        <m:r>
          <m:rPr>
            <m:sty m:val="p"/>
          </m:rPr>
          <m:t>◼</m:t>
        </m:r>
      </m:oMath>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m:oMath>
        <m:r>
          <m:rPr>
            <m:sty m:val="p"/>
          </m:rPr>
          <m:t>◼</m:t>
        </m:r>
      </m:oMath>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m:oMath>
        <m:r>
          <m:rPr>
            <m:sty m:val="p"/>
          </m:rPr>
          <m:t>◼</m:t>
        </m:r>
      </m:oMath>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m:oMath>
        <m:r>
          <m:rPr>
            <m:sty m:val="p"/>
          </m:rPr>
          <m:t>◼</m:t>
        </m:r>
      </m:oMath>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m:oMath>
        <m:r>
          <m:rPr>
            <m:sty m:val="p"/>
          </m:rPr>
          <m:t>◼</m:t>
        </m:r>
      </m:oMath>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w:t>
      </w:r>
      <m:oMath>
        <m:r>
          <m:rPr>
            <m:sty m:val="p"/>
          </m:rPr>
          <m:t>◼</m:t>
        </m:r>
      </m:oMath>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phy"/>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m:oMath>
        <m:r>
          <m:rPr>
            <m:sty m:val="p"/>
          </m:rPr>
          <m:t>◼</m:t>
        </m:r>
      </m:oMath>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w:t>
      </w:r>
      <m:oMath>
        <m:r>
          <m:rPr>
            <m:sty m:val="p"/>
          </m:rPr>
          <m:t>◼</m:t>
        </m:r>
      </m:oMath>
      <w:r>
        <w:t xml:space="preserve">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m:oMath>
        <m:r>
          <m:rPr>
            <m:sty m:val="p"/>
          </m:rPr>
          <m:t>◼</m:t>
        </m:r>
      </m:oMath>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m:oMath>
        <m:r>
          <m:rPr>
            <m:sty m:val="p"/>
          </m:rPr>
          <m:t>◼</m:t>
        </m:r>
      </m:oMath>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m:oMath>
        <m:r>
          <m:rPr>
            <m:sty m:val="p"/>
          </m:rPr>
          <m:t>◼</m:t>
        </m:r>
      </m:oMath>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2026-10-18T15:17:46Z</dcterms:created>
  <dcterms:modified xsi:type="dcterms:W3CDTF">2026-10-18T15:17:46Z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C:\Users\vgutierrez\Documents\src\victorgutierrezmarcos.github.io-revision\oposicion\temario\fuentes\3A09\graficos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5 · Bibliografía: 4</vt:lpwstr>
  </property>
  <property fmtid="{D5CDD505-2E9C-101B-9397-08002B2CF9AE}" pid="19"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0" name="reference-section-title">
    <vt:lpwstr>Bibliografía</vt:lpwstr>
  </property>
  <property fmtid="{D5CDD505-2E9C-101B-9397-08002B2CF9AE}" pid="21" name="resumen">
    <vt:lpwstr>Demanda hicksiana, función de gasto, lema de Shephard e identidad de Roy, integrabilidad, sistemas de demanda (AIDS, Rotterdam) y variación compensatoria.</vt:lpwstr>
  </property>
  <property fmtid="{D5CDD505-2E9C-101B-9397-08002B2CF9AE}" pid="22" name="titulo">
    <vt:lpwstr>Teoría de la demanda del consumidor (II). Dualidad e integrabilidad de las preferencias. Sistemas de demanda utilizados en estudios empíricos. Medidas de cambio en el bienestar.</vt:lpwstr>
  </property>
  <property fmtid="{D5CDD505-2E9C-101B-9397-08002B2CF9AE}" pid="23" name="titulo-seo">
    <vt:lpwstr>Dualidad del consumidor y medidas de bienestar</vt:lpwstr>
  </property>
</Properties>
</file>